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43" w:rsidRPr="00F525DB" w:rsidRDefault="00E15543" w:rsidP="00CA5E80">
      <w:pPr>
        <w:pStyle w:val="Footer"/>
        <w:jc w:val="center"/>
        <w:rPr>
          <w:rFonts w:eastAsia="Lucida Sans Unicode"/>
          <w:b/>
          <w:kern w:val="1"/>
          <w:sz w:val="28"/>
          <w:szCs w:val="28"/>
        </w:rPr>
      </w:pPr>
      <w:bookmarkStart w:id="0" w:name="_GoBack"/>
      <w:bookmarkEnd w:id="0"/>
      <w:r w:rsidRPr="00F525DB">
        <w:rPr>
          <w:b/>
          <w:sz w:val="28"/>
          <w:szCs w:val="28"/>
        </w:rPr>
        <w:t>Ministru kabineta noteikumu projekta</w:t>
      </w:r>
      <w:r w:rsidR="00CA5E80">
        <w:rPr>
          <w:b/>
          <w:sz w:val="28"/>
          <w:szCs w:val="28"/>
        </w:rPr>
        <w:t xml:space="preserve"> “Grozījum</w:t>
      </w:r>
      <w:r w:rsidR="00E02B2D">
        <w:rPr>
          <w:b/>
          <w:sz w:val="28"/>
          <w:szCs w:val="28"/>
        </w:rPr>
        <w:t>i</w:t>
      </w:r>
      <w:r w:rsidR="00CA5E80">
        <w:rPr>
          <w:b/>
          <w:sz w:val="28"/>
          <w:szCs w:val="28"/>
        </w:rPr>
        <w:t xml:space="preserve"> Ministru kabineta </w:t>
      </w:r>
      <w:proofErr w:type="gramStart"/>
      <w:r w:rsidR="00CA5E80">
        <w:rPr>
          <w:b/>
          <w:sz w:val="28"/>
          <w:szCs w:val="28"/>
        </w:rPr>
        <w:t>2007.gada</w:t>
      </w:r>
      <w:proofErr w:type="gramEnd"/>
      <w:r w:rsidR="00CA5E80">
        <w:rPr>
          <w:b/>
          <w:sz w:val="28"/>
          <w:szCs w:val="28"/>
        </w:rPr>
        <w:t xml:space="preserve"> 27.novembra noteikumos Nr.801 “</w:t>
      </w:r>
      <w:r w:rsidR="00CA5E80" w:rsidRPr="00732567">
        <w:rPr>
          <w:b/>
          <w:sz w:val="28"/>
          <w:szCs w:val="28"/>
        </w:rPr>
        <w:t>Noteikumi par sauszemes transportlīdzekļu īpašnieku civiltiesiskās atbildības obligātās apdrošināšanas informācijas sistēmas darbībai nepieciešamo datu apjomu un veidiem, datu ievades, apmaiņas un izmantošanas kārtību</w:t>
      </w:r>
      <w:r w:rsidR="00CA5E80">
        <w:rPr>
          <w:b/>
          <w:sz w:val="28"/>
          <w:szCs w:val="28"/>
        </w:rPr>
        <w:t xml:space="preserve">”” </w:t>
      </w:r>
      <w:r w:rsidRPr="00F525DB">
        <w:rPr>
          <w:rFonts w:eastAsia="Lucida Sans Unicode"/>
          <w:b/>
          <w:kern w:val="1"/>
          <w:sz w:val="28"/>
          <w:szCs w:val="28"/>
        </w:rPr>
        <w:t>sākotnējās ietekmes novērtējuma ziņojums (anotācija)</w:t>
      </w:r>
    </w:p>
    <w:p w:rsidR="00616AA6" w:rsidRPr="00D65D1A" w:rsidRDefault="00616AA6" w:rsidP="00616AA6">
      <w:pPr>
        <w:pStyle w:val="BodyText"/>
        <w:rPr>
          <w:szCs w:val="28"/>
        </w:rPr>
      </w:pPr>
    </w:p>
    <w:tbl>
      <w:tblPr>
        <w:tblStyle w:val="TableGrid"/>
        <w:tblW w:w="9133" w:type="dxa"/>
        <w:tblLook w:val="04A0" w:firstRow="1" w:lastRow="0" w:firstColumn="1" w:lastColumn="0" w:noHBand="0" w:noVBand="1"/>
      </w:tblPr>
      <w:tblGrid>
        <w:gridCol w:w="562"/>
        <w:gridCol w:w="142"/>
        <w:gridCol w:w="2552"/>
        <w:gridCol w:w="2977"/>
        <w:gridCol w:w="2900"/>
      </w:tblGrid>
      <w:tr w:rsidR="00616AA6" w:rsidRPr="00D65D1A" w:rsidTr="006522FE">
        <w:tc>
          <w:tcPr>
            <w:tcW w:w="9133" w:type="dxa"/>
            <w:gridSpan w:val="5"/>
          </w:tcPr>
          <w:p w:rsidR="00616AA6" w:rsidRPr="00D65D1A" w:rsidRDefault="00616AA6" w:rsidP="00710EAA">
            <w:pPr>
              <w:pStyle w:val="BodyText"/>
              <w:spacing w:before="60" w:after="60"/>
              <w:rPr>
                <w:szCs w:val="28"/>
              </w:rPr>
            </w:pPr>
            <w:r w:rsidRPr="00D65D1A">
              <w:rPr>
                <w:szCs w:val="28"/>
              </w:rPr>
              <w:t>I. Tiesību akta projekta izstrādes nepieciešamība</w:t>
            </w:r>
          </w:p>
        </w:tc>
      </w:tr>
      <w:tr w:rsidR="00616AA6" w:rsidRPr="00D65D1A" w:rsidTr="00985272">
        <w:tc>
          <w:tcPr>
            <w:tcW w:w="562" w:type="dxa"/>
          </w:tcPr>
          <w:p w:rsidR="00616AA6" w:rsidRPr="00D65D1A" w:rsidRDefault="00616AA6" w:rsidP="00710EAA">
            <w:pPr>
              <w:spacing w:before="60"/>
              <w:rPr>
                <w:sz w:val="28"/>
                <w:szCs w:val="28"/>
              </w:rPr>
            </w:pPr>
            <w:r w:rsidRPr="00D65D1A">
              <w:rPr>
                <w:sz w:val="28"/>
                <w:szCs w:val="28"/>
              </w:rPr>
              <w:t>1.</w:t>
            </w:r>
          </w:p>
        </w:tc>
        <w:tc>
          <w:tcPr>
            <w:tcW w:w="2694" w:type="dxa"/>
            <w:gridSpan w:val="2"/>
          </w:tcPr>
          <w:p w:rsidR="00616AA6" w:rsidRPr="00985272" w:rsidRDefault="00616AA6" w:rsidP="00710EAA">
            <w:pPr>
              <w:spacing w:before="60"/>
              <w:rPr>
                <w:sz w:val="26"/>
                <w:szCs w:val="26"/>
              </w:rPr>
            </w:pPr>
            <w:r w:rsidRPr="00985272">
              <w:rPr>
                <w:sz w:val="26"/>
                <w:szCs w:val="26"/>
              </w:rPr>
              <w:t>Pamatojums</w:t>
            </w:r>
          </w:p>
        </w:tc>
        <w:tc>
          <w:tcPr>
            <w:tcW w:w="5877" w:type="dxa"/>
            <w:gridSpan w:val="2"/>
          </w:tcPr>
          <w:p w:rsidR="002B5B67" w:rsidRPr="00943817" w:rsidRDefault="00833F70" w:rsidP="00833F70">
            <w:pPr>
              <w:ind w:firstLine="742"/>
              <w:jc w:val="both"/>
              <w:rPr>
                <w:sz w:val="26"/>
                <w:szCs w:val="26"/>
              </w:rPr>
            </w:pPr>
            <w:r w:rsidRPr="00943817">
              <w:rPr>
                <w:sz w:val="26"/>
                <w:szCs w:val="26"/>
              </w:rPr>
              <w:t>M</w:t>
            </w:r>
            <w:r w:rsidR="00687963" w:rsidRPr="00943817">
              <w:rPr>
                <w:sz w:val="26"/>
                <w:szCs w:val="26"/>
              </w:rPr>
              <w:t xml:space="preserve">inistru kabineta noteikumu projekts </w:t>
            </w:r>
            <w:r w:rsidR="00E02B2D">
              <w:rPr>
                <w:sz w:val="26"/>
                <w:szCs w:val="26"/>
              </w:rPr>
              <w:t>“Grozījumi</w:t>
            </w:r>
            <w:r w:rsidR="00CA5E80" w:rsidRPr="00943817">
              <w:rPr>
                <w:sz w:val="26"/>
                <w:szCs w:val="26"/>
              </w:rPr>
              <w:t xml:space="preserve"> Ministru kabineta </w:t>
            </w:r>
            <w:proofErr w:type="gramStart"/>
            <w:r w:rsidR="00CA5E80" w:rsidRPr="00943817">
              <w:rPr>
                <w:sz w:val="26"/>
                <w:szCs w:val="26"/>
              </w:rPr>
              <w:t>2007.gada</w:t>
            </w:r>
            <w:proofErr w:type="gramEnd"/>
            <w:r w:rsidR="00CA5E80" w:rsidRPr="00943817">
              <w:rPr>
                <w:sz w:val="26"/>
                <w:szCs w:val="26"/>
              </w:rPr>
              <w:t xml:space="preserve"> 27.novembra noteikumos Nr.801 “Noteikumi par sauszemes transportlīdzekļu īpašnieku civiltiesiskās atbildības obligātās apdrošināšanas informācijas sistēmas darbībai nepieciešamo datu apjomu un veidiem, datu ievades, apmaiņas un izmantošanas kārtību”</w:t>
            </w:r>
            <w:r w:rsidR="00E15543" w:rsidRPr="00943817">
              <w:rPr>
                <w:sz w:val="26"/>
                <w:szCs w:val="26"/>
              </w:rPr>
              <w:t>”</w:t>
            </w:r>
            <w:r w:rsidR="00687963" w:rsidRPr="00943817">
              <w:rPr>
                <w:sz w:val="26"/>
                <w:szCs w:val="26"/>
              </w:rPr>
              <w:t xml:space="preserve"> (turpmāk – projekts) izstrādāts</w:t>
            </w:r>
            <w:r w:rsidR="00CA5E80" w:rsidRPr="00943817">
              <w:rPr>
                <w:sz w:val="26"/>
                <w:szCs w:val="26"/>
              </w:rPr>
              <w:t xml:space="preserve">, lai </w:t>
            </w:r>
            <w:r w:rsidR="00506FBF" w:rsidRPr="00943817">
              <w:rPr>
                <w:sz w:val="26"/>
                <w:szCs w:val="26"/>
              </w:rPr>
              <w:t>īstenotu</w:t>
            </w:r>
            <w:r w:rsidR="00CA5E80" w:rsidRPr="00943817">
              <w:rPr>
                <w:sz w:val="26"/>
                <w:szCs w:val="26"/>
              </w:rPr>
              <w:t xml:space="preserve"> Ministru kabineta 2006.gada 31.janvāra noteikumos Nr.92 “Noteikumi par valsts budžeta un pašvaldību budžetu izdevumu atlīdzināšanas apmēru un kārtību, nodrošinot ārstēšanu, rehabilitāciju, tehniskos palīglīdzekļus un pensiju un pabalstu izmaksu” 9.punktā noteikt</w:t>
            </w:r>
            <w:r w:rsidR="00506FBF" w:rsidRPr="00943817">
              <w:rPr>
                <w:sz w:val="26"/>
                <w:szCs w:val="26"/>
              </w:rPr>
              <w:t>o</w:t>
            </w:r>
            <w:r w:rsidR="00CA5E80" w:rsidRPr="00943817">
              <w:rPr>
                <w:sz w:val="26"/>
                <w:szCs w:val="26"/>
              </w:rPr>
              <w:t xml:space="preserve"> par valsts budžeta līdzekļu, kas izlietoti cietušo personu ārstēšanai vai medicīniskajai rehabilitācijai, atlīdzināšanu valsts budžetā.</w:t>
            </w:r>
          </w:p>
        </w:tc>
      </w:tr>
      <w:tr w:rsidR="00616AA6" w:rsidRPr="00BA5E65" w:rsidTr="00985272">
        <w:tc>
          <w:tcPr>
            <w:tcW w:w="562" w:type="dxa"/>
          </w:tcPr>
          <w:p w:rsidR="00616AA6" w:rsidRPr="00D65D1A" w:rsidRDefault="00616AA6" w:rsidP="00710EAA">
            <w:pPr>
              <w:spacing w:before="60" w:line="720" w:lineRule="auto"/>
              <w:rPr>
                <w:sz w:val="28"/>
                <w:szCs w:val="28"/>
              </w:rPr>
            </w:pPr>
            <w:r w:rsidRPr="00D65D1A">
              <w:rPr>
                <w:sz w:val="28"/>
                <w:szCs w:val="28"/>
              </w:rPr>
              <w:t>2.</w:t>
            </w:r>
          </w:p>
        </w:tc>
        <w:tc>
          <w:tcPr>
            <w:tcW w:w="2694" w:type="dxa"/>
            <w:gridSpan w:val="2"/>
          </w:tcPr>
          <w:p w:rsidR="00616AA6" w:rsidRPr="00985272" w:rsidRDefault="00616AA6" w:rsidP="008D6FC2">
            <w:pPr>
              <w:spacing w:before="60"/>
              <w:jc w:val="both"/>
              <w:rPr>
                <w:sz w:val="26"/>
                <w:szCs w:val="26"/>
              </w:rPr>
            </w:pPr>
            <w:r w:rsidRPr="00985272">
              <w:rPr>
                <w:sz w:val="26"/>
                <w:szCs w:val="26"/>
              </w:rPr>
              <w:t>Pašreizējā situācija un problēmas</w:t>
            </w:r>
            <w:r w:rsidR="000F2F91" w:rsidRPr="00985272">
              <w:rPr>
                <w:sz w:val="26"/>
                <w:szCs w:val="26"/>
              </w:rPr>
              <w:t>, kuru risināšanai tiesību akta projekts izstrādāts, tiesiskā regulējuma mērķis un būtība</w:t>
            </w:r>
          </w:p>
        </w:tc>
        <w:tc>
          <w:tcPr>
            <w:tcW w:w="5877" w:type="dxa"/>
            <w:gridSpan w:val="2"/>
          </w:tcPr>
          <w:p w:rsidR="009024D3" w:rsidRPr="00943817" w:rsidRDefault="00506FBF" w:rsidP="00833F70">
            <w:pPr>
              <w:pStyle w:val="tv213"/>
              <w:spacing w:before="0" w:beforeAutospacing="0" w:after="0" w:afterAutospacing="0"/>
              <w:ind w:firstLine="742"/>
              <w:jc w:val="both"/>
              <w:rPr>
                <w:sz w:val="26"/>
                <w:szCs w:val="26"/>
              </w:rPr>
            </w:pPr>
            <w:r w:rsidRPr="00943817">
              <w:rPr>
                <w:sz w:val="26"/>
                <w:szCs w:val="26"/>
              </w:rPr>
              <w:t xml:space="preserve">Ministru kabineta </w:t>
            </w:r>
            <w:proofErr w:type="gramStart"/>
            <w:r w:rsidR="009024D3" w:rsidRPr="00943817">
              <w:rPr>
                <w:sz w:val="26"/>
                <w:szCs w:val="26"/>
              </w:rPr>
              <w:t>2006.gada</w:t>
            </w:r>
            <w:proofErr w:type="gramEnd"/>
            <w:r w:rsidR="009024D3" w:rsidRPr="00943817">
              <w:rPr>
                <w:sz w:val="26"/>
                <w:szCs w:val="26"/>
              </w:rPr>
              <w:t xml:space="preserve"> 31.janvāra noteikumi Nr.92 “Noteikumi par valsts budžeta un pašvaldību budžetu izdevumu atlīdzināšanas apmēru un kārtību, nodrošinot ārstēšanu, rehabilitāciju, tehniskos palīglīdzekļus un pensiju un pabalstu izmaksu” nosaka kārtību un apmēru, kādā apdrošinātājs vai biedrība "Latvijas Transportlīdzekļu apdrošinātāju birojs" atlīdzina valsts budžeta un pašvaldību budžetu izdevumus, kas radušies, nodrošinot cietušās personas ārstēšanu, rehabilitāciju, tehniskos palīglīdzekļus un pensiju un pabalstu izmaksas. Viens no atlīdzināmo izdevumu veidiem saskaņā ar minēto noteikumu 2.5 apakšpunktu</w:t>
            </w:r>
            <w:r w:rsidR="00AD1FAC" w:rsidRPr="00943817">
              <w:rPr>
                <w:sz w:val="26"/>
                <w:szCs w:val="26"/>
              </w:rPr>
              <w:t>,</w:t>
            </w:r>
            <w:r w:rsidR="009024D3" w:rsidRPr="00943817">
              <w:rPr>
                <w:sz w:val="26"/>
                <w:szCs w:val="26"/>
              </w:rPr>
              <w:t xml:space="preserve"> </w:t>
            </w:r>
            <w:r w:rsidR="00AD1FAC" w:rsidRPr="00943817">
              <w:rPr>
                <w:sz w:val="26"/>
                <w:szCs w:val="26"/>
              </w:rPr>
              <w:t>ir situācijā,</w:t>
            </w:r>
            <w:r w:rsidR="009024D3" w:rsidRPr="00943817">
              <w:rPr>
                <w:sz w:val="26"/>
                <w:szCs w:val="26"/>
              </w:rPr>
              <w:t xml:space="preserve"> ja valsts budžeta līdzekļi </w:t>
            </w:r>
            <w:proofErr w:type="gramStart"/>
            <w:r w:rsidR="009024D3" w:rsidRPr="00943817">
              <w:rPr>
                <w:sz w:val="26"/>
                <w:szCs w:val="26"/>
              </w:rPr>
              <w:t>izlietoti cietušās personas</w:t>
            </w:r>
            <w:proofErr w:type="gramEnd"/>
            <w:r w:rsidR="009024D3" w:rsidRPr="00943817">
              <w:rPr>
                <w:sz w:val="26"/>
                <w:szCs w:val="26"/>
              </w:rPr>
              <w:t xml:space="preserve"> – Iekšlietu ministrijas sistēmas vai Tieslietu ministrijas Ieslodzījuma vietu pārvaldes darbinieka ar speciālo dienesta pakāpi – ārstēšanai vai medicīniskajai rehabilitācijai par Iekšlietu ministrijas </w:t>
            </w:r>
            <w:r w:rsidR="00EA630D">
              <w:rPr>
                <w:sz w:val="26"/>
                <w:szCs w:val="26"/>
              </w:rPr>
              <w:t>v</w:t>
            </w:r>
            <w:r w:rsidR="009024D3" w:rsidRPr="00943817">
              <w:rPr>
                <w:sz w:val="26"/>
                <w:szCs w:val="26"/>
              </w:rPr>
              <w:t>eselības un sporta centra budžeta līdzekļiem.</w:t>
            </w:r>
            <w:r w:rsidR="00AD1FAC" w:rsidRPr="00943817">
              <w:rPr>
                <w:sz w:val="26"/>
                <w:szCs w:val="26"/>
              </w:rPr>
              <w:t xml:space="preserve"> </w:t>
            </w:r>
            <w:r w:rsidR="00256E5D">
              <w:rPr>
                <w:sz w:val="26"/>
                <w:szCs w:val="26"/>
              </w:rPr>
              <w:t>M</w:t>
            </w:r>
            <w:r w:rsidR="00AD1FAC" w:rsidRPr="00943817">
              <w:rPr>
                <w:sz w:val="26"/>
                <w:szCs w:val="26"/>
              </w:rPr>
              <w:t>inēta</w:t>
            </w:r>
            <w:r w:rsidR="00256E5D">
              <w:rPr>
                <w:sz w:val="26"/>
                <w:szCs w:val="26"/>
              </w:rPr>
              <w:t>is</w:t>
            </w:r>
            <w:r w:rsidR="009024D3" w:rsidRPr="00943817">
              <w:rPr>
                <w:sz w:val="26"/>
                <w:szCs w:val="26"/>
              </w:rPr>
              <w:t xml:space="preserve"> noteikumu 9.punkt</w:t>
            </w:r>
            <w:r w:rsidR="00AD1FAC" w:rsidRPr="00943817">
              <w:rPr>
                <w:sz w:val="26"/>
                <w:szCs w:val="26"/>
              </w:rPr>
              <w:t xml:space="preserve">s </w:t>
            </w:r>
            <w:r w:rsidR="00256E5D">
              <w:rPr>
                <w:sz w:val="26"/>
                <w:szCs w:val="26"/>
              </w:rPr>
              <w:t>nosaka</w:t>
            </w:r>
            <w:r w:rsidR="00AD1FAC" w:rsidRPr="00943817">
              <w:rPr>
                <w:sz w:val="26"/>
                <w:szCs w:val="26"/>
              </w:rPr>
              <w:t>, ka</w:t>
            </w:r>
            <w:r w:rsidR="009024D3" w:rsidRPr="00943817">
              <w:rPr>
                <w:sz w:val="26"/>
                <w:szCs w:val="26"/>
              </w:rPr>
              <w:t xml:space="preserve"> valsts budžeta līdzekļus, kas izlietoti cietušo personu – Iekšlietu </w:t>
            </w:r>
            <w:r w:rsidR="009024D3" w:rsidRPr="00943817">
              <w:rPr>
                <w:sz w:val="26"/>
                <w:szCs w:val="26"/>
              </w:rPr>
              <w:lastRenderedPageBreak/>
              <w:t xml:space="preserve">ministrijas sistēmas vai Tieslietu ministrijas Ieslodzījuma vietu pārvaldes darbinieku ar speciālo dienesta pakāpi – ārstēšanai vai medicīniskajai rehabilitācijai, par kuru samaksu ir veicis Iekšlietu ministrijas </w:t>
            </w:r>
            <w:r w:rsidR="00EA630D">
              <w:rPr>
                <w:sz w:val="26"/>
                <w:szCs w:val="26"/>
              </w:rPr>
              <w:t>v</w:t>
            </w:r>
            <w:r w:rsidR="009024D3" w:rsidRPr="00943817">
              <w:rPr>
                <w:sz w:val="26"/>
                <w:szCs w:val="26"/>
              </w:rPr>
              <w:t xml:space="preserve">eselības un sporta centrs no tam piešķirtajiem valsts budžeta līdzekļiem, apdrošinātājs vai </w:t>
            </w:r>
            <w:r w:rsidR="00AD1FAC" w:rsidRPr="00943817">
              <w:rPr>
                <w:sz w:val="26"/>
                <w:szCs w:val="26"/>
              </w:rPr>
              <w:t xml:space="preserve">biedrība "Latvijas </w:t>
            </w:r>
            <w:r w:rsidR="009024D3" w:rsidRPr="00943817">
              <w:rPr>
                <w:sz w:val="26"/>
                <w:szCs w:val="26"/>
              </w:rPr>
              <w:t>Transportlīdzekļu apdrošinātāju birojs</w:t>
            </w:r>
            <w:r w:rsidR="00AD1FAC" w:rsidRPr="00943817">
              <w:rPr>
                <w:sz w:val="26"/>
                <w:szCs w:val="26"/>
              </w:rPr>
              <w:t>”</w:t>
            </w:r>
            <w:r w:rsidR="009024D3" w:rsidRPr="00943817">
              <w:rPr>
                <w:sz w:val="26"/>
                <w:szCs w:val="26"/>
              </w:rPr>
              <w:t xml:space="preserve"> valsts budžetam atlīdzina saskaņā ar Iekšlietu ministrijas </w:t>
            </w:r>
            <w:r w:rsidR="00EA630D">
              <w:rPr>
                <w:sz w:val="26"/>
                <w:szCs w:val="26"/>
              </w:rPr>
              <w:t>v</w:t>
            </w:r>
            <w:r w:rsidR="009024D3" w:rsidRPr="00943817">
              <w:rPr>
                <w:sz w:val="26"/>
                <w:szCs w:val="26"/>
              </w:rPr>
              <w:t>eselības un sporta centra iesniegumu un tam pievienotajiem dokumentiem.</w:t>
            </w:r>
            <w:r w:rsidR="00AD1FAC" w:rsidRPr="00943817">
              <w:rPr>
                <w:sz w:val="26"/>
                <w:szCs w:val="26"/>
              </w:rPr>
              <w:t xml:space="preserve"> </w:t>
            </w:r>
          </w:p>
          <w:p w:rsidR="00921662" w:rsidRPr="00943817" w:rsidRDefault="00AD1FAC" w:rsidP="00833F70">
            <w:pPr>
              <w:pStyle w:val="tv213"/>
              <w:spacing w:before="0" w:beforeAutospacing="0" w:after="0" w:afterAutospacing="0"/>
              <w:ind w:firstLine="742"/>
              <w:jc w:val="both"/>
              <w:rPr>
                <w:sz w:val="26"/>
                <w:szCs w:val="26"/>
              </w:rPr>
            </w:pPr>
            <w:r w:rsidRPr="00943817">
              <w:rPr>
                <w:sz w:val="26"/>
                <w:szCs w:val="26"/>
              </w:rPr>
              <w:t>Šobrīd Iekšlietu ministrijas veselības un sporta centrs nesaņem informāciju par gadījumiem, kad ceļu satiksmes negadījumos cietuši Iekšlietu ministrijas sistēmas iestāžu vai Tieslietu ministrijas Ieslodzījuma vietu pārvaldes darbinieki ar speciālo dienesta pakāpi</w:t>
            </w:r>
            <w:r w:rsidR="00921662" w:rsidRPr="00943817">
              <w:rPr>
                <w:sz w:val="26"/>
                <w:szCs w:val="26"/>
              </w:rPr>
              <w:t>. Tādējādi</w:t>
            </w:r>
            <w:r w:rsidRPr="00943817">
              <w:rPr>
                <w:sz w:val="26"/>
                <w:szCs w:val="26"/>
              </w:rPr>
              <w:t xml:space="preserve">, tā kā </w:t>
            </w:r>
            <w:r w:rsidR="00921662" w:rsidRPr="00943817">
              <w:rPr>
                <w:sz w:val="26"/>
                <w:szCs w:val="26"/>
              </w:rPr>
              <w:t xml:space="preserve">Iekšlietu ministrijas veselības un sporta centram </w:t>
            </w:r>
            <w:r w:rsidRPr="00943817">
              <w:rPr>
                <w:sz w:val="26"/>
                <w:szCs w:val="26"/>
              </w:rPr>
              <w:t>nav informācijas, kuras personas ir cietušas</w:t>
            </w:r>
            <w:r w:rsidR="00921662" w:rsidRPr="00943817">
              <w:rPr>
                <w:sz w:val="26"/>
                <w:szCs w:val="26"/>
              </w:rPr>
              <w:t xml:space="preserve"> ceļu satiksmes nelaimes gadījumos</w:t>
            </w:r>
            <w:r w:rsidRPr="00943817">
              <w:rPr>
                <w:sz w:val="26"/>
                <w:szCs w:val="26"/>
              </w:rPr>
              <w:t xml:space="preserve">, šobrīd nav iespējams veikt turpmākas darbības, lai atbilstoši Ministru kabineta </w:t>
            </w:r>
            <w:proofErr w:type="gramStart"/>
            <w:r w:rsidRPr="00943817">
              <w:rPr>
                <w:sz w:val="26"/>
                <w:szCs w:val="26"/>
              </w:rPr>
              <w:t>2006.gada</w:t>
            </w:r>
            <w:proofErr w:type="gramEnd"/>
            <w:r w:rsidRPr="00943817">
              <w:rPr>
                <w:sz w:val="26"/>
                <w:szCs w:val="26"/>
              </w:rPr>
              <w:t xml:space="preserve"> 31.janvāra noteikumos Nr.92 “Noteikumi par valsts budžeta un pašvaldību budžetu izdevumu atlīdzināšanas apmēru un kārtību, nodrošinot ārstēšanu, rehabilitāciju, tehniskos palīglīdzekļus un pensiju un pabalstu izmaksu” paredz</w:t>
            </w:r>
            <w:r w:rsidR="00921662" w:rsidRPr="00943817">
              <w:rPr>
                <w:sz w:val="26"/>
                <w:szCs w:val="26"/>
              </w:rPr>
              <w:t xml:space="preserve">ētajam veiktu valsts budžeta līdzekļu atlīdzināšanu. </w:t>
            </w:r>
          </w:p>
          <w:p w:rsidR="00833F70" w:rsidRPr="00943817" w:rsidRDefault="00921662" w:rsidP="00186E49">
            <w:pPr>
              <w:pStyle w:val="tv213"/>
              <w:spacing w:before="0" w:beforeAutospacing="0" w:after="0" w:afterAutospacing="0"/>
              <w:ind w:firstLine="742"/>
              <w:jc w:val="both"/>
              <w:rPr>
                <w:sz w:val="26"/>
                <w:szCs w:val="26"/>
              </w:rPr>
            </w:pPr>
            <w:r w:rsidRPr="00943817">
              <w:rPr>
                <w:sz w:val="26"/>
                <w:szCs w:val="26"/>
              </w:rPr>
              <w:t xml:space="preserve">Ministru kabineta </w:t>
            </w:r>
            <w:proofErr w:type="gramStart"/>
            <w:r w:rsidRPr="00943817">
              <w:rPr>
                <w:sz w:val="26"/>
                <w:szCs w:val="26"/>
              </w:rPr>
              <w:t>2007.gada</w:t>
            </w:r>
            <w:proofErr w:type="gramEnd"/>
            <w:r w:rsidRPr="00943817">
              <w:rPr>
                <w:sz w:val="26"/>
                <w:szCs w:val="26"/>
              </w:rPr>
              <w:t xml:space="preserve"> 27.novembra noteikumu Nr.801 “Noteikumi par sauszemes transportlīdzekļu īpašnieku civiltiesiskās atbildības obligātās apdrošināšanas informācijas sistēmas darbībai nepieciešamo datu apjomu un veidiem, datu ievades, apmaiņas un izmantošanas kārtību” </w:t>
            </w:r>
            <w:r w:rsidR="00186E49">
              <w:rPr>
                <w:sz w:val="26"/>
                <w:szCs w:val="26"/>
              </w:rPr>
              <w:t xml:space="preserve">1.3 apakšpunkts paredz, ka minētajos noteikumos ir noteikta kārtība, kādā tiek  </w:t>
            </w:r>
            <w:r w:rsidR="00186E49" w:rsidRPr="00186E49">
              <w:rPr>
                <w:sz w:val="26"/>
                <w:szCs w:val="26"/>
              </w:rPr>
              <w:t>izmantoti informācijas sistēmas dati un notiek datu apmaiņa, bet</w:t>
            </w:r>
            <w:r w:rsidR="00186E49">
              <w:rPr>
                <w:sz w:val="26"/>
                <w:szCs w:val="26"/>
              </w:rPr>
              <w:t xml:space="preserve"> </w:t>
            </w:r>
            <w:r w:rsidRPr="00943817">
              <w:rPr>
                <w:sz w:val="26"/>
                <w:szCs w:val="26"/>
              </w:rPr>
              <w:t>12.punkts paredz, ka Nacionālais veselības dienests, Valsts sociālās apdrošināšanas aģentūra, Sociālās integrācijas valsts aģentūra un Nacionālais rehabilitācijas centrs "Vaivari", īstenojot normatīvajos aktos noteiktās funkcijas, no Iekšlietu ministrijas Informācijas centra saņem  noteikumu</w:t>
            </w:r>
            <w:r w:rsidR="00833F70" w:rsidRPr="00943817">
              <w:rPr>
                <w:sz w:val="26"/>
                <w:szCs w:val="26"/>
              </w:rPr>
              <w:t xml:space="preserve"> 2.6 apakšpunktā norādītos datus no iekšlietu informācijas sistēmas Ceļu policijas reģistra datus par Valsts policijā reģistrētajiem ceļu satiksmes negadījumiem. </w:t>
            </w:r>
          </w:p>
          <w:p w:rsidR="00AD1FAC" w:rsidRPr="00943817" w:rsidRDefault="00865AAB" w:rsidP="00EA630D">
            <w:pPr>
              <w:pStyle w:val="tv213"/>
              <w:spacing w:before="0" w:beforeAutospacing="0" w:after="0" w:afterAutospacing="0"/>
              <w:ind w:firstLine="742"/>
              <w:jc w:val="both"/>
              <w:rPr>
                <w:sz w:val="26"/>
                <w:szCs w:val="26"/>
              </w:rPr>
            </w:pPr>
            <w:r w:rsidRPr="00943817">
              <w:rPr>
                <w:sz w:val="26"/>
                <w:szCs w:val="26"/>
              </w:rPr>
              <w:t>Sagatavotais projekts paredz, ka Iekšlietu ministrijas Informācijas centr</w:t>
            </w:r>
            <w:r w:rsidR="00EA630D">
              <w:rPr>
                <w:sz w:val="26"/>
                <w:szCs w:val="26"/>
              </w:rPr>
              <w:t>s sniedz Iekšlietu ministrijas v</w:t>
            </w:r>
            <w:r w:rsidRPr="00943817">
              <w:rPr>
                <w:sz w:val="26"/>
                <w:szCs w:val="26"/>
              </w:rPr>
              <w:t xml:space="preserve">eselības un sporta centram datus no </w:t>
            </w:r>
            <w:r w:rsidRPr="00943817">
              <w:rPr>
                <w:sz w:val="26"/>
                <w:szCs w:val="26"/>
              </w:rPr>
              <w:lastRenderedPageBreak/>
              <w:t>iekšlietu informācijas sistēmas Ceļu policijas reģistra datus par Valsts policijā reģistrētajiem ceļu satiksmes negadījumiem.</w:t>
            </w:r>
            <w:r w:rsidR="00A024E6" w:rsidRPr="00943817">
              <w:rPr>
                <w:sz w:val="26"/>
                <w:szCs w:val="26"/>
              </w:rPr>
              <w:t xml:space="preserve"> </w:t>
            </w:r>
            <w:r w:rsidR="00186E49">
              <w:rPr>
                <w:sz w:val="26"/>
                <w:szCs w:val="26"/>
              </w:rPr>
              <w:t xml:space="preserve">Izveidotā informācijas sistēma ir vienota, tādēļ noteikumu projekts paredz, ka </w:t>
            </w:r>
            <w:r w:rsidR="00186E49" w:rsidRPr="00943817">
              <w:rPr>
                <w:sz w:val="26"/>
                <w:szCs w:val="26"/>
              </w:rPr>
              <w:t xml:space="preserve">Iekšlietu </w:t>
            </w:r>
            <w:r w:rsidR="00EA630D">
              <w:rPr>
                <w:sz w:val="26"/>
                <w:szCs w:val="26"/>
              </w:rPr>
              <w:t>ministrijas v</w:t>
            </w:r>
            <w:r w:rsidR="00186E49" w:rsidRPr="00943817">
              <w:rPr>
                <w:sz w:val="26"/>
                <w:szCs w:val="26"/>
              </w:rPr>
              <w:t>eselības un sporta centr</w:t>
            </w:r>
            <w:r w:rsidR="00186E49">
              <w:rPr>
                <w:sz w:val="26"/>
                <w:szCs w:val="26"/>
              </w:rPr>
              <w:t>s saņem visus noteikumu 2.6. apakšpunktā norādītos datus, bet ņ</w:t>
            </w:r>
            <w:r w:rsidR="00A024E6" w:rsidRPr="00943817">
              <w:rPr>
                <w:sz w:val="26"/>
                <w:szCs w:val="26"/>
              </w:rPr>
              <w:t xml:space="preserve">emot vērā, ka Ministru kabineta </w:t>
            </w:r>
            <w:proofErr w:type="gramStart"/>
            <w:r w:rsidR="00A024E6" w:rsidRPr="00943817">
              <w:rPr>
                <w:sz w:val="26"/>
                <w:szCs w:val="26"/>
              </w:rPr>
              <w:t>2007.gada</w:t>
            </w:r>
            <w:proofErr w:type="gramEnd"/>
            <w:r w:rsidR="00A024E6" w:rsidRPr="00943817">
              <w:rPr>
                <w:sz w:val="26"/>
                <w:szCs w:val="26"/>
              </w:rPr>
              <w:t xml:space="preserve"> 27.novembra noteikumu Nr.801 “Noteikumi par sauszemes transportlīdzekļu īpašnieku civiltiesiskās atbildības obligātās apdrošināšanas informācijas sistēmas darbībai nepieciešamo datu apjomu un veidiem, datu ievades, apmaiņas un izmantošanas kārtību” 12.punkts paredz datu saņemšanu normatīvajos aktos noteikto funkciju īstenošanai, </w:t>
            </w:r>
            <w:r w:rsidR="002555E0">
              <w:rPr>
                <w:sz w:val="26"/>
                <w:szCs w:val="26"/>
              </w:rPr>
              <w:t>i</w:t>
            </w:r>
            <w:r w:rsidR="00A024E6" w:rsidRPr="00943817">
              <w:rPr>
                <w:sz w:val="26"/>
                <w:szCs w:val="26"/>
              </w:rPr>
              <w:t>estāžu datu apmaiņu plānots veidot</w:t>
            </w:r>
            <w:r w:rsidR="00186E49">
              <w:rPr>
                <w:sz w:val="26"/>
                <w:szCs w:val="26"/>
              </w:rPr>
              <w:t xml:space="preserve"> tā, ka</w:t>
            </w:r>
            <w:r w:rsidR="00DA5902" w:rsidRPr="00943817">
              <w:rPr>
                <w:sz w:val="26"/>
                <w:szCs w:val="26"/>
              </w:rPr>
              <w:t xml:space="preserve"> Iekšlietu ministrijas</w:t>
            </w:r>
            <w:r w:rsidR="00186E49">
              <w:rPr>
                <w:sz w:val="26"/>
                <w:szCs w:val="26"/>
              </w:rPr>
              <w:t xml:space="preserve"> Informācijas centrs sniedz un Iekšlietu ministrijas </w:t>
            </w:r>
            <w:r w:rsidR="00EA630D">
              <w:rPr>
                <w:sz w:val="26"/>
                <w:szCs w:val="26"/>
              </w:rPr>
              <w:t>v</w:t>
            </w:r>
            <w:r w:rsidR="00DA5902" w:rsidRPr="00943817">
              <w:rPr>
                <w:sz w:val="26"/>
                <w:szCs w:val="26"/>
              </w:rPr>
              <w:t>eselības un sporta cent</w:t>
            </w:r>
            <w:r w:rsidR="00186E49">
              <w:rPr>
                <w:sz w:val="26"/>
                <w:szCs w:val="26"/>
              </w:rPr>
              <w:t>rs</w:t>
            </w:r>
            <w:r w:rsidR="00DA5902" w:rsidRPr="00943817">
              <w:rPr>
                <w:sz w:val="26"/>
                <w:szCs w:val="26"/>
              </w:rPr>
              <w:t xml:space="preserve"> s</w:t>
            </w:r>
            <w:r w:rsidR="002555E0">
              <w:rPr>
                <w:sz w:val="26"/>
                <w:szCs w:val="26"/>
              </w:rPr>
              <w:t>aņem</w:t>
            </w:r>
            <w:r w:rsidR="00DA5902" w:rsidRPr="00943817">
              <w:rPr>
                <w:sz w:val="26"/>
                <w:szCs w:val="26"/>
              </w:rPr>
              <w:t xml:space="preserve"> informāciju tikai par ceļu satiksmes negadījumos iesaistītām Iekšlietu ministrijas sistēmas</w:t>
            </w:r>
            <w:r w:rsidR="00E02B2D">
              <w:rPr>
                <w:sz w:val="26"/>
                <w:szCs w:val="26"/>
              </w:rPr>
              <w:t xml:space="preserve"> iestādes </w:t>
            </w:r>
            <w:r w:rsidR="00DA5902" w:rsidRPr="00943817">
              <w:rPr>
                <w:sz w:val="26"/>
                <w:szCs w:val="26"/>
              </w:rPr>
              <w:t xml:space="preserve">vai Tieslietu ministrijas Ieslodzījuma vietu pārvaldes </w:t>
            </w:r>
            <w:r w:rsidR="00E02B2D">
              <w:rPr>
                <w:sz w:val="26"/>
                <w:szCs w:val="26"/>
              </w:rPr>
              <w:t xml:space="preserve">amatpersonām </w:t>
            </w:r>
            <w:r w:rsidR="00DA5902" w:rsidRPr="00943817">
              <w:rPr>
                <w:sz w:val="26"/>
                <w:szCs w:val="26"/>
              </w:rPr>
              <w:t>ar speciāl</w:t>
            </w:r>
            <w:r w:rsidR="00E02B2D">
              <w:rPr>
                <w:sz w:val="26"/>
                <w:szCs w:val="26"/>
              </w:rPr>
              <w:t>ām</w:t>
            </w:r>
            <w:r w:rsidR="00DA5902" w:rsidRPr="00943817">
              <w:rPr>
                <w:sz w:val="26"/>
                <w:szCs w:val="26"/>
              </w:rPr>
              <w:t xml:space="preserve"> dienesta pakāp</w:t>
            </w:r>
            <w:r w:rsidR="00E02B2D">
              <w:rPr>
                <w:sz w:val="26"/>
                <w:szCs w:val="26"/>
              </w:rPr>
              <w:t>ēm</w:t>
            </w:r>
            <w:r w:rsidR="00DA5902" w:rsidRPr="00943817">
              <w:rPr>
                <w:sz w:val="26"/>
                <w:szCs w:val="26"/>
              </w:rPr>
              <w:t>.</w:t>
            </w:r>
            <w:r w:rsidR="00943817" w:rsidRPr="00943817">
              <w:rPr>
                <w:sz w:val="26"/>
                <w:szCs w:val="26"/>
              </w:rPr>
              <w:t xml:space="preserve"> Pamatojoties uz saņemtajām ziņām, Iekšlietu ministrijas veselības un sporta centrs varētu izvērtēt</w:t>
            </w:r>
            <w:r w:rsidR="00E02B2D" w:rsidRPr="00943817">
              <w:rPr>
                <w:sz w:val="26"/>
                <w:szCs w:val="26"/>
              </w:rPr>
              <w:t>, par kurām personām segti ārstēšanās izdevumi</w:t>
            </w:r>
            <w:r w:rsidR="00943817" w:rsidRPr="00943817">
              <w:rPr>
                <w:sz w:val="26"/>
                <w:szCs w:val="26"/>
              </w:rPr>
              <w:t xml:space="preserve">, un veikt tālākas darbības valsts budžeta līdzekļu atmaksai. </w:t>
            </w:r>
          </w:p>
        </w:tc>
      </w:tr>
      <w:tr w:rsidR="00616AA6" w:rsidRPr="00BA5E65" w:rsidTr="00985272">
        <w:tc>
          <w:tcPr>
            <w:tcW w:w="562" w:type="dxa"/>
          </w:tcPr>
          <w:p w:rsidR="00616AA6" w:rsidRPr="00BA5E65" w:rsidRDefault="00616AA6" w:rsidP="00710EAA">
            <w:pPr>
              <w:spacing w:before="60"/>
              <w:rPr>
                <w:sz w:val="28"/>
                <w:szCs w:val="28"/>
              </w:rPr>
            </w:pPr>
            <w:r w:rsidRPr="00BA5E65">
              <w:rPr>
                <w:sz w:val="28"/>
                <w:szCs w:val="28"/>
              </w:rPr>
              <w:lastRenderedPageBreak/>
              <w:t>3.</w:t>
            </w:r>
          </w:p>
        </w:tc>
        <w:tc>
          <w:tcPr>
            <w:tcW w:w="2694" w:type="dxa"/>
            <w:gridSpan w:val="2"/>
          </w:tcPr>
          <w:p w:rsidR="00616AA6" w:rsidRPr="00985272" w:rsidRDefault="008C47BE" w:rsidP="008D6FC2">
            <w:pPr>
              <w:spacing w:before="60" w:after="60"/>
              <w:jc w:val="both"/>
              <w:rPr>
                <w:sz w:val="26"/>
                <w:szCs w:val="26"/>
              </w:rPr>
            </w:pPr>
            <w:r w:rsidRPr="00985272">
              <w:rPr>
                <w:sz w:val="26"/>
                <w:szCs w:val="26"/>
              </w:rPr>
              <w:t>Projekta izstrādē iesaistītās institūcijas</w:t>
            </w:r>
          </w:p>
        </w:tc>
        <w:tc>
          <w:tcPr>
            <w:tcW w:w="5877" w:type="dxa"/>
            <w:gridSpan w:val="2"/>
          </w:tcPr>
          <w:p w:rsidR="00616AA6" w:rsidRPr="00985272" w:rsidRDefault="00985272" w:rsidP="00710EAA">
            <w:pPr>
              <w:autoSpaceDE w:val="0"/>
              <w:autoSpaceDN w:val="0"/>
              <w:adjustRightInd w:val="0"/>
              <w:spacing w:before="60" w:after="60"/>
              <w:jc w:val="both"/>
              <w:rPr>
                <w:sz w:val="26"/>
                <w:szCs w:val="26"/>
              </w:rPr>
            </w:pPr>
            <w:r>
              <w:rPr>
                <w:sz w:val="26"/>
                <w:szCs w:val="26"/>
              </w:rPr>
              <w:t>Iekšlietu ministrija, Iekšlietu ministrijas veselības un sporta centrs</w:t>
            </w:r>
            <w:r w:rsidR="00506FBF">
              <w:rPr>
                <w:sz w:val="26"/>
                <w:szCs w:val="26"/>
              </w:rPr>
              <w:t>, Iekšlietu ministrijas Informācijas centrs.</w:t>
            </w:r>
          </w:p>
        </w:tc>
      </w:tr>
      <w:tr w:rsidR="00616AA6" w:rsidRPr="00BA5E65" w:rsidTr="00985272">
        <w:tc>
          <w:tcPr>
            <w:tcW w:w="562" w:type="dxa"/>
          </w:tcPr>
          <w:p w:rsidR="00616AA6" w:rsidRPr="00BA5E65" w:rsidRDefault="00616AA6" w:rsidP="00710EAA">
            <w:pPr>
              <w:spacing w:before="60"/>
              <w:rPr>
                <w:sz w:val="28"/>
                <w:szCs w:val="28"/>
              </w:rPr>
            </w:pPr>
            <w:r w:rsidRPr="00BA5E65">
              <w:rPr>
                <w:sz w:val="28"/>
                <w:szCs w:val="28"/>
              </w:rPr>
              <w:t>4.</w:t>
            </w:r>
          </w:p>
        </w:tc>
        <w:tc>
          <w:tcPr>
            <w:tcW w:w="2694" w:type="dxa"/>
            <w:gridSpan w:val="2"/>
          </w:tcPr>
          <w:p w:rsidR="00616AA6" w:rsidRPr="00985272" w:rsidRDefault="008C47BE" w:rsidP="00710EAA">
            <w:pPr>
              <w:spacing w:before="60" w:after="60"/>
              <w:rPr>
                <w:sz w:val="26"/>
                <w:szCs w:val="26"/>
              </w:rPr>
            </w:pPr>
            <w:r w:rsidRPr="00985272">
              <w:rPr>
                <w:sz w:val="26"/>
                <w:szCs w:val="26"/>
              </w:rPr>
              <w:t xml:space="preserve">Cita informācija </w:t>
            </w:r>
          </w:p>
        </w:tc>
        <w:tc>
          <w:tcPr>
            <w:tcW w:w="5877" w:type="dxa"/>
            <w:gridSpan w:val="2"/>
          </w:tcPr>
          <w:p w:rsidR="00E06CCE" w:rsidRPr="00985272" w:rsidRDefault="00C21897" w:rsidP="00710EAA">
            <w:pPr>
              <w:spacing w:before="60" w:after="60"/>
              <w:jc w:val="both"/>
              <w:rPr>
                <w:sz w:val="26"/>
                <w:szCs w:val="26"/>
              </w:rPr>
            </w:pPr>
            <w:r w:rsidRPr="00985272">
              <w:rPr>
                <w:sz w:val="26"/>
                <w:szCs w:val="26"/>
              </w:rPr>
              <w:t>Nav.</w:t>
            </w:r>
          </w:p>
        </w:tc>
      </w:tr>
      <w:tr w:rsidR="00E86D2D" w:rsidRPr="00BA5E65" w:rsidTr="006522FE">
        <w:tc>
          <w:tcPr>
            <w:tcW w:w="9133" w:type="dxa"/>
            <w:gridSpan w:val="5"/>
          </w:tcPr>
          <w:p w:rsidR="00E86D2D" w:rsidRPr="00985272" w:rsidRDefault="00E86D2D" w:rsidP="00710EAA">
            <w:pPr>
              <w:spacing w:before="60" w:after="60"/>
              <w:jc w:val="center"/>
              <w:rPr>
                <w:sz w:val="26"/>
                <w:szCs w:val="26"/>
              </w:rPr>
            </w:pPr>
            <w:r w:rsidRPr="00985272">
              <w:rPr>
                <w:b/>
                <w:sz w:val="26"/>
                <w:szCs w:val="26"/>
              </w:rPr>
              <w:t>II. Tiesību akta projekta ietekme uz sabiedrību, tautsaimniecības attīstību un administratīvo slogu</w:t>
            </w:r>
          </w:p>
        </w:tc>
      </w:tr>
      <w:tr w:rsidR="00E86D2D" w:rsidRPr="00BA5E65" w:rsidTr="00985272">
        <w:tc>
          <w:tcPr>
            <w:tcW w:w="562" w:type="dxa"/>
          </w:tcPr>
          <w:p w:rsidR="00E86D2D" w:rsidRPr="00BA5E65" w:rsidRDefault="00E86D2D" w:rsidP="00953A72">
            <w:pPr>
              <w:rPr>
                <w:sz w:val="28"/>
                <w:szCs w:val="28"/>
              </w:rPr>
            </w:pPr>
            <w:r>
              <w:rPr>
                <w:sz w:val="28"/>
                <w:szCs w:val="28"/>
              </w:rPr>
              <w:t xml:space="preserve">1. </w:t>
            </w:r>
          </w:p>
        </w:tc>
        <w:tc>
          <w:tcPr>
            <w:tcW w:w="2694" w:type="dxa"/>
            <w:gridSpan w:val="2"/>
          </w:tcPr>
          <w:p w:rsidR="00E86D2D" w:rsidRPr="00985272" w:rsidRDefault="00E86D2D" w:rsidP="008D6FC2">
            <w:pPr>
              <w:spacing w:before="60" w:after="60"/>
              <w:jc w:val="both"/>
              <w:rPr>
                <w:sz w:val="26"/>
                <w:szCs w:val="26"/>
              </w:rPr>
            </w:pPr>
            <w:r w:rsidRPr="00985272">
              <w:rPr>
                <w:sz w:val="26"/>
                <w:szCs w:val="26"/>
              </w:rPr>
              <w:t>Sabiedrības mērķgrupas, kuras tiesiskais regulējums ietekmē vai varētu ietekmēt</w:t>
            </w:r>
          </w:p>
        </w:tc>
        <w:tc>
          <w:tcPr>
            <w:tcW w:w="5877" w:type="dxa"/>
            <w:gridSpan w:val="2"/>
          </w:tcPr>
          <w:p w:rsidR="00E86D2D" w:rsidRPr="00985272" w:rsidRDefault="00E86D2D" w:rsidP="004676D7">
            <w:pPr>
              <w:spacing w:before="60" w:after="60"/>
              <w:jc w:val="both"/>
              <w:rPr>
                <w:sz w:val="26"/>
                <w:szCs w:val="26"/>
              </w:rPr>
            </w:pPr>
            <w:r w:rsidRPr="00985272">
              <w:rPr>
                <w:sz w:val="26"/>
                <w:szCs w:val="26"/>
              </w:rPr>
              <w:t>Iekšlietu ministrijas sistēmas iestāžu un Ieslodzījuma vietu pārvaldes amatpersonas ar speciālajām dienesta pakāpēm.</w:t>
            </w:r>
            <w:r w:rsidR="00865AAB">
              <w:rPr>
                <w:sz w:val="26"/>
                <w:szCs w:val="26"/>
              </w:rPr>
              <w:t xml:space="preserve"> Iekšlietu ministrijas Informācijas centrs.</w:t>
            </w:r>
          </w:p>
        </w:tc>
      </w:tr>
      <w:tr w:rsidR="00E86D2D" w:rsidRPr="00BA5E65" w:rsidTr="00985272">
        <w:tc>
          <w:tcPr>
            <w:tcW w:w="562" w:type="dxa"/>
          </w:tcPr>
          <w:p w:rsidR="00E86D2D" w:rsidRDefault="00E86D2D" w:rsidP="00953A72">
            <w:pPr>
              <w:rPr>
                <w:sz w:val="28"/>
                <w:szCs w:val="28"/>
              </w:rPr>
            </w:pPr>
            <w:r>
              <w:rPr>
                <w:sz w:val="28"/>
                <w:szCs w:val="28"/>
              </w:rPr>
              <w:t>2.</w:t>
            </w:r>
          </w:p>
        </w:tc>
        <w:tc>
          <w:tcPr>
            <w:tcW w:w="2694" w:type="dxa"/>
            <w:gridSpan w:val="2"/>
          </w:tcPr>
          <w:p w:rsidR="00E86D2D" w:rsidRPr="00985272" w:rsidRDefault="00E86D2D" w:rsidP="008D6FC2">
            <w:pPr>
              <w:spacing w:before="60" w:after="60"/>
              <w:jc w:val="both"/>
              <w:rPr>
                <w:sz w:val="26"/>
                <w:szCs w:val="26"/>
              </w:rPr>
            </w:pPr>
            <w:r w:rsidRPr="00985272">
              <w:rPr>
                <w:sz w:val="26"/>
                <w:szCs w:val="26"/>
              </w:rPr>
              <w:t>Tiesiskā regulējuma ietekme uz tautsaimniecību un administratīvo slogu</w:t>
            </w:r>
          </w:p>
        </w:tc>
        <w:tc>
          <w:tcPr>
            <w:tcW w:w="5877" w:type="dxa"/>
            <w:gridSpan w:val="2"/>
          </w:tcPr>
          <w:p w:rsidR="00E86D2D" w:rsidRPr="00985272" w:rsidRDefault="00E86D2D" w:rsidP="0002260A">
            <w:pPr>
              <w:spacing w:before="60" w:after="60"/>
              <w:jc w:val="both"/>
              <w:rPr>
                <w:sz w:val="26"/>
                <w:szCs w:val="26"/>
              </w:rPr>
            </w:pPr>
            <w:r w:rsidRPr="00985272">
              <w:rPr>
                <w:sz w:val="26"/>
                <w:szCs w:val="26"/>
              </w:rPr>
              <w:t xml:space="preserve">Sabiedrības </w:t>
            </w:r>
            <w:r w:rsidR="0002260A">
              <w:rPr>
                <w:sz w:val="26"/>
                <w:szCs w:val="26"/>
              </w:rPr>
              <w:t>mērķ</w:t>
            </w:r>
            <w:r w:rsidRPr="00985272">
              <w:rPr>
                <w:sz w:val="26"/>
                <w:szCs w:val="26"/>
              </w:rPr>
              <w:t>grupām un institūcijām projekta tiesiskais regulējums nemaina tiesības</w:t>
            </w:r>
            <w:r w:rsidR="0002260A">
              <w:rPr>
                <w:sz w:val="26"/>
                <w:szCs w:val="26"/>
              </w:rPr>
              <w:t>,</w:t>
            </w:r>
            <w:r w:rsidRPr="00985272">
              <w:rPr>
                <w:sz w:val="26"/>
                <w:szCs w:val="26"/>
              </w:rPr>
              <w:t xml:space="preserve"> pienākumus</w:t>
            </w:r>
            <w:r w:rsidR="0002260A">
              <w:rPr>
                <w:sz w:val="26"/>
                <w:szCs w:val="26"/>
              </w:rPr>
              <w:t xml:space="preserve"> un veicamās</w:t>
            </w:r>
            <w:r w:rsidRPr="00985272">
              <w:rPr>
                <w:sz w:val="26"/>
                <w:szCs w:val="26"/>
              </w:rPr>
              <w:t xml:space="preserve"> darbības</w:t>
            </w:r>
            <w:r w:rsidR="0002260A">
              <w:rPr>
                <w:sz w:val="26"/>
                <w:szCs w:val="26"/>
              </w:rPr>
              <w:t>, kā arī tiesiskā regulējuma ietekmē administratīvais slogs nemainās</w:t>
            </w:r>
            <w:r w:rsidRPr="00985272">
              <w:rPr>
                <w:sz w:val="26"/>
                <w:szCs w:val="26"/>
              </w:rPr>
              <w:t>.</w:t>
            </w:r>
          </w:p>
        </w:tc>
      </w:tr>
      <w:tr w:rsidR="00E86D2D" w:rsidRPr="00BA5E65" w:rsidTr="00985272">
        <w:tc>
          <w:tcPr>
            <w:tcW w:w="562" w:type="dxa"/>
          </w:tcPr>
          <w:p w:rsidR="00E86D2D" w:rsidRPr="00BA5E65" w:rsidRDefault="00E86D2D" w:rsidP="00953A72">
            <w:pPr>
              <w:rPr>
                <w:sz w:val="28"/>
                <w:szCs w:val="28"/>
              </w:rPr>
            </w:pPr>
            <w:r>
              <w:rPr>
                <w:sz w:val="28"/>
                <w:szCs w:val="28"/>
              </w:rPr>
              <w:t>3.</w:t>
            </w:r>
          </w:p>
        </w:tc>
        <w:tc>
          <w:tcPr>
            <w:tcW w:w="2694" w:type="dxa"/>
            <w:gridSpan w:val="2"/>
          </w:tcPr>
          <w:p w:rsidR="00E86D2D" w:rsidRPr="00985272" w:rsidRDefault="00E86D2D" w:rsidP="008D6FC2">
            <w:pPr>
              <w:spacing w:before="60" w:after="60"/>
              <w:jc w:val="both"/>
              <w:rPr>
                <w:sz w:val="26"/>
                <w:szCs w:val="26"/>
              </w:rPr>
            </w:pPr>
            <w:r w:rsidRPr="00985272">
              <w:rPr>
                <w:sz w:val="26"/>
                <w:szCs w:val="26"/>
              </w:rPr>
              <w:t>Administratīvo izmaksu monetārs novērtējums</w:t>
            </w:r>
          </w:p>
        </w:tc>
        <w:tc>
          <w:tcPr>
            <w:tcW w:w="5877" w:type="dxa"/>
            <w:gridSpan w:val="2"/>
          </w:tcPr>
          <w:p w:rsidR="00E86D2D" w:rsidRPr="00985272" w:rsidRDefault="00E86D2D" w:rsidP="00710EAA">
            <w:pPr>
              <w:spacing w:before="60" w:after="60"/>
              <w:jc w:val="both"/>
              <w:rPr>
                <w:sz w:val="26"/>
                <w:szCs w:val="26"/>
              </w:rPr>
            </w:pPr>
            <w:r w:rsidRPr="00985272">
              <w:rPr>
                <w:sz w:val="26"/>
                <w:szCs w:val="26"/>
              </w:rPr>
              <w:t>Projekts šo jomu neskar.</w:t>
            </w:r>
          </w:p>
        </w:tc>
      </w:tr>
      <w:tr w:rsidR="00E86D2D" w:rsidRPr="00BA5E65" w:rsidTr="00985272">
        <w:tc>
          <w:tcPr>
            <w:tcW w:w="562" w:type="dxa"/>
          </w:tcPr>
          <w:p w:rsidR="00E86D2D" w:rsidRPr="00BA5E65" w:rsidRDefault="00E86D2D" w:rsidP="00953A72">
            <w:pPr>
              <w:rPr>
                <w:sz w:val="28"/>
                <w:szCs w:val="28"/>
              </w:rPr>
            </w:pPr>
            <w:r>
              <w:rPr>
                <w:sz w:val="28"/>
                <w:szCs w:val="28"/>
              </w:rPr>
              <w:t>4.</w:t>
            </w:r>
          </w:p>
        </w:tc>
        <w:tc>
          <w:tcPr>
            <w:tcW w:w="2694" w:type="dxa"/>
            <w:gridSpan w:val="2"/>
          </w:tcPr>
          <w:p w:rsidR="00E86D2D" w:rsidRPr="00985272" w:rsidRDefault="00E86D2D" w:rsidP="00710EAA">
            <w:pPr>
              <w:spacing w:before="60" w:after="60"/>
              <w:rPr>
                <w:sz w:val="26"/>
                <w:szCs w:val="26"/>
              </w:rPr>
            </w:pPr>
            <w:r w:rsidRPr="00985272">
              <w:rPr>
                <w:sz w:val="26"/>
                <w:szCs w:val="26"/>
              </w:rPr>
              <w:t>Cita informācija</w:t>
            </w:r>
          </w:p>
        </w:tc>
        <w:tc>
          <w:tcPr>
            <w:tcW w:w="5877" w:type="dxa"/>
            <w:gridSpan w:val="2"/>
          </w:tcPr>
          <w:p w:rsidR="00E86D2D" w:rsidRPr="00985272" w:rsidRDefault="00E86D2D" w:rsidP="00710EAA">
            <w:pPr>
              <w:spacing w:before="60" w:after="60"/>
              <w:jc w:val="both"/>
              <w:rPr>
                <w:sz w:val="26"/>
                <w:szCs w:val="26"/>
              </w:rPr>
            </w:pPr>
            <w:r w:rsidRPr="00985272">
              <w:rPr>
                <w:sz w:val="26"/>
                <w:szCs w:val="26"/>
              </w:rPr>
              <w:t>Nav.</w:t>
            </w:r>
          </w:p>
        </w:tc>
      </w:tr>
      <w:tr w:rsidR="00F03184" w:rsidRPr="005A3C61" w:rsidTr="006522FE">
        <w:tc>
          <w:tcPr>
            <w:tcW w:w="9133" w:type="dxa"/>
            <w:gridSpan w:val="5"/>
          </w:tcPr>
          <w:p w:rsidR="00F03184" w:rsidRPr="00F26734" w:rsidRDefault="00F03184" w:rsidP="008A4EEF">
            <w:pPr>
              <w:pStyle w:val="naisf"/>
              <w:spacing w:before="60" w:after="60"/>
              <w:ind w:firstLine="357"/>
              <w:jc w:val="center"/>
              <w:rPr>
                <w:b/>
                <w:color w:val="000000" w:themeColor="text1"/>
                <w:sz w:val="26"/>
                <w:szCs w:val="26"/>
              </w:rPr>
            </w:pPr>
            <w:r w:rsidRPr="00F26734">
              <w:rPr>
                <w:b/>
                <w:sz w:val="26"/>
                <w:szCs w:val="26"/>
              </w:rPr>
              <w:lastRenderedPageBreak/>
              <w:t>VII</w:t>
            </w:r>
            <w:r w:rsidR="00237C20" w:rsidRPr="00F26734">
              <w:rPr>
                <w:b/>
                <w:sz w:val="26"/>
                <w:szCs w:val="26"/>
              </w:rPr>
              <w:t>.</w:t>
            </w:r>
            <w:r w:rsidRPr="00F26734">
              <w:rPr>
                <w:b/>
                <w:sz w:val="26"/>
                <w:szCs w:val="26"/>
              </w:rPr>
              <w:t xml:space="preserve"> Tiesību akta projekta izpildes nodrošināšana un tās ietekme uz institūcijām</w:t>
            </w:r>
          </w:p>
        </w:tc>
      </w:tr>
      <w:tr w:rsidR="00F03184" w:rsidTr="00F70DDF">
        <w:tc>
          <w:tcPr>
            <w:tcW w:w="704" w:type="dxa"/>
            <w:gridSpan w:val="2"/>
          </w:tcPr>
          <w:p w:rsidR="00F03184" w:rsidRPr="00F26734" w:rsidRDefault="00F03184" w:rsidP="008A4EEF">
            <w:pPr>
              <w:rPr>
                <w:iCs/>
                <w:sz w:val="26"/>
                <w:szCs w:val="26"/>
                <w:lang w:eastAsia="lv-LV"/>
              </w:rPr>
            </w:pPr>
            <w:r w:rsidRPr="00F26734">
              <w:rPr>
                <w:iCs/>
                <w:sz w:val="26"/>
                <w:szCs w:val="26"/>
                <w:lang w:eastAsia="lv-LV"/>
              </w:rPr>
              <w:t>1.</w:t>
            </w:r>
          </w:p>
        </w:tc>
        <w:tc>
          <w:tcPr>
            <w:tcW w:w="5529" w:type="dxa"/>
            <w:gridSpan w:val="2"/>
          </w:tcPr>
          <w:p w:rsidR="00F03184" w:rsidRPr="00F26734" w:rsidRDefault="00F03184" w:rsidP="008A4EEF">
            <w:pPr>
              <w:spacing w:before="60" w:after="60"/>
              <w:rPr>
                <w:iCs/>
                <w:sz w:val="26"/>
                <w:szCs w:val="26"/>
                <w:lang w:eastAsia="lv-LV"/>
              </w:rPr>
            </w:pPr>
            <w:r w:rsidRPr="00F26734">
              <w:rPr>
                <w:sz w:val="26"/>
                <w:szCs w:val="26"/>
              </w:rPr>
              <w:t>Projekta izpildē iesaistītās institūcijas</w:t>
            </w:r>
          </w:p>
        </w:tc>
        <w:tc>
          <w:tcPr>
            <w:tcW w:w="2900" w:type="dxa"/>
            <w:vAlign w:val="center"/>
          </w:tcPr>
          <w:p w:rsidR="00F03184" w:rsidRPr="00F26734" w:rsidRDefault="00092306" w:rsidP="008A4EEF">
            <w:pPr>
              <w:spacing w:before="60" w:after="60"/>
              <w:rPr>
                <w:iCs/>
                <w:sz w:val="26"/>
                <w:szCs w:val="26"/>
                <w:lang w:eastAsia="lv-LV"/>
              </w:rPr>
            </w:pPr>
            <w:r w:rsidRPr="00F26734">
              <w:rPr>
                <w:sz w:val="26"/>
                <w:szCs w:val="26"/>
              </w:rPr>
              <w:t>Iekšlietu ministrijas veselības un sporta centrs</w:t>
            </w:r>
          </w:p>
        </w:tc>
      </w:tr>
      <w:tr w:rsidR="00F03184" w:rsidTr="00F70DDF">
        <w:tc>
          <w:tcPr>
            <w:tcW w:w="704" w:type="dxa"/>
            <w:gridSpan w:val="2"/>
          </w:tcPr>
          <w:p w:rsidR="00F03184" w:rsidRPr="00F26734" w:rsidRDefault="00F03184" w:rsidP="008A4EEF">
            <w:pPr>
              <w:rPr>
                <w:iCs/>
                <w:sz w:val="26"/>
                <w:szCs w:val="26"/>
                <w:lang w:eastAsia="lv-LV"/>
              </w:rPr>
            </w:pPr>
            <w:r w:rsidRPr="00F26734">
              <w:rPr>
                <w:iCs/>
                <w:sz w:val="26"/>
                <w:szCs w:val="26"/>
                <w:lang w:eastAsia="lv-LV"/>
              </w:rPr>
              <w:t>2.</w:t>
            </w:r>
          </w:p>
        </w:tc>
        <w:tc>
          <w:tcPr>
            <w:tcW w:w="5529" w:type="dxa"/>
            <w:gridSpan w:val="2"/>
          </w:tcPr>
          <w:p w:rsidR="00F03184" w:rsidRPr="00F26734" w:rsidRDefault="00F03184" w:rsidP="008D6FC2">
            <w:pPr>
              <w:spacing w:before="60" w:after="60"/>
              <w:jc w:val="both"/>
              <w:rPr>
                <w:iCs/>
                <w:sz w:val="26"/>
                <w:szCs w:val="26"/>
                <w:lang w:eastAsia="lv-LV"/>
              </w:rPr>
            </w:pPr>
            <w:r w:rsidRPr="00F26734">
              <w:rPr>
                <w:sz w:val="26"/>
                <w:szCs w:val="26"/>
              </w:rPr>
              <w:t>Projekta izpildes ietekme uz pārvaldes funkcijām un institucionālo struktūru. Jaunu institūciju izveide, esošu institūciju likvidācija vai reorganizācija, to ietekme uz institūcijas cilvēkresursiem</w:t>
            </w:r>
          </w:p>
        </w:tc>
        <w:tc>
          <w:tcPr>
            <w:tcW w:w="2900" w:type="dxa"/>
          </w:tcPr>
          <w:p w:rsidR="00F03184" w:rsidRPr="00F26734" w:rsidRDefault="00F03184" w:rsidP="0002260A">
            <w:pPr>
              <w:spacing w:before="60"/>
              <w:jc w:val="both"/>
              <w:rPr>
                <w:iCs/>
                <w:sz w:val="26"/>
                <w:szCs w:val="26"/>
                <w:lang w:eastAsia="lv-LV"/>
              </w:rPr>
            </w:pPr>
            <w:r w:rsidRPr="00F26734">
              <w:rPr>
                <w:sz w:val="26"/>
                <w:szCs w:val="26"/>
              </w:rPr>
              <w:t>Saistībā ar projekta izpildi nav nepieciešams veidot jaunas institūcijas, likvidēt vai reorganizēt esošās.</w:t>
            </w:r>
          </w:p>
        </w:tc>
      </w:tr>
      <w:tr w:rsidR="00F03184" w:rsidTr="00F70DDF">
        <w:tc>
          <w:tcPr>
            <w:tcW w:w="704" w:type="dxa"/>
            <w:gridSpan w:val="2"/>
          </w:tcPr>
          <w:p w:rsidR="00F03184" w:rsidRPr="00F26734" w:rsidRDefault="00F03184" w:rsidP="008A4EEF">
            <w:pPr>
              <w:rPr>
                <w:iCs/>
                <w:sz w:val="26"/>
                <w:szCs w:val="26"/>
                <w:lang w:eastAsia="lv-LV"/>
              </w:rPr>
            </w:pPr>
            <w:r w:rsidRPr="00F26734">
              <w:rPr>
                <w:iCs/>
                <w:sz w:val="26"/>
                <w:szCs w:val="26"/>
                <w:lang w:eastAsia="lv-LV"/>
              </w:rPr>
              <w:t>3.</w:t>
            </w:r>
          </w:p>
        </w:tc>
        <w:tc>
          <w:tcPr>
            <w:tcW w:w="5529" w:type="dxa"/>
            <w:gridSpan w:val="2"/>
          </w:tcPr>
          <w:p w:rsidR="00F03184" w:rsidRPr="00F26734" w:rsidRDefault="008A4EEF" w:rsidP="008A4EEF">
            <w:pPr>
              <w:spacing w:before="60" w:after="60"/>
              <w:rPr>
                <w:iCs/>
                <w:sz w:val="26"/>
                <w:szCs w:val="26"/>
                <w:lang w:eastAsia="lv-LV"/>
              </w:rPr>
            </w:pPr>
            <w:r w:rsidRPr="00F26734">
              <w:rPr>
                <w:iCs/>
                <w:sz w:val="26"/>
                <w:szCs w:val="26"/>
                <w:lang w:eastAsia="lv-LV"/>
              </w:rPr>
              <w:t>Cita informācija</w:t>
            </w:r>
          </w:p>
        </w:tc>
        <w:tc>
          <w:tcPr>
            <w:tcW w:w="2900" w:type="dxa"/>
            <w:vAlign w:val="center"/>
          </w:tcPr>
          <w:p w:rsidR="00F03184" w:rsidRPr="00F26734" w:rsidRDefault="00F03184" w:rsidP="008A4EEF">
            <w:pPr>
              <w:spacing w:before="60" w:after="60"/>
              <w:rPr>
                <w:iCs/>
                <w:sz w:val="26"/>
                <w:szCs w:val="26"/>
                <w:lang w:eastAsia="lv-LV"/>
              </w:rPr>
            </w:pPr>
            <w:r w:rsidRPr="00F26734">
              <w:rPr>
                <w:sz w:val="26"/>
                <w:szCs w:val="26"/>
              </w:rPr>
              <w:t>Nav.</w:t>
            </w:r>
          </w:p>
        </w:tc>
      </w:tr>
    </w:tbl>
    <w:p w:rsidR="00ED6A06" w:rsidRDefault="00ED6A06" w:rsidP="0007077C">
      <w:pPr>
        <w:rPr>
          <w:iCs/>
          <w:sz w:val="28"/>
          <w:szCs w:val="28"/>
          <w:lang w:eastAsia="lv-LV"/>
        </w:rPr>
      </w:pPr>
    </w:p>
    <w:p w:rsidR="0007077C" w:rsidRPr="00A63E6C" w:rsidRDefault="008D5F20" w:rsidP="0007077C">
      <w:pPr>
        <w:rPr>
          <w:sz w:val="28"/>
          <w:szCs w:val="28"/>
          <w:lang w:eastAsia="lv-LV"/>
        </w:rPr>
      </w:pPr>
      <w:r>
        <w:rPr>
          <w:iCs/>
          <w:sz w:val="28"/>
          <w:szCs w:val="28"/>
          <w:lang w:eastAsia="lv-LV"/>
        </w:rPr>
        <w:t xml:space="preserve">Anotācijas </w:t>
      </w:r>
      <w:r w:rsidR="00F525DB">
        <w:rPr>
          <w:iCs/>
          <w:sz w:val="28"/>
          <w:szCs w:val="28"/>
          <w:lang w:eastAsia="lv-LV"/>
        </w:rPr>
        <w:t xml:space="preserve">III, </w:t>
      </w:r>
      <w:r w:rsidR="0007077C" w:rsidRPr="00A63E6C">
        <w:rPr>
          <w:iCs/>
          <w:sz w:val="28"/>
          <w:szCs w:val="28"/>
          <w:lang w:eastAsia="lv-LV"/>
        </w:rPr>
        <w:t>IV, V</w:t>
      </w:r>
      <w:r w:rsidR="00AF1B96">
        <w:rPr>
          <w:iCs/>
          <w:sz w:val="28"/>
          <w:szCs w:val="28"/>
          <w:lang w:eastAsia="lv-LV"/>
        </w:rPr>
        <w:t xml:space="preserve"> un</w:t>
      </w:r>
      <w:r w:rsidR="0007077C" w:rsidRPr="00A63E6C">
        <w:rPr>
          <w:iCs/>
          <w:sz w:val="28"/>
          <w:szCs w:val="28"/>
          <w:lang w:eastAsia="lv-LV"/>
        </w:rPr>
        <w:t xml:space="preserve"> VI</w:t>
      </w:r>
      <w:r>
        <w:rPr>
          <w:iCs/>
          <w:sz w:val="28"/>
          <w:szCs w:val="28"/>
          <w:lang w:eastAsia="lv-LV"/>
        </w:rPr>
        <w:t xml:space="preserve"> </w:t>
      </w:r>
      <w:r w:rsidR="0007077C" w:rsidRPr="00A63E6C">
        <w:rPr>
          <w:iCs/>
          <w:sz w:val="28"/>
          <w:szCs w:val="28"/>
          <w:lang w:eastAsia="lv-LV"/>
        </w:rPr>
        <w:t>sadaļa</w:t>
      </w:r>
      <w:r w:rsidR="002A6197">
        <w:rPr>
          <w:iCs/>
          <w:sz w:val="28"/>
          <w:szCs w:val="28"/>
          <w:lang w:eastAsia="lv-LV"/>
        </w:rPr>
        <w:t xml:space="preserve"> –</w:t>
      </w:r>
      <w:r w:rsidR="0007077C" w:rsidRPr="00A63E6C">
        <w:rPr>
          <w:iCs/>
          <w:sz w:val="28"/>
          <w:szCs w:val="28"/>
          <w:lang w:eastAsia="lv-LV"/>
        </w:rPr>
        <w:t xml:space="preserve"> </w:t>
      </w:r>
      <w:r w:rsidR="0007077C" w:rsidRPr="00A63E6C">
        <w:rPr>
          <w:sz w:val="28"/>
          <w:szCs w:val="28"/>
          <w:lang w:eastAsia="lv-LV"/>
        </w:rPr>
        <w:t>projekts šo jomu neskar.</w:t>
      </w:r>
    </w:p>
    <w:p w:rsidR="00AF1B96" w:rsidRDefault="00AF1B96" w:rsidP="00C338A6">
      <w:pPr>
        <w:jc w:val="both"/>
        <w:rPr>
          <w:sz w:val="28"/>
          <w:szCs w:val="28"/>
          <w:lang w:val="de-DE"/>
        </w:rPr>
      </w:pPr>
    </w:p>
    <w:p w:rsidR="0002260A" w:rsidRDefault="0002260A" w:rsidP="00C338A6">
      <w:pPr>
        <w:jc w:val="both"/>
        <w:rPr>
          <w:sz w:val="28"/>
          <w:szCs w:val="28"/>
          <w:lang w:val="de-DE"/>
        </w:rPr>
      </w:pPr>
    </w:p>
    <w:p w:rsidR="00616AA6" w:rsidRDefault="00616AA6" w:rsidP="008D6FC2">
      <w:pPr>
        <w:tabs>
          <w:tab w:val="right" w:pos="9071"/>
        </w:tabs>
        <w:jc w:val="both"/>
        <w:rPr>
          <w:sz w:val="28"/>
          <w:szCs w:val="28"/>
          <w:lang w:val="de-DE"/>
        </w:rPr>
      </w:pPr>
      <w:r w:rsidRPr="00D1252E">
        <w:rPr>
          <w:sz w:val="28"/>
          <w:szCs w:val="28"/>
          <w:lang w:val="de-DE"/>
        </w:rPr>
        <w:t>Iekšlietu ministrs</w:t>
      </w:r>
      <w:r w:rsidR="008D6FC2">
        <w:rPr>
          <w:sz w:val="28"/>
          <w:szCs w:val="28"/>
          <w:lang w:val="de-DE"/>
        </w:rPr>
        <w:tab/>
      </w:r>
      <w:r w:rsidRPr="00D1252E">
        <w:rPr>
          <w:sz w:val="28"/>
          <w:szCs w:val="28"/>
          <w:lang w:val="de-DE"/>
        </w:rPr>
        <w:t>R. Kozlovskis</w:t>
      </w:r>
    </w:p>
    <w:p w:rsidR="006522FE" w:rsidRDefault="006522FE" w:rsidP="00C338A6">
      <w:pPr>
        <w:pStyle w:val="naisf"/>
        <w:ind w:firstLine="0"/>
        <w:rPr>
          <w:sz w:val="28"/>
          <w:szCs w:val="28"/>
        </w:rPr>
      </w:pPr>
    </w:p>
    <w:p w:rsidR="00943817" w:rsidRDefault="00943817" w:rsidP="00C338A6">
      <w:pPr>
        <w:pStyle w:val="naisf"/>
        <w:ind w:firstLine="0"/>
        <w:rPr>
          <w:sz w:val="28"/>
          <w:szCs w:val="28"/>
        </w:rPr>
      </w:pPr>
    </w:p>
    <w:p w:rsidR="000860EE" w:rsidRDefault="00616AA6" w:rsidP="008D6FC2">
      <w:pPr>
        <w:pStyle w:val="naisf"/>
        <w:tabs>
          <w:tab w:val="right" w:pos="9071"/>
        </w:tabs>
        <w:ind w:firstLine="0"/>
        <w:rPr>
          <w:sz w:val="28"/>
          <w:szCs w:val="28"/>
        </w:rPr>
      </w:pPr>
      <w:r w:rsidRPr="00D1252E">
        <w:rPr>
          <w:sz w:val="28"/>
          <w:szCs w:val="28"/>
        </w:rPr>
        <w:t>Vīza: valsts sekretāre</w:t>
      </w:r>
      <w:r w:rsidR="000860EE">
        <w:rPr>
          <w:sz w:val="28"/>
          <w:szCs w:val="28"/>
        </w:rPr>
        <w:t xml:space="preserve">s pienākumu </w:t>
      </w:r>
    </w:p>
    <w:p w:rsidR="00AF1B96" w:rsidRDefault="000860EE" w:rsidP="000860EE">
      <w:pPr>
        <w:pStyle w:val="naisf"/>
        <w:tabs>
          <w:tab w:val="right" w:pos="9071"/>
        </w:tabs>
        <w:ind w:left="709" w:firstLine="0"/>
        <w:rPr>
          <w:color w:val="000000"/>
          <w:sz w:val="20"/>
          <w:szCs w:val="20"/>
        </w:rPr>
      </w:pPr>
      <w:r>
        <w:rPr>
          <w:sz w:val="28"/>
          <w:szCs w:val="28"/>
        </w:rPr>
        <w:t>izpildītājs</w:t>
      </w:r>
      <w:r w:rsidR="008D6FC2">
        <w:rPr>
          <w:sz w:val="28"/>
          <w:szCs w:val="28"/>
        </w:rPr>
        <w:tab/>
      </w:r>
      <w:proofErr w:type="spellStart"/>
      <w:r>
        <w:rPr>
          <w:sz w:val="28"/>
          <w:szCs w:val="28"/>
        </w:rPr>
        <w:t>D.Trofimovs</w:t>
      </w:r>
      <w:proofErr w:type="spellEnd"/>
    </w:p>
    <w:p w:rsidR="00F525DB" w:rsidRDefault="00F525DB" w:rsidP="00D539DB">
      <w:pPr>
        <w:rPr>
          <w:color w:val="000000"/>
          <w:sz w:val="20"/>
          <w:szCs w:val="20"/>
        </w:rPr>
      </w:pPr>
    </w:p>
    <w:p w:rsidR="00F525DB" w:rsidRDefault="00F525DB" w:rsidP="00D539DB">
      <w:pPr>
        <w:rPr>
          <w:color w:val="000000"/>
          <w:sz w:val="20"/>
          <w:szCs w:val="20"/>
        </w:rPr>
      </w:pPr>
    </w:p>
    <w:p w:rsidR="002766FB" w:rsidRDefault="002766FB" w:rsidP="00D539DB">
      <w:pPr>
        <w:rPr>
          <w:color w:val="000000"/>
          <w:sz w:val="20"/>
          <w:szCs w:val="20"/>
        </w:rPr>
      </w:pPr>
    </w:p>
    <w:p w:rsidR="002766FB" w:rsidRDefault="002766FB" w:rsidP="00D539DB">
      <w:pPr>
        <w:rPr>
          <w:color w:val="000000"/>
          <w:sz w:val="20"/>
          <w:szCs w:val="20"/>
        </w:rPr>
      </w:pPr>
    </w:p>
    <w:p w:rsidR="002766FB" w:rsidRDefault="002766FB" w:rsidP="00D539DB">
      <w:pPr>
        <w:rPr>
          <w:color w:val="000000"/>
          <w:sz w:val="20"/>
          <w:szCs w:val="20"/>
        </w:rPr>
      </w:pPr>
    </w:p>
    <w:p w:rsidR="002766FB" w:rsidRDefault="002766FB" w:rsidP="00D539DB">
      <w:pPr>
        <w:rPr>
          <w:color w:val="000000"/>
          <w:sz w:val="20"/>
          <w:szCs w:val="20"/>
        </w:rPr>
      </w:pPr>
    </w:p>
    <w:p w:rsidR="002766FB" w:rsidRDefault="002766FB" w:rsidP="00D539DB">
      <w:pPr>
        <w:rPr>
          <w:color w:val="000000"/>
          <w:sz w:val="20"/>
          <w:szCs w:val="20"/>
        </w:rPr>
      </w:pPr>
    </w:p>
    <w:p w:rsidR="002766FB" w:rsidRDefault="002766FB" w:rsidP="00D539DB">
      <w:pPr>
        <w:rPr>
          <w:color w:val="000000"/>
          <w:sz w:val="20"/>
          <w:szCs w:val="20"/>
        </w:rPr>
      </w:pPr>
    </w:p>
    <w:p w:rsidR="002766FB" w:rsidRDefault="002766FB" w:rsidP="00D539DB">
      <w:pPr>
        <w:rPr>
          <w:color w:val="000000"/>
          <w:sz w:val="20"/>
          <w:szCs w:val="20"/>
        </w:rPr>
      </w:pPr>
    </w:p>
    <w:p w:rsidR="002766FB" w:rsidRDefault="002766FB" w:rsidP="00D539DB">
      <w:pPr>
        <w:rPr>
          <w:color w:val="000000"/>
          <w:sz w:val="20"/>
          <w:szCs w:val="20"/>
        </w:rPr>
      </w:pPr>
    </w:p>
    <w:p w:rsidR="008D6FC2" w:rsidRDefault="008D6FC2" w:rsidP="00D539DB">
      <w:pPr>
        <w:rPr>
          <w:color w:val="000000"/>
          <w:sz w:val="20"/>
          <w:szCs w:val="20"/>
        </w:rPr>
      </w:pPr>
    </w:p>
    <w:p w:rsidR="008D6FC2" w:rsidRDefault="008D6FC2" w:rsidP="00D539DB">
      <w:pPr>
        <w:rPr>
          <w:color w:val="000000"/>
          <w:sz w:val="20"/>
          <w:szCs w:val="20"/>
        </w:rPr>
      </w:pPr>
    </w:p>
    <w:p w:rsidR="008D6FC2" w:rsidRDefault="008D6FC2" w:rsidP="00D539DB">
      <w:pPr>
        <w:rPr>
          <w:color w:val="000000"/>
          <w:sz w:val="20"/>
          <w:szCs w:val="20"/>
        </w:rPr>
      </w:pPr>
    </w:p>
    <w:p w:rsidR="008D6FC2" w:rsidRDefault="008D6FC2" w:rsidP="00D539DB">
      <w:pPr>
        <w:rPr>
          <w:color w:val="000000"/>
          <w:sz w:val="20"/>
          <w:szCs w:val="20"/>
        </w:rPr>
      </w:pPr>
    </w:p>
    <w:p w:rsidR="008D6FC2" w:rsidRDefault="008D6FC2" w:rsidP="00D539DB">
      <w:pPr>
        <w:rPr>
          <w:color w:val="000000"/>
          <w:sz w:val="20"/>
          <w:szCs w:val="20"/>
        </w:rPr>
      </w:pPr>
    </w:p>
    <w:p w:rsidR="008D6FC2" w:rsidRDefault="008D6FC2" w:rsidP="00D539DB">
      <w:pPr>
        <w:rPr>
          <w:color w:val="000000"/>
          <w:sz w:val="20"/>
          <w:szCs w:val="20"/>
        </w:rPr>
      </w:pPr>
    </w:p>
    <w:p w:rsidR="008D6FC2" w:rsidRDefault="008D6FC2" w:rsidP="00D539DB">
      <w:pPr>
        <w:rPr>
          <w:color w:val="000000"/>
          <w:sz w:val="20"/>
          <w:szCs w:val="20"/>
        </w:rPr>
      </w:pPr>
    </w:p>
    <w:p w:rsidR="008D6FC2" w:rsidRDefault="008D6FC2" w:rsidP="00D539DB">
      <w:pPr>
        <w:rPr>
          <w:color w:val="000000"/>
          <w:sz w:val="20"/>
          <w:szCs w:val="20"/>
        </w:rPr>
      </w:pPr>
    </w:p>
    <w:p w:rsidR="008D6FC2" w:rsidRDefault="008D6FC2" w:rsidP="00D539DB">
      <w:pPr>
        <w:rPr>
          <w:color w:val="000000"/>
          <w:sz w:val="20"/>
          <w:szCs w:val="20"/>
        </w:rPr>
      </w:pPr>
    </w:p>
    <w:p w:rsidR="008D6FC2" w:rsidRDefault="008D6FC2" w:rsidP="00D539DB">
      <w:pPr>
        <w:rPr>
          <w:color w:val="000000"/>
          <w:sz w:val="20"/>
          <w:szCs w:val="20"/>
        </w:rPr>
      </w:pPr>
    </w:p>
    <w:p w:rsidR="002766FB" w:rsidRDefault="002766FB" w:rsidP="00D539DB">
      <w:pPr>
        <w:rPr>
          <w:color w:val="000000"/>
          <w:sz w:val="20"/>
          <w:szCs w:val="20"/>
        </w:rPr>
      </w:pPr>
    </w:p>
    <w:p w:rsidR="002766FB" w:rsidRDefault="002766FB" w:rsidP="00D539DB">
      <w:pPr>
        <w:rPr>
          <w:color w:val="000000"/>
          <w:sz w:val="20"/>
          <w:szCs w:val="20"/>
        </w:rPr>
      </w:pPr>
    </w:p>
    <w:p w:rsidR="00F525DB" w:rsidRDefault="00F525DB" w:rsidP="00D539DB">
      <w:pPr>
        <w:rPr>
          <w:color w:val="000000"/>
          <w:sz w:val="20"/>
          <w:szCs w:val="20"/>
        </w:rPr>
      </w:pPr>
    </w:p>
    <w:p w:rsidR="00F525DB" w:rsidRDefault="00F525DB" w:rsidP="00D539DB">
      <w:pPr>
        <w:rPr>
          <w:color w:val="000000"/>
          <w:sz w:val="20"/>
          <w:szCs w:val="20"/>
        </w:rPr>
      </w:pPr>
    </w:p>
    <w:p w:rsidR="00EE1F63" w:rsidRDefault="00EE1F63" w:rsidP="00DB0ED4">
      <w:pPr>
        <w:rPr>
          <w:color w:val="000000"/>
          <w:sz w:val="20"/>
          <w:szCs w:val="20"/>
        </w:rPr>
      </w:pPr>
    </w:p>
    <w:p w:rsidR="002A7569" w:rsidRDefault="002A7569" w:rsidP="00DB0ED4">
      <w:pPr>
        <w:rPr>
          <w:color w:val="000000"/>
          <w:sz w:val="20"/>
          <w:szCs w:val="20"/>
        </w:rPr>
      </w:pPr>
      <w:r>
        <w:rPr>
          <w:color w:val="000000"/>
          <w:sz w:val="20"/>
          <w:szCs w:val="20"/>
        </w:rPr>
        <w:t>28.05.2015 10.34</w:t>
      </w:r>
    </w:p>
    <w:p w:rsidR="002A7569" w:rsidRDefault="002A7569" w:rsidP="00DB0ED4">
      <w:pPr>
        <w:rPr>
          <w:color w:val="000000"/>
          <w:sz w:val="20"/>
          <w:szCs w:val="20"/>
        </w:rPr>
      </w:pPr>
      <w:r>
        <w:rPr>
          <w:color w:val="000000"/>
          <w:sz w:val="20"/>
          <w:szCs w:val="20"/>
        </w:rPr>
        <w:t>872</w:t>
      </w:r>
    </w:p>
    <w:p w:rsidR="0002260A" w:rsidRDefault="000860EE" w:rsidP="00DB0ED4">
      <w:pPr>
        <w:rPr>
          <w:color w:val="000000"/>
          <w:sz w:val="20"/>
          <w:szCs w:val="20"/>
        </w:rPr>
      </w:pPr>
      <w:r>
        <w:rPr>
          <w:color w:val="000000"/>
          <w:sz w:val="20"/>
          <w:szCs w:val="20"/>
        </w:rPr>
        <w:t>U</w:t>
      </w:r>
      <w:r w:rsidR="0002260A">
        <w:rPr>
          <w:color w:val="000000"/>
          <w:sz w:val="20"/>
          <w:szCs w:val="20"/>
        </w:rPr>
        <w:t>.</w:t>
      </w:r>
      <w:r>
        <w:rPr>
          <w:color w:val="000000"/>
          <w:sz w:val="20"/>
          <w:szCs w:val="20"/>
        </w:rPr>
        <w:t>Iskrovs</w:t>
      </w:r>
      <w:r w:rsidR="0002260A">
        <w:rPr>
          <w:color w:val="000000"/>
          <w:sz w:val="20"/>
          <w:szCs w:val="20"/>
        </w:rPr>
        <w:t xml:space="preserve"> </w:t>
      </w:r>
      <w:r>
        <w:rPr>
          <w:color w:val="000000"/>
          <w:sz w:val="20"/>
          <w:szCs w:val="20"/>
        </w:rPr>
        <w:t>67829851</w:t>
      </w:r>
    </w:p>
    <w:p w:rsidR="000860EE" w:rsidRDefault="000860EE" w:rsidP="00DB0ED4">
      <w:pPr>
        <w:rPr>
          <w:color w:val="000000"/>
          <w:sz w:val="20"/>
          <w:szCs w:val="20"/>
        </w:rPr>
      </w:pPr>
      <w:r>
        <w:rPr>
          <w:color w:val="000000"/>
          <w:sz w:val="20"/>
          <w:szCs w:val="20"/>
        </w:rPr>
        <w:t>Ugis.iskrovs@iem.gov.lv</w:t>
      </w:r>
    </w:p>
    <w:sectPr w:rsidR="000860EE" w:rsidSect="00884E5A">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63" w:rsidRDefault="00000A63" w:rsidP="00616AA6">
      <w:r>
        <w:separator/>
      </w:r>
    </w:p>
  </w:endnote>
  <w:endnote w:type="continuationSeparator" w:id="0">
    <w:p w:rsidR="00000A63" w:rsidRDefault="00000A63"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F6" w:rsidRPr="00943817" w:rsidRDefault="00943817" w:rsidP="00943817">
    <w:pPr>
      <w:jc w:val="both"/>
      <w:rPr>
        <w:sz w:val="20"/>
        <w:szCs w:val="20"/>
      </w:rPr>
    </w:pPr>
    <w:r w:rsidRPr="00D65D1A">
      <w:rPr>
        <w:sz w:val="20"/>
        <w:szCs w:val="20"/>
      </w:rPr>
      <w:t>IEMAnot</w:t>
    </w:r>
    <w:r>
      <w:rPr>
        <w:sz w:val="20"/>
        <w:szCs w:val="20"/>
      </w:rPr>
      <w:t>_</w:t>
    </w:r>
    <w:r w:rsidR="000860EE">
      <w:rPr>
        <w:sz w:val="20"/>
        <w:szCs w:val="20"/>
      </w:rPr>
      <w:t>28</w:t>
    </w:r>
    <w:r w:rsidR="0051261D">
      <w:rPr>
        <w:sz w:val="20"/>
        <w:szCs w:val="20"/>
      </w:rPr>
      <w:t>0</w:t>
    </w:r>
    <w:r w:rsidR="000860EE">
      <w:rPr>
        <w:sz w:val="20"/>
        <w:szCs w:val="20"/>
      </w:rPr>
      <w:t>5</w:t>
    </w:r>
    <w:r>
      <w:rPr>
        <w:sz w:val="20"/>
        <w:szCs w:val="20"/>
      </w:rPr>
      <w:t>1</w:t>
    </w:r>
    <w:r w:rsidR="0051261D">
      <w:rPr>
        <w:sz w:val="20"/>
        <w:szCs w:val="20"/>
      </w:rPr>
      <w:t>5</w:t>
    </w:r>
    <w:r>
      <w:rPr>
        <w:sz w:val="20"/>
        <w:szCs w:val="20"/>
      </w:rPr>
      <w:t>_groz.801.</w:t>
    </w:r>
    <w:r w:rsidRPr="00943817">
      <w:rPr>
        <w:sz w:val="20"/>
        <w:szCs w:val="20"/>
      </w:rPr>
      <w:t>doc; Ministru kabineta noteikumu projekt</w:t>
    </w:r>
    <w:r w:rsidR="00884E5A">
      <w:rPr>
        <w:sz w:val="20"/>
        <w:szCs w:val="20"/>
      </w:rPr>
      <w:t>a</w:t>
    </w:r>
    <w:r w:rsidRPr="00943817">
      <w:rPr>
        <w:sz w:val="20"/>
        <w:szCs w:val="20"/>
      </w:rPr>
      <w:t xml:space="preserve"> “Grozījum</w:t>
    </w:r>
    <w:r w:rsidR="004001A2">
      <w:rPr>
        <w:sz w:val="20"/>
        <w:szCs w:val="20"/>
      </w:rPr>
      <w:t>i</w:t>
    </w:r>
    <w:r w:rsidRPr="00943817">
      <w:rPr>
        <w:sz w:val="20"/>
        <w:szCs w:val="20"/>
      </w:rPr>
      <w:t xml:space="preserve"> Ministru kabineta </w:t>
    </w:r>
    <w:proofErr w:type="gramStart"/>
    <w:r w:rsidRPr="00943817">
      <w:rPr>
        <w:sz w:val="20"/>
        <w:szCs w:val="20"/>
      </w:rPr>
      <w:t>2007.gada</w:t>
    </w:r>
    <w:proofErr w:type="gramEnd"/>
    <w:r w:rsidRPr="00943817">
      <w:rPr>
        <w:sz w:val="20"/>
        <w:szCs w:val="20"/>
      </w:rPr>
      <w:t xml:space="preserve"> 27.novembra noteikumos Nr.801 “Noteikumi par sauszemes transportlīdzekļu īpašnieku civiltiesiskās atbildības obligātās apdrošināšanas informācijas sistēmas darbībai nepieciešamo datu apjomu un veidiem, datu ievades, apmaiņas un izmantošanas kārtību””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F6" w:rsidRPr="006522FE" w:rsidRDefault="00923EF6" w:rsidP="006522FE">
    <w:pPr>
      <w:jc w:val="both"/>
      <w:rPr>
        <w:sz w:val="20"/>
        <w:szCs w:val="20"/>
      </w:rPr>
    </w:pPr>
    <w:r w:rsidRPr="00D65D1A">
      <w:rPr>
        <w:sz w:val="20"/>
        <w:szCs w:val="20"/>
      </w:rPr>
      <w:t>IEMAnot</w:t>
    </w:r>
    <w:r w:rsidR="00F525DB">
      <w:rPr>
        <w:sz w:val="20"/>
        <w:szCs w:val="20"/>
      </w:rPr>
      <w:t>_</w:t>
    </w:r>
    <w:r w:rsidR="000860EE">
      <w:rPr>
        <w:sz w:val="20"/>
        <w:szCs w:val="20"/>
      </w:rPr>
      <w:t>28</w:t>
    </w:r>
    <w:r w:rsidR="0051261D">
      <w:rPr>
        <w:sz w:val="20"/>
        <w:szCs w:val="20"/>
      </w:rPr>
      <w:t>0</w:t>
    </w:r>
    <w:r w:rsidR="000860EE">
      <w:rPr>
        <w:sz w:val="20"/>
        <w:szCs w:val="20"/>
      </w:rPr>
      <w:t>5</w:t>
    </w:r>
    <w:r w:rsidR="0051261D">
      <w:rPr>
        <w:sz w:val="20"/>
        <w:szCs w:val="20"/>
      </w:rPr>
      <w:t>15</w:t>
    </w:r>
    <w:r w:rsidR="00943817">
      <w:rPr>
        <w:sz w:val="20"/>
        <w:szCs w:val="20"/>
      </w:rPr>
      <w:t>_groz.801.</w:t>
    </w:r>
    <w:r w:rsidRPr="00943817">
      <w:rPr>
        <w:sz w:val="20"/>
        <w:szCs w:val="20"/>
      </w:rPr>
      <w:t xml:space="preserve">doc; </w:t>
    </w:r>
    <w:r w:rsidR="00943817" w:rsidRPr="00943817">
      <w:rPr>
        <w:sz w:val="20"/>
        <w:szCs w:val="20"/>
      </w:rPr>
      <w:t>Mini</w:t>
    </w:r>
    <w:r w:rsidR="00884E5A">
      <w:rPr>
        <w:sz w:val="20"/>
        <w:szCs w:val="20"/>
      </w:rPr>
      <w:t>stru kabineta noteikumu projekta</w:t>
    </w:r>
    <w:r w:rsidR="00943817" w:rsidRPr="00943817">
      <w:rPr>
        <w:sz w:val="20"/>
        <w:szCs w:val="20"/>
      </w:rPr>
      <w:t xml:space="preserve"> “Grozījum</w:t>
    </w:r>
    <w:r w:rsidR="004001A2">
      <w:rPr>
        <w:sz w:val="20"/>
        <w:szCs w:val="20"/>
      </w:rPr>
      <w:t>i</w:t>
    </w:r>
    <w:r w:rsidR="00943817" w:rsidRPr="00943817">
      <w:rPr>
        <w:sz w:val="20"/>
        <w:szCs w:val="20"/>
      </w:rPr>
      <w:t xml:space="preserve"> Ministru kabineta </w:t>
    </w:r>
    <w:proofErr w:type="gramStart"/>
    <w:r w:rsidR="00943817" w:rsidRPr="00943817">
      <w:rPr>
        <w:sz w:val="20"/>
        <w:szCs w:val="20"/>
      </w:rPr>
      <w:t>2007.gada</w:t>
    </w:r>
    <w:proofErr w:type="gramEnd"/>
    <w:r w:rsidR="00943817" w:rsidRPr="00943817">
      <w:rPr>
        <w:sz w:val="20"/>
        <w:szCs w:val="20"/>
      </w:rPr>
      <w:t xml:space="preserve"> 27.novembra noteikumos Nr.801 “Noteikumi par sauszemes transportlīdzekļu īpašnieku civiltiesiskās atbildības obligātās apdrošināšanas informācijas sistēmas darbībai nepieciešamo datu apjomu un veidiem, datu ievades, apmaiņas un izmantošanas kārtību”” </w:t>
    </w:r>
    <w:r w:rsidR="00F525DB" w:rsidRPr="00943817">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63" w:rsidRDefault="00000A63" w:rsidP="00616AA6">
      <w:r>
        <w:separator/>
      </w:r>
    </w:p>
  </w:footnote>
  <w:footnote w:type="continuationSeparator" w:id="0">
    <w:p w:rsidR="00000A63" w:rsidRDefault="00000A63"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F6" w:rsidRDefault="00923EF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EF6" w:rsidRDefault="00923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F6" w:rsidRDefault="00923EF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BAB">
      <w:rPr>
        <w:rStyle w:val="PageNumber"/>
        <w:noProof/>
      </w:rPr>
      <w:t>4</w:t>
    </w:r>
    <w:r>
      <w:rPr>
        <w:rStyle w:val="PageNumber"/>
      </w:rPr>
      <w:fldChar w:fldCharType="end"/>
    </w:r>
  </w:p>
  <w:p w:rsidR="00923EF6" w:rsidRDefault="00923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E9C"/>
    <w:multiLevelType w:val="hybridMultilevel"/>
    <w:tmpl w:val="DE5E7EEC"/>
    <w:lvl w:ilvl="0" w:tplc="264EF0FE">
      <w:start w:val="1"/>
      <w:numFmt w:val="decimal"/>
      <w:lvlText w:val="%1)"/>
      <w:lvlJc w:val="left"/>
      <w:pPr>
        <w:ind w:left="1543" w:hanging="360"/>
      </w:pPr>
      <w:rPr>
        <w:rFonts w:hint="default"/>
        <w:color w:val="auto"/>
      </w:rPr>
    </w:lvl>
    <w:lvl w:ilvl="1" w:tplc="04260019" w:tentative="1">
      <w:start w:val="1"/>
      <w:numFmt w:val="lowerLetter"/>
      <w:lvlText w:val="%2."/>
      <w:lvlJc w:val="left"/>
      <w:pPr>
        <w:ind w:left="2263" w:hanging="360"/>
      </w:pPr>
    </w:lvl>
    <w:lvl w:ilvl="2" w:tplc="0426001B" w:tentative="1">
      <w:start w:val="1"/>
      <w:numFmt w:val="lowerRoman"/>
      <w:lvlText w:val="%3."/>
      <w:lvlJc w:val="right"/>
      <w:pPr>
        <w:ind w:left="2983" w:hanging="180"/>
      </w:pPr>
    </w:lvl>
    <w:lvl w:ilvl="3" w:tplc="0426000F" w:tentative="1">
      <w:start w:val="1"/>
      <w:numFmt w:val="decimal"/>
      <w:lvlText w:val="%4."/>
      <w:lvlJc w:val="left"/>
      <w:pPr>
        <w:ind w:left="3703" w:hanging="360"/>
      </w:pPr>
    </w:lvl>
    <w:lvl w:ilvl="4" w:tplc="04260019" w:tentative="1">
      <w:start w:val="1"/>
      <w:numFmt w:val="lowerLetter"/>
      <w:lvlText w:val="%5."/>
      <w:lvlJc w:val="left"/>
      <w:pPr>
        <w:ind w:left="4423" w:hanging="360"/>
      </w:pPr>
    </w:lvl>
    <w:lvl w:ilvl="5" w:tplc="0426001B" w:tentative="1">
      <w:start w:val="1"/>
      <w:numFmt w:val="lowerRoman"/>
      <w:lvlText w:val="%6."/>
      <w:lvlJc w:val="right"/>
      <w:pPr>
        <w:ind w:left="5143" w:hanging="180"/>
      </w:pPr>
    </w:lvl>
    <w:lvl w:ilvl="6" w:tplc="0426000F" w:tentative="1">
      <w:start w:val="1"/>
      <w:numFmt w:val="decimal"/>
      <w:lvlText w:val="%7."/>
      <w:lvlJc w:val="left"/>
      <w:pPr>
        <w:ind w:left="5863" w:hanging="360"/>
      </w:pPr>
    </w:lvl>
    <w:lvl w:ilvl="7" w:tplc="04260019" w:tentative="1">
      <w:start w:val="1"/>
      <w:numFmt w:val="lowerLetter"/>
      <w:lvlText w:val="%8."/>
      <w:lvlJc w:val="left"/>
      <w:pPr>
        <w:ind w:left="6583" w:hanging="360"/>
      </w:pPr>
    </w:lvl>
    <w:lvl w:ilvl="8" w:tplc="0426001B" w:tentative="1">
      <w:start w:val="1"/>
      <w:numFmt w:val="lowerRoman"/>
      <w:lvlText w:val="%9."/>
      <w:lvlJc w:val="right"/>
      <w:pPr>
        <w:ind w:left="7303" w:hanging="180"/>
      </w:pPr>
    </w:lvl>
  </w:abstractNum>
  <w:abstractNum w:abstractNumId="1" w15:restartNumberingAfterBreak="0">
    <w:nsid w:val="104713F4"/>
    <w:multiLevelType w:val="hybridMultilevel"/>
    <w:tmpl w:val="66EE0DAA"/>
    <w:lvl w:ilvl="0" w:tplc="5DAC1A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9061FA"/>
    <w:multiLevelType w:val="hybridMultilevel"/>
    <w:tmpl w:val="347E3092"/>
    <w:lvl w:ilvl="0" w:tplc="04260001">
      <w:start w:val="1"/>
      <w:numFmt w:val="bullet"/>
      <w:lvlText w:val=""/>
      <w:lvlJc w:val="left"/>
      <w:pPr>
        <w:ind w:left="812" w:hanging="360"/>
      </w:pPr>
      <w:rPr>
        <w:rFonts w:ascii="Symbol" w:hAnsi="Symbol" w:hint="default"/>
      </w:rPr>
    </w:lvl>
    <w:lvl w:ilvl="1" w:tplc="04260003" w:tentative="1">
      <w:start w:val="1"/>
      <w:numFmt w:val="bullet"/>
      <w:lvlText w:val="o"/>
      <w:lvlJc w:val="left"/>
      <w:pPr>
        <w:ind w:left="1532" w:hanging="360"/>
      </w:pPr>
      <w:rPr>
        <w:rFonts w:ascii="Courier New" w:hAnsi="Courier New" w:cs="Courier New" w:hint="default"/>
      </w:rPr>
    </w:lvl>
    <w:lvl w:ilvl="2" w:tplc="04260005" w:tentative="1">
      <w:start w:val="1"/>
      <w:numFmt w:val="bullet"/>
      <w:lvlText w:val=""/>
      <w:lvlJc w:val="left"/>
      <w:pPr>
        <w:ind w:left="2252" w:hanging="360"/>
      </w:pPr>
      <w:rPr>
        <w:rFonts w:ascii="Wingdings" w:hAnsi="Wingdings" w:hint="default"/>
      </w:rPr>
    </w:lvl>
    <w:lvl w:ilvl="3" w:tplc="04260001" w:tentative="1">
      <w:start w:val="1"/>
      <w:numFmt w:val="bullet"/>
      <w:lvlText w:val=""/>
      <w:lvlJc w:val="left"/>
      <w:pPr>
        <w:ind w:left="2972" w:hanging="360"/>
      </w:pPr>
      <w:rPr>
        <w:rFonts w:ascii="Symbol" w:hAnsi="Symbol" w:hint="default"/>
      </w:rPr>
    </w:lvl>
    <w:lvl w:ilvl="4" w:tplc="04260003" w:tentative="1">
      <w:start w:val="1"/>
      <w:numFmt w:val="bullet"/>
      <w:lvlText w:val="o"/>
      <w:lvlJc w:val="left"/>
      <w:pPr>
        <w:ind w:left="3692" w:hanging="360"/>
      </w:pPr>
      <w:rPr>
        <w:rFonts w:ascii="Courier New" w:hAnsi="Courier New" w:cs="Courier New" w:hint="default"/>
      </w:rPr>
    </w:lvl>
    <w:lvl w:ilvl="5" w:tplc="04260005" w:tentative="1">
      <w:start w:val="1"/>
      <w:numFmt w:val="bullet"/>
      <w:lvlText w:val=""/>
      <w:lvlJc w:val="left"/>
      <w:pPr>
        <w:ind w:left="4412" w:hanging="360"/>
      </w:pPr>
      <w:rPr>
        <w:rFonts w:ascii="Wingdings" w:hAnsi="Wingdings" w:hint="default"/>
      </w:rPr>
    </w:lvl>
    <w:lvl w:ilvl="6" w:tplc="04260001" w:tentative="1">
      <w:start w:val="1"/>
      <w:numFmt w:val="bullet"/>
      <w:lvlText w:val=""/>
      <w:lvlJc w:val="left"/>
      <w:pPr>
        <w:ind w:left="5132" w:hanging="360"/>
      </w:pPr>
      <w:rPr>
        <w:rFonts w:ascii="Symbol" w:hAnsi="Symbol" w:hint="default"/>
      </w:rPr>
    </w:lvl>
    <w:lvl w:ilvl="7" w:tplc="04260003" w:tentative="1">
      <w:start w:val="1"/>
      <w:numFmt w:val="bullet"/>
      <w:lvlText w:val="o"/>
      <w:lvlJc w:val="left"/>
      <w:pPr>
        <w:ind w:left="5852" w:hanging="360"/>
      </w:pPr>
      <w:rPr>
        <w:rFonts w:ascii="Courier New" w:hAnsi="Courier New" w:cs="Courier New" w:hint="default"/>
      </w:rPr>
    </w:lvl>
    <w:lvl w:ilvl="8" w:tplc="04260005" w:tentative="1">
      <w:start w:val="1"/>
      <w:numFmt w:val="bullet"/>
      <w:lvlText w:val=""/>
      <w:lvlJc w:val="left"/>
      <w:pPr>
        <w:ind w:left="6572" w:hanging="360"/>
      </w:pPr>
      <w:rPr>
        <w:rFonts w:ascii="Wingdings" w:hAnsi="Wingdings" w:hint="default"/>
      </w:rPr>
    </w:lvl>
  </w:abstractNum>
  <w:abstractNum w:abstractNumId="3" w15:restartNumberingAfterBreak="0">
    <w:nsid w:val="387C3588"/>
    <w:multiLevelType w:val="hybridMultilevel"/>
    <w:tmpl w:val="33D24DB6"/>
    <w:lvl w:ilvl="0" w:tplc="2C58B31E">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4" w15:restartNumberingAfterBreak="0">
    <w:nsid w:val="43F8527E"/>
    <w:multiLevelType w:val="hybridMultilevel"/>
    <w:tmpl w:val="82E28FCC"/>
    <w:lvl w:ilvl="0" w:tplc="918AF898">
      <w:start w:val="1"/>
      <w:numFmt w:val="decimal"/>
      <w:lvlText w:val="%1)"/>
      <w:lvlJc w:val="left"/>
      <w:pPr>
        <w:ind w:left="823" w:hanging="360"/>
      </w:pPr>
      <w:rPr>
        <w:rFonts w:hint="default"/>
      </w:rPr>
    </w:lvl>
    <w:lvl w:ilvl="1" w:tplc="04260019" w:tentative="1">
      <w:start w:val="1"/>
      <w:numFmt w:val="lowerLetter"/>
      <w:lvlText w:val="%2."/>
      <w:lvlJc w:val="left"/>
      <w:pPr>
        <w:ind w:left="1543" w:hanging="360"/>
      </w:pPr>
    </w:lvl>
    <w:lvl w:ilvl="2" w:tplc="0426001B" w:tentative="1">
      <w:start w:val="1"/>
      <w:numFmt w:val="lowerRoman"/>
      <w:lvlText w:val="%3."/>
      <w:lvlJc w:val="right"/>
      <w:pPr>
        <w:ind w:left="2263" w:hanging="180"/>
      </w:pPr>
    </w:lvl>
    <w:lvl w:ilvl="3" w:tplc="0426000F" w:tentative="1">
      <w:start w:val="1"/>
      <w:numFmt w:val="decimal"/>
      <w:lvlText w:val="%4."/>
      <w:lvlJc w:val="left"/>
      <w:pPr>
        <w:ind w:left="2983" w:hanging="360"/>
      </w:pPr>
    </w:lvl>
    <w:lvl w:ilvl="4" w:tplc="04260019" w:tentative="1">
      <w:start w:val="1"/>
      <w:numFmt w:val="lowerLetter"/>
      <w:lvlText w:val="%5."/>
      <w:lvlJc w:val="left"/>
      <w:pPr>
        <w:ind w:left="3703" w:hanging="360"/>
      </w:pPr>
    </w:lvl>
    <w:lvl w:ilvl="5" w:tplc="0426001B" w:tentative="1">
      <w:start w:val="1"/>
      <w:numFmt w:val="lowerRoman"/>
      <w:lvlText w:val="%6."/>
      <w:lvlJc w:val="right"/>
      <w:pPr>
        <w:ind w:left="4423" w:hanging="180"/>
      </w:pPr>
    </w:lvl>
    <w:lvl w:ilvl="6" w:tplc="0426000F" w:tentative="1">
      <w:start w:val="1"/>
      <w:numFmt w:val="decimal"/>
      <w:lvlText w:val="%7."/>
      <w:lvlJc w:val="left"/>
      <w:pPr>
        <w:ind w:left="5143" w:hanging="360"/>
      </w:pPr>
    </w:lvl>
    <w:lvl w:ilvl="7" w:tplc="04260019" w:tentative="1">
      <w:start w:val="1"/>
      <w:numFmt w:val="lowerLetter"/>
      <w:lvlText w:val="%8."/>
      <w:lvlJc w:val="left"/>
      <w:pPr>
        <w:ind w:left="5863" w:hanging="360"/>
      </w:pPr>
    </w:lvl>
    <w:lvl w:ilvl="8" w:tplc="0426001B" w:tentative="1">
      <w:start w:val="1"/>
      <w:numFmt w:val="lowerRoman"/>
      <w:lvlText w:val="%9."/>
      <w:lvlJc w:val="right"/>
      <w:pPr>
        <w:ind w:left="6583" w:hanging="180"/>
      </w:pPr>
    </w:lvl>
  </w:abstractNum>
  <w:abstractNum w:abstractNumId="5" w15:restartNumberingAfterBreak="0">
    <w:nsid w:val="45C1369C"/>
    <w:multiLevelType w:val="multilevel"/>
    <w:tmpl w:val="5040374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6100F84"/>
    <w:multiLevelType w:val="hybridMultilevel"/>
    <w:tmpl w:val="162AB26A"/>
    <w:lvl w:ilvl="0" w:tplc="FFF04D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AD47460"/>
    <w:multiLevelType w:val="hybridMultilevel"/>
    <w:tmpl w:val="5C1275BC"/>
    <w:lvl w:ilvl="0" w:tplc="621410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3C02BF4"/>
    <w:multiLevelType w:val="hybridMultilevel"/>
    <w:tmpl w:val="7ABE3916"/>
    <w:lvl w:ilvl="0" w:tplc="F25EA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F066F0"/>
    <w:multiLevelType w:val="hybridMultilevel"/>
    <w:tmpl w:val="1CE61D66"/>
    <w:lvl w:ilvl="0" w:tplc="AB58D7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4CE2E20"/>
    <w:multiLevelType w:val="hybridMultilevel"/>
    <w:tmpl w:val="6562DB1A"/>
    <w:lvl w:ilvl="0" w:tplc="C6F08D98">
      <w:start w:val="1"/>
      <w:numFmt w:val="decimal"/>
      <w:lvlText w:val="%1)"/>
      <w:lvlJc w:val="left"/>
      <w:pPr>
        <w:ind w:left="1183" w:hanging="360"/>
      </w:pPr>
      <w:rPr>
        <w:rFonts w:hint="default"/>
      </w:rPr>
    </w:lvl>
    <w:lvl w:ilvl="1" w:tplc="04260019" w:tentative="1">
      <w:start w:val="1"/>
      <w:numFmt w:val="lowerLetter"/>
      <w:lvlText w:val="%2."/>
      <w:lvlJc w:val="left"/>
      <w:pPr>
        <w:ind w:left="1903" w:hanging="360"/>
      </w:pPr>
    </w:lvl>
    <w:lvl w:ilvl="2" w:tplc="0426001B" w:tentative="1">
      <w:start w:val="1"/>
      <w:numFmt w:val="lowerRoman"/>
      <w:lvlText w:val="%3."/>
      <w:lvlJc w:val="right"/>
      <w:pPr>
        <w:ind w:left="2623" w:hanging="180"/>
      </w:pPr>
    </w:lvl>
    <w:lvl w:ilvl="3" w:tplc="0426000F" w:tentative="1">
      <w:start w:val="1"/>
      <w:numFmt w:val="decimal"/>
      <w:lvlText w:val="%4."/>
      <w:lvlJc w:val="left"/>
      <w:pPr>
        <w:ind w:left="3343" w:hanging="360"/>
      </w:pPr>
    </w:lvl>
    <w:lvl w:ilvl="4" w:tplc="04260019" w:tentative="1">
      <w:start w:val="1"/>
      <w:numFmt w:val="lowerLetter"/>
      <w:lvlText w:val="%5."/>
      <w:lvlJc w:val="left"/>
      <w:pPr>
        <w:ind w:left="4063" w:hanging="360"/>
      </w:pPr>
    </w:lvl>
    <w:lvl w:ilvl="5" w:tplc="0426001B" w:tentative="1">
      <w:start w:val="1"/>
      <w:numFmt w:val="lowerRoman"/>
      <w:lvlText w:val="%6."/>
      <w:lvlJc w:val="right"/>
      <w:pPr>
        <w:ind w:left="4783" w:hanging="180"/>
      </w:pPr>
    </w:lvl>
    <w:lvl w:ilvl="6" w:tplc="0426000F" w:tentative="1">
      <w:start w:val="1"/>
      <w:numFmt w:val="decimal"/>
      <w:lvlText w:val="%7."/>
      <w:lvlJc w:val="left"/>
      <w:pPr>
        <w:ind w:left="5503" w:hanging="360"/>
      </w:pPr>
    </w:lvl>
    <w:lvl w:ilvl="7" w:tplc="04260019" w:tentative="1">
      <w:start w:val="1"/>
      <w:numFmt w:val="lowerLetter"/>
      <w:lvlText w:val="%8."/>
      <w:lvlJc w:val="left"/>
      <w:pPr>
        <w:ind w:left="6223" w:hanging="360"/>
      </w:pPr>
    </w:lvl>
    <w:lvl w:ilvl="8" w:tplc="0426001B" w:tentative="1">
      <w:start w:val="1"/>
      <w:numFmt w:val="lowerRoman"/>
      <w:lvlText w:val="%9."/>
      <w:lvlJc w:val="right"/>
      <w:pPr>
        <w:ind w:left="6943" w:hanging="180"/>
      </w:pPr>
    </w:lvl>
  </w:abstractNum>
  <w:abstractNum w:abstractNumId="11" w15:restartNumberingAfterBreak="0">
    <w:nsid w:val="5B7552E8"/>
    <w:multiLevelType w:val="hybridMultilevel"/>
    <w:tmpl w:val="36F6F89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F71EE6"/>
    <w:multiLevelType w:val="hybridMultilevel"/>
    <w:tmpl w:val="34226E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C029F7"/>
    <w:multiLevelType w:val="hybridMultilevel"/>
    <w:tmpl w:val="4956F116"/>
    <w:lvl w:ilvl="0" w:tplc="19426C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99C2A30"/>
    <w:multiLevelType w:val="hybridMultilevel"/>
    <w:tmpl w:val="D5444D38"/>
    <w:lvl w:ilvl="0" w:tplc="2072213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4"/>
  </w:num>
  <w:num w:numId="2">
    <w:abstractNumId w:val="13"/>
  </w:num>
  <w:num w:numId="3">
    <w:abstractNumId w:val="7"/>
  </w:num>
  <w:num w:numId="4">
    <w:abstractNumId w:val="1"/>
  </w:num>
  <w:num w:numId="5">
    <w:abstractNumId w:val="8"/>
  </w:num>
  <w:num w:numId="6">
    <w:abstractNumId w:val="3"/>
  </w:num>
  <w:num w:numId="7">
    <w:abstractNumId w:val="11"/>
  </w:num>
  <w:num w:numId="8">
    <w:abstractNumId w:val="9"/>
  </w:num>
  <w:num w:numId="9">
    <w:abstractNumId w:val="2"/>
  </w:num>
  <w:num w:numId="10">
    <w:abstractNumId w:val="6"/>
  </w:num>
  <w:num w:numId="11">
    <w:abstractNumId w:val="5"/>
  </w:num>
  <w:num w:numId="12">
    <w:abstractNumId w:val="12"/>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6"/>
    <w:rsid w:val="00000A63"/>
    <w:rsid w:val="00000A7A"/>
    <w:rsid w:val="0002260A"/>
    <w:rsid w:val="0002334F"/>
    <w:rsid w:val="00027C37"/>
    <w:rsid w:val="00042BA1"/>
    <w:rsid w:val="00043DE0"/>
    <w:rsid w:val="00046F56"/>
    <w:rsid w:val="00057968"/>
    <w:rsid w:val="000601C6"/>
    <w:rsid w:val="000678AC"/>
    <w:rsid w:val="0007077C"/>
    <w:rsid w:val="00070AA3"/>
    <w:rsid w:val="000757EC"/>
    <w:rsid w:val="00080BAA"/>
    <w:rsid w:val="000860EE"/>
    <w:rsid w:val="00092306"/>
    <w:rsid w:val="000A06FD"/>
    <w:rsid w:val="000A7F51"/>
    <w:rsid w:val="000C2413"/>
    <w:rsid w:val="000C75A6"/>
    <w:rsid w:val="000D011D"/>
    <w:rsid w:val="000F1582"/>
    <w:rsid w:val="000F2F91"/>
    <w:rsid w:val="001100C3"/>
    <w:rsid w:val="00111352"/>
    <w:rsid w:val="001164B7"/>
    <w:rsid w:val="00116D23"/>
    <w:rsid w:val="00127E4B"/>
    <w:rsid w:val="00132192"/>
    <w:rsid w:val="001403DC"/>
    <w:rsid w:val="00144CAD"/>
    <w:rsid w:val="00152AEC"/>
    <w:rsid w:val="00156759"/>
    <w:rsid w:val="00166FDD"/>
    <w:rsid w:val="0017581A"/>
    <w:rsid w:val="001763A8"/>
    <w:rsid w:val="00186E49"/>
    <w:rsid w:val="00186EFA"/>
    <w:rsid w:val="00193A8B"/>
    <w:rsid w:val="00197C43"/>
    <w:rsid w:val="001A789C"/>
    <w:rsid w:val="001B30CD"/>
    <w:rsid w:val="001B3EBE"/>
    <w:rsid w:val="001D349F"/>
    <w:rsid w:val="001E3C4C"/>
    <w:rsid w:val="001E3E86"/>
    <w:rsid w:val="001F4C14"/>
    <w:rsid w:val="00201BD9"/>
    <w:rsid w:val="002055CE"/>
    <w:rsid w:val="00221979"/>
    <w:rsid w:val="00223E3D"/>
    <w:rsid w:val="00237C20"/>
    <w:rsid w:val="00241D7C"/>
    <w:rsid w:val="002447E8"/>
    <w:rsid w:val="00246FDC"/>
    <w:rsid w:val="002554BA"/>
    <w:rsid w:val="002555E0"/>
    <w:rsid w:val="00256E5D"/>
    <w:rsid w:val="00257716"/>
    <w:rsid w:val="002720A2"/>
    <w:rsid w:val="00273A9F"/>
    <w:rsid w:val="00275C6D"/>
    <w:rsid w:val="002766FB"/>
    <w:rsid w:val="0029110D"/>
    <w:rsid w:val="002926D3"/>
    <w:rsid w:val="002940CD"/>
    <w:rsid w:val="002960EA"/>
    <w:rsid w:val="002A6197"/>
    <w:rsid w:val="002A7569"/>
    <w:rsid w:val="002A7573"/>
    <w:rsid w:val="002B10A1"/>
    <w:rsid w:val="002B4610"/>
    <w:rsid w:val="002B5B67"/>
    <w:rsid w:val="002C28A3"/>
    <w:rsid w:val="002C7006"/>
    <w:rsid w:val="002E6C12"/>
    <w:rsid w:val="003019EE"/>
    <w:rsid w:val="0030306E"/>
    <w:rsid w:val="00307126"/>
    <w:rsid w:val="00311674"/>
    <w:rsid w:val="003126D5"/>
    <w:rsid w:val="00330F96"/>
    <w:rsid w:val="003356B3"/>
    <w:rsid w:val="003517B2"/>
    <w:rsid w:val="0035487B"/>
    <w:rsid w:val="00361CA0"/>
    <w:rsid w:val="00373890"/>
    <w:rsid w:val="00374F27"/>
    <w:rsid w:val="00375FAB"/>
    <w:rsid w:val="0038231F"/>
    <w:rsid w:val="003911D0"/>
    <w:rsid w:val="003B10C2"/>
    <w:rsid w:val="003C5BC9"/>
    <w:rsid w:val="003C6387"/>
    <w:rsid w:val="003D1339"/>
    <w:rsid w:val="003D1A40"/>
    <w:rsid w:val="003F78D5"/>
    <w:rsid w:val="004001A2"/>
    <w:rsid w:val="0040259A"/>
    <w:rsid w:val="00403411"/>
    <w:rsid w:val="004034E0"/>
    <w:rsid w:val="00410DE6"/>
    <w:rsid w:val="004130AE"/>
    <w:rsid w:val="004139D6"/>
    <w:rsid w:val="004175B1"/>
    <w:rsid w:val="004262C0"/>
    <w:rsid w:val="004327F8"/>
    <w:rsid w:val="00437542"/>
    <w:rsid w:val="004430F1"/>
    <w:rsid w:val="004519E2"/>
    <w:rsid w:val="004545E7"/>
    <w:rsid w:val="004676D7"/>
    <w:rsid w:val="004705F1"/>
    <w:rsid w:val="004767AF"/>
    <w:rsid w:val="004854D4"/>
    <w:rsid w:val="004A11F7"/>
    <w:rsid w:val="004C51BE"/>
    <w:rsid w:val="004C669F"/>
    <w:rsid w:val="004D1FCD"/>
    <w:rsid w:val="004D4483"/>
    <w:rsid w:val="00500381"/>
    <w:rsid w:val="00502E7D"/>
    <w:rsid w:val="00506FBF"/>
    <w:rsid w:val="0051261D"/>
    <w:rsid w:val="00527A75"/>
    <w:rsid w:val="00527E3D"/>
    <w:rsid w:val="0053087D"/>
    <w:rsid w:val="00542E31"/>
    <w:rsid w:val="00545E70"/>
    <w:rsid w:val="005651F4"/>
    <w:rsid w:val="00581CD9"/>
    <w:rsid w:val="00593AC8"/>
    <w:rsid w:val="0059706B"/>
    <w:rsid w:val="005A0FDF"/>
    <w:rsid w:val="005B2CE7"/>
    <w:rsid w:val="005B5BAB"/>
    <w:rsid w:val="005C3D9C"/>
    <w:rsid w:val="005D1584"/>
    <w:rsid w:val="00604EA3"/>
    <w:rsid w:val="00612D7E"/>
    <w:rsid w:val="006136B9"/>
    <w:rsid w:val="00616AA6"/>
    <w:rsid w:val="006329F8"/>
    <w:rsid w:val="00633D6B"/>
    <w:rsid w:val="006522FE"/>
    <w:rsid w:val="00664FC6"/>
    <w:rsid w:val="00667F2B"/>
    <w:rsid w:val="00680635"/>
    <w:rsid w:val="00687963"/>
    <w:rsid w:val="006A0DA7"/>
    <w:rsid w:val="006C55ED"/>
    <w:rsid w:val="006E3688"/>
    <w:rsid w:val="006E480C"/>
    <w:rsid w:val="006E54AA"/>
    <w:rsid w:val="006E76B7"/>
    <w:rsid w:val="006F73BC"/>
    <w:rsid w:val="0070343E"/>
    <w:rsid w:val="00710EAA"/>
    <w:rsid w:val="007167FF"/>
    <w:rsid w:val="00725865"/>
    <w:rsid w:val="00730E41"/>
    <w:rsid w:val="00732C68"/>
    <w:rsid w:val="00736938"/>
    <w:rsid w:val="00747C51"/>
    <w:rsid w:val="007528E2"/>
    <w:rsid w:val="00753535"/>
    <w:rsid w:val="00755684"/>
    <w:rsid w:val="007610E4"/>
    <w:rsid w:val="00763BF7"/>
    <w:rsid w:val="00765A92"/>
    <w:rsid w:val="007702EA"/>
    <w:rsid w:val="0077070F"/>
    <w:rsid w:val="00772A46"/>
    <w:rsid w:val="00794E6B"/>
    <w:rsid w:val="007B0C0C"/>
    <w:rsid w:val="007B5718"/>
    <w:rsid w:val="007D3FD0"/>
    <w:rsid w:val="007D4C86"/>
    <w:rsid w:val="007D783D"/>
    <w:rsid w:val="007E0F97"/>
    <w:rsid w:val="007F4918"/>
    <w:rsid w:val="00805D9E"/>
    <w:rsid w:val="0080751B"/>
    <w:rsid w:val="00816363"/>
    <w:rsid w:val="008167ED"/>
    <w:rsid w:val="0082381C"/>
    <w:rsid w:val="0083004C"/>
    <w:rsid w:val="00833F70"/>
    <w:rsid w:val="00834ED9"/>
    <w:rsid w:val="008372E7"/>
    <w:rsid w:val="00837BD6"/>
    <w:rsid w:val="0084798E"/>
    <w:rsid w:val="008605D0"/>
    <w:rsid w:val="00863DB5"/>
    <w:rsid w:val="00865AAB"/>
    <w:rsid w:val="00866E6B"/>
    <w:rsid w:val="00874E35"/>
    <w:rsid w:val="00884E5A"/>
    <w:rsid w:val="008936BC"/>
    <w:rsid w:val="00894FAF"/>
    <w:rsid w:val="008A023A"/>
    <w:rsid w:val="008A4EEF"/>
    <w:rsid w:val="008A561A"/>
    <w:rsid w:val="008C2585"/>
    <w:rsid w:val="008C2D66"/>
    <w:rsid w:val="008C47BE"/>
    <w:rsid w:val="008C6FC8"/>
    <w:rsid w:val="008D36C2"/>
    <w:rsid w:val="008D5F20"/>
    <w:rsid w:val="008D6FC2"/>
    <w:rsid w:val="008F2ACB"/>
    <w:rsid w:val="0090153F"/>
    <w:rsid w:val="00902094"/>
    <w:rsid w:val="009024D3"/>
    <w:rsid w:val="00903F88"/>
    <w:rsid w:val="009114A0"/>
    <w:rsid w:val="00921662"/>
    <w:rsid w:val="00921B1A"/>
    <w:rsid w:val="00923EF6"/>
    <w:rsid w:val="00927C25"/>
    <w:rsid w:val="009304C8"/>
    <w:rsid w:val="00943817"/>
    <w:rsid w:val="00947830"/>
    <w:rsid w:val="00953A72"/>
    <w:rsid w:val="00955B0B"/>
    <w:rsid w:val="00957E54"/>
    <w:rsid w:val="00963119"/>
    <w:rsid w:val="009652EF"/>
    <w:rsid w:val="00974D74"/>
    <w:rsid w:val="00977B2E"/>
    <w:rsid w:val="0098089E"/>
    <w:rsid w:val="0098181D"/>
    <w:rsid w:val="00985272"/>
    <w:rsid w:val="009860E6"/>
    <w:rsid w:val="0099042F"/>
    <w:rsid w:val="00990B02"/>
    <w:rsid w:val="00991ED2"/>
    <w:rsid w:val="00997FA9"/>
    <w:rsid w:val="009A1D77"/>
    <w:rsid w:val="009A33DD"/>
    <w:rsid w:val="009A64DE"/>
    <w:rsid w:val="009A6FC2"/>
    <w:rsid w:val="009B1BDE"/>
    <w:rsid w:val="009B7E5E"/>
    <w:rsid w:val="009C3026"/>
    <w:rsid w:val="009D1066"/>
    <w:rsid w:val="009D62F6"/>
    <w:rsid w:val="009E0671"/>
    <w:rsid w:val="009E4FD6"/>
    <w:rsid w:val="009F0229"/>
    <w:rsid w:val="00A024E6"/>
    <w:rsid w:val="00A074A5"/>
    <w:rsid w:val="00A07F4E"/>
    <w:rsid w:val="00A102C0"/>
    <w:rsid w:val="00A105D7"/>
    <w:rsid w:val="00A207C8"/>
    <w:rsid w:val="00A217E7"/>
    <w:rsid w:val="00A329B2"/>
    <w:rsid w:val="00A55FEA"/>
    <w:rsid w:val="00A63E6C"/>
    <w:rsid w:val="00A6421B"/>
    <w:rsid w:val="00A81223"/>
    <w:rsid w:val="00A84C26"/>
    <w:rsid w:val="00A91B2A"/>
    <w:rsid w:val="00A9333D"/>
    <w:rsid w:val="00A93E30"/>
    <w:rsid w:val="00A959EC"/>
    <w:rsid w:val="00A965F1"/>
    <w:rsid w:val="00AB0063"/>
    <w:rsid w:val="00AB3C41"/>
    <w:rsid w:val="00AC1E3B"/>
    <w:rsid w:val="00AD1FAC"/>
    <w:rsid w:val="00AE4367"/>
    <w:rsid w:val="00AE608F"/>
    <w:rsid w:val="00AE70EE"/>
    <w:rsid w:val="00AF000F"/>
    <w:rsid w:val="00AF1B96"/>
    <w:rsid w:val="00AF352B"/>
    <w:rsid w:val="00AF666E"/>
    <w:rsid w:val="00B01423"/>
    <w:rsid w:val="00B0227E"/>
    <w:rsid w:val="00B03005"/>
    <w:rsid w:val="00B069C2"/>
    <w:rsid w:val="00B06A93"/>
    <w:rsid w:val="00B14461"/>
    <w:rsid w:val="00B14E57"/>
    <w:rsid w:val="00B313A5"/>
    <w:rsid w:val="00B31A7F"/>
    <w:rsid w:val="00B55E0D"/>
    <w:rsid w:val="00B73EF6"/>
    <w:rsid w:val="00B74BDF"/>
    <w:rsid w:val="00B8301F"/>
    <w:rsid w:val="00B85665"/>
    <w:rsid w:val="00B8615D"/>
    <w:rsid w:val="00B9098B"/>
    <w:rsid w:val="00B93F08"/>
    <w:rsid w:val="00B945D8"/>
    <w:rsid w:val="00BA3A84"/>
    <w:rsid w:val="00BC1C4E"/>
    <w:rsid w:val="00BC5EDE"/>
    <w:rsid w:val="00BD6300"/>
    <w:rsid w:val="00BE2989"/>
    <w:rsid w:val="00BE31A9"/>
    <w:rsid w:val="00BF29F3"/>
    <w:rsid w:val="00C05F8D"/>
    <w:rsid w:val="00C10320"/>
    <w:rsid w:val="00C152B1"/>
    <w:rsid w:val="00C215E5"/>
    <w:rsid w:val="00C21897"/>
    <w:rsid w:val="00C22E09"/>
    <w:rsid w:val="00C23501"/>
    <w:rsid w:val="00C338A6"/>
    <w:rsid w:val="00C40B1A"/>
    <w:rsid w:val="00C435E9"/>
    <w:rsid w:val="00C47791"/>
    <w:rsid w:val="00C477D5"/>
    <w:rsid w:val="00C51910"/>
    <w:rsid w:val="00C555E0"/>
    <w:rsid w:val="00C56A76"/>
    <w:rsid w:val="00C657C0"/>
    <w:rsid w:val="00C66F33"/>
    <w:rsid w:val="00C67515"/>
    <w:rsid w:val="00C67B32"/>
    <w:rsid w:val="00C70E01"/>
    <w:rsid w:val="00C772F4"/>
    <w:rsid w:val="00C82AE8"/>
    <w:rsid w:val="00C82F00"/>
    <w:rsid w:val="00C971D2"/>
    <w:rsid w:val="00CA5E80"/>
    <w:rsid w:val="00CB4634"/>
    <w:rsid w:val="00CC35CF"/>
    <w:rsid w:val="00CC4638"/>
    <w:rsid w:val="00CC496E"/>
    <w:rsid w:val="00CC769D"/>
    <w:rsid w:val="00CD54B5"/>
    <w:rsid w:val="00CE3660"/>
    <w:rsid w:val="00CE36C0"/>
    <w:rsid w:val="00CE417F"/>
    <w:rsid w:val="00CF2191"/>
    <w:rsid w:val="00D01F6B"/>
    <w:rsid w:val="00D1252E"/>
    <w:rsid w:val="00D12B8D"/>
    <w:rsid w:val="00D22685"/>
    <w:rsid w:val="00D23903"/>
    <w:rsid w:val="00D27291"/>
    <w:rsid w:val="00D34670"/>
    <w:rsid w:val="00D346C9"/>
    <w:rsid w:val="00D4062C"/>
    <w:rsid w:val="00D42003"/>
    <w:rsid w:val="00D42BC2"/>
    <w:rsid w:val="00D430F0"/>
    <w:rsid w:val="00D45A48"/>
    <w:rsid w:val="00D52D03"/>
    <w:rsid w:val="00D52F4F"/>
    <w:rsid w:val="00D539DB"/>
    <w:rsid w:val="00D556A2"/>
    <w:rsid w:val="00D5707B"/>
    <w:rsid w:val="00D62BCC"/>
    <w:rsid w:val="00D65488"/>
    <w:rsid w:val="00D65D1A"/>
    <w:rsid w:val="00D80896"/>
    <w:rsid w:val="00D8120A"/>
    <w:rsid w:val="00D86198"/>
    <w:rsid w:val="00D915CC"/>
    <w:rsid w:val="00D94C4E"/>
    <w:rsid w:val="00DA5902"/>
    <w:rsid w:val="00DB0ED4"/>
    <w:rsid w:val="00DB313F"/>
    <w:rsid w:val="00DB3BC6"/>
    <w:rsid w:val="00DC0C63"/>
    <w:rsid w:val="00DC152F"/>
    <w:rsid w:val="00DC287F"/>
    <w:rsid w:val="00DC5725"/>
    <w:rsid w:val="00DD02FF"/>
    <w:rsid w:val="00DD7DC6"/>
    <w:rsid w:val="00DE03B5"/>
    <w:rsid w:val="00DE0EDD"/>
    <w:rsid w:val="00DF2B43"/>
    <w:rsid w:val="00DF45E9"/>
    <w:rsid w:val="00E02B2D"/>
    <w:rsid w:val="00E06CCE"/>
    <w:rsid w:val="00E07EB8"/>
    <w:rsid w:val="00E150BC"/>
    <w:rsid w:val="00E15543"/>
    <w:rsid w:val="00E249A5"/>
    <w:rsid w:val="00E27051"/>
    <w:rsid w:val="00E568D4"/>
    <w:rsid w:val="00E7262B"/>
    <w:rsid w:val="00E75E5B"/>
    <w:rsid w:val="00E80593"/>
    <w:rsid w:val="00E86D2D"/>
    <w:rsid w:val="00E94311"/>
    <w:rsid w:val="00E9479A"/>
    <w:rsid w:val="00EA3691"/>
    <w:rsid w:val="00EA526B"/>
    <w:rsid w:val="00EA55BE"/>
    <w:rsid w:val="00EA630D"/>
    <w:rsid w:val="00EA7D81"/>
    <w:rsid w:val="00EB07C7"/>
    <w:rsid w:val="00EC0267"/>
    <w:rsid w:val="00EC51E6"/>
    <w:rsid w:val="00ED0860"/>
    <w:rsid w:val="00ED2217"/>
    <w:rsid w:val="00ED3E5A"/>
    <w:rsid w:val="00ED6A06"/>
    <w:rsid w:val="00ED7568"/>
    <w:rsid w:val="00EE0C0F"/>
    <w:rsid w:val="00EE1F63"/>
    <w:rsid w:val="00EE4A6F"/>
    <w:rsid w:val="00EE501B"/>
    <w:rsid w:val="00EE55CF"/>
    <w:rsid w:val="00EF30AD"/>
    <w:rsid w:val="00EF75F9"/>
    <w:rsid w:val="00F02DB5"/>
    <w:rsid w:val="00F03184"/>
    <w:rsid w:val="00F0543C"/>
    <w:rsid w:val="00F11BBB"/>
    <w:rsid w:val="00F129F4"/>
    <w:rsid w:val="00F13B40"/>
    <w:rsid w:val="00F153B3"/>
    <w:rsid w:val="00F16489"/>
    <w:rsid w:val="00F17318"/>
    <w:rsid w:val="00F22CE0"/>
    <w:rsid w:val="00F26734"/>
    <w:rsid w:val="00F31085"/>
    <w:rsid w:val="00F44595"/>
    <w:rsid w:val="00F506A2"/>
    <w:rsid w:val="00F507FE"/>
    <w:rsid w:val="00F525DB"/>
    <w:rsid w:val="00F602CC"/>
    <w:rsid w:val="00F66B7E"/>
    <w:rsid w:val="00F70DDF"/>
    <w:rsid w:val="00F720FC"/>
    <w:rsid w:val="00F9365C"/>
    <w:rsid w:val="00FA18B8"/>
    <w:rsid w:val="00FA6074"/>
    <w:rsid w:val="00FB0D6A"/>
    <w:rsid w:val="00FC116E"/>
    <w:rsid w:val="00FC26F8"/>
    <w:rsid w:val="00FC2F9C"/>
    <w:rsid w:val="00FC538E"/>
    <w:rsid w:val="00FD1BF2"/>
    <w:rsid w:val="00FD2175"/>
    <w:rsid w:val="00FD5FE7"/>
    <w:rsid w:val="00FE1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0836D-FC01-4C9F-8F7F-2D4203A9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rsid w:val="00616AA6"/>
    <w:pPr>
      <w:tabs>
        <w:tab w:val="center" w:pos="4153"/>
        <w:tab w:val="right" w:pos="8306"/>
      </w:tabs>
    </w:pPr>
    <w:rPr>
      <w:lang w:eastAsia="lv-LV"/>
    </w:rPr>
  </w:style>
  <w:style w:type="character" w:customStyle="1" w:styleId="FooterChar">
    <w:name w:val="Footer Char"/>
    <w:basedOn w:val="DefaultParagraphFont"/>
    <w:link w:val="Footer"/>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 w:type="paragraph" w:customStyle="1" w:styleId="CharCharCharChar">
    <w:name w:val="Char Char Char Char"/>
    <w:basedOn w:val="Normal"/>
    <w:rsid w:val="00FE110A"/>
    <w:pPr>
      <w:spacing w:after="160" w:line="240" w:lineRule="exact"/>
    </w:pPr>
    <w:rPr>
      <w:rFonts w:ascii="Dutch TL" w:hAnsi="Dutch TL"/>
      <w:sz w:val="28"/>
      <w:szCs w:val="20"/>
      <w:lang w:eastAsia="zh-TW"/>
    </w:rPr>
  </w:style>
  <w:style w:type="paragraph" w:styleId="ListParagraph">
    <w:name w:val="List Paragraph"/>
    <w:basedOn w:val="Normal"/>
    <w:uiPriority w:val="34"/>
    <w:qFormat/>
    <w:rsid w:val="00B8615D"/>
    <w:pPr>
      <w:ind w:left="720"/>
      <w:contextualSpacing/>
    </w:pPr>
  </w:style>
  <w:style w:type="paragraph" w:styleId="NoSpacing">
    <w:name w:val="No Spacing"/>
    <w:uiPriority w:val="1"/>
    <w:qFormat/>
    <w:rsid w:val="00FD1BF2"/>
    <w:pPr>
      <w:spacing w:after="0" w:line="240" w:lineRule="auto"/>
    </w:pPr>
  </w:style>
  <w:style w:type="paragraph" w:styleId="FootnoteText">
    <w:name w:val="footnote text"/>
    <w:basedOn w:val="Normal"/>
    <w:link w:val="FootnoteTextChar"/>
    <w:rsid w:val="00ED6A06"/>
    <w:rPr>
      <w:sz w:val="20"/>
      <w:szCs w:val="20"/>
      <w:lang w:eastAsia="lv-LV"/>
    </w:rPr>
  </w:style>
  <w:style w:type="character" w:customStyle="1" w:styleId="FootnoteTextChar">
    <w:name w:val="Footnote Text Char"/>
    <w:basedOn w:val="DefaultParagraphFont"/>
    <w:link w:val="FootnoteText"/>
    <w:rsid w:val="00ED6A06"/>
    <w:rPr>
      <w:rFonts w:ascii="Times New Roman" w:eastAsia="Times New Roman" w:hAnsi="Times New Roman" w:cs="Times New Roman"/>
      <w:sz w:val="20"/>
      <w:szCs w:val="20"/>
      <w:lang w:eastAsia="lv-LV"/>
    </w:rPr>
  </w:style>
  <w:style w:type="character" w:styleId="FootnoteReference">
    <w:name w:val="footnote reference"/>
    <w:semiHidden/>
    <w:rsid w:val="00ED6A06"/>
    <w:rPr>
      <w:vertAlign w:val="superscript"/>
    </w:rPr>
  </w:style>
  <w:style w:type="table" w:styleId="TableGrid">
    <w:name w:val="Table Grid"/>
    <w:basedOn w:val="TableNormal"/>
    <w:uiPriority w:val="59"/>
    <w:rsid w:val="00F0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CC769D"/>
    <w:pPr>
      <w:spacing w:line="360" w:lineRule="auto"/>
      <w:ind w:firstLine="300"/>
    </w:pPr>
    <w:rPr>
      <w:color w:val="414142"/>
      <w:sz w:val="20"/>
      <w:szCs w:val="20"/>
      <w:lang w:eastAsia="lv-LV"/>
    </w:rPr>
  </w:style>
  <w:style w:type="paragraph" w:customStyle="1" w:styleId="labojumupamats1">
    <w:name w:val="labojumu_pamats1"/>
    <w:basedOn w:val="Normal"/>
    <w:rsid w:val="00CC769D"/>
    <w:pPr>
      <w:spacing w:before="45" w:line="360" w:lineRule="auto"/>
      <w:ind w:firstLine="300"/>
    </w:pPr>
    <w:rPr>
      <w:i/>
      <w:iCs/>
      <w:color w:val="414142"/>
      <w:sz w:val="20"/>
      <w:szCs w:val="20"/>
      <w:lang w:eastAsia="lv-LV"/>
    </w:rPr>
  </w:style>
  <w:style w:type="paragraph" w:styleId="CommentText">
    <w:name w:val="annotation text"/>
    <w:basedOn w:val="Normal"/>
    <w:link w:val="CommentTextChar"/>
    <w:uiPriority w:val="99"/>
    <w:semiHidden/>
    <w:unhideWhenUsed/>
    <w:rsid w:val="006522FE"/>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6522F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 w:id="579025058">
      <w:bodyDiv w:val="1"/>
      <w:marLeft w:val="0"/>
      <w:marRight w:val="0"/>
      <w:marTop w:val="0"/>
      <w:marBottom w:val="0"/>
      <w:divBdr>
        <w:top w:val="none" w:sz="0" w:space="0" w:color="auto"/>
        <w:left w:val="none" w:sz="0" w:space="0" w:color="auto"/>
        <w:bottom w:val="none" w:sz="0" w:space="0" w:color="auto"/>
        <w:right w:val="none" w:sz="0" w:space="0" w:color="auto"/>
      </w:divBdr>
    </w:div>
    <w:div w:id="703096532">
      <w:bodyDiv w:val="1"/>
      <w:marLeft w:val="0"/>
      <w:marRight w:val="0"/>
      <w:marTop w:val="0"/>
      <w:marBottom w:val="0"/>
      <w:divBdr>
        <w:top w:val="none" w:sz="0" w:space="0" w:color="auto"/>
        <w:left w:val="none" w:sz="0" w:space="0" w:color="auto"/>
        <w:bottom w:val="none" w:sz="0" w:space="0" w:color="auto"/>
        <w:right w:val="none" w:sz="0" w:space="0" w:color="auto"/>
      </w:divBdr>
      <w:divsChild>
        <w:div w:id="680472700">
          <w:marLeft w:val="0"/>
          <w:marRight w:val="0"/>
          <w:marTop w:val="0"/>
          <w:marBottom w:val="0"/>
          <w:divBdr>
            <w:top w:val="none" w:sz="0" w:space="0" w:color="auto"/>
            <w:left w:val="none" w:sz="0" w:space="0" w:color="auto"/>
            <w:bottom w:val="none" w:sz="0" w:space="0" w:color="auto"/>
            <w:right w:val="none" w:sz="0" w:space="0" w:color="auto"/>
          </w:divBdr>
          <w:divsChild>
            <w:div w:id="11035703">
              <w:marLeft w:val="0"/>
              <w:marRight w:val="0"/>
              <w:marTop w:val="0"/>
              <w:marBottom w:val="0"/>
              <w:divBdr>
                <w:top w:val="none" w:sz="0" w:space="0" w:color="auto"/>
                <w:left w:val="none" w:sz="0" w:space="0" w:color="auto"/>
                <w:bottom w:val="none" w:sz="0" w:space="0" w:color="auto"/>
                <w:right w:val="none" w:sz="0" w:space="0" w:color="auto"/>
              </w:divBdr>
              <w:divsChild>
                <w:div w:id="2067878367">
                  <w:marLeft w:val="0"/>
                  <w:marRight w:val="0"/>
                  <w:marTop w:val="0"/>
                  <w:marBottom w:val="0"/>
                  <w:divBdr>
                    <w:top w:val="none" w:sz="0" w:space="0" w:color="auto"/>
                    <w:left w:val="none" w:sz="0" w:space="0" w:color="auto"/>
                    <w:bottom w:val="none" w:sz="0" w:space="0" w:color="auto"/>
                    <w:right w:val="none" w:sz="0" w:space="0" w:color="auto"/>
                  </w:divBdr>
                  <w:divsChild>
                    <w:div w:id="2130051686">
                      <w:marLeft w:val="0"/>
                      <w:marRight w:val="0"/>
                      <w:marTop w:val="0"/>
                      <w:marBottom w:val="0"/>
                      <w:divBdr>
                        <w:top w:val="none" w:sz="0" w:space="0" w:color="auto"/>
                        <w:left w:val="none" w:sz="0" w:space="0" w:color="auto"/>
                        <w:bottom w:val="none" w:sz="0" w:space="0" w:color="auto"/>
                        <w:right w:val="none" w:sz="0" w:space="0" w:color="auto"/>
                      </w:divBdr>
                      <w:divsChild>
                        <w:div w:id="1181822884">
                          <w:marLeft w:val="0"/>
                          <w:marRight w:val="0"/>
                          <w:marTop w:val="300"/>
                          <w:marBottom w:val="0"/>
                          <w:divBdr>
                            <w:top w:val="none" w:sz="0" w:space="0" w:color="auto"/>
                            <w:left w:val="none" w:sz="0" w:space="0" w:color="auto"/>
                            <w:bottom w:val="none" w:sz="0" w:space="0" w:color="auto"/>
                            <w:right w:val="none" w:sz="0" w:space="0" w:color="auto"/>
                          </w:divBdr>
                          <w:divsChild>
                            <w:div w:id="543248772">
                              <w:marLeft w:val="0"/>
                              <w:marRight w:val="0"/>
                              <w:marTop w:val="0"/>
                              <w:marBottom w:val="0"/>
                              <w:divBdr>
                                <w:top w:val="none" w:sz="0" w:space="0" w:color="auto"/>
                                <w:left w:val="none" w:sz="0" w:space="0" w:color="auto"/>
                                <w:bottom w:val="none" w:sz="0" w:space="0" w:color="auto"/>
                                <w:right w:val="none" w:sz="0" w:space="0" w:color="auto"/>
                              </w:divBdr>
                              <w:divsChild>
                                <w:div w:id="16160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867744">
      <w:bodyDiv w:val="1"/>
      <w:marLeft w:val="0"/>
      <w:marRight w:val="0"/>
      <w:marTop w:val="0"/>
      <w:marBottom w:val="0"/>
      <w:divBdr>
        <w:top w:val="none" w:sz="0" w:space="0" w:color="auto"/>
        <w:left w:val="none" w:sz="0" w:space="0" w:color="auto"/>
        <w:bottom w:val="none" w:sz="0" w:space="0" w:color="auto"/>
        <w:right w:val="none" w:sz="0" w:space="0" w:color="auto"/>
      </w:divBdr>
    </w:div>
    <w:div w:id="1288003351">
      <w:bodyDiv w:val="1"/>
      <w:marLeft w:val="0"/>
      <w:marRight w:val="0"/>
      <w:marTop w:val="0"/>
      <w:marBottom w:val="0"/>
      <w:divBdr>
        <w:top w:val="none" w:sz="0" w:space="0" w:color="auto"/>
        <w:left w:val="none" w:sz="0" w:space="0" w:color="auto"/>
        <w:bottom w:val="none" w:sz="0" w:space="0" w:color="auto"/>
        <w:right w:val="none" w:sz="0" w:space="0" w:color="auto"/>
      </w:divBdr>
    </w:div>
    <w:div w:id="1492066999">
      <w:bodyDiv w:val="1"/>
      <w:marLeft w:val="0"/>
      <w:marRight w:val="0"/>
      <w:marTop w:val="0"/>
      <w:marBottom w:val="0"/>
      <w:divBdr>
        <w:top w:val="none" w:sz="0" w:space="0" w:color="auto"/>
        <w:left w:val="none" w:sz="0" w:space="0" w:color="auto"/>
        <w:bottom w:val="none" w:sz="0" w:space="0" w:color="auto"/>
        <w:right w:val="none" w:sz="0" w:space="0" w:color="auto"/>
      </w:divBdr>
    </w:div>
    <w:div w:id="15886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CD16-C882-4997-B84D-8C8070B5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4835</Words>
  <Characters>2756</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21.jūnija noteikumos Nr.569 „Kārtība, kādā Iekšlietu ministrijas sistēmas iestāžu un Ieslodzījuma vietu pārvaldes amatpersona ar speciālo dienesta pakāpi saņem apmaksātus veselība</vt:lpstr>
    </vt:vector>
  </TitlesOfParts>
  <Manager>U.Iskrovs 67829851</Manager>
  <Company>IeM</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projekts“Grozījumi Ministru kabineta 2007.gada 27.novembra noteikumos Nr.801 “Noteikumi par sauszemes transportlīdzekļu īpašnieku civiltiesiskās atbildības obligātās apdrošināšanas informācijas sistēmas darbībai nepieciešamo datu apjomu un veidiem, datu ievades, apmaiņas un izmantošanas kārtību””</dc:title>
  <dc:subject>IEMAnoMinistru kabineta noteikumu projekta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  sākotnējās ietekmes novērtējuma ziņojums (anotācija)</dc:subject>
  <dc:creator>U.Iskrovs 67829851</dc:creator>
  <cp:lastModifiedBy>Linda Gersone</cp:lastModifiedBy>
  <cp:revision>7</cp:revision>
  <cp:lastPrinted>2015-06-01T06:41:00Z</cp:lastPrinted>
  <dcterms:created xsi:type="dcterms:W3CDTF">2015-04-15T11:39:00Z</dcterms:created>
  <dcterms:modified xsi:type="dcterms:W3CDTF">2015-06-01T09:10:00Z</dcterms:modified>
</cp:coreProperties>
</file>