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08" w:rsidRPr="00722677" w:rsidRDefault="00447708" w:rsidP="00722677">
      <w:pPr>
        <w:pStyle w:val="normal"/>
        <w:ind w:firstLine="720"/>
        <w:jc w:val="center"/>
        <w:rPr>
          <w:b/>
          <w:sz w:val="28"/>
          <w:szCs w:val="28"/>
        </w:rPr>
      </w:pPr>
      <w:bookmarkStart w:id="0" w:name="OLE_LINK1"/>
      <w:bookmarkStart w:id="1" w:name="OLE_LINK2"/>
      <w:bookmarkStart w:id="2" w:name="OLE_LINK3"/>
      <w:bookmarkStart w:id="3" w:name="OLE_LINK4"/>
      <w:r w:rsidRPr="00722677">
        <w:rPr>
          <w:b/>
          <w:sz w:val="28"/>
          <w:szCs w:val="28"/>
        </w:rPr>
        <w:t>Ministru kabineta rīkojuma projekta „</w:t>
      </w:r>
      <w:r w:rsidR="00722677" w:rsidRPr="00722677">
        <w:rPr>
          <w:b/>
          <w:sz w:val="28"/>
          <w:szCs w:val="28"/>
        </w:rPr>
        <w:t xml:space="preserve">Par Rīgas vēstures un kuģniecības muzeja filiāles – Latvijas Fotogrāfijas muzejs pārvietošanu no privātīpašuma ēkā Mārstaļu ielā 8, Rīgā uz </w:t>
      </w:r>
      <w:r w:rsidR="00E20BC6">
        <w:rPr>
          <w:b/>
          <w:sz w:val="28"/>
          <w:szCs w:val="28"/>
        </w:rPr>
        <w:t>valsts akciju sabiedrības „Valsts nekustamie īpašumi”</w:t>
      </w:r>
      <w:r w:rsidR="00285AB8">
        <w:rPr>
          <w:b/>
          <w:sz w:val="28"/>
          <w:szCs w:val="28"/>
        </w:rPr>
        <w:t xml:space="preserve"> </w:t>
      </w:r>
      <w:r w:rsidR="00722677" w:rsidRPr="00722677">
        <w:rPr>
          <w:b/>
          <w:sz w:val="28"/>
          <w:szCs w:val="28"/>
        </w:rPr>
        <w:t>ēku Mārstaļu ielā 6, Rīgā</w:t>
      </w:r>
      <w:r w:rsidRPr="00722677">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722677">
          <w:rPr>
            <w:b/>
            <w:sz w:val="28"/>
            <w:szCs w:val="28"/>
          </w:rPr>
          <w:t>ziņojums</w:t>
        </w:r>
      </w:smartTag>
      <w:r w:rsidRPr="00722677">
        <w:rPr>
          <w:b/>
          <w:sz w:val="28"/>
          <w:szCs w:val="28"/>
        </w:rPr>
        <w:t xml:space="preserve"> (anotācija)</w:t>
      </w:r>
    </w:p>
    <w:bookmarkEnd w:id="2"/>
    <w:bookmarkEnd w:id="3"/>
    <w:p w:rsidR="0011694F" w:rsidRDefault="0011694F" w:rsidP="00447708">
      <w:pPr>
        <w:pStyle w:val="Pamatteksts"/>
        <w:rPr>
          <w:sz w:val="28"/>
          <w:szCs w:val="28"/>
        </w:rPr>
      </w:pPr>
    </w:p>
    <w:tbl>
      <w:tblPr>
        <w:tblpPr w:leftFromText="180" w:rightFromText="180" w:vertAnchor="text" w:horzAnchor="margin" w:tblpXSpec="center" w:tblpY="149"/>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4"/>
        <w:gridCol w:w="3624"/>
        <w:gridCol w:w="4961"/>
      </w:tblGrid>
      <w:tr w:rsidR="003E5AA5" w:rsidRPr="00CA7DC4" w:rsidTr="003E5AA5">
        <w:trPr>
          <w:trHeight w:val="416"/>
        </w:trPr>
        <w:tc>
          <w:tcPr>
            <w:tcW w:w="9129" w:type="dxa"/>
            <w:gridSpan w:val="3"/>
            <w:vAlign w:val="center"/>
          </w:tcPr>
          <w:bookmarkEnd w:id="0"/>
          <w:bookmarkEnd w:id="1"/>
          <w:p w:rsidR="003E5AA5" w:rsidRPr="00CA7DC4" w:rsidRDefault="003E5AA5" w:rsidP="0011694F">
            <w:pPr>
              <w:pStyle w:val="naisnod"/>
              <w:widowControl w:val="0"/>
              <w:tabs>
                <w:tab w:val="left" w:pos="7993"/>
              </w:tabs>
              <w:spacing w:before="0" w:beforeAutospacing="0" w:after="0" w:afterAutospacing="0"/>
              <w:jc w:val="center"/>
              <w:rPr>
                <w:b/>
                <w:sz w:val="28"/>
                <w:szCs w:val="28"/>
              </w:rPr>
            </w:pPr>
            <w:r w:rsidRPr="00CA7DC4">
              <w:rPr>
                <w:b/>
                <w:sz w:val="28"/>
                <w:szCs w:val="28"/>
              </w:rPr>
              <w:t>I. Tiesību akta projekta izstrādes nepieciešamība</w:t>
            </w:r>
          </w:p>
        </w:tc>
      </w:tr>
      <w:tr w:rsidR="003E5AA5" w:rsidRPr="00CA7DC4" w:rsidTr="00F363DC">
        <w:trPr>
          <w:trHeight w:val="267"/>
        </w:trPr>
        <w:tc>
          <w:tcPr>
            <w:tcW w:w="54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1.</w:t>
            </w:r>
          </w:p>
        </w:tc>
        <w:tc>
          <w:tcPr>
            <w:tcW w:w="362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Pamatojums</w:t>
            </w:r>
          </w:p>
        </w:tc>
        <w:tc>
          <w:tcPr>
            <w:tcW w:w="4961" w:type="dxa"/>
          </w:tcPr>
          <w:p w:rsidR="00CA7DC4" w:rsidRPr="00BE608B" w:rsidRDefault="00FD7AE8" w:rsidP="00305D14">
            <w:pPr>
              <w:pStyle w:val="normal"/>
              <w:widowControl w:val="0"/>
              <w:ind w:firstLine="510"/>
              <w:jc w:val="both"/>
              <w:rPr>
                <w:sz w:val="28"/>
                <w:szCs w:val="28"/>
              </w:rPr>
            </w:pPr>
            <w:r w:rsidRPr="00BE608B">
              <w:rPr>
                <w:rFonts w:cstheme="minorBidi"/>
                <w:sz w:val="28"/>
                <w:szCs w:val="28"/>
                <w:lang w:eastAsia="en-US"/>
              </w:rPr>
              <w:t>Ministru kabineta rīkojuma projekts „</w:t>
            </w:r>
            <w:r w:rsidR="00722677" w:rsidRPr="00722677">
              <w:rPr>
                <w:sz w:val="28"/>
                <w:szCs w:val="28"/>
              </w:rPr>
              <w:t>Par Rīgas vēstures un kuģniecības muzeja filiāles – Latvijas Fotogrāfijas muzejs pārvietošanu no privātīpašuma ēkā Mārstaļu ielā 8, Rīgā uz valsts</w:t>
            </w:r>
            <w:r w:rsidR="001C3E57">
              <w:rPr>
                <w:sz w:val="28"/>
                <w:szCs w:val="28"/>
              </w:rPr>
              <w:t xml:space="preserve"> akciju sabiedrības „Valsts nekustamie īpašumi”</w:t>
            </w:r>
            <w:r w:rsidR="00722677" w:rsidRPr="00722677">
              <w:rPr>
                <w:sz w:val="28"/>
                <w:szCs w:val="28"/>
              </w:rPr>
              <w:t xml:space="preserve"> īpašuma ēku Mārstaļu ielā 6, Rīgā</w:t>
            </w:r>
            <w:r w:rsidRPr="00BE608B">
              <w:rPr>
                <w:rFonts w:cstheme="minorBidi"/>
                <w:sz w:val="28"/>
                <w:szCs w:val="28"/>
                <w:lang w:eastAsia="en-US"/>
              </w:rPr>
              <w:t xml:space="preserve">” </w:t>
            </w:r>
            <w:r w:rsidR="003E5AA5" w:rsidRPr="00BE608B">
              <w:rPr>
                <w:rFonts w:cstheme="minorBidi"/>
                <w:sz w:val="28"/>
                <w:szCs w:val="28"/>
                <w:lang w:eastAsia="en-US"/>
              </w:rPr>
              <w:t>(turpmāk –</w:t>
            </w:r>
            <w:r w:rsidR="0011694F">
              <w:rPr>
                <w:rFonts w:cstheme="minorBidi"/>
                <w:sz w:val="28"/>
                <w:szCs w:val="28"/>
                <w:lang w:eastAsia="en-US"/>
              </w:rPr>
              <w:t xml:space="preserve"> P</w:t>
            </w:r>
            <w:r w:rsidR="003E5AA5" w:rsidRPr="00BE608B">
              <w:rPr>
                <w:rFonts w:cstheme="minorBidi"/>
                <w:sz w:val="28"/>
                <w:szCs w:val="28"/>
                <w:lang w:eastAsia="en-US"/>
              </w:rPr>
              <w:t>rojekts) izstrādāts</w:t>
            </w:r>
            <w:r w:rsidR="00BE608B" w:rsidRPr="00BE608B">
              <w:rPr>
                <w:rFonts w:cstheme="minorBidi"/>
                <w:sz w:val="28"/>
                <w:szCs w:val="28"/>
                <w:lang w:eastAsia="en-US"/>
              </w:rPr>
              <w:t>, lai nodrošinātu Ugunsdrošības un ugunsdzēsības likumā noteikto prasību ievērošanu Rīga</w:t>
            </w:r>
            <w:r w:rsidR="00722677">
              <w:rPr>
                <w:rFonts w:cstheme="minorBidi"/>
                <w:sz w:val="28"/>
                <w:szCs w:val="28"/>
                <w:lang w:eastAsia="en-US"/>
              </w:rPr>
              <w:t>s vēstures un kuģniecības muzeja</w:t>
            </w:r>
            <w:r w:rsidR="00686DBE">
              <w:rPr>
                <w:rFonts w:cstheme="minorBidi"/>
                <w:sz w:val="28"/>
                <w:szCs w:val="28"/>
                <w:lang w:eastAsia="en-US"/>
              </w:rPr>
              <w:t xml:space="preserve"> (turpmāk – RVKM)</w:t>
            </w:r>
            <w:r w:rsidR="00722677">
              <w:rPr>
                <w:rFonts w:cstheme="minorBidi"/>
                <w:sz w:val="28"/>
                <w:szCs w:val="28"/>
                <w:lang w:eastAsia="en-US"/>
              </w:rPr>
              <w:t xml:space="preserve"> filiālē – Latvijas Fotogrāfijas muzejā (turpmāk – LFM)</w:t>
            </w:r>
            <w:r w:rsidR="000C7101">
              <w:rPr>
                <w:rFonts w:cstheme="minorBidi"/>
                <w:sz w:val="28"/>
                <w:szCs w:val="28"/>
                <w:lang w:eastAsia="en-US"/>
              </w:rPr>
              <w:t xml:space="preserve">  </w:t>
            </w:r>
            <w:r w:rsidR="000C7101" w:rsidRPr="000C7101">
              <w:rPr>
                <w:rFonts w:cstheme="minorBidi"/>
                <w:sz w:val="28"/>
                <w:szCs w:val="28"/>
                <w:lang w:eastAsia="en-US"/>
              </w:rPr>
              <w:t xml:space="preserve">nodrošinātu telpu atbilstību </w:t>
            </w:r>
            <w:r w:rsidR="000C7101" w:rsidRPr="000C7101">
              <w:rPr>
                <w:rStyle w:val="parastaischar"/>
                <w:sz w:val="28"/>
                <w:szCs w:val="28"/>
              </w:rPr>
              <w:t>Muzej</w:t>
            </w:r>
            <w:r w:rsidR="000C7101">
              <w:rPr>
                <w:rStyle w:val="parastaischar"/>
                <w:sz w:val="28"/>
                <w:szCs w:val="28"/>
              </w:rPr>
              <w:t>u krājuma glabāšanas specifiskajām prasībām</w:t>
            </w:r>
            <w:r w:rsidR="000C7101" w:rsidRPr="000C7101">
              <w:rPr>
                <w:rStyle w:val="parastaischar"/>
                <w:sz w:val="28"/>
                <w:szCs w:val="28"/>
              </w:rPr>
              <w:t xml:space="preserve"> (Ministru kabineta 2006.gada 21.novembra noteikumi Nr.956 „Noteikumi par Nacionālo muzeju kr</w:t>
            </w:r>
            <w:r w:rsidR="000C7101">
              <w:rPr>
                <w:rStyle w:val="parastaischar"/>
                <w:sz w:val="28"/>
                <w:szCs w:val="28"/>
              </w:rPr>
              <w:t>ājumu”) un tehniski funkcionālajām prasībām</w:t>
            </w:r>
            <w:r w:rsidR="000C7101" w:rsidRPr="000C7101">
              <w:rPr>
                <w:rStyle w:val="parastaischar"/>
                <w:sz w:val="28"/>
                <w:szCs w:val="28"/>
              </w:rPr>
              <w:t xml:space="preserve"> krājumu glabāšanas telpā</w:t>
            </w:r>
            <w:r w:rsidR="000C7101">
              <w:rPr>
                <w:rStyle w:val="parastaischar"/>
                <w:sz w:val="28"/>
                <w:szCs w:val="28"/>
              </w:rPr>
              <w:t>s</w:t>
            </w:r>
            <w:r w:rsidR="0011694F" w:rsidRPr="000C7101">
              <w:rPr>
                <w:rFonts w:cstheme="minorBidi"/>
                <w:sz w:val="28"/>
                <w:szCs w:val="28"/>
                <w:lang w:eastAsia="en-US"/>
              </w:rPr>
              <w:t>,</w:t>
            </w:r>
            <w:r w:rsidR="00305D14">
              <w:rPr>
                <w:rFonts w:cstheme="minorBidi"/>
                <w:sz w:val="28"/>
                <w:szCs w:val="28"/>
                <w:lang w:eastAsia="en-US"/>
              </w:rPr>
              <w:t xml:space="preserve"> kā arī veiktu kultūras objektu sakārtošanu atbilstoši</w:t>
            </w:r>
            <w:r w:rsidR="00305D14" w:rsidRPr="00D24941">
              <w:rPr>
                <w:sz w:val="28"/>
                <w:szCs w:val="28"/>
              </w:rPr>
              <w:t xml:space="preserve"> Ministru kabi</w:t>
            </w:r>
            <w:r w:rsidR="00305D14">
              <w:rPr>
                <w:sz w:val="28"/>
                <w:szCs w:val="28"/>
              </w:rPr>
              <w:t>neta 2006.gada 16.maija rīkojumā</w:t>
            </w:r>
            <w:r w:rsidR="00305D14" w:rsidRPr="00D24941">
              <w:rPr>
                <w:sz w:val="28"/>
                <w:szCs w:val="28"/>
              </w:rPr>
              <w:t xml:space="preserve"> Nr.347 „Par programmu „Mantojums – 2018. Kultūras infrastruktūras uzlabošanas programma 2006.-2018.gadam””</w:t>
            </w:r>
            <w:r w:rsidR="00305D14">
              <w:rPr>
                <w:sz w:val="28"/>
                <w:szCs w:val="28"/>
              </w:rPr>
              <w:t xml:space="preserve"> norādītajam  kultūras mantojuma sarakstam,</w:t>
            </w:r>
            <w:r w:rsidR="00305D14">
              <w:rPr>
                <w:rFonts w:cstheme="minorBidi"/>
                <w:sz w:val="28"/>
                <w:szCs w:val="28"/>
                <w:lang w:eastAsia="en-US"/>
              </w:rPr>
              <w:t xml:space="preserve"> </w:t>
            </w:r>
            <w:r w:rsidR="00722677">
              <w:rPr>
                <w:rFonts w:cstheme="minorBidi"/>
                <w:sz w:val="28"/>
                <w:szCs w:val="28"/>
                <w:lang w:eastAsia="en-US"/>
              </w:rPr>
              <w:t xml:space="preserve"> pārvietojot LFM no privātīpašuma ēkā Mārstaļu ielā 8, Rīgā, kas ir avārijas stāvoklī uz </w:t>
            </w:r>
            <w:r w:rsidR="00722677" w:rsidRPr="00722677">
              <w:rPr>
                <w:sz w:val="28"/>
                <w:szCs w:val="28"/>
              </w:rPr>
              <w:t>valsts īpašuma ēku Mārstaļu ielā 6, Rīgā</w:t>
            </w:r>
            <w:r w:rsidR="00722677">
              <w:rPr>
                <w:sz w:val="28"/>
                <w:szCs w:val="28"/>
              </w:rPr>
              <w:t>, to pielāgojot LFM vajadzībām.</w:t>
            </w:r>
          </w:p>
        </w:tc>
      </w:tr>
      <w:tr w:rsidR="003E5AA5" w:rsidRPr="00CA7DC4" w:rsidTr="00F363DC">
        <w:trPr>
          <w:trHeight w:val="699"/>
        </w:trPr>
        <w:tc>
          <w:tcPr>
            <w:tcW w:w="54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2.</w:t>
            </w:r>
          </w:p>
        </w:tc>
        <w:tc>
          <w:tcPr>
            <w:tcW w:w="362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 xml:space="preserve">Pašreizējā situācija un problēmas, kuru risināšanai tiesību akta projekts izstrādāts, </w:t>
            </w:r>
            <w:r w:rsidRPr="00CA7DC4">
              <w:rPr>
                <w:sz w:val="28"/>
                <w:szCs w:val="28"/>
              </w:rPr>
              <w:lastRenderedPageBreak/>
              <w:t>tiesiskā regulējuma mērķis un būtība</w:t>
            </w:r>
          </w:p>
        </w:tc>
        <w:tc>
          <w:tcPr>
            <w:tcW w:w="4961" w:type="dxa"/>
          </w:tcPr>
          <w:p w:rsidR="00F73951" w:rsidRDefault="003A387F" w:rsidP="00F73951">
            <w:pPr>
              <w:pStyle w:val="Bodytext50"/>
              <w:widowControl w:val="0"/>
              <w:shd w:val="clear" w:color="auto" w:fill="auto"/>
              <w:spacing w:after="0" w:line="240" w:lineRule="auto"/>
              <w:ind w:left="85" w:firstLine="283"/>
              <w:rPr>
                <w:sz w:val="28"/>
                <w:szCs w:val="28"/>
              </w:rPr>
            </w:pPr>
            <w:r w:rsidRPr="00017119">
              <w:rPr>
                <w:rFonts w:cs="Times New Roman"/>
                <w:sz w:val="28"/>
                <w:szCs w:val="28"/>
              </w:rPr>
              <w:lastRenderedPageBreak/>
              <w:t xml:space="preserve">Kultūras ministrija </w:t>
            </w:r>
            <w:r w:rsidR="00017119" w:rsidRPr="00017119">
              <w:rPr>
                <w:rFonts w:cs="Times New Roman"/>
                <w:sz w:val="28"/>
                <w:szCs w:val="28"/>
              </w:rPr>
              <w:t xml:space="preserve">no RVKM un LFM ir saņēmusi informāciju par ēkas, kurā atrodas LFM, slikto tehnisko stāvokli un </w:t>
            </w:r>
            <w:r w:rsidR="00017119" w:rsidRPr="00017119">
              <w:rPr>
                <w:rFonts w:cs="Times New Roman"/>
                <w:sz w:val="28"/>
                <w:szCs w:val="28"/>
              </w:rPr>
              <w:lastRenderedPageBreak/>
              <w:t xml:space="preserve">izvērtējusi to, kā arī </w:t>
            </w:r>
            <w:r w:rsidRPr="00017119">
              <w:rPr>
                <w:rFonts w:cs="Times New Roman"/>
                <w:sz w:val="28"/>
                <w:szCs w:val="28"/>
              </w:rPr>
              <w:t xml:space="preserve">saņēmusi </w:t>
            </w:r>
            <w:r w:rsidR="00DF2DCA" w:rsidRPr="00017119">
              <w:rPr>
                <w:rFonts w:cs="Times New Roman"/>
                <w:sz w:val="28"/>
                <w:szCs w:val="28"/>
              </w:rPr>
              <w:t xml:space="preserve">Latvijas Muzeju padomes 2014.gada 19.jūnija atzinumu </w:t>
            </w:r>
            <w:r w:rsidR="00686DBE" w:rsidRPr="00017119">
              <w:rPr>
                <w:rFonts w:cs="Times New Roman"/>
                <w:sz w:val="28"/>
                <w:szCs w:val="28"/>
              </w:rPr>
              <w:t>„P</w:t>
            </w:r>
            <w:r w:rsidR="00DF2DCA" w:rsidRPr="00017119">
              <w:rPr>
                <w:rFonts w:cs="Times New Roman"/>
                <w:sz w:val="28"/>
                <w:szCs w:val="28"/>
              </w:rPr>
              <w:t>ar Latvijas Fotogrāfijas muzeja telpām</w:t>
            </w:r>
            <w:r w:rsidR="00686DBE" w:rsidRPr="00017119">
              <w:rPr>
                <w:rFonts w:cs="Times New Roman"/>
                <w:sz w:val="28"/>
                <w:szCs w:val="28"/>
              </w:rPr>
              <w:t>”,</w:t>
            </w:r>
            <w:r w:rsidR="00017119">
              <w:rPr>
                <w:rFonts w:cs="Times New Roman"/>
                <w:sz w:val="28"/>
                <w:szCs w:val="28"/>
              </w:rPr>
              <w:t xml:space="preserve"> kurā</w:t>
            </w:r>
            <w:r w:rsidR="00686DBE">
              <w:rPr>
                <w:rFonts w:cs="Times New Roman"/>
                <w:sz w:val="28"/>
                <w:szCs w:val="28"/>
              </w:rPr>
              <w:t xml:space="preserve"> norādīts, ka</w:t>
            </w:r>
            <w:r w:rsidR="00686DBE">
              <w:rPr>
                <w:sz w:val="24"/>
                <w:szCs w:val="24"/>
              </w:rPr>
              <w:t xml:space="preserve"> </w:t>
            </w:r>
            <w:r w:rsidR="00686DBE" w:rsidRPr="00686DBE">
              <w:rPr>
                <w:sz w:val="28"/>
                <w:szCs w:val="28"/>
              </w:rPr>
              <w:t>LFM telpas</w:t>
            </w:r>
            <w:r w:rsidR="00686DBE">
              <w:rPr>
                <w:sz w:val="28"/>
                <w:szCs w:val="28"/>
              </w:rPr>
              <w:t xml:space="preserve"> Mārstaļu ielā 8, Rīgā</w:t>
            </w:r>
            <w:r w:rsidR="00686DBE" w:rsidRPr="00686DBE">
              <w:rPr>
                <w:sz w:val="28"/>
                <w:szCs w:val="28"/>
              </w:rPr>
              <w:t xml:space="preserve"> ir nolietotas, dažviet pat apdraud muzeja personāla drošību, savukārt ugunsdrošības un aps</w:t>
            </w:r>
            <w:r w:rsidR="00686DBE">
              <w:rPr>
                <w:sz w:val="28"/>
                <w:szCs w:val="28"/>
              </w:rPr>
              <w:t>ardzes sistēmas ir</w:t>
            </w:r>
            <w:r w:rsidR="00686DBE" w:rsidRPr="00686DBE">
              <w:rPr>
                <w:sz w:val="28"/>
                <w:szCs w:val="28"/>
              </w:rPr>
              <w:t xml:space="preserve"> avārijas stāvoklī. </w:t>
            </w:r>
            <w:r w:rsidR="00686DBE" w:rsidRPr="00686DBE">
              <w:rPr>
                <w:rFonts w:cs="Times New Roman"/>
                <w:sz w:val="28"/>
                <w:szCs w:val="28"/>
                <w:lang w:eastAsia="lv-LV"/>
              </w:rPr>
              <w:t>Valsts ugunsdzēsības u</w:t>
            </w:r>
            <w:r w:rsidR="00C348E2">
              <w:rPr>
                <w:rFonts w:cs="Times New Roman"/>
                <w:sz w:val="28"/>
                <w:szCs w:val="28"/>
                <w:lang w:eastAsia="lv-LV"/>
              </w:rPr>
              <w:t>n glābšanas dienests</w:t>
            </w:r>
            <w:r w:rsidR="0011694F">
              <w:rPr>
                <w:rFonts w:cs="Times New Roman"/>
                <w:sz w:val="28"/>
                <w:szCs w:val="28"/>
                <w:lang w:eastAsia="lv-LV"/>
              </w:rPr>
              <w:t xml:space="preserve"> (turpmāk – </w:t>
            </w:r>
            <w:r w:rsidR="00686DBE" w:rsidRPr="00686DBE">
              <w:rPr>
                <w:rFonts w:cs="Times New Roman"/>
                <w:sz w:val="28"/>
                <w:szCs w:val="28"/>
                <w:lang w:eastAsia="lv-LV"/>
              </w:rPr>
              <w:t>VUGD)</w:t>
            </w:r>
            <w:r w:rsidR="00686DBE" w:rsidRPr="00686DBE">
              <w:rPr>
                <w:sz w:val="28"/>
                <w:szCs w:val="28"/>
              </w:rPr>
              <w:t xml:space="preserve"> 2014.gada 10.februārī ir sastādījis brīdinājumu, kurā noteikts, ka, neuzlabojot situāciju, LFM 2015.gada 1.martā ir jāpārtrauc darbība, tātad muzejs ir </w:t>
            </w:r>
            <w:r w:rsidR="00686DBE" w:rsidRPr="00686DBE">
              <w:rPr>
                <w:sz w:val="28"/>
                <w:szCs w:val="28"/>
                <w:u w:val="single"/>
              </w:rPr>
              <w:t>jāslēdz</w:t>
            </w:r>
            <w:r w:rsidR="00686DBE" w:rsidRPr="00686DBE">
              <w:rPr>
                <w:sz w:val="28"/>
                <w:szCs w:val="28"/>
              </w:rPr>
              <w:t>.</w:t>
            </w:r>
          </w:p>
          <w:p w:rsidR="00F73951" w:rsidRPr="00F73951" w:rsidRDefault="00F73951" w:rsidP="00F73951">
            <w:pPr>
              <w:pStyle w:val="Bodytext50"/>
              <w:widowControl w:val="0"/>
              <w:shd w:val="clear" w:color="auto" w:fill="auto"/>
              <w:spacing w:after="0" w:line="240" w:lineRule="auto"/>
              <w:ind w:left="85" w:firstLine="283"/>
              <w:rPr>
                <w:sz w:val="28"/>
                <w:szCs w:val="28"/>
              </w:rPr>
            </w:pPr>
            <w:r w:rsidRPr="00EE6D84">
              <w:rPr>
                <w:rFonts w:cs="Times New Roman"/>
                <w:bCs/>
                <w:sz w:val="28"/>
                <w:szCs w:val="28"/>
              </w:rPr>
              <w:t>RVKM</w:t>
            </w:r>
            <w:r w:rsidRPr="00F73951">
              <w:rPr>
                <w:rFonts w:cs="Times New Roman"/>
                <w:sz w:val="28"/>
                <w:szCs w:val="28"/>
              </w:rPr>
              <w:t xml:space="preserve"> apliecina, ka </w:t>
            </w:r>
            <w:r>
              <w:rPr>
                <w:rFonts w:cs="Times New Roman"/>
                <w:sz w:val="28"/>
                <w:szCs w:val="28"/>
              </w:rPr>
              <w:t>LFM</w:t>
            </w:r>
            <w:r w:rsidRPr="00F73951">
              <w:rPr>
                <w:rFonts w:cs="Times New Roman"/>
                <w:sz w:val="28"/>
                <w:szCs w:val="28"/>
              </w:rPr>
              <w:t xml:space="preserve"> </w:t>
            </w:r>
            <w:r>
              <w:rPr>
                <w:rFonts w:cs="Times New Roman"/>
                <w:sz w:val="28"/>
                <w:szCs w:val="28"/>
              </w:rPr>
              <w:t>atjaunošanas laikā</w:t>
            </w:r>
            <w:r w:rsidRPr="00F73951">
              <w:rPr>
                <w:rFonts w:cs="Times New Roman"/>
                <w:sz w:val="28"/>
                <w:szCs w:val="28"/>
              </w:rPr>
              <w:t>, LFM</w:t>
            </w:r>
            <w:r>
              <w:rPr>
                <w:rFonts w:cs="Times New Roman"/>
                <w:sz w:val="28"/>
                <w:szCs w:val="28"/>
              </w:rPr>
              <w:t xml:space="preserve"> Mārstaļu ielā 6, Rīgā,</w:t>
            </w:r>
            <w:r w:rsidRPr="00F73951">
              <w:rPr>
                <w:rFonts w:cs="Times New Roman"/>
                <w:sz w:val="28"/>
                <w:szCs w:val="28"/>
              </w:rPr>
              <w:t xml:space="preserve"> turpinās savu darbību un nodrošinās apmeklētāju drošību, krājuma priekšmetu saglabāšanu, pētniecisko darbību un izstāžu organizēšanu, saskaņā ar VUGD prasībām. </w:t>
            </w:r>
            <w:r w:rsidRPr="00EE6D84">
              <w:rPr>
                <w:rFonts w:cs="Times New Roman"/>
                <w:bCs/>
                <w:sz w:val="28"/>
                <w:szCs w:val="28"/>
                <w:u w:val="single"/>
              </w:rPr>
              <w:t>Līdz 2015. gada 1. martam</w:t>
            </w:r>
            <w:r w:rsidRPr="00F73951">
              <w:rPr>
                <w:rFonts w:cs="Times New Roman"/>
                <w:sz w:val="28"/>
                <w:szCs w:val="28"/>
              </w:rPr>
              <w:t xml:space="preserve"> </w:t>
            </w:r>
            <w:r w:rsidR="00EE6D84">
              <w:rPr>
                <w:rFonts w:cs="Times New Roman"/>
                <w:sz w:val="28"/>
                <w:szCs w:val="28"/>
              </w:rPr>
              <w:t>LFM</w:t>
            </w:r>
            <w:r w:rsidRPr="00F73951">
              <w:rPr>
                <w:rFonts w:cs="Times New Roman"/>
                <w:sz w:val="28"/>
                <w:szCs w:val="28"/>
              </w:rPr>
              <w:t xml:space="preserve"> tiks ierīkota jauna ugunsgrēka atklāšanas un trauksmes signalizācija, kura nodrošinās tūlītēju reakciju uz ugunsnelaimes draudiem. </w:t>
            </w:r>
            <w:r>
              <w:rPr>
                <w:rFonts w:cs="Times New Roman"/>
                <w:sz w:val="28"/>
                <w:szCs w:val="28"/>
              </w:rPr>
              <w:t>LFM</w:t>
            </w:r>
            <w:r w:rsidRPr="00F73951">
              <w:rPr>
                <w:rFonts w:cs="Times New Roman"/>
                <w:sz w:val="28"/>
                <w:szCs w:val="28"/>
              </w:rPr>
              <w:t xml:space="preserve"> turpinās darboties līdz šim jau eksistējošā drošības kārtība:</w:t>
            </w:r>
          </w:p>
          <w:p w:rsidR="00F73951" w:rsidRPr="00F73951" w:rsidRDefault="00F73951" w:rsidP="00F73951">
            <w:pPr>
              <w:numPr>
                <w:ilvl w:val="0"/>
                <w:numId w:val="16"/>
              </w:numPr>
              <w:tabs>
                <w:tab w:val="clear" w:pos="720"/>
                <w:tab w:val="num" w:pos="227"/>
              </w:tabs>
              <w:spacing w:after="0" w:line="240" w:lineRule="auto"/>
              <w:ind w:left="510"/>
              <w:jc w:val="both"/>
              <w:rPr>
                <w:rFonts w:ascii="Times New Roman" w:eastAsia="Times New Roman" w:hAnsi="Times New Roman" w:cs="Times New Roman"/>
                <w:sz w:val="28"/>
                <w:szCs w:val="28"/>
              </w:rPr>
            </w:pPr>
            <w:r w:rsidRPr="00F73951">
              <w:rPr>
                <w:rFonts w:ascii="Times New Roman" w:eastAsia="Times New Roman" w:hAnsi="Times New Roman" w:cs="Times New Roman"/>
                <w:sz w:val="28"/>
                <w:szCs w:val="28"/>
              </w:rPr>
              <w:t>diennakts apsardze;</w:t>
            </w:r>
          </w:p>
          <w:p w:rsidR="00F73951" w:rsidRPr="00F73951" w:rsidRDefault="00F73951" w:rsidP="00F73951">
            <w:pPr>
              <w:numPr>
                <w:ilvl w:val="0"/>
                <w:numId w:val="16"/>
              </w:numPr>
              <w:tabs>
                <w:tab w:val="clear" w:pos="720"/>
                <w:tab w:val="num" w:pos="227"/>
              </w:tabs>
              <w:spacing w:after="0" w:line="240" w:lineRule="auto"/>
              <w:ind w:left="510"/>
              <w:jc w:val="both"/>
              <w:rPr>
                <w:rFonts w:ascii="Times New Roman" w:eastAsia="Times New Roman" w:hAnsi="Times New Roman" w:cs="Times New Roman"/>
                <w:sz w:val="28"/>
                <w:szCs w:val="28"/>
              </w:rPr>
            </w:pPr>
            <w:r w:rsidRPr="00F73951">
              <w:rPr>
                <w:rFonts w:ascii="Times New Roman" w:eastAsia="Times New Roman" w:hAnsi="Times New Roman" w:cs="Times New Roman"/>
                <w:sz w:val="28"/>
                <w:szCs w:val="28"/>
              </w:rPr>
              <w:t>ekspozīciju un izstāžu zāļu eksponātu uzraugi;</w:t>
            </w:r>
          </w:p>
          <w:p w:rsidR="00F73951" w:rsidRPr="00F73951" w:rsidRDefault="00F73951" w:rsidP="00F73951">
            <w:pPr>
              <w:numPr>
                <w:ilvl w:val="0"/>
                <w:numId w:val="16"/>
              </w:numPr>
              <w:tabs>
                <w:tab w:val="clear" w:pos="720"/>
                <w:tab w:val="num" w:pos="227"/>
              </w:tabs>
              <w:spacing w:after="0" w:line="240" w:lineRule="auto"/>
              <w:ind w:left="510"/>
              <w:jc w:val="both"/>
              <w:rPr>
                <w:rFonts w:ascii="Times New Roman" w:eastAsia="Times New Roman" w:hAnsi="Times New Roman" w:cs="Times New Roman"/>
                <w:sz w:val="28"/>
                <w:szCs w:val="28"/>
              </w:rPr>
            </w:pPr>
            <w:r w:rsidRPr="00F73951">
              <w:rPr>
                <w:rFonts w:ascii="Times New Roman" w:eastAsia="Times New Roman" w:hAnsi="Times New Roman" w:cs="Times New Roman"/>
                <w:sz w:val="28"/>
                <w:szCs w:val="28"/>
              </w:rPr>
              <w:t>ierīkotā ugundzēsības krānu sistēma;</w:t>
            </w:r>
          </w:p>
          <w:p w:rsidR="00F73951" w:rsidRPr="00F73951" w:rsidRDefault="00F73951" w:rsidP="00F73951">
            <w:pPr>
              <w:numPr>
                <w:ilvl w:val="0"/>
                <w:numId w:val="16"/>
              </w:numPr>
              <w:tabs>
                <w:tab w:val="clear" w:pos="720"/>
                <w:tab w:val="num" w:pos="227"/>
              </w:tabs>
              <w:spacing w:after="0" w:line="240" w:lineRule="auto"/>
              <w:ind w:left="510"/>
              <w:jc w:val="both"/>
              <w:rPr>
                <w:rFonts w:ascii="Times New Roman" w:eastAsia="Times New Roman" w:hAnsi="Times New Roman" w:cs="Times New Roman"/>
                <w:sz w:val="28"/>
                <w:szCs w:val="28"/>
              </w:rPr>
            </w:pPr>
            <w:r w:rsidRPr="00F73951">
              <w:rPr>
                <w:rFonts w:ascii="Times New Roman" w:eastAsia="Times New Roman" w:hAnsi="Times New Roman" w:cs="Times New Roman"/>
                <w:sz w:val="28"/>
                <w:szCs w:val="28"/>
              </w:rPr>
              <w:t>telpās uzstādītie lokālie ugunsdzēsības aparāti.</w:t>
            </w:r>
          </w:p>
          <w:p w:rsidR="00F73951" w:rsidRPr="0011694F" w:rsidRDefault="00F73951" w:rsidP="00EE6D84">
            <w:pPr>
              <w:pStyle w:val="ParastaisWeb"/>
              <w:spacing w:before="0" w:beforeAutospacing="0" w:after="0" w:afterAutospacing="0"/>
              <w:ind w:left="85"/>
              <w:jc w:val="both"/>
              <w:rPr>
                <w:sz w:val="28"/>
                <w:szCs w:val="28"/>
              </w:rPr>
            </w:pPr>
            <w:r w:rsidRPr="00F73951">
              <w:rPr>
                <w:sz w:val="28"/>
                <w:szCs w:val="28"/>
              </w:rPr>
              <w:t xml:space="preserve">Par veiktajiem pasākumiem </w:t>
            </w:r>
            <w:r>
              <w:rPr>
                <w:sz w:val="28"/>
                <w:szCs w:val="28"/>
              </w:rPr>
              <w:t>LFM</w:t>
            </w:r>
            <w:r w:rsidRPr="00F73951">
              <w:rPr>
                <w:sz w:val="28"/>
                <w:szCs w:val="28"/>
              </w:rPr>
              <w:t xml:space="preserve"> informēs VUGD Rīgas reģiona pārvaldi, kura tiks iepazīstināta arī ar visu izvirzīto ugunsdrošības prasību (Brīdinājums Nr. 22/8-193-1, 10.02.1014.) izpildi jaunajā LFM ēkā Mārstaļu 6</w:t>
            </w:r>
            <w:r>
              <w:rPr>
                <w:sz w:val="28"/>
                <w:szCs w:val="28"/>
              </w:rPr>
              <w:t>, Rīgā</w:t>
            </w:r>
            <w:r w:rsidRPr="00F73951">
              <w:rPr>
                <w:sz w:val="28"/>
                <w:szCs w:val="28"/>
              </w:rPr>
              <w:t>.</w:t>
            </w:r>
          </w:p>
          <w:p w:rsidR="008077DA" w:rsidRDefault="008077DA" w:rsidP="000934B2">
            <w:pPr>
              <w:pStyle w:val="Bodytext50"/>
              <w:widowControl w:val="0"/>
              <w:shd w:val="clear" w:color="auto" w:fill="auto"/>
              <w:spacing w:after="0" w:line="240" w:lineRule="auto"/>
              <w:rPr>
                <w:rFonts w:cs="Times New Roman"/>
                <w:sz w:val="28"/>
                <w:szCs w:val="28"/>
              </w:rPr>
            </w:pPr>
          </w:p>
          <w:p w:rsidR="008077DA" w:rsidRPr="008077DA" w:rsidRDefault="008077DA" w:rsidP="000934B2">
            <w:pPr>
              <w:pStyle w:val="Bodytext50"/>
              <w:widowControl w:val="0"/>
              <w:shd w:val="clear" w:color="auto" w:fill="auto"/>
              <w:spacing w:after="0" w:line="240" w:lineRule="auto"/>
              <w:rPr>
                <w:rFonts w:cs="Times New Roman"/>
                <w:b/>
                <w:i/>
                <w:sz w:val="28"/>
                <w:szCs w:val="28"/>
                <w:u w:val="single"/>
              </w:rPr>
            </w:pPr>
            <w:r w:rsidRPr="008077DA">
              <w:rPr>
                <w:rFonts w:cs="Times New Roman"/>
                <w:b/>
                <w:i/>
                <w:sz w:val="28"/>
                <w:szCs w:val="28"/>
                <w:u w:val="single"/>
              </w:rPr>
              <w:t>Ēku Mārstaļu ielā 8 un Mārstaļu ielā 6, Rīgā salīdzinājums.</w:t>
            </w:r>
          </w:p>
          <w:p w:rsidR="00DF2DCA" w:rsidRDefault="008077DA" w:rsidP="000934B2">
            <w:pPr>
              <w:pStyle w:val="Bodytext50"/>
              <w:widowControl w:val="0"/>
              <w:shd w:val="clear" w:color="auto" w:fill="auto"/>
              <w:spacing w:after="0" w:line="240" w:lineRule="auto"/>
              <w:ind w:left="85" w:firstLine="283"/>
              <w:rPr>
                <w:sz w:val="28"/>
                <w:szCs w:val="28"/>
              </w:rPr>
            </w:pPr>
            <w:r w:rsidRPr="008077DA">
              <w:rPr>
                <w:sz w:val="28"/>
                <w:szCs w:val="28"/>
              </w:rPr>
              <w:lastRenderedPageBreak/>
              <w:t xml:space="preserve">LFM patlaban </w:t>
            </w:r>
            <w:r w:rsidR="00DD6A44">
              <w:rPr>
                <w:sz w:val="28"/>
                <w:szCs w:val="28"/>
              </w:rPr>
              <w:t xml:space="preserve">atrodas </w:t>
            </w:r>
            <w:r w:rsidRPr="008077DA">
              <w:rPr>
                <w:sz w:val="28"/>
                <w:szCs w:val="28"/>
              </w:rPr>
              <w:t xml:space="preserve">ēkā </w:t>
            </w:r>
            <w:r w:rsidRPr="008077DA">
              <w:rPr>
                <w:b/>
                <w:i/>
                <w:sz w:val="28"/>
                <w:szCs w:val="28"/>
              </w:rPr>
              <w:t>Mārstaļu ielā 8, Rīgā</w:t>
            </w:r>
            <w:r w:rsidRPr="008077DA">
              <w:rPr>
                <w:sz w:val="28"/>
                <w:szCs w:val="28"/>
              </w:rPr>
              <w:t xml:space="preserve">, kas ir privātīpašums. LFM vajadzībām tiek nomātas telpas 622 m² platībā (297 m² aizņem ekspozīcijas telpa, 60 m² – krājuma glabāšanas telpa un 265 m² – pārējās telpas), gadā par telpu nomu maksājot 31 825,00 </w:t>
            </w:r>
            <w:r w:rsidRPr="0011694F">
              <w:rPr>
                <w:i/>
                <w:sz w:val="28"/>
                <w:szCs w:val="28"/>
              </w:rPr>
              <w:t>euro</w:t>
            </w:r>
            <w:r w:rsidRPr="008077DA">
              <w:rPr>
                <w:sz w:val="28"/>
                <w:szCs w:val="28"/>
              </w:rPr>
              <w:t xml:space="preserve"> (</w:t>
            </w:r>
            <w:r w:rsidR="00DD46B2">
              <w:rPr>
                <w:sz w:val="28"/>
                <w:szCs w:val="28"/>
              </w:rPr>
              <w:t xml:space="preserve">4,26 </w:t>
            </w:r>
            <w:r w:rsidRPr="008077DA">
              <w:rPr>
                <w:sz w:val="28"/>
                <w:szCs w:val="28"/>
              </w:rPr>
              <w:t xml:space="preserve"> </w:t>
            </w:r>
            <w:r w:rsidRPr="0011694F">
              <w:rPr>
                <w:i/>
                <w:sz w:val="28"/>
                <w:szCs w:val="28"/>
              </w:rPr>
              <w:t>euro</w:t>
            </w:r>
            <w:r w:rsidRPr="008077DA">
              <w:rPr>
                <w:sz w:val="28"/>
                <w:szCs w:val="28"/>
              </w:rPr>
              <w:t>/m</w:t>
            </w:r>
            <w:r w:rsidRPr="008077DA">
              <w:rPr>
                <w:sz w:val="28"/>
                <w:szCs w:val="28"/>
                <w:vertAlign w:val="superscript"/>
              </w:rPr>
              <w:t xml:space="preserve">2 </w:t>
            </w:r>
            <w:r w:rsidR="00473064">
              <w:rPr>
                <w:sz w:val="28"/>
                <w:szCs w:val="28"/>
              </w:rPr>
              <w:t>mēnesī);</w:t>
            </w:r>
          </w:p>
          <w:p w:rsidR="008077DA" w:rsidRPr="000934B2" w:rsidRDefault="008077DA" w:rsidP="000934B2">
            <w:pPr>
              <w:pStyle w:val="Bodytext0"/>
              <w:widowControl w:val="0"/>
              <w:numPr>
                <w:ilvl w:val="0"/>
                <w:numId w:val="12"/>
              </w:numPr>
              <w:shd w:val="clear" w:color="auto" w:fill="auto"/>
              <w:tabs>
                <w:tab w:val="left" w:pos="1035"/>
              </w:tabs>
              <w:spacing w:before="0" w:after="0" w:line="240" w:lineRule="auto"/>
              <w:ind w:left="357" w:hanging="357"/>
              <w:jc w:val="both"/>
              <w:rPr>
                <w:rFonts w:cs="Times New Roman"/>
                <w:sz w:val="28"/>
                <w:szCs w:val="28"/>
              </w:rPr>
            </w:pPr>
            <w:r w:rsidRPr="000934B2">
              <w:rPr>
                <w:rFonts w:cs="Times New Roman"/>
                <w:sz w:val="28"/>
                <w:szCs w:val="28"/>
              </w:rPr>
              <w:t xml:space="preserve">VUGD, izvērtējot LFM ugunsdrošības stāvokli, ir konstatējis būtiskus trūkumus un izdevis brīdinājumu, ka, neuzlabojot situāciju, </w:t>
            </w:r>
            <w:r w:rsidRPr="000934B2">
              <w:rPr>
                <w:rFonts w:cs="Times New Roman"/>
                <w:b/>
                <w:i/>
                <w:sz w:val="28"/>
                <w:szCs w:val="28"/>
                <w:u w:val="single"/>
              </w:rPr>
              <w:t>LFM 2015.gada 1.martā ir jāslēdz</w:t>
            </w:r>
            <w:r w:rsidRPr="000934B2">
              <w:rPr>
                <w:rFonts w:cs="Times New Roman"/>
                <w:sz w:val="28"/>
                <w:szCs w:val="28"/>
              </w:rPr>
              <w:t>;</w:t>
            </w:r>
          </w:p>
          <w:p w:rsidR="008077DA" w:rsidRPr="000934B2" w:rsidRDefault="008077DA" w:rsidP="000934B2">
            <w:pPr>
              <w:pStyle w:val="Bodytext0"/>
              <w:widowControl w:val="0"/>
              <w:numPr>
                <w:ilvl w:val="0"/>
                <w:numId w:val="12"/>
              </w:numPr>
              <w:shd w:val="clear" w:color="auto" w:fill="auto"/>
              <w:tabs>
                <w:tab w:val="left" w:pos="1035"/>
              </w:tabs>
              <w:spacing w:before="0" w:after="0" w:line="240" w:lineRule="auto"/>
              <w:ind w:left="357" w:hanging="357"/>
              <w:jc w:val="both"/>
              <w:rPr>
                <w:rFonts w:cs="Times New Roman"/>
                <w:sz w:val="28"/>
                <w:szCs w:val="28"/>
              </w:rPr>
            </w:pPr>
            <w:r w:rsidRPr="000934B2">
              <w:rPr>
                <w:rFonts w:cs="Times New Roman"/>
                <w:sz w:val="28"/>
                <w:szCs w:val="28"/>
              </w:rPr>
              <w:t>avārijas izeja uz iekšējo pagalmu Alksnāja ielā ir apgrūtināta, jo ēkas īpašniece pagalmu ir iznomājusi āra kafejnīcai. Izeja no pagalma uz Alksnāja ielu ir bloķēta ar organisko stiklu, kā arī arkas iekšpusē ir izvietots kafejnīcas tehniskais aprīkojums un arkas metāla vārti ir slēgti;</w:t>
            </w:r>
          </w:p>
          <w:p w:rsidR="008077DA" w:rsidRPr="000934B2" w:rsidRDefault="008077DA" w:rsidP="000934B2">
            <w:pPr>
              <w:pStyle w:val="Bodytext0"/>
              <w:widowControl w:val="0"/>
              <w:numPr>
                <w:ilvl w:val="0"/>
                <w:numId w:val="12"/>
              </w:numPr>
              <w:shd w:val="clear" w:color="auto" w:fill="auto"/>
              <w:tabs>
                <w:tab w:val="left" w:pos="1035"/>
              </w:tabs>
              <w:spacing w:before="0" w:after="0" w:line="240" w:lineRule="auto"/>
              <w:ind w:left="357" w:hanging="357"/>
              <w:jc w:val="both"/>
              <w:rPr>
                <w:rFonts w:cs="Times New Roman"/>
                <w:sz w:val="28"/>
                <w:szCs w:val="28"/>
              </w:rPr>
            </w:pPr>
            <w:r w:rsidRPr="000934B2">
              <w:rPr>
                <w:rFonts w:cs="Times New Roman"/>
                <w:sz w:val="28"/>
                <w:szCs w:val="28"/>
              </w:rPr>
              <w:t>ēkā Mārstaļu ielā 8, Rīgā, nav iespējams veikt LFM krājumam nepieciešamo gāzes dzēšanas sistēmas izbūvi (automātiskā ugunsdzēsības sistēma), lai nodrošinātu atbilstošas ugunsdrošības prasības muzeja krājumam ar paaugstinātu uguns bīstamību;</w:t>
            </w:r>
          </w:p>
          <w:p w:rsidR="008077DA" w:rsidRPr="000934B2" w:rsidRDefault="008077DA" w:rsidP="000934B2">
            <w:pPr>
              <w:pStyle w:val="Bodytext0"/>
              <w:widowControl w:val="0"/>
              <w:numPr>
                <w:ilvl w:val="0"/>
                <w:numId w:val="12"/>
              </w:numPr>
              <w:shd w:val="clear" w:color="auto" w:fill="auto"/>
              <w:tabs>
                <w:tab w:val="left" w:pos="1035"/>
              </w:tabs>
              <w:spacing w:before="0" w:after="0" w:line="240" w:lineRule="auto"/>
              <w:ind w:left="357" w:hanging="357"/>
              <w:jc w:val="both"/>
              <w:rPr>
                <w:rFonts w:cs="Times New Roman"/>
                <w:sz w:val="28"/>
                <w:szCs w:val="28"/>
              </w:rPr>
            </w:pPr>
            <w:r w:rsidRPr="000934B2">
              <w:rPr>
                <w:rFonts w:cs="Times New Roman"/>
                <w:sz w:val="28"/>
                <w:szCs w:val="28"/>
              </w:rPr>
              <w:t xml:space="preserve">patlaban LFM infrastruktūras tehniskais stāvoklis ir neapmierinošs un tā uzlabošanas iespējas ir </w:t>
            </w:r>
            <w:r w:rsidRPr="000934B2">
              <w:rPr>
                <w:rStyle w:val="BodytextSpacing-1pt"/>
                <w:rFonts w:ascii="Times New Roman" w:hAnsi="Times New Roman" w:cs="Times New Roman"/>
                <w:sz w:val="28"/>
                <w:szCs w:val="28"/>
              </w:rPr>
              <w:t>ierobežotas, jo</w:t>
            </w:r>
            <w:r w:rsidRPr="000934B2">
              <w:rPr>
                <w:rFonts w:cs="Times New Roman"/>
                <w:sz w:val="28"/>
                <w:szCs w:val="28"/>
              </w:rPr>
              <w:t xml:space="preserve"> LFM atrodas privātīpašumā, kurā veikt ilgtermiņa ieguldījumus ēkas remontā/ restaurācijā nav iespējams. Jau šobrīd avārijas stāvoklī ir ēkas centrāl</w:t>
            </w:r>
            <w:r w:rsidR="00F1281B">
              <w:rPr>
                <w:rFonts w:cs="Times New Roman"/>
                <w:sz w:val="28"/>
                <w:szCs w:val="28"/>
              </w:rPr>
              <w:t xml:space="preserve">ās kāpnes un pārslogotības dēļ </w:t>
            </w:r>
            <w:r w:rsidRPr="000934B2">
              <w:rPr>
                <w:rFonts w:cs="Times New Roman"/>
                <w:sz w:val="28"/>
                <w:szCs w:val="28"/>
              </w:rPr>
              <w:t>krātuves grīdas konstrukcijas ir ieliekušās. Riskus rada</w:t>
            </w:r>
            <w:r w:rsidR="0011694F">
              <w:rPr>
                <w:rFonts w:cs="Times New Roman"/>
                <w:sz w:val="28"/>
                <w:szCs w:val="28"/>
              </w:rPr>
              <w:t xml:space="preserve"> arī tas, ka ēkas pagrabā un 1.</w:t>
            </w:r>
            <w:r w:rsidRPr="000934B2">
              <w:rPr>
                <w:rFonts w:cs="Times New Roman"/>
                <w:sz w:val="28"/>
                <w:szCs w:val="28"/>
              </w:rPr>
              <w:t>stāvā izvietots alus restorāns;</w:t>
            </w:r>
          </w:p>
          <w:p w:rsidR="008077DA" w:rsidRPr="000934B2" w:rsidRDefault="008077DA" w:rsidP="000934B2">
            <w:pPr>
              <w:pStyle w:val="Bodytext0"/>
              <w:widowControl w:val="0"/>
              <w:numPr>
                <w:ilvl w:val="0"/>
                <w:numId w:val="12"/>
              </w:numPr>
              <w:shd w:val="clear" w:color="auto" w:fill="auto"/>
              <w:tabs>
                <w:tab w:val="left" w:pos="1050"/>
              </w:tabs>
              <w:spacing w:before="0" w:after="0" w:line="240" w:lineRule="auto"/>
              <w:ind w:left="357" w:hanging="357"/>
              <w:jc w:val="both"/>
              <w:rPr>
                <w:rFonts w:cs="Times New Roman"/>
                <w:sz w:val="28"/>
                <w:szCs w:val="28"/>
              </w:rPr>
            </w:pPr>
            <w:r w:rsidRPr="000934B2">
              <w:rPr>
                <w:rFonts w:cs="Times New Roman"/>
                <w:sz w:val="28"/>
                <w:szCs w:val="28"/>
              </w:rPr>
              <w:t xml:space="preserve">ierobežoto telpu un novecojušās infrastruktūras dēļ LFM potenciāls tiek </w:t>
            </w:r>
            <w:r w:rsidRPr="000934B2">
              <w:rPr>
                <w:rFonts w:cs="Times New Roman"/>
                <w:sz w:val="28"/>
                <w:szCs w:val="28"/>
              </w:rPr>
              <w:lastRenderedPageBreak/>
              <w:t>izmantots nepilnīgi, tādējādi liedzot sabiedrībai gūt pilnvērtīgu priekšstatu par Latvijas fotomākslas vēsturi un šodienu;</w:t>
            </w:r>
          </w:p>
          <w:p w:rsidR="008077DA" w:rsidRPr="000934B2" w:rsidRDefault="008077DA" w:rsidP="000934B2">
            <w:pPr>
              <w:pStyle w:val="Bodytext0"/>
              <w:widowControl w:val="0"/>
              <w:numPr>
                <w:ilvl w:val="0"/>
                <w:numId w:val="12"/>
              </w:numPr>
              <w:shd w:val="clear" w:color="auto" w:fill="auto"/>
              <w:tabs>
                <w:tab w:val="left" w:pos="720"/>
              </w:tabs>
              <w:spacing w:before="0" w:after="0" w:line="240" w:lineRule="auto"/>
              <w:ind w:left="357" w:hanging="357"/>
              <w:jc w:val="both"/>
              <w:rPr>
                <w:rFonts w:cs="Times New Roman"/>
                <w:sz w:val="28"/>
                <w:szCs w:val="28"/>
              </w:rPr>
            </w:pPr>
            <w:r w:rsidRPr="000934B2">
              <w:rPr>
                <w:rFonts w:cs="Times New Roman"/>
                <w:sz w:val="28"/>
                <w:szCs w:val="28"/>
              </w:rPr>
              <w:t>LFM jāaptur turpmākā krājuma komplektēšanas funkcija, jo vienīgā krājuma telpa ir pārpildīta, ir sākusies telpas konstrukciju deformācija. Līdz ar to LFM ir spiests atteikties no slavenu fotogrāfu piedāvāto privāto kolekciju/ dāvinājumu pieņemšanas, jo nav brīvu krātuvju to izvietošanai;</w:t>
            </w:r>
          </w:p>
          <w:p w:rsidR="008077DA" w:rsidRPr="00E14F92" w:rsidRDefault="008077DA" w:rsidP="00E14F92">
            <w:pPr>
              <w:pStyle w:val="Bodytext0"/>
              <w:widowControl w:val="0"/>
              <w:numPr>
                <w:ilvl w:val="0"/>
                <w:numId w:val="12"/>
              </w:numPr>
              <w:shd w:val="clear" w:color="auto" w:fill="auto"/>
              <w:tabs>
                <w:tab w:val="left" w:pos="701"/>
              </w:tabs>
              <w:spacing w:before="0" w:after="0" w:line="240" w:lineRule="auto"/>
              <w:ind w:left="357" w:hanging="357"/>
              <w:jc w:val="both"/>
              <w:rPr>
                <w:rFonts w:cs="Times New Roman"/>
                <w:sz w:val="28"/>
                <w:szCs w:val="28"/>
              </w:rPr>
            </w:pPr>
            <w:r w:rsidRPr="000934B2">
              <w:rPr>
                <w:rFonts w:cs="Times New Roman"/>
                <w:sz w:val="28"/>
                <w:szCs w:val="28"/>
              </w:rPr>
              <w:t>telpu trūkuma dēļ ekspozīcijas hronoloģiski un tematisk</w:t>
            </w:r>
            <w:r w:rsidR="000934B2">
              <w:rPr>
                <w:rFonts w:cs="Times New Roman"/>
                <w:sz w:val="28"/>
                <w:szCs w:val="28"/>
              </w:rPr>
              <w:t>i ir</w:t>
            </w:r>
            <w:r w:rsidRPr="000934B2">
              <w:rPr>
                <w:rFonts w:cs="Times New Roman"/>
                <w:sz w:val="28"/>
                <w:szCs w:val="28"/>
              </w:rPr>
              <w:t xml:space="preserve"> ierobežotas. Iekārtota tikai ekspozīcija:</w:t>
            </w:r>
            <w:r w:rsidRPr="000934B2">
              <w:rPr>
                <w:rStyle w:val="BodytextBold"/>
                <w:rFonts w:eastAsiaTheme="majorEastAsia"/>
                <w:sz w:val="28"/>
                <w:szCs w:val="28"/>
              </w:rPr>
              <w:t xml:space="preserve"> </w:t>
            </w:r>
            <w:r w:rsidRPr="000934B2">
              <w:rPr>
                <w:rStyle w:val="BodytextBold"/>
                <w:rFonts w:eastAsiaTheme="majorEastAsia"/>
                <w:i/>
                <w:sz w:val="28"/>
                <w:szCs w:val="28"/>
              </w:rPr>
              <w:t>„Latvijas fotogrāfijas vēsture 1839.-1941.”</w:t>
            </w:r>
            <w:r w:rsidRPr="000934B2">
              <w:rPr>
                <w:rStyle w:val="BodytextBold"/>
                <w:rFonts w:eastAsiaTheme="majorEastAsia"/>
                <w:sz w:val="28"/>
                <w:szCs w:val="28"/>
              </w:rPr>
              <w:t xml:space="preserve"> </w:t>
            </w:r>
            <w:r w:rsidRPr="000934B2">
              <w:rPr>
                <w:rFonts w:cs="Times New Roman"/>
                <w:sz w:val="28"/>
                <w:szCs w:val="28"/>
              </w:rPr>
              <w:t>Nepieciešama tās tematikas paplašināšana līdz mūsdienām, modernizācija</w:t>
            </w:r>
            <w:r w:rsidRPr="00E14F92">
              <w:rPr>
                <w:rFonts w:cs="Times New Roman"/>
                <w:sz w:val="28"/>
                <w:szCs w:val="28"/>
              </w:rPr>
              <w:t>, piedāvājot virtuālā muzeja iespējas, veidojot atraktīvāku uztveres ievirzi u.c.</w:t>
            </w:r>
            <w:r w:rsidR="00473064" w:rsidRPr="00E14F92">
              <w:rPr>
                <w:rFonts w:cs="Times New Roman"/>
                <w:sz w:val="28"/>
                <w:szCs w:val="28"/>
              </w:rPr>
              <w:t>;</w:t>
            </w:r>
          </w:p>
          <w:p w:rsidR="008077DA" w:rsidRPr="000934B2" w:rsidRDefault="008077DA" w:rsidP="000934B2">
            <w:pPr>
              <w:pStyle w:val="Bodytext0"/>
              <w:widowControl w:val="0"/>
              <w:numPr>
                <w:ilvl w:val="0"/>
                <w:numId w:val="12"/>
              </w:numPr>
              <w:shd w:val="clear" w:color="auto" w:fill="auto"/>
              <w:tabs>
                <w:tab w:val="left" w:pos="710"/>
              </w:tabs>
              <w:spacing w:before="0" w:after="0" w:line="240" w:lineRule="auto"/>
              <w:ind w:left="357" w:hanging="357"/>
              <w:jc w:val="both"/>
              <w:rPr>
                <w:rFonts w:cs="Times New Roman"/>
                <w:sz w:val="28"/>
                <w:szCs w:val="28"/>
              </w:rPr>
            </w:pPr>
            <w:r w:rsidRPr="000934B2">
              <w:rPr>
                <w:rFonts w:cs="Times New Roman"/>
                <w:sz w:val="28"/>
                <w:szCs w:val="28"/>
              </w:rPr>
              <w:t>bīstama ir muzeja atrašanās vienā ēkā ar restorānu un tā virtuvi (</w:t>
            </w:r>
            <w:r w:rsidR="00E14F92">
              <w:rPr>
                <w:rFonts w:cs="Times New Roman"/>
                <w:sz w:val="28"/>
                <w:szCs w:val="28"/>
              </w:rPr>
              <w:t>pagrabstāvā un</w:t>
            </w:r>
            <w:r w:rsidR="0011694F">
              <w:rPr>
                <w:rFonts w:cs="Times New Roman"/>
                <w:sz w:val="28"/>
                <w:szCs w:val="28"/>
              </w:rPr>
              <w:t>1</w:t>
            </w:r>
            <w:r w:rsidRPr="000934B2">
              <w:rPr>
                <w:rFonts w:cs="Times New Roman"/>
                <w:sz w:val="28"/>
                <w:szCs w:val="28"/>
              </w:rPr>
              <w:t>.stāvā), 2., 3. stāvā ir</w:t>
            </w:r>
            <w:r w:rsidR="00E14F92">
              <w:rPr>
                <w:rFonts w:cs="Times New Roman"/>
                <w:sz w:val="28"/>
                <w:szCs w:val="28"/>
              </w:rPr>
              <w:t xml:space="preserve"> izvietots</w:t>
            </w:r>
            <w:r w:rsidRPr="000934B2">
              <w:rPr>
                <w:rFonts w:cs="Times New Roman"/>
                <w:sz w:val="28"/>
                <w:szCs w:val="28"/>
              </w:rPr>
              <w:t xml:space="preserve"> muzejs - centrālā ieeja ēkā ir restorānam, kurš bieži izmanto arī ēkas s</w:t>
            </w:r>
            <w:r w:rsidR="00473064">
              <w:rPr>
                <w:rFonts w:cs="Times New Roman"/>
                <w:sz w:val="28"/>
                <w:szCs w:val="28"/>
              </w:rPr>
              <w:t xml:space="preserve">ānu ieeju </w:t>
            </w:r>
            <w:r w:rsidR="00E14F92">
              <w:rPr>
                <w:rFonts w:cs="Times New Roman"/>
                <w:sz w:val="28"/>
                <w:szCs w:val="28"/>
              </w:rPr>
              <w:t>–</w:t>
            </w:r>
            <w:r w:rsidR="00473064">
              <w:rPr>
                <w:rFonts w:cs="Times New Roman"/>
                <w:sz w:val="28"/>
                <w:szCs w:val="28"/>
              </w:rPr>
              <w:t xml:space="preserve"> </w:t>
            </w:r>
            <w:r w:rsidR="00E14F92">
              <w:rPr>
                <w:rFonts w:cs="Times New Roman"/>
                <w:sz w:val="28"/>
                <w:szCs w:val="28"/>
              </w:rPr>
              <w:t xml:space="preserve">ēkas </w:t>
            </w:r>
            <w:r w:rsidR="00473064">
              <w:rPr>
                <w:rFonts w:cs="Times New Roman"/>
                <w:sz w:val="28"/>
                <w:szCs w:val="28"/>
              </w:rPr>
              <w:t>ieeju muzejā;</w:t>
            </w:r>
          </w:p>
          <w:p w:rsidR="008077DA" w:rsidRPr="000934B2" w:rsidRDefault="008077DA" w:rsidP="000934B2">
            <w:pPr>
              <w:pStyle w:val="Bodytext0"/>
              <w:widowControl w:val="0"/>
              <w:numPr>
                <w:ilvl w:val="0"/>
                <w:numId w:val="12"/>
              </w:numPr>
              <w:shd w:val="clear" w:color="auto" w:fill="auto"/>
              <w:tabs>
                <w:tab w:val="left" w:pos="710"/>
              </w:tabs>
              <w:spacing w:before="0" w:after="0" w:line="240" w:lineRule="auto"/>
              <w:ind w:left="357" w:hanging="357"/>
              <w:jc w:val="both"/>
              <w:rPr>
                <w:rFonts w:cs="Times New Roman"/>
                <w:sz w:val="28"/>
                <w:szCs w:val="28"/>
              </w:rPr>
            </w:pPr>
            <w:r w:rsidRPr="000934B2">
              <w:rPr>
                <w:rFonts w:cs="Times New Roman"/>
                <w:sz w:val="28"/>
                <w:szCs w:val="28"/>
              </w:rPr>
              <w:t>muzejs nav pieejams ci</w:t>
            </w:r>
            <w:r w:rsidR="00473064">
              <w:rPr>
                <w:rFonts w:cs="Times New Roman"/>
                <w:sz w:val="28"/>
                <w:szCs w:val="28"/>
              </w:rPr>
              <w:t>lvēkiem ar kustību traucējumiem;</w:t>
            </w:r>
          </w:p>
          <w:p w:rsidR="008077DA" w:rsidRDefault="008077DA" w:rsidP="00473064">
            <w:pPr>
              <w:pStyle w:val="Bodytext0"/>
              <w:widowControl w:val="0"/>
              <w:numPr>
                <w:ilvl w:val="0"/>
                <w:numId w:val="12"/>
              </w:numPr>
              <w:shd w:val="clear" w:color="auto" w:fill="auto"/>
              <w:tabs>
                <w:tab w:val="left" w:pos="710"/>
              </w:tabs>
              <w:spacing w:before="0" w:after="0" w:line="240" w:lineRule="auto"/>
              <w:ind w:left="357" w:hanging="357"/>
              <w:jc w:val="both"/>
              <w:rPr>
                <w:rFonts w:cs="Times New Roman"/>
                <w:sz w:val="28"/>
                <w:szCs w:val="28"/>
              </w:rPr>
            </w:pPr>
            <w:r w:rsidRPr="000934B2">
              <w:rPr>
                <w:rFonts w:cs="Times New Roman"/>
                <w:sz w:val="28"/>
                <w:szCs w:val="28"/>
              </w:rPr>
              <w:t>muzejam ir nepieciešams telpu remonts, kāpņu kapitālais remonts, ugunsdzēsības sistēmas</w:t>
            </w:r>
            <w:r w:rsidR="00285AB8">
              <w:rPr>
                <w:rFonts w:cs="Times New Roman"/>
                <w:sz w:val="28"/>
                <w:szCs w:val="28"/>
              </w:rPr>
              <w:t xml:space="preserve"> </w:t>
            </w:r>
            <w:r w:rsidR="00DD46B2">
              <w:rPr>
                <w:rFonts w:cs="Times New Roman"/>
                <w:sz w:val="28"/>
                <w:szCs w:val="28"/>
              </w:rPr>
              <w:t>atjaunošana</w:t>
            </w:r>
            <w:r w:rsidRPr="000934B2">
              <w:rPr>
                <w:rFonts w:cs="Times New Roman"/>
                <w:sz w:val="28"/>
                <w:szCs w:val="28"/>
              </w:rPr>
              <w:t>, t.sk. steidzīga apsardzes un ugunsdro</w:t>
            </w:r>
            <w:r w:rsidRPr="00473064">
              <w:rPr>
                <w:rFonts w:cs="Times New Roman"/>
                <w:sz w:val="28"/>
                <w:szCs w:val="28"/>
              </w:rPr>
              <w:t xml:space="preserve">šības signalizācijas </w:t>
            </w:r>
            <w:r w:rsidR="00285AB8">
              <w:rPr>
                <w:rFonts w:cs="Times New Roman"/>
                <w:sz w:val="28"/>
                <w:szCs w:val="28"/>
              </w:rPr>
              <w:t xml:space="preserve"> </w:t>
            </w:r>
            <w:r w:rsidR="00DD46B2">
              <w:rPr>
                <w:rFonts w:cs="Times New Roman"/>
                <w:sz w:val="28"/>
                <w:szCs w:val="28"/>
              </w:rPr>
              <w:t>atjaunošana</w:t>
            </w:r>
            <w:r w:rsidR="00E14F92">
              <w:rPr>
                <w:rFonts w:cs="Times New Roman"/>
                <w:sz w:val="28"/>
                <w:szCs w:val="28"/>
              </w:rPr>
              <w:t>;</w:t>
            </w:r>
          </w:p>
          <w:p w:rsidR="00E14F92" w:rsidRPr="00E14F92" w:rsidRDefault="00E14F92" w:rsidP="00E14F92">
            <w:pPr>
              <w:pStyle w:val="Pamatteksts1"/>
              <w:numPr>
                <w:ilvl w:val="0"/>
                <w:numId w:val="12"/>
              </w:numPr>
              <w:shd w:val="clear" w:color="auto" w:fill="auto"/>
              <w:tabs>
                <w:tab w:val="left" w:pos="710"/>
              </w:tabs>
              <w:spacing w:before="0" w:after="0" w:line="240" w:lineRule="auto"/>
              <w:ind w:right="20"/>
              <w:jc w:val="both"/>
              <w:rPr>
                <w:rFonts w:ascii="Times New Roman" w:hAnsi="Times New Roman" w:cs="Times New Roman"/>
                <w:sz w:val="28"/>
                <w:szCs w:val="28"/>
              </w:rPr>
            </w:pPr>
            <w:r w:rsidRPr="00E14F92">
              <w:rPr>
                <w:rFonts w:ascii="Times New Roman" w:hAnsi="Times New Roman" w:cs="Times New Roman"/>
                <w:sz w:val="28"/>
                <w:szCs w:val="28"/>
              </w:rPr>
              <w:t>avārijas stāvoklī atrodas ēkas pagraba telpās korodēt sākusī pilsētas ūdensvada caurule, caur kuru tiek nodrošināta ūdens padeve 10 muzeja ugunsdzēsības krāniem un saimnieciskām vajadzībām.</w:t>
            </w:r>
          </w:p>
          <w:p w:rsidR="00DF2DCA" w:rsidRDefault="00DF2DCA" w:rsidP="000934B2">
            <w:pPr>
              <w:pStyle w:val="Bodytext50"/>
              <w:widowControl w:val="0"/>
              <w:shd w:val="clear" w:color="auto" w:fill="auto"/>
              <w:spacing w:after="0" w:line="240" w:lineRule="auto"/>
              <w:ind w:left="85" w:firstLine="283"/>
              <w:rPr>
                <w:rFonts w:cs="Times New Roman"/>
                <w:sz w:val="28"/>
                <w:szCs w:val="28"/>
                <w:highlight w:val="yellow"/>
              </w:rPr>
            </w:pPr>
          </w:p>
          <w:p w:rsidR="008077DA" w:rsidRDefault="00DD46B2" w:rsidP="000934B2">
            <w:pPr>
              <w:widowControl w:val="0"/>
              <w:spacing w:after="120" w:line="240" w:lineRule="auto"/>
              <w:jc w:val="both"/>
              <w:rPr>
                <w:rFonts w:ascii="Times New Roman" w:hAnsi="Times New Roman"/>
                <w:sz w:val="28"/>
                <w:szCs w:val="28"/>
              </w:rPr>
            </w:pPr>
            <w:r w:rsidRPr="00DD46B2">
              <w:rPr>
                <w:rFonts w:ascii="Times New Roman" w:hAnsi="Times New Roman" w:cs="Times New Roman"/>
                <w:sz w:val="28"/>
                <w:szCs w:val="28"/>
              </w:rPr>
              <w:lastRenderedPageBreak/>
              <w:t xml:space="preserve">Nekustamajā īpašumā (nekustamā īpašuma kadastra Nr.0100 003 0113) </w:t>
            </w:r>
            <w:r w:rsidRPr="00DD46B2">
              <w:rPr>
                <w:rFonts w:ascii="Times New Roman" w:hAnsi="Times New Roman" w:cs="Times New Roman"/>
                <w:b/>
                <w:i/>
                <w:sz w:val="28"/>
                <w:szCs w:val="28"/>
              </w:rPr>
              <w:t>Mārstaļu ielā 6, Rīgā,</w:t>
            </w:r>
            <w:r w:rsidRPr="00DD46B2">
              <w:rPr>
                <w:rFonts w:ascii="Times New Roman" w:hAnsi="Times New Roman" w:cs="Times New Roman"/>
                <w:sz w:val="28"/>
                <w:szCs w:val="28"/>
              </w:rPr>
              <w:t xml:space="preserve"> LFM plāno izmantot administratīvās ēkas (būves kadastra apzīmējums 0100 003 0113 001) daļu 994,86 m² platībā un noliktavu (būves kadastra apzīmējums 0100 003 0113 003) 15,70 m² platībā. </w:t>
            </w:r>
            <w:r w:rsidR="00B865AD">
              <w:rPr>
                <w:rFonts w:ascii="Times New Roman" w:hAnsi="Times New Roman" w:cs="Times New Roman"/>
                <w:sz w:val="28"/>
                <w:szCs w:val="28"/>
              </w:rPr>
              <w:t>Ēkā n</w:t>
            </w:r>
            <w:r w:rsidR="00CF7799">
              <w:rPr>
                <w:rFonts w:ascii="Times New Roman" w:hAnsi="Times New Roman" w:cs="Times New Roman"/>
                <w:sz w:val="28"/>
                <w:szCs w:val="28"/>
              </w:rPr>
              <w:t xml:space="preserve">etiek plānota un būvniecība tāmē iekļauta ēkas bēniņu pārbūve. </w:t>
            </w:r>
            <w:r w:rsidRPr="00DD46B2">
              <w:rPr>
                <w:rFonts w:ascii="Times New Roman" w:hAnsi="Times New Roman" w:cs="Times New Roman"/>
                <w:sz w:val="28"/>
                <w:szCs w:val="28"/>
              </w:rPr>
              <w:t>Nekustamajā īpašumā iespējams izvietot ekspozīcijas 400 m² platībā, radošās darbnīcas 50 m</w:t>
            </w:r>
            <w:r w:rsidR="009F652E">
              <w:rPr>
                <w:rFonts w:ascii="Times New Roman" w:hAnsi="Times New Roman" w:cs="Times New Roman"/>
                <w:sz w:val="28"/>
                <w:szCs w:val="28"/>
              </w:rPr>
              <w:t>²</w:t>
            </w:r>
            <w:r w:rsidRPr="00DD46B2">
              <w:rPr>
                <w:rFonts w:ascii="Times New Roman" w:hAnsi="Times New Roman" w:cs="Times New Roman"/>
                <w:sz w:val="28"/>
                <w:szCs w:val="28"/>
              </w:rPr>
              <w:t xml:space="preserve"> platībā, iekārtot izstāžu telpas 200 m²  platībā, krātuves 250 m²  platībā, pārējās telpas (garderobe, biļešu pārdošanas un informācijas punkts, darba telpas, tualetes u.c.) 95 m² platībā un noliktavu 15,70 m² platībā. Telpu pielāgošanas termiņš ir aptuveni </w:t>
            </w:r>
            <w:r w:rsidR="009F652E">
              <w:rPr>
                <w:rFonts w:ascii="Times New Roman" w:hAnsi="Times New Roman" w:cs="Times New Roman"/>
                <w:sz w:val="28"/>
                <w:szCs w:val="28"/>
              </w:rPr>
              <w:t>3</w:t>
            </w:r>
            <w:r w:rsidR="009F652E" w:rsidRPr="00DD46B2">
              <w:rPr>
                <w:rFonts w:ascii="Times New Roman" w:hAnsi="Times New Roman" w:cs="Times New Roman"/>
                <w:sz w:val="28"/>
                <w:szCs w:val="28"/>
              </w:rPr>
              <w:t xml:space="preserve"> </w:t>
            </w:r>
            <w:r w:rsidRPr="00DD46B2">
              <w:rPr>
                <w:rFonts w:ascii="Times New Roman" w:hAnsi="Times New Roman" w:cs="Times New Roman"/>
                <w:sz w:val="28"/>
                <w:szCs w:val="28"/>
              </w:rPr>
              <w:t>gadi no būvniecības darbu (t.sk. tehniskā projekta izstrāde) uzsākšanas.</w:t>
            </w:r>
            <w:r>
              <w:rPr>
                <w:rFonts w:ascii="Times New Roman" w:hAnsi="Times New Roman" w:cs="Times New Roman"/>
                <w:sz w:val="28"/>
                <w:szCs w:val="28"/>
              </w:rPr>
              <w:t xml:space="preserve"> </w:t>
            </w:r>
            <w:r w:rsidR="008077DA" w:rsidRPr="008077DA">
              <w:rPr>
                <w:rFonts w:ascii="Times New Roman" w:hAnsi="Times New Roman"/>
                <w:sz w:val="28"/>
                <w:szCs w:val="28"/>
              </w:rPr>
              <w:t xml:space="preserve"> </w:t>
            </w:r>
          </w:p>
          <w:p w:rsidR="00473064" w:rsidRDefault="000934B2" w:rsidP="000934B2">
            <w:pPr>
              <w:widowControl w:val="0"/>
              <w:spacing w:after="120" w:line="240" w:lineRule="auto"/>
              <w:jc w:val="both"/>
              <w:rPr>
                <w:rFonts w:ascii="Times New Roman" w:hAnsi="Times New Roman"/>
                <w:sz w:val="28"/>
                <w:szCs w:val="28"/>
              </w:rPr>
            </w:pPr>
            <w:r>
              <w:rPr>
                <w:rFonts w:ascii="Times New Roman" w:hAnsi="Times New Roman"/>
                <w:sz w:val="28"/>
                <w:szCs w:val="28"/>
              </w:rPr>
              <w:t>Ieguvumi LFM pārceļoties uz ēku Mārstaļu ielā 6, Rīgā:</w:t>
            </w:r>
          </w:p>
          <w:p w:rsidR="008077DA" w:rsidRDefault="008077DA" w:rsidP="000934B2">
            <w:pPr>
              <w:pStyle w:val="Sarakstarindkopa"/>
              <w:widowControl w:val="0"/>
              <w:numPr>
                <w:ilvl w:val="0"/>
                <w:numId w:val="13"/>
              </w:numPr>
              <w:spacing w:after="120" w:line="240" w:lineRule="auto"/>
              <w:jc w:val="both"/>
              <w:rPr>
                <w:rFonts w:ascii="Times New Roman" w:hAnsi="Times New Roman"/>
                <w:sz w:val="28"/>
                <w:szCs w:val="28"/>
              </w:rPr>
            </w:pPr>
            <w:r w:rsidRPr="000934B2">
              <w:rPr>
                <w:rFonts w:ascii="Times New Roman" w:hAnsi="Times New Roman"/>
                <w:sz w:val="28"/>
                <w:szCs w:val="28"/>
              </w:rPr>
              <w:t>Atšķirībā no ēkas Mārstaļu ielā 8, Mārstaļu ielā 6, Rīgā, ieejas durvis atrodas uz galvenās, t.i. Mārstaļu ielas, kas ir būtisks faktors Muzeja ap</w:t>
            </w:r>
            <w:r w:rsidR="00F1281B">
              <w:rPr>
                <w:rFonts w:ascii="Times New Roman" w:hAnsi="Times New Roman"/>
                <w:sz w:val="28"/>
                <w:szCs w:val="28"/>
              </w:rPr>
              <w:t>meklētības rādītāju uzlabošanai;</w:t>
            </w:r>
          </w:p>
          <w:p w:rsidR="00F1281B" w:rsidRPr="00F1281B" w:rsidRDefault="00F1281B" w:rsidP="00F1281B">
            <w:pPr>
              <w:pStyle w:val="Sarakstarindkopa"/>
              <w:numPr>
                <w:ilvl w:val="0"/>
                <w:numId w:val="14"/>
              </w:numPr>
              <w:spacing w:after="0" w:line="240" w:lineRule="auto"/>
              <w:ind w:left="368" w:right="-1" w:hanging="357"/>
              <w:jc w:val="both"/>
              <w:rPr>
                <w:rFonts w:ascii="Times New Roman" w:hAnsi="Times New Roman" w:cs="Times New Roman"/>
                <w:sz w:val="28"/>
                <w:szCs w:val="28"/>
              </w:rPr>
            </w:pPr>
            <w:r w:rsidRPr="00F1281B">
              <w:rPr>
                <w:rFonts w:ascii="Times New Roman" w:hAnsi="Times New Roman" w:cs="Times New Roman"/>
                <w:sz w:val="28"/>
                <w:szCs w:val="28"/>
              </w:rPr>
              <w:t>LFM telpās tiks nodrošinātas nepieciešamās ugunsdrošības prasības;</w:t>
            </w:r>
          </w:p>
          <w:p w:rsidR="00F1281B" w:rsidRPr="00F1281B" w:rsidRDefault="00F1281B" w:rsidP="00F1281B">
            <w:pPr>
              <w:pStyle w:val="Sarakstarindkopa"/>
              <w:numPr>
                <w:ilvl w:val="0"/>
                <w:numId w:val="14"/>
              </w:numPr>
              <w:spacing w:after="0" w:line="240" w:lineRule="auto"/>
              <w:ind w:left="368" w:right="-1" w:hanging="357"/>
              <w:jc w:val="both"/>
              <w:rPr>
                <w:rFonts w:ascii="Times New Roman" w:hAnsi="Times New Roman" w:cs="Times New Roman"/>
                <w:sz w:val="28"/>
                <w:szCs w:val="28"/>
              </w:rPr>
            </w:pPr>
            <w:r w:rsidRPr="00F1281B">
              <w:rPr>
                <w:rFonts w:ascii="Times New Roman" w:hAnsi="Times New Roman" w:cs="Times New Roman"/>
                <w:sz w:val="28"/>
                <w:szCs w:val="28"/>
              </w:rPr>
              <w:t>samazināsies izdevumi par telpu nomu, jo jaunā LFM ēka ir valsts</w:t>
            </w:r>
            <w:r w:rsidR="001C3E57">
              <w:rPr>
                <w:rFonts w:ascii="Times New Roman" w:hAnsi="Times New Roman" w:cs="Times New Roman"/>
                <w:sz w:val="28"/>
                <w:szCs w:val="28"/>
              </w:rPr>
              <w:t xml:space="preserve"> akciju sabiedrības „Valsts nekustamie īpašumi”</w:t>
            </w:r>
            <w:r w:rsidRPr="00F1281B">
              <w:rPr>
                <w:rFonts w:ascii="Times New Roman" w:hAnsi="Times New Roman" w:cs="Times New Roman"/>
                <w:sz w:val="28"/>
                <w:szCs w:val="28"/>
              </w:rPr>
              <w:t xml:space="preserve"> īpašums;</w:t>
            </w:r>
          </w:p>
          <w:p w:rsidR="00F1281B" w:rsidRPr="00F1281B" w:rsidRDefault="00F1281B" w:rsidP="00F1281B">
            <w:pPr>
              <w:pStyle w:val="Sarakstarindkopa"/>
              <w:numPr>
                <w:ilvl w:val="0"/>
                <w:numId w:val="14"/>
              </w:numPr>
              <w:spacing w:after="0" w:line="240" w:lineRule="auto"/>
              <w:ind w:left="368" w:right="-1" w:hanging="357"/>
              <w:jc w:val="both"/>
              <w:rPr>
                <w:rFonts w:ascii="Times New Roman" w:hAnsi="Times New Roman" w:cs="Times New Roman"/>
                <w:sz w:val="28"/>
                <w:szCs w:val="28"/>
              </w:rPr>
            </w:pPr>
            <w:r w:rsidRPr="00F1281B">
              <w:rPr>
                <w:rFonts w:ascii="Times New Roman" w:hAnsi="Times New Roman" w:cs="Times New Roman"/>
                <w:sz w:val="28"/>
                <w:szCs w:val="28"/>
              </w:rPr>
              <w:t>LFM ēkā tiks nodrošināta pieeja apmeklētājiem ar kustību traucējumiem;</w:t>
            </w:r>
          </w:p>
          <w:p w:rsidR="00F1281B" w:rsidRPr="00F1281B" w:rsidRDefault="00F1281B" w:rsidP="00F1281B">
            <w:pPr>
              <w:pStyle w:val="Sarakstarindkopa"/>
              <w:numPr>
                <w:ilvl w:val="0"/>
                <w:numId w:val="14"/>
              </w:numPr>
              <w:spacing w:after="0" w:line="240" w:lineRule="auto"/>
              <w:ind w:left="368" w:right="-1" w:hanging="357"/>
              <w:jc w:val="both"/>
              <w:rPr>
                <w:rFonts w:ascii="Times New Roman" w:hAnsi="Times New Roman" w:cs="Times New Roman"/>
                <w:sz w:val="28"/>
                <w:szCs w:val="28"/>
              </w:rPr>
            </w:pPr>
            <w:r w:rsidRPr="00F1281B">
              <w:rPr>
                <w:rFonts w:ascii="Times New Roman" w:hAnsi="Times New Roman" w:cs="Times New Roman"/>
                <w:sz w:val="28"/>
                <w:szCs w:val="28"/>
              </w:rPr>
              <w:t>tiks uzlaboti muzeja darbinieku darba apstākļi;</w:t>
            </w:r>
          </w:p>
          <w:p w:rsidR="00F1281B" w:rsidRPr="00F1281B" w:rsidRDefault="00F1281B" w:rsidP="00F1281B">
            <w:pPr>
              <w:pStyle w:val="Bodytext0"/>
              <w:numPr>
                <w:ilvl w:val="0"/>
                <w:numId w:val="14"/>
              </w:numPr>
              <w:shd w:val="clear" w:color="auto" w:fill="auto"/>
              <w:tabs>
                <w:tab w:val="left" w:pos="730"/>
              </w:tabs>
              <w:spacing w:before="0" w:after="0" w:line="240" w:lineRule="auto"/>
              <w:ind w:left="368" w:hanging="357"/>
              <w:jc w:val="both"/>
              <w:rPr>
                <w:rFonts w:cs="Times New Roman"/>
                <w:sz w:val="28"/>
                <w:szCs w:val="28"/>
              </w:rPr>
            </w:pPr>
            <w:r w:rsidRPr="00F1281B">
              <w:rPr>
                <w:rFonts w:cs="Times New Roman"/>
                <w:sz w:val="28"/>
                <w:szCs w:val="28"/>
              </w:rPr>
              <w:t>LFM plāno apmeklētāju skaita pieauguma trīskāršošanos līdz 25 000 apmeklētājiem/gadā;</w:t>
            </w:r>
          </w:p>
          <w:p w:rsidR="00F1281B" w:rsidRPr="00F1281B" w:rsidRDefault="00F1281B" w:rsidP="00F1281B">
            <w:pPr>
              <w:pStyle w:val="Bodytext0"/>
              <w:numPr>
                <w:ilvl w:val="0"/>
                <w:numId w:val="14"/>
              </w:numPr>
              <w:shd w:val="clear" w:color="auto" w:fill="auto"/>
              <w:tabs>
                <w:tab w:val="left" w:pos="730"/>
              </w:tabs>
              <w:spacing w:before="0" w:after="0" w:line="240" w:lineRule="auto"/>
              <w:ind w:left="368" w:hanging="357"/>
              <w:jc w:val="both"/>
              <w:rPr>
                <w:rFonts w:cs="Times New Roman"/>
                <w:sz w:val="28"/>
                <w:szCs w:val="28"/>
              </w:rPr>
            </w:pPr>
            <w:r w:rsidRPr="00F1281B">
              <w:rPr>
                <w:rFonts w:cs="Times New Roman"/>
                <w:sz w:val="28"/>
                <w:szCs w:val="28"/>
              </w:rPr>
              <w:lastRenderedPageBreak/>
              <w:t xml:space="preserve"> LFM būs iespēja papildināt krājumu ar dāvinājumiem, jo izteikuši vēlmi savas kolekcijas dāvināt valstij ir fotogrāfi G.Binde, V.Mihailovskis u.c.;</w:t>
            </w:r>
          </w:p>
          <w:p w:rsidR="00F1281B" w:rsidRPr="00063809" w:rsidRDefault="00F1281B" w:rsidP="00063809">
            <w:pPr>
              <w:pStyle w:val="Bodytext0"/>
              <w:numPr>
                <w:ilvl w:val="0"/>
                <w:numId w:val="14"/>
              </w:numPr>
              <w:shd w:val="clear" w:color="auto" w:fill="auto"/>
              <w:tabs>
                <w:tab w:val="left" w:pos="730"/>
              </w:tabs>
              <w:spacing w:before="0" w:after="0" w:line="240" w:lineRule="auto"/>
              <w:ind w:left="368" w:right="40" w:hanging="357"/>
              <w:jc w:val="both"/>
              <w:rPr>
                <w:rFonts w:cs="Times New Roman"/>
                <w:sz w:val="28"/>
                <w:szCs w:val="28"/>
              </w:rPr>
            </w:pPr>
            <w:r w:rsidRPr="00063809">
              <w:rPr>
                <w:rFonts w:cs="Times New Roman"/>
                <w:sz w:val="28"/>
                <w:szCs w:val="28"/>
              </w:rPr>
              <w:t>apmeklētājiem būs pieejama atraktīvu priekšmetu un fotogrāfijas procesu demonstrēšana vēstures ekspozīcijas daļā un virtuāla pieeja muzeja krājuma kolekcijām;</w:t>
            </w:r>
          </w:p>
          <w:p w:rsidR="00F1281B" w:rsidRPr="00F1281B" w:rsidRDefault="00F1281B" w:rsidP="00F1281B">
            <w:pPr>
              <w:pStyle w:val="Bodytext0"/>
              <w:numPr>
                <w:ilvl w:val="0"/>
                <w:numId w:val="14"/>
              </w:numPr>
              <w:shd w:val="clear" w:color="auto" w:fill="auto"/>
              <w:tabs>
                <w:tab w:val="left" w:pos="730"/>
              </w:tabs>
              <w:spacing w:before="0" w:after="0" w:line="240" w:lineRule="auto"/>
              <w:ind w:left="368" w:right="40" w:hanging="357"/>
              <w:jc w:val="both"/>
              <w:rPr>
                <w:rFonts w:cs="Times New Roman"/>
                <w:sz w:val="28"/>
                <w:szCs w:val="28"/>
              </w:rPr>
            </w:pPr>
            <w:r w:rsidRPr="00F1281B">
              <w:rPr>
                <w:rFonts w:cs="Times New Roman"/>
                <w:sz w:val="28"/>
                <w:szCs w:val="28"/>
              </w:rPr>
              <w:t>paplašinot/ izbūvējot izstāžu zāles, tiks nodrošināta nozīmīgu ārzemju autoru izstāžu, semināru un meistarklašu regulāra organizēšana;</w:t>
            </w:r>
          </w:p>
          <w:p w:rsidR="00F1281B" w:rsidRPr="00F1281B" w:rsidRDefault="00F1281B" w:rsidP="00F1281B">
            <w:pPr>
              <w:pStyle w:val="Bodytext0"/>
              <w:numPr>
                <w:ilvl w:val="0"/>
                <w:numId w:val="14"/>
              </w:numPr>
              <w:shd w:val="clear" w:color="auto" w:fill="auto"/>
              <w:tabs>
                <w:tab w:val="left" w:pos="730"/>
              </w:tabs>
              <w:spacing w:before="0" w:after="0" w:line="240" w:lineRule="auto"/>
              <w:ind w:left="368" w:hanging="357"/>
              <w:jc w:val="both"/>
              <w:rPr>
                <w:rStyle w:val="Bodytext4"/>
                <w:rFonts w:eastAsia="Arial"/>
                <w:sz w:val="28"/>
                <w:szCs w:val="28"/>
              </w:rPr>
            </w:pPr>
            <w:r w:rsidRPr="00F1281B">
              <w:rPr>
                <w:rFonts w:cs="Times New Roman"/>
                <w:sz w:val="28"/>
                <w:szCs w:val="28"/>
              </w:rPr>
              <w:t>būs piemērotas telpas aktīvam sabiedrības piesaistīšanas (izglītošanas) darbam par fotogrāfiju;</w:t>
            </w:r>
          </w:p>
          <w:p w:rsidR="00F1281B" w:rsidRPr="00F1281B" w:rsidRDefault="00F1281B" w:rsidP="00F1281B">
            <w:pPr>
              <w:pStyle w:val="Bodytext0"/>
              <w:numPr>
                <w:ilvl w:val="0"/>
                <w:numId w:val="14"/>
              </w:numPr>
              <w:shd w:val="clear" w:color="auto" w:fill="auto"/>
              <w:tabs>
                <w:tab w:val="left" w:pos="706"/>
              </w:tabs>
              <w:spacing w:before="0" w:after="0" w:line="240" w:lineRule="auto"/>
              <w:ind w:left="368" w:hanging="357"/>
              <w:jc w:val="both"/>
              <w:rPr>
                <w:rFonts w:cs="Times New Roman"/>
                <w:sz w:val="28"/>
                <w:szCs w:val="28"/>
              </w:rPr>
            </w:pPr>
            <w:r w:rsidRPr="00F1281B">
              <w:rPr>
                <w:rFonts w:cs="Times New Roman"/>
                <w:sz w:val="28"/>
                <w:szCs w:val="28"/>
              </w:rPr>
              <w:t>apmeklētājiem būs publiski pieejama muzeja speciālās literatūras bibliotēka un arhīvs par fotogrāfijas vēsturi;</w:t>
            </w:r>
          </w:p>
          <w:p w:rsidR="00F1281B" w:rsidRPr="00F1281B" w:rsidRDefault="00F1281B" w:rsidP="00F1281B">
            <w:pPr>
              <w:pStyle w:val="Bodytext0"/>
              <w:numPr>
                <w:ilvl w:val="0"/>
                <w:numId w:val="14"/>
              </w:numPr>
              <w:shd w:val="clear" w:color="auto" w:fill="auto"/>
              <w:tabs>
                <w:tab w:val="left" w:pos="706"/>
              </w:tabs>
              <w:spacing w:before="0" w:after="0" w:line="240" w:lineRule="auto"/>
              <w:ind w:left="368" w:hanging="357"/>
              <w:jc w:val="both"/>
              <w:rPr>
                <w:rFonts w:cs="Times New Roman"/>
                <w:sz w:val="28"/>
                <w:szCs w:val="28"/>
              </w:rPr>
            </w:pPr>
            <w:r w:rsidRPr="00F1281B">
              <w:rPr>
                <w:rFonts w:cs="Times New Roman"/>
                <w:sz w:val="28"/>
                <w:szCs w:val="28"/>
              </w:rPr>
              <w:t xml:space="preserve">tiks panākta LFM krājuma kā Nacionālā muzeju krājuma sastāvdaļas drošība un krājuma darba atbilstība </w:t>
            </w:r>
            <w:r w:rsidR="0011694F">
              <w:rPr>
                <w:rFonts w:cs="Times New Roman"/>
                <w:sz w:val="28"/>
                <w:szCs w:val="28"/>
              </w:rPr>
              <w:t xml:space="preserve">Ministru kabineta </w:t>
            </w:r>
            <w:r w:rsidRPr="00F1281B">
              <w:rPr>
                <w:rFonts w:cs="Times New Roman"/>
                <w:sz w:val="28"/>
                <w:szCs w:val="28"/>
              </w:rPr>
              <w:t xml:space="preserve">2006.gada 21.novembra </w:t>
            </w:r>
            <w:r w:rsidR="0011694F">
              <w:rPr>
                <w:rFonts w:cs="Times New Roman"/>
                <w:sz w:val="28"/>
                <w:szCs w:val="28"/>
              </w:rPr>
              <w:t>noteikumu Nr.</w:t>
            </w:r>
            <w:r w:rsidRPr="00F1281B">
              <w:rPr>
                <w:rFonts w:cs="Times New Roman"/>
                <w:sz w:val="28"/>
                <w:szCs w:val="28"/>
              </w:rPr>
              <w:t>956 „Noteikumi par Nacionālo muzeju krājumu” prasībām;</w:t>
            </w:r>
          </w:p>
          <w:p w:rsidR="00F1281B" w:rsidRDefault="00F1281B" w:rsidP="00F1281B">
            <w:pPr>
              <w:pStyle w:val="Bodytext0"/>
              <w:numPr>
                <w:ilvl w:val="0"/>
                <w:numId w:val="14"/>
              </w:numPr>
              <w:shd w:val="clear" w:color="auto" w:fill="auto"/>
              <w:tabs>
                <w:tab w:val="left" w:pos="706"/>
              </w:tabs>
              <w:spacing w:before="0" w:after="0" w:line="240" w:lineRule="auto"/>
              <w:ind w:left="368" w:hanging="357"/>
              <w:jc w:val="both"/>
              <w:rPr>
                <w:rFonts w:cs="Times New Roman"/>
                <w:sz w:val="28"/>
                <w:szCs w:val="28"/>
              </w:rPr>
            </w:pPr>
            <w:r w:rsidRPr="00F1281B">
              <w:rPr>
                <w:rFonts w:cs="Times New Roman"/>
                <w:sz w:val="28"/>
                <w:szCs w:val="28"/>
              </w:rPr>
              <w:t>tiks novērsti muzeja apmeklētāju drošības apdraudējuma riski.</w:t>
            </w:r>
          </w:p>
          <w:p w:rsidR="009F568F" w:rsidRDefault="009F568F" w:rsidP="009F568F">
            <w:pPr>
              <w:pStyle w:val="Bodytext0"/>
              <w:shd w:val="clear" w:color="auto" w:fill="auto"/>
              <w:tabs>
                <w:tab w:val="left" w:pos="706"/>
              </w:tabs>
              <w:spacing w:before="0" w:after="0" w:line="240" w:lineRule="auto"/>
              <w:jc w:val="both"/>
              <w:rPr>
                <w:rFonts w:cs="Times New Roman"/>
                <w:sz w:val="28"/>
                <w:szCs w:val="28"/>
              </w:rPr>
            </w:pPr>
          </w:p>
          <w:p w:rsidR="009F568F" w:rsidRDefault="009F568F" w:rsidP="009F568F">
            <w:pPr>
              <w:pStyle w:val="Bodytext0"/>
              <w:shd w:val="clear" w:color="auto" w:fill="auto"/>
              <w:tabs>
                <w:tab w:val="left" w:pos="706"/>
              </w:tabs>
              <w:spacing w:before="0" w:after="0" w:line="240" w:lineRule="auto"/>
              <w:jc w:val="both"/>
              <w:rPr>
                <w:rFonts w:cs="Times New Roman"/>
                <w:sz w:val="28"/>
                <w:szCs w:val="28"/>
              </w:rPr>
            </w:pPr>
            <w:r>
              <w:rPr>
                <w:rFonts w:cs="Times New Roman"/>
                <w:sz w:val="28"/>
                <w:szCs w:val="28"/>
              </w:rPr>
              <w:t xml:space="preserve">VAS „Valsts nekustamie īpašumi” (turpmāk – VNĪ) pēc Kultūras ministrijas lūguma ir sagatavojusi trīs nomas maksas prognozes LFM ar kapitālieguldījumu atmaksas periodu uz 20, 25 un 30 gadiem. </w:t>
            </w:r>
          </w:p>
          <w:p w:rsidR="0011694F" w:rsidRDefault="0011694F" w:rsidP="009F568F">
            <w:pPr>
              <w:pStyle w:val="Bodytext0"/>
              <w:shd w:val="clear" w:color="auto" w:fill="auto"/>
              <w:tabs>
                <w:tab w:val="left" w:pos="706"/>
              </w:tabs>
              <w:spacing w:before="0" w:after="0" w:line="240" w:lineRule="auto"/>
              <w:jc w:val="both"/>
              <w:rPr>
                <w:rFonts w:cs="Times New Roman"/>
                <w:sz w:val="28"/>
                <w:szCs w:val="28"/>
              </w:rPr>
            </w:pPr>
          </w:p>
          <w:p w:rsidR="00312688" w:rsidRDefault="00312688" w:rsidP="009F568F">
            <w:pPr>
              <w:pStyle w:val="Bodytext0"/>
              <w:shd w:val="clear" w:color="auto" w:fill="auto"/>
              <w:tabs>
                <w:tab w:val="left" w:pos="706"/>
              </w:tabs>
              <w:spacing w:before="0" w:after="0" w:line="240" w:lineRule="auto"/>
              <w:jc w:val="both"/>
              <w:rPr>
                <w:rFonts w:cs="Times New Roman"/>
                <w:sz w:val="28"/>
                <w:szCs w:val="28"/>
              </w:rPr>
            </w:pPr>
            <w:r>
              <w:rPr>
                <w:rFonts w:cs="Times New Roman"/>
                <w:sz w:val="28"/>
                <w:szCs w:val="28"/>
              </w:rPr>
              <w:t>Izvērtējot, LFM finansiālās iespējas, tika izvēlēts kapitālieguldījumu atmaksas periods 25 gadi</w:t>
            </w:r>
            <w:r w:rsidR="00C51714">
              <w:rPr>
                <w:rFonts w:cs="Times New Roman"/>
                <w:sz w:val="28"/>
                <w:szCs w:val="28"/>
              </w:rPr>
              <w:t xml:space="preserve"> (skatīt anotācijas pielikums)</w:t>
            </w:r>
            <w:r>
              <w:rPr>
                <w:rFonts w:cs="Times New Roman"/>
                <w:sz w:val="28"/>
                <w:szCs w:val="28"/>
              </w:rPr>
              <w:t>.</w:t>
            </w:r>
          </w:p>
          <w:p w:rsidR="00312688" w:rsidRDefault="00312688" w:rsidP="009F568F">
            <w:pPr>
              <w:pStyle w:val="Bodytext0"/>
              <w:shd w:val="clear" w:color="auto" w:fill="auto"/>
              <w:tabs>
                <w:tab w:val="left" w:pos="706"/>
              </w:tabs>
              <w:spacing w:before="0" w:after="0" w:line="240" w:lineRule="auto"/>
              <w:jc w:val="both"/>
              <w:rPr>
                <w:rFonts w:cs="Times New Roman"/>
                <w:sz w:val="28"/>
                <w:szCs w:val="28"/>
              </w:rPr>
            </w:pPr>
          </w:p>
          <w:p w:rsidR="00C85885" w:rsidRPr="00312688" w:rsidRDefault="00312688" w:rsidP="00312688">
            <w:pPr>
              <w:spacing w:after="0" w:line="240" w:lineRule="auto"/>
              <w:jc w:val="both"/>
              <w:rPr>
                <w:rFonts w:ascii="Times New Roman" w:hAnsi="Times New Roman"/>
                <w:sz w:val="28"/>
                <w:szCs w:val="28"/>
              </w:rPr>
            </w:pPr>
            <w:r>
              <w:rPr>
                <w:rFonts w:ascii="Times New Roman" w:hAnsi="Times New Roman"/>
                <w:sz w:val="28"/>
                <w:szCs w:val="28"/>
              </w:rPr>
              <w:t>Tā kā ir</w:t>
            </w:r>
            <w:r w:rsidRPr="00312688">
              <w:rPr>
                <w:rFonts w:ascii="Times New Roman" w:hAnsi="Times New Roman"/>
                <w:sz w:val="28"/>
                <w:szCs w:val="28"/>
              </w:rPr>
              <w:t xml:space="preserve"> jāveic kapitālieguldījumi ēkas piemērošanai </w:t>
            </w:r>
            <w:r>
              <w:rPr>
                <w:rFonts w:ascii="Times New Roman" w:hAnsi="Times New Roman"/>
                <w:sz w:val="28"/>
                <w:szCs w:val="28"/>
              </w:rPr>
              <w:t>LFM funkcijām, p</w:t>
            </w:r>
            <w:r w:rsidRPr="00312688">
              <w:rPr>
                <w:rFonts w:ascii="Times New Roman" w:hAnsi="Times New Roman"/>
                <w:sz w:val="28"/>
                <w:szCs w:val="28"/>
              </w:rPr>
              <w:t xml:space="preserve">ēc VNĪ </w:t>
            </w:r>
            <w:r w:rsidRPr="00312688">
              <w:rPr>
                <w:rFonts w:ascii="Times New Roman" w:hAnsi="Times New Roman"/>
                <w:sz w:val="28"/>
                <w:szCs w:val="28"/>
              </w:rPr>
              <w:lastRenderedPageBreak/>
              <w:t xml:space="preserve">provizoriskiem aprēķiniem telpu pielāgošana LFM vajadzībām un ekspozīciju iekārtošana </w:t>
            </w:r>
            <w:r>
              <w:rPr>
                <w:rFonts w:ascii="Times New Roman" w:hAnsi="Times New Roman"/>
                <w:sz w:val="28"/>
                <w:szCs w:val="28"/>
              </w:rPr>
              <w:t xml:space="preserve">izmaksās </w:t>
            </w:r>
            <w:r w:rsidR="001C3E57">
              <w:rPr>
                <w:rFonts w:ascii="Times New Roman" w:hAnsi="Times New Roman"/>
                <w:sz w:val="28"/>
                <w:szCs w:val="28"/>
              </w:rPr>
              <w:t>931 385</w:t>
            </w:r>
            <w:r>
              <w:rPr>
                <w:rFonts w:ascii="Times New Roman" w:hAnsi="Times New Roman"/>
                <w:sz w:val="28"/>
                <w:szCs w:val="28"/>
              </w:rPr>
              <w:t xml:space="preserve"> </w:t>
            </w:r>
            <w:r w:rsidRPr="00312688">
              <w:rPr>
                <w:rFonts w:ascii="Times New Roman" w:hAnsi="Times New Roman"/>
                <w:i/>
                <w:sz w:val="28"/>
                <w:szCs w:val="28"/>
              </w:rPr>
              <w:t>euro</w:t>
            </w:r>
            <w:r>
              <w:rPr>
                <w:rFonts w:ascii="Times New Roman" w:hAnsi="Times New Roman"/>
                <w:sz w:val="28"/>
                <w:szCs w:val="28"/>
              </w:rPr>
              <w:t xml:space="preserve">. </w:t>
            </w:r>
            <w:r w:rsidRPr="00312688">
              <w:rPr>
                <w:rFonts w:ascii="Times New Roman" w:hAnsi="Times New Roman"/>
                <w:sz w:val="28"/>
                <w:szCs w:val="28"/>
              </w:rPr>
              <w:t xml:space="preserve">Uzņemoties ilgtermiņa saistības par </w:t>
            </w:r>
            <w:r>
              <w:rPr>
                <w:rFonts w:ascii="Times New Roman" w:hAnsi="Times New Roman"/>
                <w:sz w:val="28"/>
                <w:szCs w:val="28"/>
              </w:rPr>
              <w:t>ieguldītā finansējuma atmaksu 25</w:t>
            </w:r>
            <w:r w:rsidRPr="00312688">
              <w:rPr>
                <w:rFonts w:ascii="Times New Roman" w:hAnsi="Times New Roman"/>
                <w:sz w:val="28"/>
                <w:szCs w:val="28"/>
              </w:rPr>
              <w:t xml:space="preserve"> gados, gadā vidēji nepieciešamais finansējums ir </w:t>
            </w:r>
            <w:r w:rsidR="00C85885">
              <w:rPr>
                <w:rFonts w:ascii="Times New Roman" w:hAnsi="Times New Roman"/>
                <w:sz w:val="28"/>
                <w:szCs w:val="28"/>
              </w:rPr>
              <w:t xml:space="preserve"> 101 579,89</w:t>
            </w:r>
            <w:r w:rsidRPr="00312688">
              <w:rPr>
                <w:rFonts w:ascii="Times New Roman" w:hAnsi="Times New Roman"/>
                <w:sz w:val="28"/>
                <w:szCs w:val="28"/>
              </w:rPr>
              <w:t xml:space="preserve"> </w:t>
            </w:r>
            <w:r w:rsidRPr="00312688">
              <w:rPr>
                <w:rFonts w:ascii="Times New Roman" w:hAnsi="Times New Roman"/>
                <w:i/>
                <w:sz w:val="28"/>
                <w:szCs w:val="28"/>
              </w:rPr>
              <w:t>euro</w:t>
            </w:r>
            <w:r w:rsidRPr="00312688">
              <w:rPr>
                <w:rFonts w:ascii="Times New Roman" w:hAnsi="Times New Roman"/>
                <w:sz w:val="28"/>
                <w:szCs w:val="28"/>
              </w:rPr>
              <w:t xml:space="preserve"> (</w:t>
            </w:r>
            <w:r w:rsidR="00C85885">
              <w:rPr>
                <w:rFonts w:ascii="Times New Roman" w:hAnsi="Times New Roman"/>
                <w:sz w:val="28"/>
                <w:szCs w:val="28"/>
              </w:rPr>
              <w:t xml:space="preserve"> 8 464,99</w:t>
            </w:r>
            <w:r w:rsidRPr="00312688">
              <w:rPr>
                <w:rFonts w:ascii="Times New Roman" w:hAnsi="Times New Roman"/>
                <w:sz w:val="28"/>
                <w:szCs w:val="28"/>
              </w:rPr>
              <w:t xml:space="preserve"> </w:t>
            </w:r>
            <w:r w:rsidRPr="00312688">
              <w:rPr>
                <w:rFonts w:ascii="Times New Roman" w:hAnsi="Times New Roman"/>
                <w:i/>
                <w:sz w:val="28"/>
                <w:szCs w:val="28"/>
              </w:rPr>
              <w:t>euro</w:t>
            </w:r>
            <w:r w:rsidRPr="00312688">
              <w:rPr>
                <w:rFonts w:ascii="Times New Roman" w:hAnsi="Times New Roman"/>
                <w:sz w:val="28"/>
                <w:szCs w:val="28"/>
              </w:rPr>
              <w:t xml:space="preserve"> mēnesī)</w:t>
            </w:r>
            <w:r>
              <w:rPr>
                <w:rFonts w:ascii="Times New Roman" w:hAnsi="Times New Roman"/>
                <w:sz w:val="28"/>
                <w:szCs w:val="28"/>
              </w:rPr>
              <w:t xml:space="preserve">, vidēji mēnesī </w:t>
            </w:r>
            <w:r w:rsidR="00C85885">
              <w:rPr>
                <w:rFonts w:ascii="Times New Roman" w:hAnsi="Times New Roman"/>
                <w:sz w:val="28"/>
                <w:szCs w:val="28"/>
              </w:rPr>
              <w:t xml:space="preserve"> 8,509</w:t>
            </w:r>
            <w:r w:rsidRPr="00312688">
              <w:rPr>
                <w:rFonts w:ascii="Times New Roman" w:hAnsi="Times New Roman"/>
                <w:sz w:val="28"/>
                <w:szCs w:val="28"/>
              </w:rPr>
              <w:t xml:space="preserve"> </w:t>
            </w:r>
            <w:r w:rsidRPr="00312688">
              <w:rPr>
                <w:rFonts w:ascii="Times New Roman" w:hAnsi="Times New Roman"/>
                <w:i/>
                <w:sz w:val="28"/>
                <w:szCs w:val="28"/>
              </w:rPr>
              <w:t>euro</w:t>
            </w:r>
            <w:r w:rsidRPr="00312688">
              <w:rPr>
                <w:rFonts w:ascii="Times New Roman" w:hAnsi="Times New Roman"/>
                <w:sz w:val="28"/>
                <w:szCs w:val="28"/>
              </w:rPr>
              <w:t>/ m</w:t>
            </w:r>
            <w:r w:rsidRPr="00312688">
              <w:rPr>
                <w:rFonts w:ascii="Times New Roman" w:hAnsi="Times New Roman"/>
                <w:sz w:val="28"/>
                <w:szCs w:val="28"/>
                <w:vertAlign w:val="superscript"/>
              </w:rPr>
              <w:t>2</w:t>
            </w:r>
            <w:r w:rsidRPr="00312688">
              <w:rPr>
                <w:rFonts w:ascii="Times New Roman" w:hAnsi="Times New Roman"/>
                <w:sz w:val="28"/>
                <w:szCs w:val="28"/>
              </w:rPr>
              <w:t xml:space="preserve">. </w:t>
            </w:r>
            <w:r w:rsidR="00C85885">
              <w:rPr>
                <w:rFonts w:ascii="Times New Roman" w:hAnsi="Times New Roman"/>
                <w:sz w:val="28"/>
                <w:szCs w:val="28"/>
              </w:rPr>
              <w:t>Savukārt palīgēkā, kuras platība ir 15,70 m</w:t>
            </w:r>
            <w:r w:rsidR="00C85885">
              <w:rPr>
                <w:rFonts w:asciiTheme="minorEastAsia" w:hAnsiTheme="minorEastAsia" w:cstheme="minorEastAsia" w:hint="eastAsia"/>
                <w:sz w:val="28"/>
                <w:szCs w:val="28"/>
              </w:rPr>
              <w:t>²</w:t>
            </w:r>
            <w:r w:rsidR="00C85885">
              <w:rPr>
                <w:rFonts w:ascii="Times New Roman" w:hAnsi="Times New Roman"/>
                <w:sz w:val="28"/>
                <w:szCs w:val="28"/>
              </w:rPr>
              <w:t xml:space="preserve">netiks veikti renovācijas darbi, bet tiek plānota palīgēkas nomas maksa uz 25 gadiem – 7 241,85 </w:t>
            </w:r>
            <w:r w:rsidR="00C85885" w:rsidRPr="00FE698E">
              <w:rPr>
                <w:rFonts w:ascii="Times New Roman" w:hAnsi="Times New Roman"/>
                <w:i/>
                <w:sz w:val="28"/>
                <w:szCs w:val="28"/>
              </w:rPr>
              <w:t>euro</w:t>
            </w:r>
            <w:r w:rsidR="00C85885">
              <w:rPr>
                <w:rFonts w:ascii="Times New Roman" w:hAnsi="Times New Roman"/>
                <w:sz w:val="28"/>
                <w:szCs w:val="28"/>
              </w:rPr>
              <w:t xml:space="preserve">, kuru veido vidēji 289,67 </w:t>
            </w:r>
            <w:r w:rsidR="00C85885" w:rsidRPr="00FE698E">
              <w:rPr>
                <w:rFonts w:ascii="Times New Roman" w:hAnsi="Times New Roman"/>
                <w:i/>
                <w:sz w:val="28"/>
                <w:szCs w:val="28"/>
              </w:rPr>
              <w:t>euro/ gadā</w:t>
            </w:r>
            <w:r w:rsidR="009110B0">
              <w:rPr>
                <w:rFonts w:ascii="Times New Roman" w:hAnsi="Times New Roman"/>
                <w:sz w:val="28"/>
                <w:szCs w:val="28"/>
              </w:rPr>
              <w:t xml:space="preserve"> (24,</w:t>
            </w:r>
            <w:r w:rsidR="00C85885">
              <w:rPr>
                <w:rFonts w:ascii="Times New Roman" w:hAnsi="Times New Roman"/>
                <w:sz w:val="28"/>
                <w:szCs w:val="28"/>
              </w:rPr>
              <w:t>14 euro/ mēnesī) un vid</w:t>
            </w:r>
            <w:r w:rsidR="009110B0">
              <w:rPr>
                <w:rFonts w:ascii="Times New Roman" w:hAnsi="Times New Roman"/>
                <w:sz w:val="28"/>
                <w:szCs w:val="28"/>
              </w:rPr>
              <w:t>ēji mēnesī 1,</w:t>
            </w:r>
            <w:r w:rsidR="00C85885">
              <w:rPr>
                <w:rFonts w:ascii="Times New Roman" w:hAnsi="Times New Roman"/>
                <w:sz w:val="28"/>
                <w:szCs w:val="28"/>
              </w:rPr>
              <w:t xml:space="preserve">538 </w:t>
            </w:r>
            <w:r w:rsidR="00FE698E" w:rsidRPr="00FE698E">
              <w:rPr>
                <w:rFonts w:ascii="Times New Roman" w:hAnsi="Times New Roman"/>
                <w:i/>
                <w:sz w:val="28"/>
                <w:szCs w:val="28"/>
              </w:rPr>
              <w:t>euro/ m</w:t>
            </w:r>
            <w:r w:rsidR="00FE698E" w:rsidRPr="00FE698E">
              <w:rPr>
                <w:rFonts w:asciiTheme="minorEastAsia" w:hAnsiTheme="minorEastAsia" w:cstheme="minorEastAsia" w:hint="eastAsia"/>
                <w:i/>
                <w:sz w:val="28"/>
                <w:szCs w:val="28"/>
              </w:rPr>
              <w:t>²</w:t>
            </w:r>
            <w:r w:rsidR="00FE698E">
              <w:rPr>
                <w:rFonts w:ascii="Times New Roman" w:hAnsi="Times New Roman"/>
                <w:sz w:val="28"/>
                <w:szCs w:val="28"/>
              </w:rPr>
              <w:t>.</w:t>
            </w:r>
          </w:p>
          <w:p w:rsidR="00312688" w:rsidRPr="0011694F" w:rsidRDefault="00312688" w:rsidP="002F55BD">
            <w:pPr>
              <w:pStyle w:val="Bodytext0"/>
              <w:shd w:val="clear" w:color="auto" w:fill="auto"/>
              <w:tabs>
                <w:tab w:val="left" w:pos="706"/>
              </w:tabs>
              <w:spacing w:before="0" w:after="0" w:line="240" w:lineRule="auto"/>
              <w:jc w:val="both"/>
              <w:rPr>
                <w:sz w:val="28"/>
                <w:szCs w:val="28"/>
              </w:rPr>
            </w:pPr>
            <w:r w:rsidRPr="00312688">
              <w:rPr>
                <w:sz w:val="28"/>
                <w:szCs w:val="28"/>
              </w:rPr>
              <w:t xml:space="preserve">    LFM 2013.gada uzturēšanas izdevumi kopā bija 109 939 </w:t>
            </w:r>
            <w:r w:rsidRPr="00EB72E5">
              <w:rPr>
                <w:i/>
                <w:sz w:val="28"/>
                <w:szCs w:val="28"/>
              </w:rPr>
              <w:t>euro</w:t>
            </w:r>
            <w:r w:rsidRPr="00312688">
              <w:rPr>
                <w:sz w:val="28"/>
                <w:szCs w:val="28"/>
              </w:rPr>
              <w:t xml:space="preserve">, t.sk., muzeja personāla atlīdzība 68 959 </w:t>
            </w:r>
            <w:r w:rsidRPr="00EB72E5">
              <w:rPr>
                <w:i/>
                <w:sz w:val="28"/>
                <w:szCs w:val="28"/>
              </w:rPr>
              <w:t>euro</w:t>
            </w:r>
            <w:r w:rsidRPr="00312688">
              <w:rPr>
                <w:sz w:val="28"/>
                <w:szCs w:val="28"/>
              </w:rPr>
              <w:t xml:space="preserve">, LFM telpu noma 31 825 </w:t>
            </w:r>
            <w:r w:rsidRPr="00EB72E5">
              <w:rPr>
                <w:i/>
                <w:sz w:val="28"/>
                <w:szCs w:val="28"/>
              </w:rPr>
              <w:t>euro</w:t>
            </w:r>
            <w:r w:rsidRPr="00312688">
              <w:rPr>
                <w:sz w:val="28"/>
                <w:szCs w:val="28"/>
              </w:rPr>
              <w:t xml:space="preserve">, komunālie izdevumi 6 102 </w:t>
            </w:r>
            <w:r w:rsidRPr="00EB72E5">
              <w:rPr>
                <w:i/>
                <w:sz w:val="28"/>
                <w:szCs w:val="28"/>
              </w:rPr>
              <w:t>euro</w:t>
            </w:r>
            <w:r w:rsidRPr="00312688">
              <w:rPr>
                <w:sz w:val="28"/>
                <w:szCs w:val="28"/>
              </w:rPr>
              <w:t xml:space="preserve">, teritorijas uzkopšana un atkritumu izvešana – 1 300 </w:t>
            </w:r>
            <w:r w:rsidRPr="00EB72E5">
              <w:rPr>
                <w:i/>
                <w:sz w:val="28"/>
                <w:szCs w:val="28"/>
              </w:rPr>
              <w:t>euro</w:t>
            </w:r>
            <w:r w:rsidRPr="00312688">
              <w:rPr>
                <w:sz w:val="28"/>
                <w:szCs w:val="28"/>
              </w:rPr>
              <w:t xml:space="preserve">, sakaru pakalpojumi – 564 </w:t>
            </w:r>
            <w:r w:rsidRPr="00EB72E5">
              <w:rPr>
                <w:i/>
                <w:sz w:val="28"/>
                <w:szCs w:val="28"/>
              </w:rPr>
              <w:t>euro</w:t>
            </w:r>
            <w:r w:rsidRPr="00312688">
              <w:rPr>
                <w:sz w:val="28"/>
                <w:szCs w:val="28"/>
              </w:rPr>
              <w:t xml:space="preserve">, iekārtu un inventāra tehniskais remonts – 639 </w:t>
            </w:r>
            <w:r w:rsidRPr="00EB72E5">
              <w:rPr>
                <w:i/>
                <w:sz w:val="28"/>
                <w:szCs w:val="28"/>
              </w:rPr>
              <w:t>euro</w:t>
            </w:r>
            <w:r w:rsidRPr="00312688">
              <w:rPr>
                <w:sz w:val="28"/>
                <w:szCs w:val="28"/>
              </w:rPr>
              <w:t xml:space="preserve"> un kārtējā remonta un iestāžu uzturēšanas materiāli 550 </w:t>
            </w:r>
            <w:r w:rsidRPr="00EB72E5">
              <w:rPr>
                <w:i/>
                <w:sz w:val="28"/>
                <w:szCs w:val="28"/>
              </w:rPr>
              <w:t>euro</w:t>
            </w:r>
            <w:r w:rsidRPr="00312688">
              <w:rPr>
                <w:sz w:val="28"/>
                <w:szCs w:val="28"/>
              </w:rPr>
              <w:t>. Savukārt, ja LFM uzsāk savu</w:t>
            </w:r>
            <w:r w:rsidR="00EB72E5">
              <w:rPr>
                <w:sz w:val="28"/>
                <w:szCs w:val="28"/>
              </w:rPr>
              <w:t xml:space="preserve"> </w:t>
            </w:r>
            <w:r w:rsidRPr="00312688">
              <w:rPr>
                <w:sz w:val="28"/>
                <w:szCs w:val="28"/>
              </w:rPr>
              <w:t xml:space="preserve">darbību ēkā Mārstaļu ielā 6 no </w:t>
            </w:r>
            <w:r w:rsidR="009D1F78" w:rsidRPr="009D1F78">
              <w:rPr>
                <w:sz w:val="28"/>
                <w:szCs w:val="28"/>
              </w:rPr>
              <w:t>201</w:t>
            </w:r>
            <w:r w:rsidR="00EF1A6D">
              <w:rPr>
                <w:sz w:val="28"/>
                <w:szCs w:val="28"/>
              </w:rPr>
              <w:t>8</w:t>
            </w:r>
            <w:r w:rsidR="0011694F">
              <w:rPr>
                <w:sz w:val="28"/>
                <w:szCs w:val="28"/>
              </w:rPr>
              <w:t xml:space="preserve">.gada </w:t>
            </w:r>
            <w:r w:rsidRPr="009D1F78">
              <w:rPr>
                <w:sz w:val="28"/>
                <w:szCs w:val="28"/>
              </w:rPr>
              <w:t>1.janvāra</w:t>
            </w:r>
            <w:r w:rsidRPr="00312688">
              <w:rPr>
                <w:sz w:val="28"/>
                <w:szCs w:val="28"/>
              </w:rPr>
              <w:t xml:space="preserve">, tad plānotās gada uzturēšanas izmaksas būs </w:t>
            </w:r>
            <w:r w:rsidR="00C30090">
              <w:rPr>
                <w:sz w:val="28"/>
                <w:szCs w:val="28"/>
              </w:rPr>
              <w:t>  182 553</w:t>
            </w:r>
            <w:r w:rsidRPr="00312688">
              <w:rPr>
                <w:sz w:val="28"/>
                <w:szCs w:val="28"/>
              </w:rPr>
              <w:t xml:space="preserve"> </w:t>
            </w:r>
            <w:r w:rsidRPr="000F18EA">
              <w:rPr>
                <w:i/>
                <w:sz w:val="28"/>
                <w:szCs w:val="28"/>
              </w:rPr>
              <w:t>euro</w:t>
            </w:r>
            <w:r w:rsidRPr="00312688">
              <w:rPr>
                <w:sz w:val="28"/>
                <w:szCs w:val="28"/>
              </w:rPr>
              <w:t xml:space="preserve">, t.sk., muzeja personāla atlīdzība 68 959 </w:t>
            </w:r>
            <w:r w:rsidRPr="000F18EA">
              <w:rPr>
                <w:i/>
                <w:sz w:val="28"/>
                <w:szCs w:val="28"/>
              </w:rPr>
              <w:t>euro</w:t>
            </w:r>
            <w:r w:rsidR="006A5C3F">
              <w:rPr>
                <w:sz w:val="28"/>
                <w:szCs w:val="28"/>
              </w:rPr>
              <w:t>, LFM telpu noma</w:t>
            </w:r>
            <w:r w:rsidR="00285AB8">
              <w:rPr>
                <w:sz w:val="28"/>
                <w:szCs w:val="28"/>
              </w:rPr>
              <w:t xml:space="preserve"> 101 869,56</w:t>
            </w:r>
            <w:r w:rsidRPr="00312688">
              <w:rPr>
                <w:sz w:val="28"/>
                <w:szCs w:val="28"/>
              </w:rPr>
              <w:t xml:space="preserve"> </w:t>
            </w:r>
            <w:r w:rsidRPr="000F18EA">
              <w:rPr>
                <w:i/>
                <w:sz w:val="28"/>
                <w:szCs w:val="28"/>
              </w:rPr>
              <w:t>euro</w:t>
            </w:r>
            <w:r w:rsidR="00C85885">
              <w:rPr>
                <w:i/>
                <w:sz w:val="28"/>
                <w:szCs w:val="28"/>
              </w:rPr>
              <w:t xml:space="preserve"> </w:t>
            </w:r>
            <w:r w:rsidR="009110B0">
              <w:rPr>
                <w:i/>
                <w:sz w:val="28"/>
                <w:szCs w:val="28"/>
              </w:rPr>
              <w:t>(ēkas 994,</w:t>
            </w:r>
            <w:r w:rsidR="00427D76">
              <w:rPr>
                <w:i/>
                <w:sz w:val="28"/>
                <w:szCs w:val="28"/>
              </w:rPr>
              <w:t>96m</w:t>
            </w:r>
            <w:r w:rsidR="00427D76">
              <w:rPr>
                <w:rFonts w:cs="Times New Roman"/>
                <w:i/>
                <w:sz w:val="28"/>
                <w:szCs w:val="28"/>
              </w:rPr>
              <w:t>²</w:t>
            </w:r>
            <w:r w:rsidR="009110B0">
              <w:rPr>
                <w:i/>
                <w:sz w:val="28"/>
                <w:szCs w:val="28"/>
              </w:rPr>
              <w:t xml:space="preserve"> + 15,</w:t>
            </w:r>
            <w:r w:rsidR="00427D76">
              <w:rPr>
                <w:i/>
                <w:sz w:val="28"/>
                <w:szCs w:val="28"/>
              </w:rPr>
              <w:t>70m</w:t>
            </w:r>
            <w:r w:rsidR="00427D76">
              <w:rPr>
                <w:rFonts w:cs="Times New Roman"/>
                <w:i/>
                <w:sz w:val="28"/>
                <w:szCs w:val="28"/>
              </w:rPr>
              <w:t>²</w:t>
            </w:r>
            <w:r w:rsidR="00427D76">
              <w:rPr>
                <w:i/>
                <w:sz w:val="28"/>
                <w:szCs w:val="28"/>
              </w:rPr>
              <w:t>)</w:t>
            </w:r>
            <w:r w:rsidRPr="00312688">
              <w:rPr>
                <w:sz w:val="28"/>
                <w:szCs w:val="28"/>
              </w:rPr>
              <w:t xml:space="preserve">, komunālie izdevumi </w:t>
            </w:r>
            <w:r w:rsidRPr="00473064">
              <w:rPr>
                <w:sz w:val="28"/>
                <w:szCs w:val="28"/>
              </w:rPr>
              <w:t>10 5</w:t>
            </w:r>
            <w:r w:rsidR="002F55BD">
              <w:rPr>
                <w:sz w:val="28"/>
                <w:szCs w:val="28"/>
              </w:rPr>
              <w:t>21</w:t>
            </w:r>
            <w:r w:rsidRPr="00312688">
              <w:rPr>
                <w:sz w:val="28"/>
                <w:szCs w:val="28"/>
              </w:rPr>
              <w:t xml:space="preserve"> </w:t>
            </w:r>
            <w:r w:rsidRPr="000F18EA">
              <w:rPr>
                <w:i/>
                <w:sz w:val="28"/>
                <w:szCs w:val="28"/>
              </w:rPr>
              <w:t>euro</w:t>
            </w:r>
            <w:r w:rsidRPr="00312688">
              <w:rPr>
                <w:sz w:val="28"/>
                <w:szCs w:val="28"/>
              </w:rPr>
              <w:t>,</w:t>
            </w:r>
            <w:r w:rsidR="002F55BD">
              <w:rPr>
                <w:sz w:val="28"/>
                <w:szCs w:val="28"/>
              </w:rPr>
              <w:t xml:space="preserve"> </w:t>
            </w:r>
            <w:r w:rsidRPr="00312688">
              <w:rPr>
                <w:sz w:val="28"/>
                <w:szCs w:val="28"/>
              </w:rPr>
              <w:t xml:space="preserve">sakaru pakalpojumi – </w:t>
            </w:r>
            <w:r w:rsidRPr="00473064">
              <w:rPr>
                <w:sz w:val="28"/>
                <w:szCs w:val="28"/>
              </w:rPr>
              <w:t>564</w:t>
            </w:r>
            <w:r w:rsidRPr="00312688">
              <w:rPr>
                <w:sz w:val="28"/>
                <w:szCs w:val="28"/>
              </w:rPr>
              <w:t xml:space="preserve"> </w:t>
            </w:r>
            <w:r w:rsidRPr="000F18EA">
              <w:rPr>
                <w:i/>
                <w:sz w:val="28"/>
                <w:szCs w:val="28"/>
              </w:rPr>
              <w:t>euro</w:t>
            </w:r>
            <w:r w:rsidR="00473064" w:rsidRPr="00312688">
              <w:rPr>
                <w:sz w:val="28"/>
                <w:szCs w:val="28"/>
              </w:rPr>
              <w:t xml:space="preserve"> un</w:t>
            </w:r>
            <w:r w:rsidRPr="00312688">
              <w:rPr>
                <w:sz w:val="28"/>
                <w:szCs w:val="28"/>
              </w:rPr>
              <w:t xml:space="preserve"> iekārtu un inventāra tehniskais remonts – </w:t>
            </w:r>
            <w:r w:rsidRPr="00473064">
              <w:rPr>
                <w:sz w:val="28"/>
                <w:szCs w:val="28"/>
              </w:rPr>
              <w:t>639</w:t>
            </w:r>
            <w:r w:rsidRPr="00312688">
              <w:rPr>
                <w:sz w:val="28"/>
                <w:szCs w:val="28"/>
              </w:rPr>
              <w:t xml:space="preserve"> </w:t>
            </w:r>
            <w:r w:rsidRPr="000F18EA">
              <w:rPr>
                <w:i/>
                <w:sz w:val="28"/>
                <w:szCs w:val="28"/>
              </w:rPr>
              <w:t>euro</w:t>
            </w:r>
            <w:r w:rsidRPr="00312688">
              <w:rPr>
                <w:sz w:val="28"/>
                <w:szCs w:val="28"/>
              </w:rPr>
              <w:t xml:space="preserve">. </w:t>
            </w:r>
            <w:r w:rsidR="001C20DA">
              <w:rPr>
                <w:sz w:val="28"/>
                <w:szCs w:val="28"/>
              </w:rPr>
              <w:t xml:space="preserve">Uzturēšanas izdevumu starpība </w:t>
            </w:r>
            <w:r w:rsidR="00A535A1">
              <w:rPr>
                <w:sz w:val="28"/>
                <w:szCs w:val="28"/>
              </w:rPr>
              <w:t xml:space="preserve">muzejam pielāgotā ēkā, Mārstaļu ielā 6 ir </w:t>
            </w:r>
            <w:r w:rsidR="00C30090">
              <w:rPr>
                <w:sz w:val="28"/>
                <w:szCs w:val="28"/>
              </w:rPr>
              <w:t>  72 614</w:t>
            </w:r>
            <w:r w:rsidR="00A535A1">
              <w:rPr>
                <w:sz w:val="28"/>
                <w:szCs w:val="28"/>
              </w:rPr>
              <w:t xml:space="preserve"> </w:t>
            </w:r>
            <w:r w:rsidR="00A535A1" w:rsidRPr="0011694F">
              <w:rPr>
                <w:i/>
                <w:sz w:val="28"/>
                <w:szCs w:val="28"/>
              </w:rPr>
              <w:t>euro</w:t>
            </w:r>
            <w:r w:rsidR="00A535A1">
              <w:rPr>
                <w:sz w:val="28"/>
                <w:szCs w:val="28"/>
              </w:rPr>
              <w:t xml:space="preserve"> gadā. P</w:t>
            </w:r>
            <w:r w:rsidRPr="00312688">
              <w:rPr>
                <w:sz w:val="28"/>
                <w:szCs w:val="28"/>
              </w:rPr>
              <w:t>apildu nepieciešam</w:t>
            </w:r>
            <w:r w:rsidR="00A535A1">
              <w:rPr>
                <w:sz w:val="28"/>
                <w:szCs w:val="28"/>
              </w:rPr>
              <w:t>o</w:t>
            </w:r>
            <w:r w:rsidRPr="00312688">
              <w:rPr>
                <w:sz w:val="28"/>
                <w:szCs w:val="28"/>
              </w:rPr>
              <w:t xml:space="preserve"> finansējum</w:t>
            </w:r>
            <w:r w:rsidR="00A535A1">
              <w:rPr>
                <w:sz w:val="28"/>
                <w:szCs w:val="28"/>
              </w:rPr>
              <w:t>u plānots segt no ieņēmumiem no maksas pakalpojumiem</w:t>
            </w:r>
            <w:r w:rsidR="00C87A4E">
              <w:rPr>
                <w:sz w:val="28"/>
                <w:szCs w:val="28"/>
              </w:rPr>
              <w:t xml:space="preserve"> un citiem pašu ieņēmumiem</w:t>
            </w:r>
            <w:r w:rsidR="00A535A1">
              <w:rPr>
                <w:sz w:val="28"/>
                <w:szCs w:val="28"/>
              </w:rPr>
              <w:t>, neradot ietekmi uz valsts budžetu.</w:t>
            </w:r>
            <w:r w:rsidRPr="00312688">
              <w:rPr>
                <w:sz w:val="28"/>
                <w:szCs w:val="28"/>
              </w:rPr>
              <w:t xml:space="preserve"> </w:t>
            </w:r>
            <w:r w:rsidR="00A535A1">
              <w:rPr>
                <w:sz w:val="28"/>
                <w:szCs w:val="28"/>
              </w:rPr>
              <w:t>P</w:t>
            </w:r>
            <w:r w:rsidRPr="00312688">
              <w:rPr>
                <w:sz w:val="28"/>
                <w:szCs w:val="28"/>
              </w:rPr>
              <w:t xml:space="preserve">lānotais pašu ieņēmumu palielinājums </w:t>
            </w:r>
            <w:r w:rsidR="00A535A1">
              <w:rPr>
                <w:sz w:val="28"/>
                <w:szCs w:val="28"/>
              </w:rPr>
              <w:t xml:space="preserve">aprēķināts, pieņemot prognozi par apmeklētāju skaita </w:t>
            </w:r>
            <w:r w:rsidR="00A535A1">
              <w:rPr>
                <w:sz w:val="28"/>
                <w:szCs w:val="28"/>
              </w:rPr>
              <w:lastRenderedPageBreak/>
              <w:t>pieaugumu</w:t>
            </w:r>
            <w:r w:rsidR="001E4AD8">
              <w:rPr>
                <w:sz w:val="28"/>
                <w:szCs w:val="28"/>
              </w:rPr>
              <w:t>, radot jaunus maksas pakalpojumu veidus</w:t>
            </w:r>
            <w:r w:rsidR="00A535A1">
              <w:rPr>
                <w:sz w:val="28"/>
                <w:szCs w:val="28"/>
              </w:rPr>
              <w:t xml:space="preserve"> un palielinot muzeja </w:t>
            </w:r>
            <w:r w:rsidR="001E4AD8">
              <w:rPr>
                <w:sz w:val="28"/>
                <w:szCs w:val="28"/>
              </w:rPr>
              <w:t>esošā</w:t>
            </w:r>
            <w:r w:rsidR="00C87A4E">
              <w:rPr>
                <w:sz w:val="28"/>
                <w:szCs w:val="28"/>
              </w:rPr>
              <w:t>s</w:t>
            </w:r>
            <w:r w:rsidR="001E4AD8">
              <w:rPr>
                <w:sz w:val="28"/>
                <w:szCs w:val="28"/>
              </w:rPr>
              <w:t xml:space="preserve"> </w:t>
            </w:r>
            <w:r w:rsidR="00A535A1">
              <w:rPr>
                <w:sz w:val="28"/>
                <w:szCs w:val="28"/>
              </w:rPr>
              <w:t>maksas pakalpojum</w:t>
            </w:r>
            <w:r w:rsidR="00C87A4E">
              <w:rPr>
                <w:sz w:val="28"/>
                <w:szCs w:val="28"/>
              </w:rPr>
              <w:t>u</w:t>
            </w:r>
            <w:r w:rsidR="00A535A1">
              <w:rPr>
                <w:sz w:val="28"/>
                <w:szCs w:val="28"/>
              </w:rPr>
              <w:t xml:space="preserve"> cena</w:t>
            </w:r>
            <w:r w:rsidR="00C87A4E">
              <w:rPr>
                <w:sz w:val="28"/>
                <w:szCs w:val="28"/>
              </w:rPr>
              <w:t>s.</w:t>
            </w:r>
            <w:r w:rsidR="00A535A1">
              <w:rPr>
                <w:sz w:val="28"/>
                <w:szCs w:val="28"/>
              </w:rPr>
              <w:t xml:space="preserve"> </w:t>
            </w:r>
          </w:p>
          <w:p w:rsidR="0011694F" w:rsidRDefault="0011694F" w:rsidP="00CA4533">
            <w:pPr>
              <w:spacing w:after="0" w:line="240" w:lineRule="auto"/>
              <w:jc w:val="both"/>
              <w:rPr>
                <w:rFonts w:ascii="Times New Roman" w:hAnsi="Times New Roman" w:cs="Times New Roman"/>
                <w:sz w:val="28"/>
                <w:szCs w:val="28"/>
              </w:rPr>
            </w:pPr>
          </w:p>
          <w:p w:rsidR="00CA4533" w:rsidRDefault="00CA4533" w:rsidP="00CA4533">
            <w:pPr>
              <w:spacing w:after="0" w:line="240" w:lineRule="auto"/>
              <w:jc w:val="both"/>
              <w:rPr>
                <w:rFonts w:ascii="Times New Roman" w:hAnsi="Times New Roman" w:cs="Times New Roman"/>
                <w:sz w:val="28"/>
                <w:szCs w:val="28"/>
              </w:rPr>
            </w:pPr>
            <w:r w:rsidRPr="00CA4533">
              <w:rPr>
                <w:rFonts w:ascii="Times New Roman" w:hAnsi="Times New Roman" w:cs="Times New Roman"/>
                <w:sz w:val="28"/>
                <w:szCs w:val="28"/>
              </w:rPr>
              <w:t xml:space="preserve">Šobrīd VNĪ </w:t>
            </w:r>
            <w:r>
              <w:rPr>
                <w:rFonts w:ascii="Times New Roman" w:hAnsi="Times New Roman" w:cs="Times New Roman"/>
                <w:sz w:val="28"/>
                <w:szCs w:val="28"/>
              </w:rPr>
              <w:t>ir rezervējis LFM vajadzībām nekustamo īpašumu</w:t>
            </w:r>
            <w:r w:rsidRPr="00CA4533">
              <w:rPr>
                <w:rFonts w:ascii="Times New Roman" w:hAnsi="Times New Roman" w:cs="Times New Roman"/>
                <w:sz w:val="28"/>
                <w:szCs w:val="28"/>
              </w:rPr>
              <w:t xml:space="preserve"> Mārstaļu ielā 6, Rīgā</w:t>
            </w:r>
            <w:r>
              <w:rPr>
                <w:rFonts w:ascii="Times New Roman" w:hAnsi="Times New Roman" w:cs="Times New Roman"/>
                <w:sz w:val="28"/>
                <w:szCs w:val="28"/>
              </w:rPr>
              <w:t>, kura</w:t>
            </w:r>
            <w:r w:rsidRPr="00CA4533">
              <w:rPr>
                <w:rFonts w:ascii="Times New Roman" w:hAnsi="Times New Roman" w:cs="Times New Roman"/>
                <w:sz w:val="28"/>
                <w:szCs w:val="28"/>
              </w:rPr>
              <w:t xml:space="preserve"> </w:t>
            </w:r>
            <w:r w:rsidR="00473064" w:rsidRPr="00CA4533">
              <w:rPr>
                <w:rFonts w:ascii="Times New Roman" w:hAnsi="Times New Roman" w:cs="Times New Roman"/>
                <w:sz w:val="28"/>
                <w:szCs w:val="28"/>
              </w:rPr>
              <w:t>uzturēšanas/apsaimniekošanas izmaksas par tukšām telpām (</w:t>
            </w:r>
            <w:r w:rsidR="00063809">
              <w:rPr>
                <w:rFonts w:ascii="Times New Roman" w:hAnsi="Times New Roman" w:cs="Times New Roman"/>
                <w:sz w:val="28"/>
                <w:szCs w:val="28"/>
              </w:rPr>
              <w:t>994,96 m</w:t>
            </w:r>
            <w:r w:rsidR="00063809">
              <w:rPr>
                <w:rFonts w:asciiTheme="minorEastAsia" w:hAnsiTheme="minorEastAsia" w:cstheme="minorEastAsia" w:hint="eastAsia"/>
                <w:sz w:val="28"/>
                <w:szCs w:val="28"/>
              </w:rPr>
              <w:t>²</w:t>
            </w:r>
            <w:r w:rsidR="00473064" w:rsidRPr="00CA4533">
              <w:rPr>
                <w:rFonts w:ascii="Times New Roman" w:hAnsi="Times New Roman" w:cs="Times New Roman"/>
                <w:sz w:val="28"/>
                <w:szCs w:val="28"/>
              </w:rPr>
              <w:t>)</w:t>
            </w:r>
            <w:r>
              <w:rPr>
                <w:rFonts w:ascii="Times New Roman" w:hAnsi="Times New Roman" w:cs="Times New Roman"/>
                <w:sz w:val="28"/>
                <w:szCs w:val="28"/>
              </w:rPr>
              <w:t xml:space="preserve"> mēnesī</w:t>
            </w:r>
            <w:r w:rsidR="00063809">
              <w:rPr>
                <w:rFonts w:ascii="Times New Roman" w:hAnsi="Times New Roman" w:cs="Times New Roman"/>
                <w:sz w:val="28"/>
                <w:szCs w:val="28"/>
              </w:rPr>
              <w:t xml:space="preserve"> bez PVN</w:t>
            </w:r>
            <w:r>
              <w:rPr>
                <w:rFonts w:ascii="Times New Roman" w:hAnsi="Times New Roman" w:cs="Times New Roman"/>
                <w:sz w:val="28"/>
                <w:szCs w:val="28"/>
              </w:rPr>
              <w:t xml:space="preserve"> ir:</w:t>
            </w:r>
          </w:p>
          <w:p w:rsidR="00CA4533" w:rsidRDefault="00473064" w:rsidP="00CA4533">
            <w:pPr>
              <w:pStyle w:val="Sarakstarindkopa"/>
              <w:numPr>
                <w:ilvl w:val="0"/>
                <w:numId w:val="15"/>
              </w:numPr>
              <w:spacing w:after="0" w:line="240" w:lineRule="auto"/>
              <w:jc w:val="both"/>
              <w:rPr>
                <w:rFonts w:ascii="Times New Roman" w:hAnsi="Times New Roman" w:cs="Times New Roman"/>
                <w:sz w:val="28"/>
                <w:szCs w:val="28"/>
              </w:rPr>
            </w:pPr>
            <w:r w:rsidRPr="00CA4533">
              <w:rPr>
                <w:rFonts w:ascii="Times New Roman" w:hAnsi="Times New Roman" w:cs="Times New Roman"/>
                <w:sz w:val="28"/>
                <w:szCs w:val="28"/>
              </w:rPr>
              <w:t>Sētnieka pakalpoju</w:t>
            </w:r>
            <w:r w:rsidR="00CA4533">
              <w:rPr>
                <w:rFonts w:ascii="Times New Roman" w:hAnsi="Times New Roman" w:cs="Times New Roman"/>
                <w:sz w:val="28"/>
                <w:szCs w:val="28"/>
              </w:rPr>
              <w:t xml:space="preserve">mi – 110 </w:t>
            </w:r>
            <w:r w:rsidR="00CA4533" w:rsidRPr="00063809">
              <w:rPr>
                <w:rFonts w:ascii="Times New Roman" w:hAnsi="Times New Roman" w:cs="Times New Roman"/>
                <w:i/>
                <w:sz w:val="28"/>
                <w:szCs w:val="28"/>
              </w:rPr>
              <w:t>euro</w:t>
            </w:r>
            <w:r w:rsidR="00063809">
              <w:rPr>
                <w:rFonts w:ascii="Times New Roman" w:hAnsi="Times New Roman" w:cs="Times New Roman"/>
                <w:sz w:val="28"/>
                <w:szCs w:val="28"/>
              </w:rPr>
              <w:t>;</w:t>
            </w:r>
          </w:p>
          <w:p w:rsidR="00CA4533" w:rsidRDefault="00473064" w:rsidP="00CA4533">
            <w:pPr>
              <w:pStyle w:val="Sarakstarindkopa"/>
              <w:numPr>
                <w:ilvl w:val="0"/>
                <w:numId w:val="15"/>
              </w:numPr>
              <w:spacing w:after="0" w:line="240" w:lineRule="auto"/>
              <w:jc w:val="both"/>
              <w:rPr>
                <w:rFonts w:ascii="Times New Roman" w:hAnsi="Times New Roman" w:cs="Times New Roman"/>
                <w:sz w:val="28"/>
                <w:szCs w:val="28"/>
              </w:rPr>
            </w:pPr>
            <w:r w:rsidRPr="00CA4533">
              <w:rPr>
                <w:rFonts w:ascii="Times New Roman" w:hAnsi="Times New Roman" w:cs="Times New Roman"/>
                <w:sz w:val="28"/>
                <w:szCs w:val="28"/>
              </w:rPr>
              <w:t>Apsard</w:t>
            </w:r>
            <w:r w:rsidR="00063809">
              <w:rPr>
                <w:rFonts w:ascii="Times New Roman" w:hAnsi="Times New Roman" w:cs="Times New Roman"/>
                <w:sz w:val="28"/>
                <w:szCs w:val="28"/>
              </w:rPr>
              <w:t>zes signalizācija - apmēram 17</w:t>
            </w:r>
            <w:r w:rsidRPr="00CA4533">
              <w:rPr>
                <w:rFonts w:ascii="Times New Roman" w:hAnsi="Times New Roman" w:cs="Times New Roman"/>
                <w:sz w:val="28"/>
                <w:szCs w:val="28"/>
              </w:rPr>
              <w:t xml:space="preserve"> </w:t>
            </w:r>
            <w:r w:rsidR="00CA4533" w:rsidRPr="00E14F92">
              <w:rPr>
                <w:rFonts w:ascii="Times New Roman" w:hAnsi="Times New Roman" w:cs="Times New Roman"/>
                <w:i/>
                <w:sz w:val="28"/>
                <w:szCs w:val="28"/>
              </w:rPr>
              <w:t>euro</w:t>
            </w:r>
            <w:r w:rsidR="00063809">
              <w:rPr>
                <w:rFonts w:ascii="Times New Roman" w:hAnsi="Times New Roman" w:cs="Times New Roman"/>
                <w:sz w:val="28"/>
                <w:szCs w:val="28"/>
              </w:rPr>
              <w:t>;</w:t>
            </w:r>
          </w:p>
          <w:p w:rsidR="00752DC1" w:rsidRPr="0011694F" w:rsidRDefault="00473064" w:rsidP="0011694F">
            <w:pPr>
              <w:pStyle w:val="Sarakstarindkopa"/>
              <w:widowControl w:val="0"/>
              <w:numPr>
                <w:ilvl w:val="0"/>
                <w:numId w:val="15"/>
              </w:numPr>
              <w:spacing w:after="0" w:line="240" w:lineRule="auto"/>
              <w:jc w:val="both"/>
              <w:rPr>
                <w:sz w:val="28"/>
                <w:szCs w:val="28"/>
              </w:rPr>
            </w:pPr>
            <w:r w:rsidRPr="0011694F">
              <w:rPr>
                <w:rFonts w:ascii="Times New Roman" w:hAnsi="Times New Roman" w:cs="Times New Roman"/>
                <w:sz w:val="28"/>
                <w:szCs w:val="28"/>
              </w:rPr>
              <w:t>Apkures izdev</w:t>
            </w:r>
            <w:r w:rsidR="00063809" w:rsidRPr="0011694F">
              <w:rPr>
                <w:rFonts w:ascii="Times New Roman" w:hAnsi="Times New Roman" w:cs="Times New Roman"/>
                <w:sz w:val="28"/>
                <w:szCs w:val="28"/>
              </w:rPr>
              <w:t xml:space="preserve">umi ziemā - aptuveni 1,25 </w:t>
            </w:r>
            <w:r w:rsidR="00063809" w:rsidRPr="0011694F">
              <w:rPr>
                <w:rFonts w:ascii="Times New Roman" w:hAnsi="Times New Roman" w:cs="Times New Roman"/>
                <w:i/>
                <w:sz w:val="28"/>
                <w:szCs w:val="28"/>
              </w:rPr>
              <w:t>euro</w:t>
            </w:r>
            <w:r w:rsidR="00063809" w:rsidRPr="0011694F">
              <w:rPr>
                <w:rFonts w:ascii="Times New Roman" w:hAnsi="Times New Roman" w:cs="Times New Roman"/>
                <w:sz w:val="28"/>
                <w:szCs w:val="28"/>
              </w:rPr>
              <w:t xml:space="preserve">/m² līdz 1,50 </w:t>
            </w:r>
            <w:r w:rsidR="00063809" w:rsidRPr="0011694F">
              <w:rPr>
                <w:rFonts w:ascii="Times New Roman" w:hAnsi="Times New Roman" w:cs="Times New Roman"/>
                <w:i/>
                <w:sz w:val="28"/>
                <w:szCs w:val="28"/>
              </w:rPr>
              <w:t>euro</w:t>
            </w:r>
            <w:r w:rsidR="00063809" w:rsidRPr="0011694F">
              <w:rPr>
                <w:rFonts w:ascii="Times New Roman" w:hAnsi="Times New Roman" w:cs="Times New Roman"/>
                <w:sz w:val="28"/>
                <w:szCs w:val="28"/>
              </w:rPr>
              <w:t>/m</w:t>
            </w:r>
            <w:r w:rsidR="00063809" w:rsidRPr="0011694F">
              <w:rPr>
                <w:rFonts w:asciiTheme="minorEastAsia" w:hAnsiTheme="minorEastAsia" w:cstheme="minorEastAsia" w:hint="eastAsia"/>
                <w:sz w:val="28"/>
                <w:szCs w:val="28"/>
              </w:rPr>
              <w:t>²</w:t>
            </w:r>
            <w:r w:rsidRPr="0011694F">
              <w:rPr>
                <w:rFonts w:ascii="Times New Roman" w:hAnsi="Times New Roman" w:cs="Times New Roman"/>
                <w:sz w:val="28"/>
                <w:szCs w:val="28"/>
              </w:rPr>
              <w:t>. Apkures</w:t>
            </w:r>
            <w:r w:rsidR="00063809" w:rsidRPr="0011694F">
              <w:rPr>
                <w:rFonts w:ascii="Times New Roman" w:hAnsi="Times New Roman" w:cs="Times New Roman"/>
                <w:sz w:val="28"/>
                <w:szCs w:val="28"/>
              </w:rPr>
              <w:t xml:space="preserve"> sezonas</w:t>
            </w:r>
            <w:r w:rsidRPr="0011694F">
              <w:rPr>
                <w:rFonts w:ascii="Times New Roman" w:hAnsi="Times New Roman" w:cs="Times New Roman"/>
                <w:sz w:val="28"/>
                <w:szCs w:val="28"/>
              </w:rPr>
              <w:t xml:space="preserve"> sākumā un beigās</w:t>
            </w:r>
            <w:r w:rsidR="0011694F">
              <w:rPr>
                <w:rFonts w:ascii="Times New Roman" w:hAnsi="Times New Roman" w:cs="Times New Roman"/>
                <w:sz w:val="28"/>
                <w:szCs w:val="28"/>
              </w:rPr>
              <w:t xml:space="preserve"> – </w:t>
            </w:r>
            <w:r w:rsidR="00063809" w:rsidRPr="0011694F">
              <w:rPr>
                <w:rFonts w:ascii="Times New Roman" w:hAnsi="Times New Roman" w:cs="Times New Roman"/>
                <w:sz w:val="28"/>
                <w:szCs w:val="28"/>
              </w:rPr>
              <w:t xml:space="preserve">aptuveni 0,85 </w:t>
            </w:r>
            <w:r w:rsidR="00063809" w:rsidRPr="0011694F">
              <w:rPr>
                <w:rFonts w:ascii="Times New Roman" w:hAnsi="Times New Roman" w:cs="Times New Roman"/>
                <w:i/>
                <w:sz w:val="28"/>
                <w:szCs w:val="28"/>
              </w:rPr>
              <w:t>euro</w:t>
            </w:r>
            <w:r w:rsidR="00063809" w:rsidRPr="0011694F">
              <w:rPr>
                <w:rFonts w:ascii="Times New Roman" w:hAnsi="Times New Roman" w:cs="Times New Roman"/>
                <w:sz w:val="28"/>
                <w:szCs w:val="28"/>
              </w:rPr>
              <w:t>/m</w:t>
            </w:r>
            <w:r w:rsidR="00063809" w:rsidRPr="0011694F">
              <w:rPr>
                <w:rFonts w:asciiTheme="minorEastAsia" w:hAnsiTheme="minorEastAsia" w:cstheme="minorEastAsia" w:hint="eastAsia"/>
                <w:sz w:val="28"/>
                <w:szCs w:val="28"/>
              </w:rPr>
              <w:t>²</w:t>
            </w:r>
            <w:r w:rsidRPr="0011694F">
              <w:rPr>
                <w:rFonts w:ascii="Times New Roman" w:hAnsi="Times New Roman" w:cs="Times New Roman"/>
                <w:sz w:val="28"/>
                <w:szCs w:val="28"/>
              </w:rPr>
              <w:t>.</w:t>
            </w:r>
          </w:p>
        </w:tc>
      </w:tr>
      <w:tr w:rsidR="003E5AA5" w:rsidRPr="00CA7DC4" w:rsidTr="00F363DC">
        <w:trPr>
          <w:trHeight w:val="476"/>
        </w:trPr>
        <w:tc>
          <w:tcPr>
            <w:tcW w:w="54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lastRenderedPageBreak/>
              <w:t>3.</w:t>
            </w:r>
          </w:p>
        </w:tc>
        <w:tc>
          <w:tcPr>
            <w:tcW w:w="362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Projekta izstrādē iesaistītās institūcijas</w:t>
            </w:r>
          </w:p>
        </w:tc>
        <w:tc>
          <w:tcPr>
            <w:tcW w:w="4961" w:type="dxa"/>
          </w:tcPr>
          <w:p w:rsidR="00752DC1" w:rsidRPr="00CA7DC4" w:rsidRDefault="003E5AA5" w:rsidP="0011694F">
            <w:pPr>
              <w:pStyle w:val="naiskr"/>
              <w:widowControl w:val="0"/>
              <w:tabs>
                <w:tab w:val="left" w:pos="7993"/>
              </w:tabs>
              <w:spacing w:before="0" w:after="0"/>
              <w:ind w:left="85"/>
              <w:jc w:val="both"/>
              <w:rPr>
                <w:sz w:val="28"/>
                <w:szCs w:val="28"/>
              </w:rPr>
            </w:pPr>
            <w:r w:rsidRPr="00CA7DC4">
              <w:rPr>
                <w:bCs/>
                <w:sz w:val="28"/>
                <w:szCs w:val="28"/>
              </w:rPr>
              <w:t>Kultūras ministrija</w:t>
            </w:r>
            <w:r w:rsidR="00447708">
              <w:rPr>
                <w:bCs/>
                <w:sz w:val="28"/>
                <w:szCs w:val="28"/>
              </w:rPr>
              <w:t>, Rīga</w:t>
            </w:r>
            <w:r w:rsidR="00722677">
              <w:rPr>
                <w:bCs/>
                <w:sz w:val="28"/>
                <w:szCs w:val="28"/>
              </w:rPr>
              <w:t>s vēstures un kuģniecības muzeja filiāle – Latvijas Foto muzejs</w:t>
            </w:r>
            <w:r w:rsidRPr="00CA7DC4">
              <w:rPr>
                <w:bCs/>
                <w:sz w:val="28"/>
                <w:szCs w:val="28"/>
              </w:rPr>
              <w:t xml:space="preserve"> un Finanšu ministrija (VNĪ).</w:t>
            </w:r>
          </w:p>
        </w:tc>
      </w:tr>
      <w:tr w:rsidR="003E5AA5" w:rsidRPr="00CA7DC4" w:rsidTr="00F363DC">
        <w:trPr>
          <w:trHeight w:val="446"/>
        </w:trPr>
        <w:tc>
          <w:tcPr>
            <w:tcW w:w="54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4.</w:t>
            </w:r>
          </w:p>
        </w:tc>
        <w:tc>
          <w:tcPr>
            <w:tcW w:w="3624"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Cita informācija</w:t>
            </w:r>
          </w:p>
        </w:tc>
        <w:tc>
          <w:tcPr>
            <w:tcW w:w="4961" w:type="dxa"/>
          </w:tcPr>
          <w:p w:rsidR="003E5AA5" w:rsidRPr="00CA7DC4" w:rsidRDefault="003E5AA5" w:rsidP="000934B2">
            <w:pPr>
              <w:pStyle w:val="naiskr"/>
              <w:widowControl w:val="0"/>
              <w:tabs>
                <w:tab w:val="left" w:pos="7993"/>
              </w:tabs>
              <w:spacing w:before="0" w:after="0"/>
              <w:jc w:val="both"/>
              <w:rPr>
                <w:sz w:val="28"/>
                <w:szCs w:val="28"/>
              </w:rPr>
            </w:pPr>
            <w:r w:rsidRPr="00CA7DC4">
              <w:rPr>
                <w:sz w:val="28"/>
                <w:szCs w:val="28"/>
              </w:rPr>
              <w:t>Nav</w:t>
            </w:r>
          </w:p>
        </w:tc>
      </w:tr>
    </w:tbl>
    <w:p w:rsidR="0011694F" w:rsidRDefault="0011694F" w:rsidP="00B40635">
      <w:pPr>
        <w:spacing w:after="0" w:line="240" w:lineRule="auto"/>
        <w:rPr>
          <w:rFonts w:ascii="Times New Roman" w:eastAsia="Times New Roman" w:hAnsi="Times New Roman" w:cs="Times New Roman"/>
          <w:i/>
          <w:iCs/>
          <w:sz w:val="28"/>
          <w:szCs w:val="28"/>
        </w:rPr>
      </w:pPr>
    </w:p>
    <w:p w:rsidR="00B40635" w:rsidRPr="00CA7DC4" w:rsidRDefault="000A1DFD" w:rsidP="00B40635">
      <w:pPr>
        <w:spacing w:after="0" w:line="240" w:lineRule="auto"/>
        <w:rPr>
          <w:rFonts w:ascii="Times New Roman" w:eastAsia="Times New Roman" w:hAnsi="Times New Roman" w:cs="Times New Roman"/>
          <w:i/>
          <w:iCs/>
          <w:sz w:val="28"/>
          <w:szCs w:val="28"/>
        </w:rPr>
      </w:pPr>
      <w:r w:rsidRPr="00CA7DC4">
        <w:rPr>
          <w:rFonts w:ascii="Times New Roman" w:eastAsia="Times New Roman" w:hAnsi="Times New Roman" w:cs="Times New Roman"/>
          <w:i/>
          <w:iCs/>
          <w:sz w:val="28"/>
          <w:szCs w:val="28"/>
        </w:rPr>
        <w:t>Anotācijas II</w:t>
      </w:r>
      <w:r w:rsidR="00752DC1">
        <w:rPr>
          <w:rFonts w:ascii="Times New Roman" w:eastAsia="Times New Roman" w:hAnsi="Times New Roman" w:cs="Times New Roman"/>
          <w:i/>
          <w:iCs/>
          <w:sz w:val="28"/>
          <w:szCs w:val="28"/>
        </w:rPr>
        <w:t>,</w:t>
      </w:r>
      <w:r w:rsidR="00752DC1" w:rsidRPr="00752DC1">
        <w:rPr>
          <w:b/>
          <w:sz w:val="28"/>
          <w:szCs w:val="28"/>
        </w:rPr>
        <w:t xml:space="preserve"> </w:t>
      </w:r>
      <w:r w:rsidR="00752DC1">
        <w:rPr>
          <w:rFonts w:ascii="Times New Roman" w:eastAsia="Times New Roman" w:hAnsi="Times New Roman" w:cs="Times New Roman"/>
          <w:i/>
          <w:iCs/>
          <w:sz w:val="28"/>
          <w:szCs w:val="28"/>
        </w:rPr>
        <w:t>IV,</w:t>
      </w:r>
      <w:r w:rsidRPr="00CA7DC4">
        <w:rPr>
          <w:rFonts w:ascii="Times New Roman" w:eastAsia="Times New Roman" w:hAnsi="Times New Roman" w:cs="Times New Roman"/>
          <w:i/>
          <w:iCs/>
          <w:sz w:val="28"/>
          <w:szCs w:val="28"/>
        </w:rPr>
        <w:t xml:space="preserve"> V un VI sadaļa </w:t>
      </w:r>
      <w:r w:rsidR="00B40635" w:rsidRPr="00CA7DC4">
        <w:rPr>
          <w:rFonts w:ascii="Times New Roman" w:eastAsia="Times New Roman" w:hAnsi="Times New Roman" w:cs="Times New Roman"/>
          <w:i/>
          <w:iCs/>
          <w:sz w:val="28"/>
          <w:szCs w:val="28"/>
        </w:rPr>
        <w:t xml:space="preserve">– Projekts šo jomu neskar. </w:t>
      </w:r>
    </w:p>
    <w:p w:rsidR="003E5AA5" w:rsidRPr="00CA7DC4" w:rsidRDefault="003E5AA5" w:rsidP="003E5AA5">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1196"/>
        <w:gridCol w:w="1308"/>
        <w:gridCol w:w="1306"/>
        <w:gridCol w:w="1306"/>
        <w:gridCol w:w="1308"/>
      </w:tblGrid>
      <w:tr w:rsidR="003E5AA5" w:rsidRPr="00CA7DC4" w:rsidTr="003E5AA5">
        <w:trPr>
          <w:trHeight w:val="371"/>
          <w:jc w:val="center"/>
        </w:trPr>
        <w:tc>
          <w:tcPr>
            <w:tcW w:w="5000" w:type="pct"/>
            <w:gridSpan w:val="6"/>
          </w:tcPr>
          <w:p w:rsidR="003E5AA5" w:rsidRPr="00CA7DC4" w:rsidRDefault="003E5AA5" w:rsidP="0011694F">
            <w:pPr>
              <w:pStyle w:val="naisnod"/>
              <w:spacing w:before="0" w:beforeAutospacing="0" w:after="0" w:afterAutospacing="0"/>
              <w:jc w:val="center"/>
              <w:rPr>
                <w:b/>
                <w:i/>
                <w:sz w:val="28"/>
                <w:szCs w:val="28"/>
              </w:rPr>
            </w:pPr>
            <w:r w:rsidRPr="00CA7DC4">
              <w:rPr>
                <w:b/>
                <w:sz w:val="28"/>
                <w:szCs w:val="28"/>
              </w:rPr>
              <w:br w:type="page"/>
              <w:t>III. Tiesību akta projekta ietekme uz valsts budžetu un pašvaldību budžetiem</w:t>
            </w:r>
          </w:p>
        </w:tc>
      </w:tr>
      <w:tr w:rsidR="003E5AA5" w:rsidRPr="00CA7DC4" w:rsidTr="0011694F">
        <w:trPr>
          <w:jc w:val="center"/>
        </w:trPr>
        <w:tc>
          <w:tcPr>
            <w:tcW w:w="1542" w:type="pct"/>
            <w:vMerge w:val="restart"/>
            <w:vAlign w:val="center"/>
          </w:tcPr>
          <w:p w:rsidR="003E5AA5" w:rsidRPr="00CA7DC4" w:rsidRDefault="003E5AA5" w:rsidP="0011694F">
            <w:pPr>
              <w:pStyle w:val="naisf"/>
              <w:spacing w:before="0" w:after="0"/>
              <w:ind w:firstLine="0"/>
              <w:jc w:val="center"/>
              <w:rPr>
                <w:b/>
                <w:sz w:val="28"/>
                <w:szCs w:val="28"/>
                <w:highlight w:val="yellow"/>
              </w:rPr>
            </w:pPr>
            <w:r w:rsidRPr="00CA7DC4">
              <w:rPr>
                <w:b/>
                <w:sz w:val="28"/>
                <w:szCs w:val="28"/>
              </w:rPr>
              <w:t>Rādītāji</w:t>
            </w:r>
          </w:p>
        </w:tc>
        <w:tc>
          <w:tcPr>
            <w:tcW w:w="1348" w:type="pct"/>
            <w:gridSpan w:val="2"/>
            <w:vMerge w:val="restart"/>
            <w:vAlign w:val="center"/>
          </w:tcPr>
          <w:p w:rsidR="003E5AA5" w:rsidRPr="00CA7DC4" w:rsidRDefault="009F568F" w:rsidP="0011694F">
            <w:pPr>
              <w:pStyle w:val="naisf"/>
              <w:spacing w:before="0" w:after="0"/>
              <w:ind w:firstLine="0"/>
              <w:jc w:val="center"/>
              <w:rPr>
                <w:b/>
                <w:sz w:val="28"/>
                <w:szCs w:val="28"/>
              </w:rPr>
            </w:pPr>
            <w:r>
              <w:rPr>
                <w:b/>
                <w:sz w:val="28"/>
                <w:szCs w:val="28"/>
              </w:rPr>
              <w:t>201</w:t>
            </w:r>
            <w:r w:rsidR="00EF1A6D">
              <w:rPr>
                <w:b/>
                <w:sz w:val="28"/>
                <w:szCs w:val="28"/>
              </w:rPr>
              <w:t>7</w:t>
            </w:r>
            <w:r w:rsidR="003E5AA5" w:rsidRPr="00CA7DC4">
              <w:rPr>
                <w:b/>
                <w:sz w:val="28"/>
                <w:szCs w:val="28"/>
              </w:rPr>
              <w:t>.gads</w:t>
            </w:r>
          </w:p>
        </w:tc>
        <w:tc>
          <w:tcPr>
            <w:tcW w:w="2110" w:type="pct"/>
            <w:gridSpan w:val="3"/>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Turpmākie trīs gadi (</w:t>
            </w:r>
            <w:r w:rsidRPr="00CA7DC4">
              <w:rPr>
                <w:i/>
                <w:sz w:val="28"/>
                <w:szCs w:val="28"/>
              </w:rPr>
              <w:t xml:space="preserve"> euro</w:t>
            </w:r>
            <w:r w:rsidRPr="00CA7DC4">
              <w:rPr>
                <w:sz w:val="28"/>
                <w:szCs w:val="28"/>
              </w:rPr>
              <w:t>)</w:t>
            </w:r>
          </w:p>
        </w:tc>
      </w:tr>
      <w:tr w:rsidR="003E5AA5" w:rsidRPr="00CA7DC4" w:rsidTr="0011694F">
        <w:trPr>
          <w:jc w:val="center"/>
        </w:trPr>
        <w:tc>
          <w:tcPr>
            <w:tcW w:w="1542" w:type="pct"/>
            <w:vMerge/>
            <w:vAlign w:val="center"/>
          </w:tcPr>
          <w:p w:rsidR="003E5AA5" w:rsidRPr="00CA7DC4" w:rsidRDefault="003E5AA5" w:rsidP="0011694F">
            <w:pPr>
              <w:pStyle w:val="naisf"/>
              <w:spacing w:before="0" w:after="0"/>
              <w:ind w:firstLine="0"/>
              <w:jc w:val="left"/>
              <w:rPr>
                <w:b/>
                <w:i/>
                <w:sz w:val="28"/>
                <w:szCs w:val="28"/>
                <w:highlight w:val="yellow"/>
              </w:rPr>
            </w:pPr>
          </w:p>
        </w:tc>
        <w:tc>
          <w:tcPr>
            <w:tcW w:w="1348" w:type="pct"/>
            <w:gridSpan w:val="2"/>
            <w:vMerge/>
            <w:vAlign w:val="center"/>
          </w:tcPr>
          <w:p w:rsidR="003E5AA5" w:rsidRPr="00CA7DC4" w:rsidRDefault="003E5AA5" w:rsidP="0011694F">
            <w:pPr>
              <w:pStyle w:val="naisf"/>
              <w:spacing w:before="0" w:after="0"/>
              <w:ind w:firstLine="0"/>
              <w:jc w:val="center"/>
              <w:rPr>
                <w:b/>
                <w:i/>
                <w:sz w:val="28"/>
                <w:szCs w:val="28"/>
              </w:rPr>
            </w:pPr>
          </w:p>
        </w:tc>
        <w:tc>
          <w:tcPr>
            <w:tcW w:w="703" w:type="pct"/>
            <w:vAlign w:val="center"/>
          </w:tcPr>
          <w:p w:rsidR="003E5AA5" w:rsidRPr="00CA7DC4" w:rsidRDefault="009F568F" w:rsidP="0011694F">
            <w:pPr>
              <w:pStyle w:val="naisf"/>
              <w:spacing w:before="0" w:after="0"/>
              <w:ind w:firstLine="0"/>
              <w:jc w:val="center"/>
              <w:rPr>
                <w:b/>
                <w:i/>
                <w:sz w:val="28"/>
                <w:szCs w:val="28"/>
              </w:rPr>
            </w:pPr>
            <w:r>
              <w:rPr>
                <w:b/>
                <w:bCs/>
                <w:sz w:val="28"/>
                <w:szCs w:val="28"/>
              </w:rPr>
              <w:t>201</w:t>
            </w:r>
            <w:r w:rsidR="00EF1A6D">
              <w:rPr>
                <w:b/>
                <w:bCs/>
                <w:sz w:val="28"/>
                <w:szCs w:val="28"/>
              </w:rPr>
              <w:t>8</w:t>
            </w:r>
            <w:r w:rsidR="003E5AA5" w:rsidRPr="00CA7DC4">
              <w:rPr>
                <w:b/>
                <w:bCs/>
                <w:sz w:val="28"/>
                <w:szCs w:val="28"/>
              </w:rPr>
              <w:t>.g.</w:t>
            </w:r>
          </w:p>
        </w:tc>
        <w:tc>
          <w:tcPr>
            <w:tcW w:w="703" w:type="pct"/>
            <w:vAlign w:val="center"/>
          </w:tcPr>
          <w:p w:rsidR="003E5AA5" w:rsidRPr="00CA7DC4" w:rsidRDefault="009F568F" w:rsidP="0011694F">
            <w:pPr>
              <w:pStyle w:val="naisf"/>
              <w:spacing w:before="0" w:after="0"/>
              <w:ind w:firstLine="0"/>
              <w:jc w:val="center"/>
              <w:rPr>
                <w:b/>
                <w:i/>
                <w:sz w:val="28"/>
                <w:szCs w:val="28"/>
              </w:rPr>
            </w:pPr>
            <w:r>
              <w:rPr>
                <w:b/>
                <w:bCs/>
                <w:sz w:val="28"/>
                <w:szCs w:val="28"/>
              </w:rPr>
              <w:t>201</w:t>
            </w:r>
            <w:r w:rsidR="00EF1A6D">
              <w:rPr>
                <w:b/>
                <w:bCs/>
                <w:sz w:val="28"/>
                <w:szCs w:val="28"/>
              </w:rPr>
              <w:t>9</w:t>
            </w:r>
            <w:r w:rsidR="003E5AA5" w:rsidRPr="00CA7DC4">
              <w:rPr>
                <w:b/>
                <w:bCs/>
                <w:sz w:val="28"/>
                <w:szCs w:val="28"/>
              </w:rPr>
              <w:t>.g.</w:t>
            </w:r>
          </w:p>
        </w:tc>
        <w:tc>
          <w:tcPr>
            <w:tcW w:w="704" w:type="pct"/>
            <w:vAlign w:val="center"/>
          </w:tcPr>
          <w:p w:rsidR="003E5AA5" w:rsidRPr="00CA7DC4" w:rsidRDefault="00EF1A6D" w:rsidP="00EF1A6D">
            <w:pPr>
              <w:pStyle w:val="naisf"/>
              <w:spacing w:before="0" w:after="0"/>
              <w:ind w:firstLine="0"/>
              <w:jc w:val="center"/>
              <w:rPr>
                <w:b/>
                <w:i/>
                <w:sz w:val="28"/>
                <w:szCs w:val="28"/>
              </w:rPr>
            </w:pPr>
            <w:r>
              <w:rPr>
                <w:b/>
                <w:bCs/>
                <w:sz w:val="28"/>
                <w:szCs w:val="28"/>
              </w:rPr>
              <w:t>2020</w:t>
            </w:r>
            <w:r w:rsidR="003E5AA5" w:rsidRPr="00CA7DC4">
              <w:rPr>
                <w:b/>
                <w:bCs/>
                <w:sz w:val="28"/>
                <w:szCs w:val="28"/>
              </w:rPr>
              <w:t>.g.</w:t>
            </w:r>
          </w:p>
        </w:tc>
      </w:tr>
      <w:tr w:rsidR="003E5AA5" w:rsidRPr="00CA7DC4" w:rsidTr="0011694F">
        <w:trPr>
          <w:jc w:val="center"/>
        </w:trPr>
        <w:tc>
          <w:tcPr>
            <w:tcW w:w="1542" w:type="pct"/>
            <w:vMerge/>
            <w:vAlign w:val="center"/>
          </w:tcPr>
          <w:p w:rsidR="003E5AA5" w:rsidRPr="00CA7DC4" w:rsidRDefault="003E5AA5" w:rsidP="0011694F">
            <w:pPr>
              <w:pStyle w:val="naisf"/>
              <w:spacing w:before="0" w:after="0"/>
              <w:ind w:firstLine="0"/>
              <w:jc w:val="left"/>
              <w:rPr>
                <w:b/>
                <w:i/>
                <w:sz w:val="28"/>
                <w:szCs w:val="28"/>
                <w:highlight w:val="yellow"/>
              </w:rPr>
            </w:pPr>
          </w:p>
        </w:tc>
        <w:tc>
          <w:tcPr>
            <w:tcW w:w="644" w:type="pct"/>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Saskaņā ar valsts budžetu kārtējam gadam</w:t>
            </w:r>
          </w:p>
        </w:tc>
        <w:tc>
          <w:tcPr>
            <w:tcW w:w="703" w:type="pct"/>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Izmaiņas kārtējā gadā, salīdzinot ar budžetu kārtējam gadam</w:t>
            </w:r>
          </w:p>
        </w:tc>
        <w:tc>
          <w:tcPr>
            <w:tcW w:w="703" w:type="pct"/>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 xml:space="preserve">Izmaiņas, salīdzinot ar kārtējo </w:t>
            </w:r>
            <w:r w:rsidRPr="009D1F78">
              <w:rPr>
                <w:sz w:val="28"/>
                <w:szCs w:val="28"/>
              </w:rPr>
              <w:t>(</w:t>
            </w:r>
            <w:r w:rsidR="009F568F" w:rsidRPr="009D1F78">
              <w:rPr>
                <w:sz w:val="28"/>
                <w:szCs w:val="28"/>
              </w:rPr>
              <w:t>2016</w:t>
            </w:r>
            <w:r w:rsidRPr="009D1F78">
              <w:rPr>
                <w:sz w:val="28"/>
                <w:szCs w:val="28"/>
              </w:rPr>
              <w:t>)</w:t>
            </w:r>
            <w:r w:rsidRPr="00CA7DC4">
              <w:rPr>
                <w:sz w:val="28"/>
                <w:szCs w:val="28"/>
              </w:rPr>
              <w:t xml:space="preserve"> gadu</w:t>
            </w:r>
          </w:p>
        </w:tc>
        <w:tc>
          <w:tcPr>
            <w:tcW w:w="703" w:type="pct"/>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 xml:space="preserve">Izmaiņas, salīdzinot ar kārtējo </w:t>
            </w:r>
            <w:r w:rsidRPr="009D1F78">
              <w:rPr>
                <w:sz w:val="28"/>
                <w:szCs w:val="28"/>
              </w:rPr>
              <w:t>(2</w:t>
            </w:r>
            <w:r w:rsidR="009F568F" w:rsidRPr="009D1F78">
              <w:rPr>
                <w:sz w:val="28"/>
                <w:szCs w:val="28"/>
              </w:rPr>
              <w:t>016</w:t>
            </w:r>
            <w:r w:rsidRPr="00CA7DC4">
              <w:rPr>
                <w:sz w:val="28"/>
                <w:szCs w:val="28"/>
              </w:rPr>
              <w:t>) gadu</w:t>
            </w:r>
          </w:p>
        </w:tc>
        <w:tc>
          <w:tcPr>
            <w:tcW w:w="704" w:type="pct"/>
            <w:vAlign w:val="center"/>
          </w:tcPr>
          <w:p w:rsidR="003E5AA5" w:rsidRPr="00CA7DC4" w:rsidRDefault="003E5AA5" w:rsidP="0011694F">
            <w:pPr>
              <w:pStyle w:val="naisf"/>
              <w:spacing w:before="0" w:after="0"/>
              <w:ind w:firstLine="0"/>
              <w:jc w:val="center"/>
              <w:rPr>
                <w:b/>
                <w:i/>
                <w:sz w:val="28"/>
                <w:szCs w:val="28"/>
              </w:rPr>
            </w:pPr>
            <w:r w:rsidRPr="00CA7DC4">
              <w:rPr>
                <w:sz w:val="28"/>
                <w:szCs w:val="28"/>
              </w:rPr>
              <w:t>Izmaiņas, salīdzinot ar kārtējo (</w:t>
            </w:r>
            <w:r w:rsidR="009F568F" w:rsidRPr="009D1F78">
              <w:rPr>
                <w:sz w:val="28"/>
                <w:szCs w:val="28"/>
              </w:rPr>
              <w:t>201</w:t>
            </w:r>
            <w:r w:rsidR="009F568F">
              <w:rPr>
                <w:sz w:val="28"/>
                <w:szCs w:val="28"/>
              </w:rPr>
              <w:t>6</w:t>
            </w:r>
            <w:r w:rsidRPr="00CA7DC4">
              <w:rPr>
                <w:sz w:val="28"/>
                <w:szCs w:val="28"/>
              </w:rPr>
              <w:t>) gadu</w:t>
            </w:r>
          </w:p>
        </w:tc>
      </w:tr>
      <w:tr w:rsidR="003E5AA5" w:rsidRPr="00CA7DC4" w:rsidTr="0011694F">
        <w:trPr>
          <w:jc w:val="center"/>
        </w:trPr>
        <w:tc>
          <w:tcPr>
            <w:tcW w:w="1542" w:type="pct"/>
            <w:vAlign w:val="center"/>
          </w:tcPr>
          <w:p w:rsidR="003E5AA5" w:rsidRPr="00CA7DC4" w:rsidRDefault="003E5AA5" w:rsidP="0011694F">
            <w:pPr>
              <w:pStyle w:val="naisf"/>
              <w:spacing w:before="0" w:after="0"/>
              <w:ind w:firstLine="0"/>
              <w:jc w:val="center"/>
              <w:rPr>
                <w:bCs/>
                <w:sz w:val="28"/>
                <w:szCs w:val="28"/>
                <w:highlight w:val="yellow"/>
              </w:rPr>
            </w:pPr>
            <w:r w:rsidRPr="00CA7DC4">
              <w:rPr>
                <w:bCs/>
                <w:sz w:val="28"/>
                <w:szCs w:val="28"/>
              </w:rPr>
              <w:t>1</w:t>
            </w:r>
          </w:p>
        </w:tc>
        <w:tc>
          <w:tcPr>
            <w:tcW w:w="644" w:type="pct"/>
            <w:vAlign w:val="center"/>
          </w:tcPr>
          <w:p w:rsidR="003E5AA5" w:rsidRPr="00CA7DC4" w:rsidRDefault="003E5AA5" w:rsidP="0011694F">
            <w:pPr>
              <w:pStyle w:val="naisf"/>
              <w:spacing w:before="0" w:after="0"/>
              <w:ind w:firstLine="0"/>
              <w:jc w:val="center"/>
              <w:rPr>
                <w:bCs/>
                <w:sz w:val="28"/>
                <w:szCs w:val="28"/>
              </w:rPr>
            </w:pPr>
            <w:r w:rsidRPr="00CA7DC4">
              <w:rPr>
                <w:bCs/>
                <w:sz w:val="28"/>
                <w:szCs w:val="28"/>
              </w:rPr>
              <w:t>2</w:t>
            </w:r>
          </w:p>
        </w:tc>
        <w:tc>
          <w:tcPr>
            <w:tcW w:w="703" w:type="pct"/>
            <w:vAlign w:val="center"/>
          </w:tcPr>
          <w:p w:rsidR="003E5AA5" w:rsidRPr="00CA7DC4" w:rsidRDefault="003E5AA5" w:rsidP="0011694F">
            <w:pPr>
              <w:pStyle w:val="naisf"/>
              <w:spacing w:before="0" w:after="0"/>
              <w:ind w:firstLine="0"/>
              <w:jc w:val="center"/>
              <w:rPr>
                <w:bCs/>
                <w:sz w:val="28"/>
                <w:szCs w:val="28"/>
              </w:rPr>
            </w:pPr>
            <w:r w:rsidRPr="00CA7DC4">
              <w:rPr>
                <w:bCs/>
                <w:sz w:val="28"/>
                <w:szCs w:val="28"/>
              </w:rPr>
              <w:t>3</w:t>
            </w:r>
          </w:p>
        </w:tc>
        <w:tc>
          <w:tcPr>
            <w:tcW w:w="703" w:type="pct"/>
            <w:vAlign w:val="center"/>
          </w:tcPr>
          <w:p w:rsidR="003E5AA5" w:rsidRPr="00CA7DC4" w:rsidRDefault="003E5AA5" w:rsidP="0011694F">
            <w:pPr>
              <w:pStyle w:val="naisf"/>
              <w:spacing w:before="0" w:after="0"/>
              <w:ind w:firstLine="0"/>
              <w:jc w:val="center"/>
              <w:rPr>
                <w:bCs/>
                <w:sz w:val="28"/>
                <w:szCs w:val="28"/>
              </w:rPr>
            </w:pPr>
            <w:r w:rsidRPr="00CA7DC4">
              <w:rPr>
                <w:bCs/>
                <w:sz w:val="28"/>
                <w:szCs w:val="28"/>
              </w:rPr>
              <w:t>4</w:t>
            </w:r>
          </w:p>
        </w:tc>
        <w:tc>
          <w:tcPr>
            <w:tcW w:w="703" w:type="pct"/>
            <w:vAlign w:val="center"/>
          </w:tcPr>
          <w:p w:rsidR="003E5AA5" w:rsidRPr="00CA7DC4" w:rsidRDefault="003E5AA5" w:rsidP="0011694F">
            <w:pPr>
              <w:pStyle w:val="naisf"/>
              <w:spacing w:before="0" w:after="0"/>
              <w:ind w:firstLine="0"/>
              <w:jc w:val="center"/>
              <w:rPr>
                <w:bCs/>
                <w:sz w:val="28"/>
                <w:szCs w:val="28"/>
              </w:rPr>
            </w:pPr>
            <w:r w:rsidRPr="00CA7DC4">
              <w:rPr>
                <w:bCs/>
                <w:sz w:val="28"/>
                <w:szCs w:val="28"/>
              </w:rPr>
              <w:t>5</w:t>
            </w:r>
          </w:p>
        </w:tc>
        <w:tc>
          <w:tcPr>
            <w:tcW w:w="704" w:type="pct"/>
            <w:vAlign w:val="center"/>
          </w:tcPr>
          <w:p w:rsidR="003E5AA5" w:rsidRPr="00CA7DC4" w:rsidRDefault="003E5AA5" w:rsidP="0011694F">
            <w:pPr>
              <w:pStyle w:val="naisf"/>
              <w:spacing w:before="0" w:after="0"/>
              <w:ind w:firstLine="0"/>
              <w:jc w:val="center"/>
              <w:rPr>
                <w:bCs/>
                <w:sz w:val="28"/>
                <w:szCs w:val="28"/>
              </w:rPr>
            </w:pPr>
            <w:r w:rsidRPr="00CA7DC4">
              <w:rPr>
                <w:bCs/>
                <w:sz w:val="28"/>
                <w:szCs w:val="28"/>
              </w:rPr>
              <w:t>6</w:t>
            </w:r>
          </w:p>
        </w:tc>
      </w:tr>
      <w:tr w:rsidR="003E5AA5" w:rsidRPr="00CA7DC4" w:rsidTr="0011694F">
        <w:trPr>
          <w:jc w:val="center"/>
        </w:trPr>
        <w:tc>
          <w:tcPr>
            <w:tcW w:w="1542" w:type="pct"/>
          </w:tcPr>
          <w:p w:rsidR="003E5AA5" w:rsidRPr="00CA7DC4" w:rsidRDefault="003E5AA5" w:rsidP="0011694F">
            <w:pPr>
              <w:pStyle w:val="naisf"/>
              <w:spacing w:before="0" w:after="0"/>
              <w:ind w:firstLine="0"/>
              <w:jc w:val="left"/>
              <w:rPr>
                <w:i/>
                <w:sz w:val="28"/>
                <w:szCs w:val="28"/>
              </w:rPr>
            </w:pPr>
            <w:r w:rsidRPr="00CA7DC4">
              <w:rPr>
                <w:sz w:val="28"/>
                <w:szCs w:val="28"/>
              </w:rPr>
              <w:t>1. Budžeta ieņēmumi:</w:t>
            </w:r>
          </w:p>
        </w:tc>
        <w:tc>
          <w:tcPr>
            <w:tcW w:w="644" w:type="pct"/>
          </w:tcPr>
          <w:p w:rsidR="003E5AA5" w:rsidRPr="00CA7DC4" w:rsidRDefault="00AF6AB6" w:rsidP="00AF6AB6">
            <w:pPr>
              <w:pStyle w:val="naisf"/>
              <w:spacing w:before="0" w:after="0"/>
              <w:ind w:firstLine="0"/>
              <w:jc w:val="center"/>
              <w:rPr>
                <w:b/>
                <w:sz w:val="28"/>
                <w:szCs w:val="28"/>
                <w:highlight w:val="yellow"/>
              </w:rPr>
            </w:pPr>
            <w:r>
              <w:rPr>
                <w:b/>
                <w:sz w:val="28"/>
                <w:szCs w:val="28"/>
              </w:rPr>
              <w:t>192 799</w:t>
            </w:r>
          </w:p>
        </w:tc>
        <w:tc>
          <w:tcPr>
            <w:tcW w:w="703" w:type="pct"/>
          </w:tcPr>
          <w:p w:rsidR="003E5AA5" w:rsidRPr="00CA7DC4" w:rsidRDefault="003E5AA5" w:rsidP="0011694F">
            <w:pPr>
              <w:pStyle w:val="naisf"/>
              <w:spacing w:before="0" w:after="0"/>
              <w:ind w:firstLine="0"/>
              <w:jc w:val="center"/>
              <w:rPr>
                <w:b/>
                <w:sz w:val="28"/>
                <w:szCs w:val="28"/>
              </w:rPr>
            </w:pPr>
            <w:r w:rsidRPr="00CA7DC4">
              <w:rPr>
                <w:b/>
                <w:sz w:val="28"/>
                <w:szCs w:val="28"/>
              </w:rPr>
              <w:t>0</w:t>
            </w:r>
          </w:p>
        </w:tc>
        <w:tc>
          <w:tcPr>
            <w:tcW w:w="703" w:type="pct"/>
          </w:tcPr>
          <w:p w:rsidR="003E5AA5" w:rsidRPr="00CA7DC4" w:rsidRDefault="00DE5454" w:rsidP="00DE5454">
            <w:pPr>
              <w:pStyle w:val="naisf"/>
              <w:spacing w:before="0" w:after="0"/>
              <w:ind w:firstLine="0"/>
              <w:jc w:val="center"/>
              <w:rPr>
                <w:b/>
                <w:sz w:val="28"/>
                <w:szCs w:val="28"/>
              </w:rPr>
            </w:pPr>
            <w:r>
              <w:rPr>
                <w:b/>
                <w:sz w:val="28"/>
                <w:szCs w:val="28"/>
              </w:rPr>
              <w:t>72 614</w:t>
            </w:r>
          </w:p>
        </w:tc>
        <w:tc>
          <w:tcPr>
            <w:tcW w:w="703" w:type="pct"/>
          </w:tcPr>
          <w:p w:rsidR="003E5AA5" w:rsidRPr="00CA7DC4" w:rsidRDefault="00DE5454" w:rsidP="00DE5454">
            <w:pPr>
              <w:pStyle w:val="naisf"/>
              <w:spacing w:before="0" w:after="0"/>
              <w:ind w:firstLine="0"/>
              <w:jc w:val="center"/>
              <w:rPr>
                <w:b/>
                <w:sz w:val="28"/>
                <w:szCs w:val="28"/>
              </w:rPr>
            </w:pPr>
            <w:r>
              <w:rPr>
                <w:b/>
                <w:sz w:val="28"/>
                <w:szCs w:val="28"/>
              </w:rPr>
              <w:t>72 614</w:t>
            </w:r>
          </w:p>
        </w:tc>
        <w:tc>
          <w:tcPr>
            <w:tcW w:w="704" w:type="pct"/>
          </w:tcPr>
          <w:p w:rsidR="003E5AA5" w:rsidRPr="00CA7DC4" w:rsidRDefault="00DE5454" w:rsidP="00DE5454">
            <w:pPr>
              <w:pStyle w:val="naisf"/>
              <w:spacing w:before="0" w:after="0"/>
              <w:ind w:firstLine="0"/>
              <w:jc w:val="center"/>
              <w:rPr>
                <w:b/>
                <w:sz w:val="28"/>
                <w:szCs w:val="28"/>
              </w:rPr>
            </w:pPr>
            <w:r>
              <w:rPr>
                <w:b/>
                <w:sz w:val="28"/>
                <w:szCs w:val="28"/>
              </w:rPr>
              <w:t>72 614</w:t>
            </w:r>
          </w:p>
        </w:tc>
      </w:tr>
      <w:tr w:rsidR="003E5AA5" w:rsidRPr="00CA7DC4" w:rsidTr="0011694F">
        <w:trPr>
          <w:jc w:val="center"/>
        </w:trPr>
        <w:tc>
          <w:tcPr>
            <w:tcW w:w="1542" w:type="pct"/>
          </w:tcPr>
          <w:p w:rsidR="003E5AA5" w:rsidRPr="00CA7DC4" w:rsidRDefault="003E5AA5" w:rsidP="0011694F">
            <w:pPr>
              <w:pStyle w:val="naisf"/>
              <w:spacing w:before="0" w:after="0"/>
              <w:ind w:firstLine="0"/>
              <w:jc w:val="left"/>
              <w:rPr>
                <w:i/>
                <w:sz w:val="28"/>
                <w:szCs w:val="28"/>
              </w:rPr>
            </w:pPr>
            <w:r w:rsidRPr="00CA7DC4">
              <w:rPr>
                <w:sz w:val="28"/>
                <w:szCs w:val="28"/>
              </w:rPr>
              <w:t>1.1. valsts pamatbudžets, tai skaitā ieņēmumi no maksas pakalpo-</w:t>
            </w:r>
            <w:r w:rsidRPr="00CA7DC4">
              <w:rPr>
                <w:sz w:val="28"/>
                <w:szCs w:val="28"/>
              </w:rPr>
              <w:lastRenderedPageBreak/>
              <w:t>jumiem un citi pašu ieņēmumi</w:t>
            </w:r>
          </w:p>
        </w:tc>
        <w:tc>
          <w:tcPr>
            <w:tcW w:w="644" w:type="pct"/>
          </w:tcPr>
          <w:p w:rsidR="003E5AA5" w:rsidRDefault="003E5AA5" w:rsidP="0011694F">
            <w:pPr>
              <w:pStyle w:val="naisf"/>
              <w:spacing w:before="0" w:after="0"/>
              <w:ind w:firstLine="0"/>
              <w:jc w:val="center"/>
              <w:rPr>
                <w:sz w:val="28"/>
                <w:szCs w:val="28"/>
              </w:rPr>
            </w:pPr>
          </w:p>
          <w:p w:rsidR="00DE5454" w:rsidRDefault="00DE5454" w:rsidP="0011694F">
            <w:pPr>
              <w:pStyle w:val="naisf"/>
              <w:spacing w:before="0" w:after="0"/>
              <w:ind w:firstLine="0"/>
              <w:jc w:val="center"/>
              <w:rPr>
                <w:sz w:val="28"/>
                <w:szCs w:val="28"/>
              </w:rPr>
            </w:pPr>
          </w:p>
          <w:p w:rsidR="00752DC1" w:rsidRPr="00CA7DC4" w:rsidRDefault="00AF6AB6" w:rsidP="0011694F">
            <w:pPr>
              <w:pStyle w:val="naisf"/>
              <w:spacing w:before="0" w:after="0"/>
              <w:ind w:firstLine="0"/>
              <w:jc w:val="center"/>
              <w:rPr>
                <w:sz w:val="28"/>
                <w:szCs w:val="28"/>
              </w:rPr>
            </w:pPr>
            <w:r>
              <w:rPr>
                <w:sz w:val="28"/>
                <w:szCs w:val="28"/>
              </w:rPr>
              <w:t>192 799</w:t>
            </w:r>
          </w:p>
          <w:p w:rsidR="003E5AA5" w:rsidRPr="00CA7DC4" w:rsidRDefault="003E5AA5" w:rsidP="0011694F">
            <w:pPr>
              <w:pStyle w:val="naisf"/>
              <w:spacing w:before="0" w:after="0"/>
              <w:ind w:firstLine="0"/>
              <w:rPr>
                <w:b/>
                <w:sz w:val="28"/>
                <w:szCs w:val="28"/>
                <w:highlight w:val="yellow"/>
              </w:rPr>
            </w:pPr>
          </w:p>
        </w:tc>
        <w:tc>
          <w:tcPr>
            <w:tcW w:w="703" w:type="pct"/>
            <w:vAlign w:val="center"/>
          </w:tcPr>
          <w:p w:rsidR="003E5AA5" w:rsidRPr="00CA7DC4" w:rsidRDefault="003E5AA5" w:rsidP="0011694F">
            <w:pPr>
              <w:pStyle w:val="naisf"/>
              <w:spacing w:before="0" w:after="0"/>
              <w:ind w:firstLine="0"/>
              <w:jc w:val="center"/>
              <w:rPr>
                <w:sz w:val="28"/>
                <w:szCs w:val="28"/>
              </w:rPr>
            </w:pPr>
          </w:p>
          <w:p w:rsidR="003E5AA5" w:rsidRPr="00CA7DC4" w:rsidRDefault="003E5AA5" w:rsidP="0011694F">
            <w:pPr>
              <w:pStyle w:val="naisf"/>
              <w:spacing w:before="0" w:after="0"/>
              <w:ind w:firstLine="0"/>
              <w:jc w:val="center"/>
              <w:rPr>
                <w:sz w:val="28"/>
                <w:szCs w:val="28"/>
              </w:rPr>
            </w:pPr>
            <w:r w:rsidRPr="00CA7DC4">
              <w:rPr>
                <w:sz w:val="28"/>
                <w:szCs w:val="28"/>
              </w:rPr>
              <w:t>0</w:t>
            </w:r>
          </w:p>
          <w:p w:rsidR="003E5AA5" w:rsidRPr="00CA7DC4" w:rsidRDefault="003E5AA5" w:rsidP="0011694F">
            <w:pPr>
              <w:pStyle w:val="naisf"/>
              <w:spacing w:before="0" w:after="0"/>
              <w:ind w:firstLine="0"/>
              <w:jc w:val="center"/>
              <w:rPr>
                <w:sz w:val="28"/>
                <w:szCs w:val="28"/>
              </w:rPr>
            </w:pPr>
          </w:p>
          <w:p w:rsidR="003E5AA5" w:rsidRPr="00CA7DC4" w:rsidRDefault="003E5AA5" w:rsidP="0011694F">
            <w:pPr>
              <w:pStyle w:val="naisf"/>
              <w:spacing w:before="0" w:after="0"/>
              <w:ind w:firstLine="0"/>
              <w:jc w:val="center"/>
              <w:rPr>
                <w:b/>
                <w:sz w:val="28"/>
                <w:szCs w:val="28"/>
              </w:rPr>
            </w:pPr>
          </w:p>
        </w:tc>
        <w:tc>
          <w:tcPr>
            <w:tcW w:w="703" w:type="pct"/>
            <w:vAlign w:val="center"/>
          </w:tcPr>
          <w:p w:rsidR="003E5AA5" w:rsidRPr="00CA7DC4" w:rsidRDefault="00DE5454" w:rsidP="00DE5454">
            <w:pPr>
              <w:pStyle w:val="naisf"/>
              <w:spacing w:before="0" w:after="0"/>
              <w:ind w:firstLine="0"/>
              <w:rPr>
                <w:sz w:val="28"/>
                <w:szCs w:val="28"/>
              </w:rPr>
            </w:pPr>
            <w:r>
              <w:rPr>
                <w:sz w:val="28"/>
                <w:szCs w:val="28"/>
              </w:rPr>
              <w:t>72 614</w:t>
            </w:r>
          </w:p>
          <w:p w:rsidR="003E5AA5" w:rsidRPr="00CA7DC4" w:rsidRDefault="003E5AA5" w:rsidP="0011694F">
            <w:pPr>
              <w:pStyle w:val="naisf"/>
              <w:spacing w:before="0" w:after="0"/>
              <w:ind w:firstLine="0"/>
              <w:jc w:val="center"/>
              <w:rPr>
                <w:sz w:val="28"/>
                <w:szCs w:val="28"/>
              </w:rPr>
            </w:pPr>
          </w:p>
        </w:tc>
        <w:tc>
          <w:tcPr>
            <w:tcW w:w="703" w:type="pct"/>
            <w:vAlign w:val="center"/>
          </w:tcPr>
          <w:p w:rsidR="003E5AA5" w:rsidRPr="00CA7DC4" w:rsidRDefault="00DE5454" w:rsidP="0011694F">
            <w:pPr>
              <w:pStyle w:val="naisf"/>
              <w:spacing w:before="0" w:after="0"/>
              <w:ind w:firstLine="0"/>
              <w:jc w:val="center"/>
              <w:rPr>
                <w:sz w:val="28"/>
                <w:szCs w:val="28"/>
              </w:rPr>
            </w:pPr>
            <w:r>
              <w:rPr>
                <w:sz w:val="28"/>
                <w:szCs w:val="28"/>
              </w:rPr>
              <w:t>72 614</w:t>
            </w:r>
          </w:p>
          <w:p w:rsidR="003E5AA5" w:rsidRPr="00CA7DC4" w:rsidRDefault="003E5AA5" w:rsidP="0011694F">
            <w:pPr>
              <w:pStyle w:val="naisf"/>
              <w:spacing w:before="0" w:after="0"/>
              <w:ind w:firstLine="0"/>
              <w:jc w:val="center"/>
              <w:rPr>
                <w:sz w:val="28"/>
                <w:szCs w:val="28"/>
              </w:rPr>
            </w:pPr>
          </w:p>
        </w:tc>
        <w:tc>
          <w:tcPr>
            <w:tcW w:w="704" w:type="pct"/>
            <w:vAlign w:val="center"/>
          </w:tcPr>
          <w:p w:rsidR="00DE5454" w:rsidRDefault="00DE5454" w:rsidP="0011694F">
            <w:pPr>
              <w:pStyle w:val="naisf"/>
              <w:spacing w:before="0" w:after="0"/>
              <w:ind w:firstLine="0"/>
              <w:jc w:val="center"/>
              <w:rPr>
                <w:sz w:val="28"/>
                <w:szCs w:val="28"/>
              </w:rPr>
            </w:pPr>
          </w:p>
          <w:p w:rsidR="00DE5454" w:rsidRDefault="00DE5454" w:rsidP="0011694F">
            <w:pPr>
              <w:pStyle w:val="naisf"/>
              <w:spacing w:before="0" w:after="0"/>
              <w:ind w:firstLine="0"/>
              <w:jc w:val="center"/>
              <w:rPr>
                <w:sz w:val="28"/>
                <w:szCs w:val="28"/>
              </w:rPr>
            </w:pPr>
          </w:p>
          <w:p w:rsidR="003E5AA5" w:rsidRPr="00CA7DC4" w:rsidRDefault="00DE5454" w:rsidP="0011694F">
            <w:pPr>
              <w:pStyle w:val="naisf"/>
              <w:spacing w:before="0" w:after="0"/>
              <w:ind w:firstLine="0"/>
              <w:jc w:val="center"/>
              <w:rPr>
                <w:sz w:val="28"/>
                <w:szCs w:val="28"/>
              </w:rPr>
            </w:pPr>
            <w:r>
              <w:rPr>
                <w:sz w:val="28"/>
                <w:szCs w:val="28"/>
              </w:rPr>
              <w:t>72 614</w:t>
            </w:r>
          </w:p>
          <w:p w:rsidR="003E5AA5" w:rsidRPr="00CA7DC4" w:rsidRDefault="003E5AA5" w:rsidP="0011694F">
            <w:pPr>
              <w:pStyle w:val="naisf"/>
              <w:spacing w:before="0" w:after="0"/>
              <w:ind w:firstLine="0"/>
              <w:jc w:val="center"/>
              <w:rPr>
                <w:sz w:val="28"/>
                <w:szCs w:val="28"/>
              </w:rPr>
            </w:pPr>
          </w:p>
          <w:p w:rsidR="003E5AA5" w:rsidRPr="00CA7DC4" w:rsidRDefault="003E5AA5" w:rsidP="0011694F">
            <w:pPr>
              <w:pStyle w:val="naisf"/>
              <w:spacing w:before="0" w:after="0"/>
              <w:ind w:firstLine="0"/>
              <w:jc w:val="center"/>
              <w:rPr>
                <w:sz w:val="28"/>
                <w:szCs w:val="28"/>
              </w:rPr>
            </w:pPr>
          </w:p>
          <w:p w:rsidR="003E5AA5" w:rsidRPr="00CA7DC4" w:rsidRDefault="003E5AA5" w:rsidP="0011694F">
            <w:pPr>
              <w:pStyle w:val="naisf"/>
              <w:spacing w:before="0" w:after="0"/>
              <w:ind w:firstLine="0"/>
              <w:jc w:val="center"/>
              <w:rPr>
                <w:sz w:val="28"/>
                <w:szCs w:val="28"/>
              </w:rPr>
            </w:pPr>
          </w:p>
        </w:tc>
      </w:tr>
      <w:tr w:rsidR="003E5AA5" w:rsidRPr="00CA7DC4" w:rsidTr="0011694F">
        <w:trPr>
          <w:trHeight w:val="657"/>
          <w:jc w:val="center"/>
        </w:trPr>
        <w:tc>
          <w:tcPr>
            <w:tcW w:w="1542" w:type="pct"/>
          </w:tcPr>
          <w:p w:rsidR="003E5AA5" w:rsidRPr="00CA7DC4" w:rsidRDefault="003E5AA5" w:rsidP="0011694F">
            <w:pPr>
              <w:pStyle w:val="naisf"/>
              <w:spacing w:before="0" w:after="0"/>
              <w:ind w:firstLine="0"/>
              <w:jc w:val="left"/>
              <w:rPr>
                <w:i/>
                <w:sz w:val="28"/>
                <w:szCs w:val="28"/>
              </w:rPr>
            </w:pPr>
            <w:r w:rsidRPr="00CA7DC4">
              <w:rPr>
                <w:sz w:val="28"/>
                <w:szCs w:val="28"/>
              </w:rPr>
              <w:lastRenderedPageBreak/>
              <w:t>1.2. valsts speciālais budžets</w:t>
            </w:r>
          </w:p>
        </w:tc>
        <w:tc>
          <w:tcPr>
            <w:tcW w:w="64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pStyle w:val="naisf"/>
              <w:spacing w:before="0" w:after="0"/>
              <w:ind w:firstLine="0"/>
              <w:jc w:val="left"/>
              <w:rPr>
                <w:i/>
                <w:sz w:val="28"/>
                <w:szCs w:val="28"/>
              </w:rPr>
            </w:pPr>
            <w:r w:rsidRPr="00CA7DC4">
              <w:rPr>
                <w:sz w:val="28"/>
                <w:szCs w:val="28"/>
              </w:rPr>
              <w:t>1.3. pašvaldību budžets</w:t>
            </w:r>
          </w:p>
        </w:tc>
        <w:tc>
          <w:tcPr>
            <w:tcW w:w="64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2. Budžeta izdevumi:</w:t>
            </w:r>
          </w:p>
        </w:tc>
        <w:tc>
          <w:tcPr>
            <w:tcW w:w="644" w:type="pct"/>
            <w:vAlign w:val="center"/>
          </w:tcPr>
          <w:p w:rsidR="003E5AA5" w:rsidRPr="00CA7DC4" w:rsidRDefault="00AF6AB6" w:rsidP="00AF6AB6">
            <w:pPr>
              <w:pStyle w:val="naisf"/>
              <w:spacing w:before="0" w:after="0"/>
              <w:ind w:firstLine="0"/>
              <w:jc w:val="center"/>
              <w:rPr>
                <w:b/>
                <w:sz w:val="28"/>
                <w:szCs w:val="28"/>
              </w:rPr>
            </w:pPr>
            <w:r>
              <w:rPr>
                <w:b/>
                <w:sz w:val="28"/>
                <w:szCs w:val="28"/>
              </w:rPr>
              <w:t>192</w:t>
            </w:r>
            <w:r w:rsidR="00DE5454">
              <w:rPr>
                <w:b/>
                <w:sz w:val="28"/>
                <w:szCs w:val="28"/>
              </w:rPr>
              <w:t xml:space="preserve"> </w:t>
            </w:r>
            <w:r>
              <w:rPr>
                <w:b/>
                <w:sz w:val="28"/>
                <w:szCs w:val="28"/>
              </w:rPr>
              <w:t>799</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3" w:type="pct"/>
            <w:vAlign w:val="center"/>
          </w:tcPr>
          <w:p w:rsidR="003E5AA5" w:rsidRPr="00CA7DC4" w:rsidRDefault="00DE5454" w:rsidP="00DE5454">
            <w:pPr>
              <w:pStyle w:val="naisf"/>
              <w:spacing w:before="0" w:after="0"/>
              <w:ind w:firstLine="0"/>
              <w:jc w:val="center"/>
              <w:rPr>
                <w:b/>
                <w:sz w:val="28"/>
                <w:szCs w:val="28"/>
              </w:rPr>
            </w:pPr>
            <w:r>
              <w:rPr>
                <w:b/>
                <w:sz w:val="28"/>
                <w:szCs w:val="28"/>
              </w:rPr>
              <w:t>72 614</w:t>
            </w:r>
          </w:p>
        </w:tc>
        <w:tc>
          <w:tcPr>
            <w:tcW w:w="703" w:type="pct"/>
            <w:vAlign w:val="center"/>
          </w:tcPr>
          <w:p w:rsidR="003E5AA5" w:rsidRPr="00CA7DC4" w:rsidRDefault="00DE5454" w:rsidP="00DE5454">
            <w:pPr>
              <w:pStyle w:val="naisf"/>
              <w:spacing w:before="0" w:after="0"/>
              <w:ind w:firstLine="0"/>
              <w:jc w:val="center"/>
              <w:rPr>
                <w:b/>
                <w:sz w:val="28"/>
                <w:szCs w:val="28"/>
              </w:rPr>
            </w:pPr>
            <w:r>
              <w:rPr>
                <w:b/>
                <w:sz w:val="28"/>
                <w:szCs w:val="28"/>
              </w:rPr>
              <w:t>72 614</w:t>
            </w:r>
          </w:p>
        </w:tc>
        <w:tc>
          <w:tcPr>
            <w:tcW w:w="704" w:type="pct"/>
            <w:vAlign w:val="center"/>
          </w:tcPr>
          <w:p w:rsidR="003E5AA5" w:rsidRPr="00CA7DC4" w:rsidRDefault="00DE5454" w:rsidP="00DE5454">
            <w:pPr>
              <w:pStyle w:val="naisf"/>
              <w:spacing w:before="0" w:after="0"/>
              <w:ind w:firstLine="0"/>
              <w:jc w:val="center"/>
              <w:rPr>
                <w:b/>
                <w:sz w:val="28"/>
                <w:szCs w:val="28"/>
              </w:rPr>
            </w:pPr>
            <w:r>
              <w:rPr>
                <w:b/>
                <w:sz w:val="28"/>
                <w:szCs w:val="28"/>
              </w:rPr>
              <w:t>72 614</w:t>
            </w:r>
          </w:p>
        </w:tc>
      </w:tr>
      <w:tr w:rsidR="003E5AA5" w:rsidRPr="00CA7DC4" w:rsidTr="0011694F">
        <w:trPr>
          <w:trHeight w:val="414"/>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2.1. valsts pamatbudžets</w:t>
            </w:r>
          </w:p>
        </w:tc>
        <w:tc>
          <w:tcPr>
            <w:tcW w:w="644" w:type="pct"/>
          </w:tcPr>
          <w:p w:rsidR="000F18EA" w:rsidRDefault="000F18EA" w:rsidP="0011694F">
            <w:pPr>
              <w:pStyle w:val="naisf"/>
              <w:spacing w:before="0" w:after="0"/>
              <w:ind w:firstLine="0"/>
              <w:jc w:val="center"/>
              <w:rPr>
                <w:sz w:val="28"/>
                <w:szCs w:val="28"/>
              </w:rPr>
            </w:pPr>
          </w:p>
          <w:p w:rsidR="003E5AA5" w:rsidRPr="00CA7DC4" w:rsidRDefault="00DE5454" w:rsidP="00DE5454">
            <w:pPr>
              <w:pStyle w:val="naisf"/>
              <w:spacing w:before="0" w:after="0"/>
              <w:ind w:firstLine="0"/>
              <w:jc w:val="center"/>
              <w:rPr>
                <w:sz w:val="28"/>
                <w:szCs w:val="28"/>
              </w:rPr>
            </w:pPr>
            <w:r>
              <w:rPr>
                <w:sz w:val="28"/>
                <w:szCs w:val="28"/>
              </w:rPr>
              <w:t>192 799</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3" w:type="pct"/>
            <w:vAlign w:val="center"/>
          </w:tcPr>
          <w:p w:rsidR="003E5AA5" w:rsidRDefault="003E5AA5" w:rsidP="00AF6AB6">
            <w:pPr>
              <w:pStyle w:val="naisf"/>
              <w:spacing w:before="0" w:after="0"/>
              <w:ind w:firstLine="0"/>
              <w:jc w:val="center"/>
              <w:rPr>
                <w:sz w:val="28"/>
                <w:szCs w:val="28"/>
              </w:rPr>
            </w:pPr>
          </w:p>
          <w:p w:rsidR="00DE5454" w:rsidRPr="00CA7DC4" w:rsidRDefault="00DE5454" w:rsidP="00AF6AB6">
            <w:pPr>
              <w:pStyle w:val="naisf"/>
              <w:spacing w:before="0" w:after="0"/>
              <w:ind w:firstLine="0"/>
              <w:jc w:val="center"/>
              <w:rPr>
                <w:sz w:val="28"/>
                <w:szCs w:val="28"/>
              </w:rPr>
            </w:pPr>
            <w:r>
              <w:rPr>
                <w:sz w:val="28"/>
                <w:szCs w:val="28"/>
              </w:rPr>
              <w:t>72 614</w:t>
            </w:r>
          </w:p>
        </w:tc>
        <w:tc>
          <w:tcPr>
            <w:tcW w:w="703" w:type="pct"/>
            <w:vAlign w:val="center"/>
          </w:tcPr>
          <w:p w:rsidR="00DE5454" w:rsidRDefault="00DE5454" w:rsidP="00AF6AB6">
            <w:pPr>
              <w:pStyle w:val="naisf"/>
              <w:spacing w:before="0" w:after="0"/>
              <w:ind w:firstLine="0"/>
              <w:jc w:val="center"/>
              <w:rPr>
                <w:sz w:val="28"/>
                <w:szCs w:val="28"/>
              </w:rPr>
            </w:pPr>
          </w:p>
          <w:p w:rsidR="003E5AA5" w:rsidRPr="00CA7DC4" w:rsidRDefault="00DE5454" w:rsidP="00DE5454">
            <w:pPr>
              <w:pStyle w:val="naisf"/>
              <w:spacing w:before="0" w:after="0"/>
              <w:ind w:firstLine="0"/>
              <w:jc w:val="center"/>
              <w:rPr>
                <w:sz w:val="28"/>
                <w:szCs w:val="28"/>
              </w:rPr>
            </w:pPr>
            <w:r>
              <w:rPr>
                <w:sz w:val="28"/>
                <w:szCs w:val="28"/>
              </w:rPr>
              <w:t>72 614</w:t>
            </w:r>
          </w:p>
        </w:tc>
        <w:tc>
          <w:tcPr>
            <w:tcW w:w="704" w:type="pct"/>
            <w:vAlign w:val="center"/>
          </w:tcPr>
          <w:p w:rsidR="003E5AA5" w:rsidRDefault="003E5AA5" w:rsidP="00AF6AB6">
            <w:pPr>
              <w:pStyle w:val="naisf"/>
              <w:spacing w:before="0" w:after="0"/>
              <w:ind w:firstLine="0"/>
              <w:jc w:val="center"/>
              <w:rPr>
                <w:sz w:val="28"/>
                <w:szCs w:val="28"/>
              </w:rPr>
            </w:pPr>
          </w:p>
          <w:p w:rsidR="00DE5454" w:rsidRPr="00CA7DC4" w:rsidRDefault="00DE5454" w:rsidP="00AF6AB6">
            <w:pPr>
              <w:pStyle w:val="naisf"/>
              <w:spacing w:before="0" w:after="0"/>
              <w:ind w:firstLine="0"/>
              <w:jc w:val="center"/>
              <w:rPr>
                <w:sz w:val="28"/>
                <w:szCs w:val="28"/>
              </w:rPr>
            </w:pPr>
            <w:r>
              <w:rPr>
                <w:sz w:val="28"/>
                <w:szCs w:val="28"/>
              </w:rPr>
              <w:t>72 614</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2.2. valsts speciālais budžets</w:t>
            </w:r>
          </w:p>
        </w:tc>
        <w:tc>
          <w:tcPr>
            <w:tcW w:w="64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 xml:space="preserve">2.3. pašvaldību budžets </w:t>
            </w:r>
          </w:p>
        </w:tc>
        <w:tc>
          <w:tcPr>
            <w:tcW w:w="64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3. Finansiālā ietekme:</w:t>
            </w:r>
          </w:p>
        </w:tc>
        <w:tc>
          <w:tcPr>
            <w:tcW w:w="644" w:type="pct"/>
            <w:shd w:val="clear" w:color="auto" w:fill="auto"/>
            <w:vAlign w:val="center"/>
          </w:tcPr>
          <w:p w:rsidR="003E5AA5" w:rsidRPr="00CA7DC4" w:rsidRDefault="003E5AA5" w:rsidP="0011694F">
            <w:pPr>
              <w:pStyle w:val="naisf"/>
              <w:spacing w:before="0" w:after="0"/>
              <w:ind w:firstLine="0"/>
              <w:jc w:val="center"/>
              <w:rPr>
                <w:b/>
                <w:sz w:val="28"/>
                <w:szCs w:val="28"/>
              </w:rPr>
            </w:pPr>
            <w:r w:rsidRPr="00CA7DC4">
              <w:rPr>
                <w:b/>
                <w:sz w:val="28"/>
                <w:szCs w:val="28"/>
              </w:rPr>
              <w:t>0</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4"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3.1. valsts pamatbudžets</w:t>
            </w:r>
          </w:p>
        </w:tc>
        <w:tc>
          <w:tcPr>
            <w:tcW w:w="644" w:type="pct"/>
            <w:shd w:val="clear" w:color="auto" w:fill="auto"/>
            <w:vAlign w:val="center"/>
          </w:tcPr>
          <w:p w:rsidR="003E5AA5" w:rsidRPr="00CA7DC4" w:rsidRDefault="003E5AA5" w:rsidP="0011694F">
            <w:pPr>
              <w:pStyle w:val="naisf"/>
              <w:spacing w:before="0" w:after="0"/>
              <w:ind w:firstLine="0"/>
              <w:jc w:val="center"/>
              <w:rPr>
                <w:sz w:val="28"/>
                <w:szCs w:val="28"/>
              </w:rPr>
            </w:pPr>
            <w:r w:rsidRPr="00CA7DC4">
              <w:rPr>
                <w:sz w:val="28"/>
                <w:szCs w:val="28"/>
              </w:rPr>
              <w:t>0</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4"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3.2. speciālais budžets</w:t>
            </w:r>
          </w:p>
        </w:tc>
        <w:tc>
          <w:tcPr>
            <w:tcW w:w="644" w:type="pct"/>
            <w:shd w:val="clear" w:color="auto" w:fill="auto"/>
            <w:vAlign w:val="center"/>
          </w:tcPr>
          <w:p w:rsidR="003E5AA5" w:rsidRPr="00CA7DC4" w:rsidRDefault="003E5AA5" w:rsidP="0011694F">
            <w:pPr>
              <w:pStyle w:val="naisf"/>
              <w:spacing w:before="0" w:after="0"/>
              <w:ind w:firstLine="0"/>
              <w:jc w:val="center"/>
              <w:rPr>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 xml:space="preserve">3.3. pašvaldību budžets </w:t>
            </w:r>
          </w:p>
        </w:tc>
        <w:tc>
          <w:tcPr>
            <w:tcW w:w="644" w:type="pct"/>
            <w:shd w:val="clear" w:color="auto" w:fill="auto"/>
            <w:vAlign w:val="center"/>
          </w:tcPr>
          <w:p w:rsidR="003E5AA5" w:rsidRPr="00CA7DC4" w:rsidRDefault="003E5AA5" w:rsidP="0011694F">
            <w:pPr>
              <w:pStyle w:val="naisf"/>
              <w:spacing w:before="0" w:after="0"/>
              <w:ind w:firstLine="0"/>
              <w:jc w:val="center"/>
              <w:rPr>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vMerge w:val="restar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4. Finanšu līdzekļi papildu izde</w:t>
            </w:r>
            <w:r w:rsidRPr="00CA7DC4">
              <w:rPr>
                <w:rFonts w:ascii="Times New Roman" w:hAnsi="Times New Roman" w:cs="Times New Roman"/>
                <w:sz w:val="28"/>
                <w:szCs w:val="28"/>
              </w:rPr>
              <w:softHyphen/>
              <w:t>vumu finansēšanai (kompensējošu izdevumu samazinājumu norāda ar "+" zīmi)</w:t>
            </w:r>
          </w:p>
        </w:tc>
        <w:tc>
          <w:tcPr>
            <w:tcW w:w="644" w:type="pct"/>
            <w:vMerge w:val="restart"/>
            <w:vAlign w:val="center"/>
          </w:tcPr>
          <w:p w:rsidR="003E5AA5" w:rsidRPr="00CA7DC4" w:rsidRDefault="003E5AA5" w:rsidP="0011694F">
            <w:pPr>
              <w:pStyle w:val="naisf"/>
              <w:spacing w:before="0" w:after="0"/>
              <w:ind w:firstLine="0"/>
              <w:jc w:val="center"/>
              <w:rPr>
                <w:sz w:val="28"/>
                <w:szCs w:val="28"/>
                <w:highlight w:val="yellow"/>
              </w:rPr>
            </w:pPr>
            <w:r w:rsidRPr="00CA7DC4">
              <w:rPr>
                <w:sz w:val="28"/>
                <w:szCs w:val="28"/>
              </w:rPr>
              <w:t>X</w:t>
            </w:r>
          </w:p>
        </w:tc>
        <w:tc>
          <w:tcPr>
            <w:tcW w:w="703" w:type="pct"/>
            <w:vMerge w:val="restar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Galvene"/>
              <w:jc w:val="center"/>
              <w:rPr>
                <w:b/>
                <w:sz w:val="28"/>
                <w:szCs w:val="28"/>
                <w:lang w:eastAsia="en-US"/>
              </w:rPr>
            </w:pPr>
            <w:r w:rsidRPr="00CA7DC4">
              <w:rPr>
                <w:sz w:val="28"/>
                <w:szCs w:val="28"/>
                <w:lang w:eastAsia="en-US"/>
              </w:rPr>
              <w:t>0</w:t>
            </w:r>
          </w:p>
        </w:tc>
      </w:tr>
      <w:tr w:rsidR="003E5AA5" w:rsidRPr="00CA7DC4" w:rsidTr="0011694F">
        <w:trPr>
          <w:jc w:val="center"/>
        </w:trPr>
        <w:tc>
          <w:tcPr>
            <w:tcW w:w="1542" w:type="pct"/>
            <w:vMerge/>
          </w:tcPr>
          <w:p w:rsidR="003E5AA5" w:rsidRPr="00CA7DC4" w:rsidRDefault="003E5AA5" w:rsidP="0011694F">
            <w:pPr>
              <w:spacing w:after="0" w:line="240" w:lineRule="auto"/>
              <w:rPr>
                <w:rFonts w:ascii="Times New Roman" w:hAnsi="Times New Roman" w:cs="Times New Roman"/>
                <w:sz w:val="28"/>
                <w:szCs w:val="28"/>
              </w:rPr>
            </w:pPr>
          </w:p>
        </w:tc>
        <w:tc>
          <w:tcPr>
            <w:tcW w:w="644" w:type="pct"/>
            <w:vMerge/>
          </w:tcPr>
          <w:p w:rsidR="003E5AA5" w:rsidRPr="00CA7DC4" w:rsidRDefault="003E5AA5" w:rsidP="0011694F">
            <w:pPr>
              <w:pStyle w:val="Galvene"/>
              <w:jc w:val="center"/>
              <w:rPr>
                <w:sz w:val="28"/>
                <w:szCs w:val="28"/>
                <w:highlight w:val="yellow"/>
                <w:lang w:eastAsia="en-US"/>
              </w:rPr>
            </w:pPr>
          </w:p>
        </w:tc>
        <w:tc>
          <w:tcPr>
            <w:tcW w:w="703" w:type="pct"/>
            <w:vMerge/>
            <w:vAlign w:val="center"/>
          </w:tcPr>
          <w:p w:rsidR="003E5AA5" w:rsidRPr="00CA7DC4" w:rsidRDefault="003E5AA5" w:rsidP="0011694F">
            <w:pPr>
              <w:pStyle w:val="naisf"/>
              <w:spacing w:before="0" w:after="0"/>
              <w:jc w:val="center"/>
              <w:rPr>
                <w:b/>
                <w:sz w:val="28"/>
                <w:szCs w:val="28"/>
              </w:rPr>
            </w:pP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Galvene"/>
              <w:jc w:val="center"/>
              <w:rPr>
                <w:b/>
                <w:sz w:val="28"/>
                <w:szCs w:val="28"/>
                <w:lang w:eastAsia="en-US"/>
              </w:rPr>
            </w:pPr>
            <w:r w:rsidRPr="00CA7DC4">
              <w:rPr>
                <w:sz w:val="28"/>
                <w:szCs w:val="28"/>
                <w:lang w:eastAsia="en-US"/>
              </w:rPr>
              <w:t>0</w:t>
            </w:r>
          </w:p>
        </w:tc>
      </w:tr>
      <w:tr w:rsidR="003E5AA5" w:rsidRPr="00CA7DC4" w:rsidTr="0011694F">
        <w:trPr>
          <w:jc w:val="center"/>
        </w:trPr>
        <w:tc>
          <w:tcPr>
            <w:tcW w:w="1542" w:type="pct"/>
            <w:vMerge/>
          </w:tcPr>
          <w:p w:rsidR="003E5AA5" w:rsidRPr="00CA7DC4" w:rsidRDefault="003E5AA5" w:rsidP="0011694F">
            <w:pPr>
              <w:spacing w:after="0" w:line="240" w:lineRule="auto"/>
              <w:rPr>
                <w:rFonts w:ascii="Times New Roman" w:hAnsi="Times New Roman" w:cs="Times New Roman"/>
                <w:sz w:val="28"/>
                <w:szCs w:val="28"/>
              </w:rPr>
            </w:pPr>
          </w:p>
        </w:tc>
        <w:tc>
          <w:tcPr>
            <w:tcW w:w="644" w:type="pct"/>
            <w:vMerge/>
          </w:tcPr>
          <w:p w:rsidR="003E5AA5" w:rsidRPr="00CA7DC4" w:rsidRDefault="003E5AA5" w:rsidP="0011694F">
            <w:pPr>
              <w:pStyle w:val="Galvene"/>
              <w:jc w:val="center"/>
              <w:rPr>
                <w:sz w:val="28"/>
                <w:szCs w:val="28"/>
                <w:highlight w:val="yellow"/>
                <w:lang w:eastAsia="en-US"/>
              </w:rPr>
            </w:pPr>
          </w:p>
        </w:tc>
        <w:tc>
          <w:tcPr>
            <w:tcW w:w="703" w:type="pct"/>
            <w:vMerge/>
            <w:vAlign w:val="center"/>
          </w:tcPr>
          <w:p w:rsidR="003E5AA5" w:rsidRPr="00CA7DC4" w:rsidRDefault="003E5AA5" w:rsidP="0011694F">
            <w:pPr>
              <w:pStyle w:val="naisf"/>
              <w:spacing w:before="0" w:after="0"/>
              <w:ind w:firstLine="0"/>
              <w:jc w:val="center"/>
              <w:rPr>
                <w:b/>
                <w:sz w:val="28"/>
                <w:szCs w:val="28"/>
              </w:rPr>
            </w:pPr>
          </w:p>
        </w:tc>
        <w:tc>
          <w:tcPr>
            <w:tcW w:w="703" w:type="pct"/>
            <w:vAlign w:val="center"/>
          </w:tcPr>
          <w:p w:rsidR="003E5AA5" w:rsidRPr="00CA7DC4" w:rsidRDefault="003E5AA5" w:rsidP="0011694F">
            <w:pPr>
              <w:pStyle w:val="naislab"/>
              <w:spacing w:before="0" w:after="0"/>
              <w:jc w:val="center"/>
              <w:rPr>
                <w:b/>
                <w:sz w:val="28"/>
                <w:szCs w:val="28"/>
              </w:rPr>
            </w:pPr>
            <w:r w:rsidRPr="00CA7DC4">
              <w:rPr>
                <w:sz w:val="28"/>
                <w:szCs w:val="28"/>
              </w:rPr>
              <w:t>0</w:t>
            </w:r>
          </w:p>
        </w:tc>
        <w:tc>
          <w:tcPr>
            <w:tcW w:w="703" w:type="pct"/>
            <w:vAlign w:val="center"/>
          </w:tcPr>
          <w:p w:rsidR="003E5AA5" w:rsidRPr="00CA7DC4" w:rsidRDefault="003E5AA5" w:rsidP="0011694F">
            <w:pPr>
              <w:pStyle w:val="naislab"/>
              <w:spacing w:before="0" w:after="0"/>
              <w:jc w:val="center"/>
              <w:rPr>
                <w:b/>
                <w:sz w:val="28"/>
                <w:szCs w:val="28"/>
              </w:rPr>
            </w:pPr>
            <w:r w:rsidRPr="00CA7DC4">
              <w:rPr>
                <w:sz w:val="28"/>
                <w:szCs w:val="28"/>
              </w:rPr>
              <w:t>0</w:t>
            </w:r>
          </w:p>
        </w:tc>
        <w:tc>
          <w:tcPr>
            <w:tcW w:w="704" w:type="pct"/>
            <w:vAlign w:val="center"/>
          </w:tcPr>
          <w:p w:rsidR="003E5AA5" w:rsidRPr="00CA7DC4" w:rsidRDefault="003E5AA5" w:rsidP="0011694F">
            <w:pPr>
              <w:pStyle w:val="Galvene"/>
              <w:jc w:val="center"/>
              <w:rPr>
                <w:b/>
                <w:sz w:val="28"/>
                <w:szCs w:val="28"/>
                <w:lang w:eastAsia="en-US"/>
              </w:rPr>
            </w:pPr>
            <w:r w:rsidRPr="00CA7DC4">
              <w:rPr>
                <w:sz w:val="28"/>
                <w:szCs w:val="28"/>
                <w:lang w:eastAsia="en-US"/>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5. Precizēta finansiālā ietekme:</w:t>
            </w:r>
          </w:p>
        </w:tc>
        <w:tc>
          <w:tcPr>
            <w:tcW w:w="644" w:type="pct"/>
            <w:vMerge w:val="restart"/>
            <w:vAlign w:val="center"/>
          </w:tcPr>
          <w:p w:rsidR="003E5AA5" w:rsidRPr="00CA7DC4" w:rsidRDefault="003E5AA5" w:rsidP="0011694F">
            <w:pPr>
              <w:pStyle w:val="Galvene"/>
              <w:jc w:val="center"/>
              <w:rPr>
                <w:sz w:val="28"/>
                <w:szCs w:val="28"/>
                <w:highlight w:val="yellow"/>
                <w:lang w:eastAsia="en-US"/>
              </w:rPr>
            </w:pPr>
            <w:r w:rsidRPr="00CA7DC4">
              <w:rPr>
                <w:sz w:val="28"/>
                <w:szCs w:val="28"/>
                <w:lang w:eastAsia="en-US"/>
              </w:rPr>
              <w:t>X</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b/>
                <w:sz w:val="28"/>
                <w:szCs w:val="28"/>
              </w:rPr>
              <w:t>0</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3"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c>
          <w:tcPr>
            <w:tcW w:w="704" w:type="pct"/>
            <w:vAlign w:val="center"/>
          </w:tcPr>
          <w:p w:rsidR="003E5AA5" w:rsidRPr="00CA7DC4" w:rsidRDefault="00515E00" w:rsidP="0011694F">
            <w:pPr>
              <w:pStyle w:val="naisf"/>
              <w:spacing w:before="0" w:after="0"/>
              <w:ind w:firstLine="0"/>
              <w:jc w:val="center"/>
              <w:rPr>
                <w:b/>
                <w:sz w:val="28"/>
                <w:szCs w:val="28"/>
              </w:rPr>
            </w:pPr>
            <w:r>
              <w:rPr>
                <w:b/>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5.1. valsts pamatbudžets</w:t>
            </w:r>
          </w:p>
        </w:tc>
        <w:tc>
          <w:tcPr>
            <w:tcW w:w="644" w:type="pct"/>
            <w:vMerge/>
            <w:vAlign w:val="center"/>
          </w:tcPr>
          <w:p w:rsidR="003E5AA5" w:rsidRPr="00CA7DC4" w:rsidRDefault="003E5AA5" w:rsidP="0011694F">
            <w:pPr>
              <w:pStyle w:val="naisf"/>
              <w:spacing w:before="0" w:after="0"/>
              <w:ind w:firstLine="0"/>
              <w:jc w:val="center"/>
              <w:rPr>
                <w:sz w:val="28"/>
                <w:szCs w:val="28"/>
                <w:highlight w:val="yellow"/>
              </w:rPr>
            </w:pPr>
          </w:p>
        </w:tc>
        <w:tc>
          <w:tcPr>
            <w:tcW w:w="703" w:type="pct"/>
            <w:vAlign w:val="center"/>
          </w:tcPr>
          <w:p w:rsidR="003E5AA5" w:rsidRPr="00CA7DC4" w:rsidRDefault="003E5AA5" w:rsidP="0011694F">
            <w:pPr>
              <w:pStyle w:val="naisf"/>
              <w:spacing w:before="0" w:after="0"/>
              <w:ind w:firstLine="0"/>
              <w:jc w:val="center"/>
              <w:rPr>
                <w:sz w:val="28"/>
                <w:szCs w:val="28"/>
              </w:rPr>
            </w:pPr>
            <w:r w:rsidRPr="00CA7DC4">
              <w:rPr>
                <w:sz w:val="28"/>
                <w:szCs w:val="28"/>
              </w:rPr>
              <w:t>0</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3"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c>
          <w:tcPr>
            <w:tcW w:w="704" w:type="pct"/>
            <w:vAlign w:val="center"/>
          </w:tcPr>
          <w:p w:rsidR="003E5AA5" w:rsidRPr="00CA7DC4" w:rsidRDefault="00515E00" w:rsidP="0011694F">
            <w:pPr>
              <w:pStyle w:val="naisf"/>
              <w:spacing w:before="0" w:after="0"/>
              <w:ind w:firstLine="0"/>
              <w:jc w:val="center"/>
              <w:rPr>
                <w:sz w:val="28"/>
                <w:szCs w:val="28"/>
              </w:rPr>
            </w:pPr>
            <w:r>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5.2. speciālais budžets</w:t>
            </w:r>
          </w:p>
        </w:tc>
        <w:tc>
          <w:tcPr>
            <w:tcW w:w="644" w:type="pct"/>
            <w:vMerge/>
            <w:vAlign w:val="center"/>
          </w:tcPr>
          <w:p w:rsidR="003E5AA5" w:rsidRPr="00CA7DC4" w:rsidRDefault="003E5AA5" w:rsidP="0011694F">
            <w:pPr>
              <w:pStyle w:val="naisf"/>
              <w:spacing w:before="0" w:after="0"/>
              <w:ind w:firstLine="0"/>
              <w:jc w:val="center"/>
              <w:rPr>
                <w:sz w:val="28"/>
                <w:szCs w:val="28"/>
                <w:highlight w:val="yellow"/>
              </w:rPr>
            </w:pP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 xml:space="preserve">5.3. pašvaldību budžets </w:t>
            </w:r>
          </w:p>
        </w:tc>
        <w:tc>
          <w:tcPr>
            <w:tcW w:w="644" w:type="pct"/>
            <w:vMerge/>
            <w:vAlign w:val="center"/>
          </w:tcPr>
          <w:p w:rsidR="003E5AA5" w:rsidRPr="00CA7DC4" w:rsidRDefault="003E5AA5" w:rsidP="0011694F">
            <w:pPr>
              <w:pStyle w:val="naisf"/>
              <w:spacing w:before="0" w:after="0"/>
              <w:ind w:firstLine="0"/>
              <w:jc w:val="center"/>
              <w:rPr>
                <w:sz w:val="28"/>
                <w:szCs w:val="28"/>
                <w:highlight w:val="yellow"/>
              </w:rPr>
            </w:pP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3"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c>
          <w:tcPr>
            <w:tcW w:w="704" w:type="pct"/>
            <w:vAlign w:val="center"/>
          </w:tcPr>
          <w:p w:rsidR="003E5AA5" w:rsidRPr="00CA7DC4" w:rsidRDefault="003E5AA5" w:rsidP="0011694F">
            <w:pPr>
              <w:pStyle w:val="naisf"/>
              <w:spacing w:before="0" w:after="0"/>
              <w:ind w:firstLine="0"/>
              <w:jc w:val="center"/>
              <w:rPr>
                <w:b/>
                <w:sz w:val="28"/>
                <w:szCs w:val="28"/>
              </w:rPr>
            </w:pPr>
            <w:r w:rsidRPr="00CA7DC4">
              <w:rPr>
                <w:sz w:val="28"/>
                <w:szCs w:val="28"/>
              </w:rPr>
              <w:t>0</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6. Detalizēts ieņēmumu un izdevu</w:t>
            </w:r>
            <w:r w:rsidRPr="00CA7DC4">
              <w:rPr>
                <w:rFonts w:ascii="Times New Roman" w:hAnsi="Times New Roman" w:cs="Times New Roman"/>
                <w:sz w:val="28"/>
                <w:szCs w:val="28"/>
              </w:rPr>
              <w:softHyphen/>
              <w:t>mu aprēķins (ja nepieciešams, detalizētu ieņēmumu un izdevumu aprēķinu var pievienot anotācijas pielikumā):</w:t>
            </w:r>
          </w:p>
        </w:tc>
        <w:tc>
          <w:tcPr>
            <w:tcW w:w="3458" w:type="pct"/>
            <w:gridSpan w:val="5"/>
            <w:vMerge w:val="restart"/>
          </w:tcPr>
          <w:p w:rsidR="00F34323" w:rsidRDefault="00F34323" w:rsidP="0011694F">
            <w:pPr>
              <w:pStyle w:val="naisf"/>
              <w:spacing w:before="0" w:after="0"/>
              <w:ind w:firstLine="390"/>
              <w:rPr>
                <w:sz w:val="28"/>
                <w:szCs w:val="28"/>
              </w:rPr>
            </w:pPr>
            <w:r>
              <w:rPr>
                <w:sz w:val="28"/>
                <w:szCs w:val="28"/>
              </w:rPr>
              <w:t>Projekts neparedz papildus finanšu ietekmi uz valsts budžetu.</w:t>
            </w:r>
          </w:p>
          <w:p w:rsidR="00C87A4E" w:rsidRDefault="00F34323" w:rsidP="0011694F">
            <w:pPr>
              <w:pStyle w:val="naisf"/>
              <w:spacing w:before="0" w:after="0"/>
              <w:ind w:firstLine="390"/>
              <w:rPr>
                <w:sz w:val="28"/>
                <w:szCs w:val="28"/>
              </w:rPr>
            </w:pPr>
            <w:r>
              <w:rPr>
                <w:sz w:val="28"/>
                <w:szCs w:val="28"/>
              </w:rPr>
              <w:t>Provizoriskais LMF i</w:t>
            </w:r>
            <w:r w:rsidR="00C87A4E">
              <w:rPr>
                <w:sz w:val="28"/>
                <w:szCs w:val="28"/>
              </w:rPr>
              <w:t>eņēmumu aprēķins</w:t>
            </w:r>
            <w:r>
              <w:rPr>
                <w:sz w:val="28"/>
                <w:szCs w:val="28"/>
              </w:rPr>
              <w:t xml:space="preserve"> nepieciešamo nomas maksu segšanai</w:t>
            </w:r>
            <w:r w:rsidR="00C87A4E">
              <w:rPr>
                <w:sz w:val="28"/>
                <w:szCs w:val="28"/>
              </w:rPr>
              <w:t>:</w:t>
            </w:r>
          </w:p>
          <w:tbl>
            <w:tblPr>
              <w:tblW w:w="5500" w:type="dxa"/>
              <w:tblLook w:val="04A0"/>
            </w:tblPr>
            <w:tblGrid>
              <w:gridCol w:w="724"/>
              <w:gridCol w:w="3580"/>
              <w:gridCol w:w="1380"/>
            </w:tblGrid>
            <w:tr w:rsidR="00F34323" w:rsidRPr="0011694F" w:rsidTr="00F34323">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625"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r w:rsidR="00BB4625">
                    <w:rPr>
                      <w:rFonts w:ascii="Times New Roman" w:eastAsia="Times New Roman" w:hAnsi="Times New Roman" w:cs="Times New Roman"/>
                      <w:color w:val="000000"/>
                    </w:rPr>
                    <w:t>Nr.p.</w:t>
                  </w:r>
                </w:p>
                <w:p w:rsidR="00F34323" w:rsidRPr="0011694F" w:rsidRDefault="00BB4625" w:rsidP="00BB46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jc w:val="center"/>
                    <w:rPr>
                      <w:rFonts w:ascii="Times New Roman" w:eastAsia="Times New Roman" w:hAnsi="Times New Roman" w:cs="Times New Roman"/>
                      <w:b/>
                      <w:bCs/>
                      <w:i/>
                      <w:iCs/>
                      <w:color w:val="000000"/>
                    </w:rPr>
                  </w:pPr>
                  <w:r w:rsidRPr="0011694F">
                    <w:rPr>
                      <w:rFonts w:ascii="Times New Roman" w:eastAsia="Times New Roman" w:hAnsi="Times New Roman" w:cs="Times New Roman"/>
                      <w:b/>
                      <w:bCs/>
                      <w:i/>
                      <w:iCs/>
                      <w:color w:val="000000"/>
                    </w:rPr>
                    <w:t>Ieņēmumi</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F34323" w:rsidRPr="0011694F" w:rsidRDefault="00BB4625" w:rsidP="0011694F">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w:t>
                  </w:r>
                  <w:r w:rsidR="00F34323" w:rsidRPr="0011694F">
                    <w:rPr>
                      <w:rFonts w:ascii="Times New Roman" w:eastAsia="Times New Roman" w:hAnsi="Times New Roman" w:cs="Times New Roman"/>
                      <w:b/>
                      <w:bCs/>
                      <w:i/>
                      <w:iCs/>
                      <w:color w:val="000000"/>
                    </w:rPr>
                    <w:t>umma, euro gadā</w:t>
                  </w:r>
                </w:p>
              </w:tc>
            </w:tr>
            <w:tr w:rsidR="00F34323" w:rsidRPr="0011694F" w:rsidTr="00F3432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r w:rsidRPr="0011694F">
                    <w:rPr>
                      <w:rFonts w:ascii="Times New Roman" w:eastAsia="Times New Roman" w:hAnsi="Times New Roman" w:cs="Times New Roman"/>
                      <w:color w:val="000000"/>
                    </w:rPr>
                    <w:t>1</w:t>
                  </w:r>
                </w:p>
              </w:tc>
              <w:tc>
                <w:tcPr>
                  <w:tcW w:w="35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 xml:space="preserve">Ieejas biļešu paaugstināšana 2x </w:t>
                  </w:r>
                </w:p>
              </w:tc>
              <w:tc>
                <w:tcPr>
                  <w:tcW w:w="13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35</w:t>
                  </w:r>
                  <w:r w:rsidR="00351661" w:rsidRPr="0011694F">
                    <w:rPr>
                      <w:rFonts w:ascii="Times New Roman" w:eastAsia="Times New Roman" w:hAnsi="Times New Roman" w:cs="Times New Roman"/>
                      <w:b/>
                      <w:bCs/>
                      <w:color w:val="000000"/>
                    </w:rPr>
                    <w:t xml:space="preserve"> </w:t>
                  </w:r>
                  <w:r w:rsidRPr="0011694F">
                    <w:rPr>
                      <w:rFonts w:ascii="Times New Roman" w:eastAsia="Times New Roman" w:hAnsi="Times New Roman" w:cs="Times New Roman"/>
                      <w:b/>
                      <w:bCs/>
                      <w:color w:val="000000"/>
                    </w:rPr>
                    <w:t>500</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xml:space="preserve">skolēni: 0,57 x 2 = 1,14 </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color w:val="000000"/>
                    </w:rPr>
                  </w:pPr>
                  <w:r w:rsidRPr="0011694F">
                    <w:rPr>
                      <w:rFonts w:ascii="Times New Roman" w:eastAsia="Times New Roman" w:hAnsi="Times New Roman" w:cs="Times New Roman"/>
                      <w:color w:val="000000"/>
                    </w:rPr>
                    <w:t>5</w:t>
                  </w:r>
                  <w:r w:rsidR="00351661" w:rsidRPr="0011694F">
                    <w:rPr>
                      <w:rFonts w:ascii="Times New Roman" w:eastAsia="Times New Roman" w:hAnsi="Times New Roman" w:cs="Times New Roman"/>
                      <w:color w:val="000000"/>
                    </w:rPr>
                    <w:t xml:space="preserve"> </w:t>
                  </w:r>
                  <w:r w:rsidRPr="0011694F">
                    <w:rPr>
                      <w:rFonts w:ascii="Times New Roman" w:eastAsia="Times New Roman" w:hAnsi="Times New Roman" w:cs="Times New Roman"/>
                      <w:color w:val="000000"/>
                    </w:rPr>
                    <w:t>700</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xml:space="preserve">studenti: 0,85 x 2 = 1,70 </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color w:val="000000"/>
                    </w:rPr>
                  </w:pPr>
                  <w:r w:rsidRPr="0011694F">
                    <w:rPr>
                      <w:rFonts w:ascii="Times New Roman" w:eastAsia="Times New Roman" w:hAnsi="Times New Roman" w:cs="Times New Roman"/>
                      <w:color w:val="000000"/>
                    </w:rPr>
                    <w:t>8</w:t>
                  </w:r>
                  <w:r w:rsidR="00351661" w:rsidRPr="0011694F">
                    <w:rPr>
                      <w:rFonts w:ascii="Times New Roman" w:eastAsia="Times New Roman" w:hAnsi="Times New Roman" w:cs="Times New Roman"/>
                      <w:color w:val="000000"/>
                    </w:rPr>
                    <w:t xml:space="preserve"> </w:t>
                  </w:r>
                  <w:r w:rsidRPr="0011694F">
                    <w:rPr>
                      <w:rFonts w:ascii="Times New Roman" w:eastAsia="Times New Roman" w:hAnsi="Times New Roman" w:cs="Times New Roman"/>
                      <w:color w:val="000000"/>
                    </w:rPr>
                    <w:t>500</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xml:space="preserve">pieaugušie: 2,13 x 2 =4,26 </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color w:val="000000"/>
                    </w:rPr>
                  </w:pPr>
                  <w:r w:rsidRPr="0011694F">
                    <w:rPr>
                      <w:rFonts w:ascii="Times New Roman" w:eastAsia="Times New Roman" w:hAnsi="Times New Roman" w:cs="Times New Roman"/>
                      <w:color w:val="000000"/>
                    </w:rPr>
                    <w:t>21</w:t>
                  </w:r>
                  <w:r w:rsidR="00351661" w:rsidRPr="0011694F">
                    <w:rPr>
                      <w:rFonts w:ascii="Times New Roman" w:eastAsia="Times New Roman" w:hAnsi="Times New Roman" w:cs="Times New Roman"/>
                      <w:color w:val="000000"/>
                    </w:rPr>
                    <w:t xml:space="preserve"> </w:t>
                  </w:r>
                  <w:r w:rsidRPr="0011694F">
                    <w:rPr>
                      <w:rFonts w:ascii="Times New Roman" w:eastAsia="Times New Roman" w:hAnsi="Times New Roman" w:cs="Times New Roman"/>
                      <w:color w:val="000000"/>
                    </w:rPr>
                    <w:t>300</w:t>
                  </w:r>
                </w:p>
              </w:tc>
            </w:tr>
            <w:tr w:rsidR="00F34323" w:rsidRPr="0011694F" w:rsidTr="00F3432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r w:rsidRPr="0011694F">
                    <w:rPr>
                      <w:rFonts w:ascii="Times New Roman" w:eastAsia="Times New Roman" w:hAnsi="Times New Roman" w:cs="Times New Roman"/>
                      <w:color w:val="000000"/>
                    </w:rPr>
                    <w:t>2</w:t>
                  </w:r>
                </w:p>
              </w:tc>
              <w:tc>
                <w:tcPr>
                  <w:tcW w:w="35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Apmeklētājus skaita pieaugums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27</w:t>
                  </w:r>
                  <w:r w:rsidR="00351661" w:rsidRPr="0011694F">
                    <w:rPr>
                      <w:rFonts w:ascii="Times New Roman" w:eastAsia="Times New Roman" w:hAnsi="Times New Roman" w:cs="Times New Roman"/>
                      <w:b/>
                      <w:bCs/>
                      <w:color w:val="000000"/>
                    </w:rPr>
                    <w:t xml:space="preserve"> </w:t>
                  </w:r>
                  <w:r w:rsidRPr="0011694F">
                    <w:rPr>
                      <w:rFonts w:ascii="Times New Roman" w:eastAsia="Times New Roman" w:hAnsi="Times New Roman" w:cs="Times New Roman"/>
                      <w:b/>
                      <w:bCs/>
                      <w:color w:val="000000"/>
                    </w:rPr>
                    <w:t>069</w:t>
                  </w:r>
                </w:p>
              </w:tc>
            </w:tr>
            <w:tr w:rsidR="00F34323" w:rsidRPr="0011694F" w:rsidTr="00F3432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r w:rsidRPr="0011694F">
                    <w:rPr>
                      <w:rFonts w:ascii="Times New Roman" w:eastAsia="Times New Roman" w:hAnsi="Times New Roman" w:cs="Times New Roman"/>
                      <w:color w:val="000000"/>
                    </w:rPr>
                    <w:t>3</w:t>
                  </w:r>
                </w:p>
              </w:tc>
              <w:tc>
                <w:tcPr>
                  <w:tcW w:w="35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Jaunu pakalpojumu izveide:</w:t>
                  </w:r>
                </w:p>
              </w:tc>
              <w:tc>
                <w:tcPr>
                  <w:tcW w:w="1380" w:type="dxa"/>
                  <w:tcBorders>
                    <w:top w:val="nil"/>
                    <w:left w:val="nil"/>
                    <w:bottom w:val="single" w:sz="4" w:space="0" w:color="auto"/>
                    <w:right w:val="single" w:sz="4" w:space="0" w:color="auto"/>
                  </w:tcBorders>
                  <w:shd w:val="clear" w:color="auto" w:fill="auto"/>
                  <w:noWrap/>
                  <w:vAlign w:val="bottom"/>
                  <w:hideMark/>
                </w:tcPr>
                <w:p w:rsidR="00C30090" w:rsidRDefault="00C30090" w:rsidP="0011694F">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p w:rsidR="00F34323" w:rsidRPr="0011694F" w:rsidRDefault="00C30090" w:rsidP="0011694F">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10 045</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bookmarkStart w:id="4" w:name="RANGE!B8"/>
                  <w:r w:rsidRPr="0011694F">
                    <w:rPr>
                      <w:rFonts w:ascii="Times New Roman" w:eastAsia="Times New Roman" w:hAnsi="Times New Roman" w:cs="Times New Roman"/>
                      <w:color w:val="000000"/>
                    </w:rPr>
                    <w:t xml:space="preserve">- radošās darbnīcas bērniem, </w:t>
                  </w:r>
                  <w:bookmarkEnd w:id="4"/>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stundas muzejā,</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BB4625">
                  <w:pPr>
                    <w:spacing w:after="0" w:line="240" w:lineRule="auto"/>
                    <w:jc w:val="center"/>
                    <w:rPr>
                      <w:rFonts w:ascii="Times New Roman" w:eastAsia="Times New Roman" w:hAnsi="Times New Roman" w:cs="Times New Roman"/>
                      <w:color w:val="000000"/>
                    </w:rPr>
                  </w:pP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fotokursi pieaugušajiem,</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sarunas ar fotomāksliniekiem,</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c>
                <w:tcPr>
                  <w:tcW w:w="3580" w:type="dxa"/>
                  <w:tcBorders>
                    <w:top w:val="nil"/>
                    <w:left w:val="single" w:sz="4" w:space="0" w:color="auto"/>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konferences,</w:t>
                  </w:r>
                </w:p>
              </w:tc>
              <w:tc>
                <w:tcPr>
                  <w:tcW w:w="1380" w:type="dxa"/>
                  <w:tcBorders>
                    <w:top w:val="nil"/>
                    <w:left w:val="nil"/>
                    <w:bottom w:val="nil"/>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nil"/>
                    <w:left w:val="single" w:sz="4" w:space="0" w:color="auto"/>
                    <w:bottom w:val="nil"/>
                    <w:right w:val="nil"/>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portfolio skates u.c.</w:t>
                  </w:r>
                </w:p>
              </w:tc>
              <w:tc>
                <w:tcPr>
                  <w:tcW w:w="13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color w:val="000000"/>
                    </w:rPr>
                  </w:pPr>
                  <w:r w:rsidRPr="0011694F">
                    <w:rPr>
                      <w:rFonts w:ascii="Times New Roman" w:eastAsia="Times New Roman" w:hAnsi="Times New Roman" w:cs="Times New Roman"/>
                      <w:color w:val="000000"/>
                    </w:rPr>
                    <w:t> </w:t>
                  </w:r>
                </w:p>
              </w:tc>
            </w:tr>
            <w:tr w:rsidR="00F34323" w:rsidRPr="0011694F" w:rsidTr="00F3432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F34323" w:rsidRPr="0011694F" w:rsidRDefault="00F34323" w:rsidP="0011694F">
                  <w:pPr>
                    <w:spacing w:after="0" w:line="240" w:lineRule="auto"/>
                    <w:jc w:val="right"/>
                    <w:rPr>
                      <w:rFonts w:ascii="Times New Roman" w:eastAsia="Times New Roman" w:hAnsi="Times New Roman" w:cs="Times New Roman"/>
                      <w:b/>
                      <w:bCs/>
                      <w:color w:val="000000"/>
                    </w:rPr>
                  </w:pPr>
                  <w:r w:rsidRPr="0011694F">
                    <w:rPr>
                      <w:rFonts w:ascii="Times New Roman" w:eastAsia="Times New Roman" w:hAnsi="Times New Roman" w:cs="Times New Roman"/>
                      <w:b/>
                      <w:bCs/>
                      <w:color w:val="000000"/>
                    </w:rPr>
                    <w:t>Ieņēmumu palielinājums KOPĀ:</w:t>
                  </w:r>
                </w:p>
              </w:tc>
              <w:tc>
                <w:tcPr>
                  <w:tcW w:w="1380" w:type="dxa"/>
                  <w:tcBorders>
                    <w:top w:val="nil"/>
                    <w:left w:val="nil"/>
                    <w:bottom w:val="single" w:sz="4" w:space="0" w:color="auto"/>
                    <w:right w:val="single" w:sz="4" w:space="0" w:color="auto"/>
                  </w:tcBorders>
                  <w:shd w:val="clear" w:color="auto" w:fill="auto"/>
                  <w:noWrap/>
                  <w:vAlign w:val="bottom"/>
                  <w:hideMark/>
                </w:tcPr>
                <w:p w:rsidR="00C30090" w:rsidRDefault="00C30090" w:rsidP="0011694F">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p w:rsidR="00F34323" w:rsidRPr="0011694F" w:rsidRDefault="00C30090" w:rsidP="0011694F">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72 614</w:t>
                  </w:r>
                </w:p>
              </w:tc>
            </w:tr>
          </w:tbl>
          <w:p w:rsidR="00C87A4E" w:rsidRPr="00CA7DC4" w:rsidRDefault="00C87A4E" w:rsidP="0011694F">
            <w:pPr>
              <w:pStyle w:val="naisf"/>
              <w:spacing w:before="0" w:after="0"/>
              <w:ind w:firstLine="390"/>
              <w:rPr>
                <w:sz w:val="28"/>
                <w:szCs w:val="28"/>
              </w:rPr>
            </w:pPr>
            <w:r>
              <w:rPr>
                <w:sz w:val="28"/>
                <w:szCs w:val="28"/>
              </w:rPr>
              <w:t xml:space="preserve"> </w:t>
            </w: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6.1. detalizēts ieņēmumu aprēķins</w:t>
            </w:r>
          </w:p>
        </w:tc>
        <w:tc>
          <w:tcPr>
            <w:tcW w:w="3458" w:type="pct"/>
            <w:gridSpan w:val="5"/>
            <w:vMerge/>
          </w:tcPr>
          <w:p w:rsidR="003E5AA5" w:rsidRPr="00CA7DC4" w:rsidRDefault="003E5AA5" w:rsidP="0011694F">
            <w:pPr>
              <w:pStyle w:val="naisf"/>
              <w:spacing w:before="0" w:after="0"/>
              <w:ind w:firstLine="0"/>
              <w:rPr>
                <w:b/>
                <w:i/>
                <w:sz w:val="28"/>
                <w:szCs w:val="28"/>
                <w:highlight w:val="yellow"/>
              </w:rPr>
            </w:pPr>
          </w:p>
        </w:tc>
      </w:tr>
      <w:tr w:rsidR="003E5AA5" w:rsidRPr="00CA7DC4" w:rsidTr="0011694F">
        <w:trPr>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t>6.2. detalizēts izdevumu aprēķins</w:t>
            </w:r>
          </w:p>
        </w:tc>
        <w:tc>
          <w:tcPr>
            <w:tcW w:w="3458" w:type="pct"/>
            <w:gridSpan w:val="5"/>
            <w:vMerge/>
          </w:tcPr>
          <w:p w:rsidR="003E5AA5" w:rsidRPr="00CA7DC4" w:rsidRDefault="003E5AA5" w:rsidP="0011694F">
            <w:pPr>
              <w:pStyle w:val="naisf"/>
              <w:spacing w:before="0" w:after="0"/>
              <w:ind w:firstLine="0"/>
              <w:rPr>
                <w:b/>
                <w:i/>
                <w:sz w:val="28"/>
                <w:szCs w:val="28"/>
                <w:highlight w:val="yellow"/>
              </w:rPr>
            </w:pPr>
          </w:p>
        </w:tc>
      </w:tr>
      <w:tr w:rsidR="003E5AA5" w:rsidRPr="00CA7DC4" w:rsidTr="0011694F">
        <w:trPr>
          <w:trHeight w:val="389"/>
          <w:jc w:val="center"/>
        </w:trPr>
        <w:tc>
          <w:tcPr>
            <w:tcW w:w="1542" w:type="pct"/>
          </w:tcPr>
          <w:p w:rsidR="003E5AA5" w:rsidRPr="00CA7DC4" w:rsidRDefault="003E5AA5" w:rsidP="0011694F">
            <w:pPr>
              <w:spacing w:after="0" w:line="240" w:lineRule="auto"/>
              <w:rPr>
                <w:rFonts w:ascii="Times New Roman" w:hAnsi="Times New Roman" w:cs="Times New Roman"/>
                <w:sz w:val="28"/>
                <w:szCs w:val="28"/>
              </w:rPr>
            </w:pPr>
            <w:r w:rsidRPr="00CA7DC4">
              <w:rPr>
                <w:rFonts w:ascii="Times New Roman" w:hAnsi="Times New Roman" w:cs="Times New Roman"/>
                <w:sz w:val="28"/>
                <w:szCs w:val="28"/>
              </w:rPr>
              <w:lastRenderedPageBreak/>
              <w:t>7. Cita informācija</w:t>
            </w:r>
          </w:p>
        </w:tc>
        <w:tc>
          <w:tcPr>
            <w:tcW w:w="3458" w:type="pct"/>
            <w:gridSpan w:val="5"/>
          </w:tcPr>
          <w:p w:rsidR="003E5AA5" w:rsidRPr="00CA7DC4" w:rsidRDefault="00CA7DC4" w:rsidP="0011694F">
            <w:pPr>
              <w:pStyle w:val="naisf"/>
              <w:tabs>
                <w:tab w:val="left" w:pos="4644"/>
              </w:tabs>
              <w:spacing w:before="0" w:after="0"/>
              <w:ind w:firstLine="0"/>
              <w:rPr>
                <w:sz w:val="28"/>
                <w:szCs w:val="28"/>
              </w:rPr>
            </w:pPr>
            <w:r>
              <w:rPr>
                <w:sz w:val="28"/>
                <w:szCs w:val="28"/>
              </w:rPr>
              <w:t>Nav</w:t>
            </w:r>
          </w:p>
        </w:tc>
      </w:tr>
    </w:tbl>
    <w:p w:rsidR="00752DC1" w:rsidRDefault="00752DC1" w:rsidP="00752DC1">
      <w:pPr>
        <w:spacing w:after="0" w:line="240" w:lineRule="auto"/>
        <w:ind w:firstLine="375"/>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826"/>
        <w:gridCol w:w="4706"/>
      </w:tblGrid>
      <w:tr w:rsidR="0011694F" w:rsidRPr="0011694F" w:rsidTr="00BB4625">
        <w:tc>
          <w:tcPr>
            <w:tcW w:w="5000" w:type="pct"/>
            <w:gridSpan w:val="3"/>
            <w:tcBorders>
              <w:top w:val="single" w:sz="4" w:space="0" w:color="auto"/>
            </w:tcBorders>
          </w:tcPr>
          <w:p w:rsidR="0011694F" w:rsidRPr="0011694F" w:rsidRDefault="0011694F" w:rsidP="0011694F">
            <w:pPr>
              <w:spacing w:after="0" w:line="240" w:lineRule="auto"/>
              <w:ind w:left="57" w:right="57"/>
              <w:jc w:val="center"/>
              <w:rPr>
                <w:rFonts w:ascii="Times New Roman" w:eastAsia="Times New Roman" w:hAnsi="Times New Roman" w:cs="Times New Roman"/>
                <w:b/>
                <w:bCs/>
                <w:sz w:val="28"/>
                <w:szCs w:val="28"/>
              </w:rPr>
            </w:pPr>
            <w:r w:rsidRPr="0011694F">
              <w:rPr>
                <w:rFonts w:ascii="Times New Roman" w:eastAsia="Times New Roman" w:hAnsi="Times New Roman" w:cs="Times New Roman"/>
                <w:b/>
                <w:bCs/>
                <w:sz w:val="28"/>
                <w:szCs w:val="28"/>
              </w:rPr>
              <w:t>VII. Tiesību akta projekta izpildes nodrošināšana un tās ietekme uz institūcijām</w:t>
            </w:r>
          </w:p>
        </w:tc>
      </w:tr>
      <w:tr w:rsidR="0011694F" w:rsidRPr="0011694F" w:rsidTr="00BB4625">
        <w:trPr>
          <w:trHeight w:val="427"/>
        </w:trPr>
        <w:tc>
          <w:tcPr>
            <w:tcW w:w="326" w:type="pct"/>
          </w:tcPr>
          <w:p w:rsidR="0011694F" w:rsidRPr="0011694F" w:rsidRDefault="0011694F" w:rsidP="0011694F">
            <w:pPr>
              <w:spacing w:after="0" w:line="240" w:lineRule="auto"/>
              <w:ind w:left="57" w:right="57"/>
              <w:jc w:val="center"/>
              <w:rPr>
                <w:rFonts w:ascii="Times New Roman" w:eastAsia="Times New Roman" w:hAnsi="Times New Roman" w:cs="Times New Roman"/>
                <w:bCs/>
                <w:sz w:val="28"/>
                <w:szCs w:val="28"/>
              </w:rPr>
            </w:pPr>
            <w:r w:rsidRPr="0011694F">
              <w:rPr>
                <w:rFonts w:ascii="Times New Roman" w:eastAsia="Times New Roman" w:hAnsi="Times New Roman" w:cs="Times New Roman"/>
                <w:bCs/>
                <w:sz w:val="28"/>
                <w:szCs w:val="28"/>
              </w:rPr>
              <w:t>1.</w:t>
            </w:r>
          </w:p>
        </w:tc>
        <w:tc>
          <w:tcPr>
            <w:tcW w:w="2096" w:type="pct"/>
          </w:tcPr>
          <w:p w:rsidR="0011694F" w:rsidRPr="0011694F" w:rsidRDefault="0011694F" w:rsidP="0011694F">
            <w:pPr>
              <w:spacing w:after="0" w:line="240" w:lineRule="auto"/>
              <w:ind w:left="57" w:right="57"/>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 xml:space="preserve">Projekta izpildē iesaistītās institūcijas </w:t>
            </w:r>
          </w:p>
        </w:tc>
        <w:tc>
          <w:tcPr>
            <w:tcW w:w="2578" w:type="pct"/>
          </w:tcPr>
          <w:p w:rsidR="0011694F" w:rsidRPr="0011694F" w:rsidRDefault="0011694F" w:rsidP="0011694F">
            <w:pPr>
              <w:spacing w:after="0" w:line="240" w:lineRule="auto"/>
              <w:ind w:left="57" w:right="57"/>
              <w:jc w:val="both"/>
              <w:rPr>
                <w:rFonts w:ascii="Times New Roman" w:eastAsia="Times New Roman" w:hAnsi="Times New Roman" w:cs="Times New Roman"/>
                <w:bCs/>
                <w:iCs/>
                <w:sz w:val="28"/>
                <w:szCs w:val="28"/>
              </w:rPr>
            </w:pPr>
            <w:r w:rsidRPr="0011694F">
              <w:rPr>
                <w:rFonts w:ascii="Times New Roman" w:eastAsia="Times New Roman" w:hAnsi="Times New Roman" w:cs="Times New Roman"/>
                <w:bCs/>
                <w:iCs/>
                <w:sz w:val="28"/>
                <w:szCs w:val="28"/>
              </w:rPr>
              <w:t>Kultūras ministrija, Rīgas vēstures un kuģniecības muzeja filiāle – Latvijas Foto muzejs un Finanšu ministrija (VNĪ).</w:t>
            </w:r>
          </w:p>
        </w:tc>
      </w:tr>
      <w:tr w:rsidR="0011694F" w:rsidRPr="0011694F" w:rsidTr="00BB4625">
        <w:trPr>
          <w:trHeight w:val="463"/>
        </w:trPr>
        <w:tc>
          <w:tcPr>
            <w:tcW w:w="326" w:type="pct"/>
          </w:tcPr>
          <w:p w:rsidR="0011694F" w:rsidRPr="0011694F" w:rsidRDefault="0011694F" w:rsidP="0011694F">
            <w:pPr>
              <w:spacing w:after="0" w:line="240" w:lineRule="auto"/>
              <w:ind w:left="57" w:right="57"/>
              <w:jc w:val="center"/>
              <w:rPr>
                <w:rFonts w:ascii="Times New Roman" w:eastAsia="Times New Roman" w:hAnsi="Times New Roman" w:cs="Times New Roman"/>
                <w:bCs/>
                <w:sz w:val="28"/>
                <w:szCs w:val="28"/>
              </w:rPr>
            </w:pPr>
            <w:r w:rsidRPr="0011694F">
              <w:rPr>
                <w:rFonts w:ascii="Times New Roman" w:eastAsia="Times New Roman" w:hAnsi="Times New Roman" w:cs="Times New Roman"/>
                <w:bCs/>
                <w:sz w:val="28"/>
                <w:szCs w:val="28"/>
              </w:rPr>
              <w:t>2.</w:t>
            </w:r>
          </w:p>
        </w:tc>
        <w:tc>
          <w:tcPr>
            <w:tcW w:w="2096" w:type="pct"/>
          </w:tcPr>
          <w:p w:rsidR="0011694F" w:rsidRPr="0011694F" w:rsidRDefault="0011694F" w:rsidP="0011694F">
            <w:pPr>
              <w:spacing w:after="0" w:line="240" w:lineRule="auto"/>
              <w:ind w:left="57" w:right="57"/>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Projekta izpildes ietekme uz pārvaldes funkcijām un institucionālo struktūru.</w:t>
            </w:r>
          </w:p>
          <w:p w:rsidR="0011694F" w:rsidRPr="0011694F" w:rsidRDefault="0011694F" w:rsidP="0011694F">
            <w:pPr>
              <w:spacing w:after="0" w:line="240" w:lineRule="auto"/>
              <w:ind w:left="57" w:right="57"/>
              <w:rPr>
                <w:rFonts w:ascii="Times New Roman" w:eastAsia="Times New Roman" w:hAnsi="Times New Roman" w:cs="Times New Roman"/>
                <w:sz w:val="28"/>
                <w:szCs w:val="28"/>
              </w:rPr>
            </w:pPr>
          </w:p>
          <w:p w:rsidR="0011694F" w:rsidRPr="0011694F" w:rsidRDefault="0011694F" w:rsidP="0011694F">
            <w:pPr>
              <w:spacing w:after="0" w:line="240" w:lineRule="auto"/>
              <w:ind w:left="57" w:right="57"/>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578" w:type="pct"/>
          </w:tcPr>
          <w:p w:rsidR="0011694F" w:rsidRPr="0011694F" w:rsidRDefault="0011694F" w:rsidP="0011694F">
            <w:pPr>
              <w:spacing w:after="0" w:line="240" w:lineRule="auto"/>
              <w:ind w:left="57" w:right="57"/>
              <w:jc w:val="both"/>
              <w:rPr>
                <w:rFonts w:ascii="Times New Roman" w:eastAsia="Times New Roman" w:hAnsi="Times New Roman" w:cs="Times New Roman"/>
                <w:bCs/>
                <w:sz w:val="28"/>
                <w:szCs w:val="28"/>
              </w:rPr>
            </w:pPr>
            <w:r w:rsidRPr="0011694F">
              <w:rPr>
                <w:rFonts w:ascii="Times New Roman" w:eastAsia="Times New Roman" w:hAnsi="Times New Roman" w:cs="Times New Roman"/>
                <w:bCs/>
                <w:sz w:val="28"/>
                <w:szCs w:val="28"/>
              </w:rPr>
              <w:t>Projekts šo jomu neskar.</w:t>
            </w:r>
          </w:p>
        </w:tc>
      </w:tr>
      <w:tr w:rsidR="0011694F" w:rsidRPr="0011694F" w:rsidTr="00BB4625">
        <w:trPr>
          <w:trHeight w:val="269"/>
        </w:trPr>
        <w:tc>
          <w:tcPr>
            <w:tcW w:w="326" w:type="pct"/>
          </w:tcPr>
          <w:p w:rsidR="0011694F" w:rsidRPr="0011694F" w:rsidRDefault="0011694F" w:rsidP="0011694F">
            <w:pPr>
              <w:spacing w:after="0" w:line="240" w:lineRule="auto"/>
              <w:ind w:left="57" w:right="57"/>
              <w:jc w:val="center"/>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3.</w:t>
            </w:r>
          </w:p>
        </w:tc>
        <w:tc>
          <w:tcPr>
            <w:tcW w:w="2096" w:type="pct"/>
          </w:tcPr>
          <w:p w:rsidR="0011694F" w:rsidRPr="0011694F" w:rsidRDefault="0011694F" w:rsidP="0011694F">
            <w:pPr>
              <w:spacing w:after="0" w:line="240" w:lineRule="auto"/>
              <w:ind w:left="57" w:right="57"/>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Cita informācija</w:t>
            </w:r>
          </w:p>
        </w:tc>
        <w:tc>
          <w:tcPr>
            <w:tcW w:w="2578" w:type="pct"/>
          </w:tcPr>
          <w:p w:rsidR="0011694F" w:rsidRPr="0011694F" w:rsidRDefault="0011694F" w:rsidP="0011694F">
            <w:pPr>
              <w:spacing w:after="0" w:line="240" w:lineRule="auto"/>
              <w:ind w:left="57" w:right="57"/>
              <w:rPr>
                <w:rFonts w:ascii="Times New Roman" w:eastAsia="Times New Roman" w:hAnsi="Times New Roman" w:cs="Times New Roman"/>
                <w:sz w:val="28"/>
                <w:szCs w:val="28"/>
              </w:rPr>
            </w:pPr>
            <w:r w:rsidRPr="0011694F">
              <w:rPr>
                <w:rFonts w:ascii="Times New Roman" w:eastAsia="Times New Roman" w:hAnsi="Times New Roman" w:cs="Times New Roman"/>
                <w:sz w:val="28"/>
                <w:szCs w:val="28"/>
              </w:rPr>
              <w:t>Nav</w:t>
            </w:r>
          </w:p>
        </w:tc>
      </w:tr>
    </w:tbl>
    <w:p w:rsidR="0011694F" w:rsidRDefault="0011694F" w:rsidP="00752DC1">
      <w:pPr>
        <w:spacing w:after="0" w:line="240" w:lineRule="auto"/>
        <w:ind w:firstLine="375"/>
        <w:jc w:val="both"/>
        <w:rPr>
          <w:rFonts w:ascii="Times New Roman" w:eastAsia="Times New Roman" w:hAnsi="Times New Roman" w:cs="Times New Roman"/>
          <w:sz w:val="28"/>
          <w:szCs w:val="28"/>
        </w:rPr>
      </w:pPr>
    </w:p>
    <w:p w:rsidR="0011694F" w:rsidRDefault="0011694F" w:rsidP="00752DC1">
      <w:pPr>
        <w:spacing w:after="0" w:line="240" w:lineRule="auto"/>
        <w:ind w:firstLine="375"/>
        <w:jc w:val="both"/>
        <w:rPr>
          <w:rFonts w:ascii="Times New Roman" w:eastAsia="Times New Roman" w:hAnsi="Times New Roman" w:cs="Times New Roman"/>
          <w:sz w:val="28"/>
          <w:szCs w:val="28"/>
        </w:rPr>
      </w:pPr>
    </w:p>
    <w:p w:rsidR="003E5AA5" w:rsidRPr="00CA7DC4" w:rsidRDefault="003E5AA5" w:rsidP="0011694F">
      <w:pPr>
        <w:pStyle w:val="naisf"/>
        <w:spacing w:before="0" w:after="0"/>
        <w:ind w:firstLine="142"/>
        <w:rPr>
          <w:bCs/>
          <w:sz w:val="28"/>
          <w:szCs w:val="28"/>
        </w:rPr>
      </w:pPr>
      <w:r w:rsidRPr="00CA7DC4">
        <w:rPr>
          <w:bCs/>
          <w:sz w:val="28"/>
          <w:szCs w:val="28"/>
        </w:rPr>
        <w:t>Kultūras ministre</w:t>
      </w:r>
      <w:r w:rsidRPr="00CA7DC4">
        <w:rPr>
          <w:bCs/>
          <w:sz w:val="28"/>
          <w:szCs w:val="28"/>
        </w:rPr>
        <w:tab/>
      </w:r>
      <w:r w:rsidRPr="00CA7DC4">
        <w:rPr>
          <w:bCs/>
          <w:sz w:val="28"/>
          <w:szCs w:val="28"/>
        </w:rPr>
        <w:tab/>
      </w:r>
      <w:r w:rsidRPr="00CA7DC4">
        <w:rPr>
          <w:bCs/>
          <w:sz w:val="28"/>
          <w:szCs w:val="28"/>
        </w:rPr>
        <w:tab/>
      </w:r>
      <w:r w:rsidRPr="00CA7DC4">
        <w:rPr>
          <w:bCs/>
          <w:sz w:val="28"/>
          <w:szCs w:val="28"/>
        </w:rPr>
        <w:tab/>
      </w:r>
      <w:r w:rsidRPr="00CA7DC4">
        <w:rPr>
          <w:bCs/>
          <w:sz w:val="28"/>
          <w:szCs w:val="28"/>
        </w:rPr>
        <w:tab/>
      </w:r>
      <w:r w:rsidRPr="00CA7DC4">
        <w:rPr>
          <w:bCs/>
          <w:sz w:val="28"/>
          <w:szCs w:val="28"/>
        </w:rPr>
        <w:tab/>
      </w:r>
      <w:r w:rsidR="0011694F">
        <w:rPr>
          <w:bCs/>
          <w:sz w:val="28"/>
          <w:szCs w:val="28"/>
        </w:rPr>
        <w:tab/>
      </w:r>
      <w:r w:rsidR="0011694F">
        <w:rPr>
          <w:bCs/>
          <w:sz w:val="28"/>
          <w:szCs w:val="28"/>
        </w:rPr>
        <w:tab/>
      </w:r>
      <w:r w:rsidRPr="00CA7DC4">
        <w:rPr>
          <w:bCs/>
          <w:sz w:val="28"/>
          <w:szCs w:val="28"/>
        </w:rPr>
        <w:t>D.Melbārde</w:t>
      </w:r>
    </w:p>
    <w:p w:rsidR="003A4DDD" w:rsidRPr="00CA7DC4" w:rsidRDefault="003A4DDD" w:rsidP="003E5AA5">
      <w:pPr>
        <w:pStyle w:val="naisf"/>
        <w:spacing w:before="0" w:after="120"/>
        <w:ind w:firstLine="0"/>
        <w:rPr>
          <w:sz w:val="28"/>
          <w:szCs w:val="28"/>
        </w:rPr>
      </w:pPr>
    </w:p>
    <w:p w:rsidR="003E5AA5" w:rsidRPr="00CA7DC4" w:rsidRDefault="00366C02" w:rsidP="0011694F">
      <w:pPr>
        <w:pStyle w:val="naisf"/>
        <w:spacing w:before="0" w:after="120"/>
        <w:ind w:firstLine="142"/>
        <w:rPr>
          <w:sz w:val="28"/>
          <w:szCs w:val="28"/>
        </w:rPr>
      </w:pPr>
      <w:r>
        <w:rPr>
          <w:sz w:val="28"/>
          <w:szCs w:val="28"/>
        </w:rPr>
        <w:t>Vīza: Valsts sekretār</w:t>
      </w:r>
      <w:r w:rsidR="00CF5AFD">
        <w:rPr>
          <w:sz w:val="28"/>
          <w:szCs w:val="28"/>
        </w:rPr>
        <w:t>s</w:t>
      </w:r>
      <w:r>
        <w:rPr>
          <w:sz w:val="28"/>
          <w:szCs w:val="28"/>
        </w:rPr>
        <w:tab/>
      </w:r>
      <w:r w:rsidR="003E5AA5" w:rsidRPr="00CA7DC4">
        <w:rPr>
          <w:sz w:val="28"/>
          <w:szCs w:val="28"/>
        </w:rPr>
        <w:tab/>
      </w:r>
      <w:r w:rsidR="003E5AA5" w:rsidRPr="00CA7DC4">
        <w:rPr>
          <w:sz w:val="28"/>
          <w:szCs w:val="28"/>
        </w:rPr>
        <w:tab/>
      </w:r>
      <w:r w:rsidR="003E5AA5" w:rsidRPr="00CA7DC4">
        <w:rPr>
          <w:sz w:val="28"/>
          <w:szCs w:val="28"/>
        </w:rPr>
        <w:tab/>
      </w:r>
      <w:r w:rsidR="003E5AA5" w:rsidRPr="00CA7DC4">
        <w:rPr>
          <w:sz w:val="28"/>
          <w:szCs w:val="28"/>
        </w:rPr>
        <w:tab/>
      </w:r>
      <w:r w:rsidR="003E5AA5" w:rsidRPr="00CA7DC4">
        <w:rPr>
          <w:sz w:val="28"/>
          <w:szCs w:val="28"/>
        </w:rPr>
        <w:tab/>
      </w:r>
      <w:r w:rsidR="00FE03C0">
        <w:rPr>
          <w:sz w:val="28"/>
          <w:szCs w:val="28"/>
        </w:rPr>
        <w:tab/>
      </w:r>
      <w:r w:rsidR="00CF5AFD">
        <w:rPr>
          <w:sz w:val="28"/>
          <w:szCs w:val="28"/>
        </w:rPr>
        <w:t>S.Voldiņš</w:t>
      </w:r>
    </w:p>
    <w:p w:rsidR="00BB4625" w:rsidRDefault="00BB4625" w:rsidP="003E5AA5">
      <w:pPr>
        <w:pStyle w:val="naisf"/>
        <w:spacing w:before="0" w:after="120"/>
        <w:ind w:firstLine="0"/>
      </w:pPr>
    </w:p>
    <w:p w:rsidR="0011694F" w:rsidRPr="00CA7DC4" w:rsidRDefault="0011694F" w:rsidP="003E5AA5">
      <w:pPr>
        <w:pStyle w:val="naisf"/>
        <w:spacing w:before="0" w:after="120"/>
        <w:ind w:firstLine="0"/>
      </w:pPr>
    </w:p>
    <w:p w:rsidR="00E3018D" w:rsidRPr="00E3018D" w:rsidRDefault="00E3018D" w:rsidP="003E5AA5">
      <w:pPr>
        <w:pStyle w:val="Galvene"/>
        <w:rPr>
          <w:sz w:val="22"/>
          <w:szCs w:val="22"/>
        </w:rPr>
      </w:pPr>
      <w:r>
        <w:rPr>
          <w:sz w:val="22"/>
          <w:szCs w:val="22"/>
        </w:rPr>
        <w:t>2015.01.13.</w:t>
      </w:r>
    </w:p>
    <w:p w:rsidR="00E3018D" w:rsidRDefault="00670E23" w:rsidP="003E5AA5">
      <w:pPr>
        <w:pStyle w:val="Galvene"/>
        <w:rPr>
          <w:sz w:val="22"/>
          <w:szCs w:val="22"/>
        </w:rPr>
      </w:pPr>
      <w:fldSimple w:instr=" NUMWORDS   \* MERGEFORMAT ">
        <w:r w:rsidR="00E3018D">
          <w:rPr>
            <w:noProof/>
            <w:sz w:val="22"/>
            <w:szCs w:val="22"/>
          </w:rPr>
          <w:t>1926</w:t>
        </w:r>
      </w:fldSimple>
    </w:p>
    <w:p w:rsidR="003E5AA5" w:rsidRPr="0011694F" w:rsidRDefault="003E5AA5" w:rsidP="003E5AA5">
      <w:pPr>
        <w:pStyle w:val="Galvene"/>
        <w:rPr>
          <w:sz w:val="22"/>
          <w:szCs w:val="22"/>
        </w:rPr>
      </w:pPr>
      <w:bookmarkStart w:id="5" w:name="OLE_LINK5"/>
      <w:bookmarkStart w:id="6" w:name="OLE_LINK6"/>
      <w:r w:rsidRPr="0011694F">
        <w:rPr>
          <w:sz w:val="22"/>
          <w:szCs w:val="22"/>
        </w:rPr>
        <w:t>Ilze Zubova</w:t>
      </w:r>
    </w:p>
    <w:p w:rsidR="003E5AA5" w:rsidRPr="0011694F" w:rsidRDefault="003E5AA5" w:rsidP="003E5AA5">
      <w:pPr>
        <w:pStyle w:val="Galvene"/>
        <w:rPr>
          <w:sz w:val="22"/>
          <w:szCs w:val="22"/>
        </w:rPr>
      </w:pPr>
      <w:bookmarkStart w:id="7" w:name="OLE_LINK7"/>
      <w:bookmarkStart w:id="8" w:name="OLE_LINK8"/>
      <w:bookmarkEnd w:id="5"/>
      <w:bookmarkEnd w:id="6"/>
      <w:r w:rsidRPr="0011694F">
        <w:rPr>
          <w:sz w:val="22"/>
          <w:szCs w:val="22"/>
        </w:rPr>
        <w:t>Tālr.</w:t>
      </w:r>
      <w:fldSimple w:instr=" COMMENTS   \* MERGEFORMAT ">
        <w:r w:rsidRPr="0011694F">
          <w:rPr>
            <w:sz w:val="22"/>
            <w:szCs w:val="22"/>
          </w:rPr>
          <w:t xml:space="preserve">67330258; fakss </w:t>
        </w:r>
      </w:fldSimple>
      <w:r w:rsidRPr="0011694F">
        <w:rPr>
          <w:sz w:val="22"/>
          <w:szCs w:val="22"/>
        </w:rPr>
        <w:t>67330293</w:t>
      </w:r>
    </w:p>
    <w:p w:rsidR="003E5AA5" w:rsidRPr="0011694F" w:rsidRDefault="00670E23" w:rsidP="003E5AA5">
      <w:pPr>
        <w:pStyle w:val="Galvene"/>
        <w:rPr>
          <w:sz w:val="22"/>
          <w:szCs w:val="22"/>
        </w:rPr>
      </w:pPr>
      <w:hyperlink r:id="rId8" w:history="1">
        <w:r w:rsidR="003E5AA5" w:rsidRPr="0011694F">
          <w:rPr>
            <w:rStyle w:val="Hipersaite"/>
            <w:sz w:val="22"/>
            <w:szCs w:val="22"/>
          </w:rPr>
          <w:t>Ilze.Zubova@km.gov.lv</w:t>
        </w:r>
      </w:hyperlink>
    </w:p>
    <w:bookmarkEnd w:id="7"/>
    <w:bookmarkEnd w:id="8"/>
    <w:p w:rsidR="000A1DFD" w:rsidRPr="00CA7DC4" w:rsidRDefault="000A1DFD" w:rsidP="00B40635">
      <w:pPr>
        <w:spacing w:after="0" w:line="240" w:lineRule="auto"/>
        <w:rPr>
          <w:rFonts w:ascii="Times New Roman" w:eastAsia="Times New Roman" w:hAnsi="Times New Roman" w:cs="Times New Roman"/>
          <w:iCs/>
          <w:sz w:val="28"/>
          <w:szCs w:val="28"/>
        </w:rPr>
      </w:pPr>
    </w:p>
    <w:sectPr w:rsidR="000A1DFD" w:rsidRPr="00CA7DC4" w:rsidSect="0011694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51" w:rsidRDefault="00F73951" w:rsidP="003E5AA5">
      <w:pPr>
        <w:spacing w:after="0" w:line="240" w:lineRule="auto"/>
      </w:pPr>
      <w:r>
        <w:separator/>
      </w:r>
    </w:p>
  </w:endnote>
  <w:endnote w:type="continuationSeparator" w:id="0">
    <w:p w:rsidR="00F73951" w:rsidRDefault="00F73951" w:rsidP="003E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51" w:rsidRPr="0011694F" w:rsidRDefault="00F80EE3" w:rsidP="0011694F">
    <w:pPr>
      <w:pStyle w:val="normal"/>
      <w:jc w:val="both"/>
      <w:rPr>
        <w:sz w:val="22"/>
        <w:szCs w:val="22"/>
      </w:rPr>
    </w:pPr>
    <w:r>
      <w:rPr>
        <w:sz w:val="22"/>
        <w:szCs w:val="22"/>
      </w:rPr>
      <w:t>KMAnot_</w:t>
    </w:r>
    <w:r w:rsidR="00EF1A6D">
      <w:rPr>
        <w:sz w:val="22"/>
        <w:szCs w:val="22"/>
      </w:rPr>
      <w:t>090115</w:t>
    </w:r>
    <w:r w:rsidR="00F73951" w:rsidRPr="0011694F">
      <w:rPr>
        <w:sz w:val="22"/>
        <w:szCs w:val="22"/>
      </w:rPr>
      <w:t>_foto_muz_parcelsanas</w:t>
    </w:r>
    <w:r w:rsidR="00F73951">
      <w:rPr>
        <w:sz w:val="22"/>
        <w:szCs w:val="22"/>
      </w:rPr>
      <w:t xml:space="preserve">; </w:t>
    </w:r>
    <w:r w:rsidR="00F73951" w:rsidRPr="00D47991">
      <w:rPr>
        <w:sz w:val="22"/>
        <w:szCs w:val="22"/>
      </w:rPr>
      <w:t xml:space="preserve">Ministru kabineta rīkojuma projekta „Par Rīgas vēstures un kuģniecības muzeja filiāles – Latvijas Fotogrāfijas muzejs pārvietošanu no privātīpašuma ēkā Mārstaļu ielā 8, Rīgā uz </w:t>
    </w:r>
    <w:r w:rsidR="00F73951" w:rsidRPr="00E20BC6">
      <w:rPr>
        <w:sz w:val="22"/>
        <w:szCs w:val="22"/>
      </w:rPr>
      <w:t>valsts akciju sabiedrības „Valsts nekustamie īpašumi”</w:t>
    </w:r>
    <w:r w:rsidR="00F73951">
      <w:rPr>
        <w:sz w:val="22"/>
        <w:szCs w:val="22"/>
      </w:rPr>
      <w:t xml:space="preserve"> </w:t>
    </w:r>
    <w:r w:rsidR="00F73951" w:rsidRPr="00D47991">
      <w:rPr>
        <w:sz w:val="22"/>
        <w:szCs w:val="22"/>
      </w:rPr>
      <w:t xml:space="preserve">ēku Mārstaļu ielā 6, Rīgā” sākotnējās ietekmes novērtējuma </w:t>
    </w:r>
    <w:smartTag w:uri="schemas-tilde-lv/tildestengine" w:element="veidnes">
      <w:smartTagPr>
        <w:attr w:name="text" w:val="ziņojums"/>
        <w:attr w:name="baseform" w:val="ziņojums"/>
        <w:attr w:name="id" w:val="-1"/>
      </w:smartTagPr>
      <w:r w:rsidR="00F73951" w:rsidRPr="00D47991">
        <w:rPr>
          <w:sz w:val="22"/>
          <w:szCs w:val="22"/>
        </w:rPr>
        <w:t>ziņojums</w:t>
      </w:r>
    </w:smartTag>
    <w:r w:rsidR="00F73951" w:rsidRPr="00D47991">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51" w:rsidRPr="00D47991" w:rsidRDefault="00F80EE3" w:rsidP="00D47991">
    <w:pPr>
      <w:pStyle w:val="normal"/>
      <w:jc w:val="both"/>
      <w:rPr>
        <w:sz w:val="22"/>
        <w:szCs w:val="22"/>
      </w:rPr>
    </w:pPr>
    <w:r>
      <w:rPr>
        <w:sz w:val="22"/>
        <w:szCs w:val="22"/>
      </w:rPr>
      <w:t>KMAnot_</w:t>
    </w:r>
    <w:r w:rsidR="00EF1A6D">
      <w:rPr>
        <w:sz w:val="22"/>
        <w:szCs w:val="22"/>
      </w:rPr>
      <w:t>090115</w:t>
    </w:r>
    <w:r w:rsidR="00F73951" w:rsidRPr="0011694F">
      <w:rPr>
        <w:sz w:val="22"/>
        <w:szCs w:val="22"/>
      </w:rPr>
      <w:t>_foto_muz_parcelsanas</w:t>
    </w:r>
    <w:r w:rsidR="00F73951">
      <w:rPr>
        <w:sz w:val="22"/>
        <w:szCs w:val="22"/>
      </w:rPr>
      <w:t xml:space="preserve">; </w:t>
    </w:r>
    <w:r w:rsidR="00F73951" w:rsidRPr="00D47991">
      <w:rPr>
        <w:sz w:val="22"/>
        <w:szCs w:val="22"/>
      </w:rPr>
      <w:t xml:space="preserve">Ministru kabineta rīkojuma projekta „Par Rīgas vēstures un kuģniecības muzeja filiāles – Latvijas Fotogrāfijas muzejs pārvietošanu no privātīpašuma ēkā Mārstaļu ielā 8, Rīgā uz </w:t>
    </w:r>
    <w:r w:rsidR="00F73951" w:rsidRPr="00E20BC6">
      <w:rPr>
        <w:sz w:val="22"/>
        <w:szCs w:val="22"/>
      </w:rPr>
      <w:t>valsts akciju sabiedrības „Valsts nekustamie īpašumi”</w:t>
    </w:r>
    <w:r w:rsidR="00F73951">
      <w:rPr>
        <w:sz w:val="22"/>
        <w:szCs w:val="22"/>
      </w:rPr>
      <w:t xml:space="preserve"> </w:t>
    </w:r>
    <w:r w:rsidR="00F73951" w:rsidRPr="00D47991">
      <w:rPr>
        <w:sz w:val="22"/>
        <w:szCs w:val="22"/>
      </w:rPr>
      <w:t xml:space="preserve">ēku Mārstaļu ielā 6, Rīgā” sākotnējās ietekmes novērtējuma </w:t>
    </w:r>
    <w:smartTag w:uri="schemas-tilde-lv/tildestengine" w:element="veidnes">
      <w:smartTagPr>
        <w:attr w:name="text" w:val="ziņojums"/>
        <w:attr w:name="baseform" w:val="ziņojums"/>
        <w:attr w:name="id" w:val="-1"/>
      </w:smartTagPr>
      <w:r w:rsidR="00F73951" w:rsidRPr="00D47991">
        <w:rPr>
          <w:sz w:val="22"/>
          <w:szCs w:val="22"/>
        </w:rPr>
        <w:t>ziņojums</w:t>
      </w:r>
    </w:smartTag>
    <w:r w:rsidR="00F73951" w:rsidRPr="00D47991">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51" w:rsidRDefault="00F73951" w:rsidP="003E5AA5">
      <w:pPr>
        <w:spacing w:after="0" w:line="240" w:lineRule="auto"/>
      </w:pPr>
      <w:r>
        <w:separator/>
      </w:r>
    </w:p>
  </w:footnote>
  <w:footnote w:type="continuationSeparator" w:id="0">
    <w:p w:rsidR="00F73951" w:rsidRDefault="00F73951" w:rsidP="003E5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2539"/>
      <w:docPartObj>
        <w:docPartGallery w:val="Page Numbers (Top of Page)"/>
        <w:docPartUnique/>
      </w:docPartObj>
    </w:sdtPr>
    <w:sdtContent>
      <w:p w:rsidR="00F73951" w:rsidRDefault="00670E23" w:rsidP="00D47991">
        <w:pPr>
          <w:pStyle w:val="Galvene"/>
          <w:jc w:val="center"/>
        </w:pPr>
        <w:r w:rsidRPr="00C33852">
          <w:rPr>
            <w:sz w:val="22"/>
            <w:szCs w:val="22"/>
          </w:rPr>
          <w:fldChar w:fldCharType="begin"/>
        </w:r>
        <w:r w:rsidR="00F73951" w:rsidRPr="00C33852">
          <w:rPr>
            <w:sz w:val="22"/>
            <w:szCs w:val="22"/>
          </w:rPr>
          <w:instrText xml:space="preserve"> PAGE   \* MERGEFORMAT </w:instrText>
        </w:r>
        <w:r w:rsidRPr="00C33852">
          <w:rPr>
            <w:sz w:val="22"/>
            <w:szCs w:val="22"/>
          </w:rPr>
          <w:fldChar w:fldCharType="separate"/>
        </w:r>
        <w:r w:rsidR="00A84D54">
          <w:rPr>
            <w:noProof/>
            <w:sz w:val="22"/>
            <w:szCs w:val="22"/>
          </w:rPr>
          <w:t>2</w:t>
        </w:r>
        <w:r w:rsidRPr="00C33852">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D0"/>
    <w:multiLevelType w:val="hybridMultilevel"/>
    <w:tmpl w:val="1378537A"/>
    <w:lvl w:ilvl="0" w:tplc="6A18A712">
      <w:start w:val="2"/>
      <w:numFmt w:val="bullet"/>
      <w:lvlText w:val="–"/>
      <w:lvlJc w:val="left"/>
      <w:pPr>
        <w:ind w:left="839" w:hanging="360"/>
      </w:pPr>
      <w:rPr>
        <w:rFonts w:ascii="Times New Roman" w:eastAsia="Calibri" w:hAnsi="Times New Roman" w:cs="Times New Roman" w:hint="default"/>
      </w:rPr>
    </w:lvl>
    <w:lvl w:ilvl="1" w:tplc="04260003" w:tentative="1">
      <w:start w:val="1"/>
      <w:numFmt w:val="bullet"/>
      <w:lvlText w:val="o"/>
      <w:lvlJc w:val="left"/>
      <w:pPr>
        <w:ind w:left="1559" w:hanging="360"/>
      </w:pPr>
      <w:rPr>
        <w:rFonts w:ascii="Courier New" w:hAnsi="Courier New" w:cs="Courier New" w:hint="default"/>
      </w:rPr>
    </w:lvl>
    <w:lvl w:ilvl="2" w:tplc="04260005" w:tentative="1">
      <w:start w:val="1"/>
      <w:numFmt w:val="bullet"/>
      <w:lvlText w:val=""/>
      <w:lvlJc w:val="left"/>
      <w:pPr>
        <w:ind w:left="2279" w:hanging="360"/>
      </w:pPr>
      <w:rPr>
        <w:rFonts w:ascii="Wingdings" w:hAnsi="Wingdings" w:hint="default"/>
      </w:rPr>
    </w:lvl>
    <w:lvl w:ilvl="3" w:tplc="04260001" w:tentative="1">
      <w:start w:val="1"/>
      <w:numFmt w:val="bullet"/>
      <w:lvlText w:val=""/>
      <w:lvlJc w:val="left"/>
      <w:pPr>
        <w:ind w:left="2999" w:hanging="360"/>
      </w:pPr>
      <w:rPr>
        <w:rFonts w:ascii="Symbol" w:hAnsi="Symbol" w:hint="default"/>
      </w:rPr>
    </w:lvl>
    <w:lvl w:ilvl="4" w:tplc="04260003" w:tentative="1">
      <w:start w:val="1"/>
      <w:numFmt w:val="bullet"/>
      <w:lvlText w:val="o"/>
      <w:lvlJc w:val="left"/>
      <w:pPr>
        <w:ind w:left="3719" w:hanging="360"/>
      </w:pPr>
      <w:rPr>
        <w:rFonts w:ascii="Courier New" w:hAnsi="Courier New" w:cs="Courier New" w:hint="default"/>
      </w:rPr>
    </w:lvl>
    <w:lvl w:ilvl="5" w:tplc="04260005" w:tentative="1">
      <w:start w:val="1"/>
      <w:numFmt w:val="bullet"/>
      <w:lvlText w:val=""/>
      <w:lvlJc w:val="left"/>
      <w:pPr>
        <w:ind w:left="4439" w:hanging="360"/>
      </w:pPr>
      <w:rPr>
        <w:rFonts w:ascii="Wingdings" w:hAnsi="Wingdings" w:hint="default"/>
      </w:rPr>
    </w:lvl>
    <w:lvl w:ilvl="6" w:tplc="04260001" w:tentative="1">
      <w:start w:val="1"/>
      <w:numFmt w:val="bullet"/>
      <w:lvlText w:val=""/>
      <w:lvlJc w:val="left"/>
      <w:pPr>
        <w:ind w:left="5159" w:hanging="360"/>
      </w:pPr>
      <w:rPr>
        <w:rFonts w:ascii="Symbol" w:hAnsi="Symbol" w:hint="default"/>
      </w:rPr>
    </w:lvl>
    <w:lvl w:ilvl="7" w:tplc="04260003" w:tentative="1">
      <w:start w:val="1"/>
      <w:numFmt w:val="bullet"/>
      <w:lvlText w:val="o"/>
      <w:lvlJc w:val="left"/>
      <w:pPr>
        <w:ind w:left="5879" w:hanging="360"/>
      </w:pPr>
      <w:rPr>
        <w:rFonts w:ascii="Courier New" w:hAnsi="Courier New" w:cs="Courier New" w:hint="default"/>
      </w:rPr>
    </w:lvl>
    <w:lvl w:ilvl="8" w:tplc="04260005" w:tentative="1">
      <w:start w:val="1"/>
      <w:numFmt w:val="bullet"/>
      <w:lvlText w:val=""/>
      <w:lvlJc w:val="left"/>
      <w:pPr>
        <w:ind w:left="6599" w:hanging="360"/>
      </w:pPr>
      <w:rPr>
        <w:rFonts w:ascii="Wingdings" w:hAnsi="Wingdings" w:hint="default"/>
      </w:rPr>
    </w:lvl>
  </w:abstractNum>
  <w:abstractNum w:abstractNumId="1">
    <w:nsid w:val="01D74910"/>
    <w:multiLevelType w:val="hybridMultilevel"/>
    <w:tmpl w:val="70C6CCFE"/>
    <w:lvl w:ilvl="0" w:tplc="6A18A712">
      <w:start w:val="2"/>
      <w:numFmt w:val="bullet"/>
      <w:lvlText w:val="–"/>
      <w:lvlJc w:val="left"/>
      <w:pPr>
        <w:ind w:left="975" w:hanging="360"/>
      </w:pPr>
      <w:rPr>
        <w:rFonts w:ascii="Times New Roman" w:eastAsia="Calibri" w:hAnsi="Times New Roman" w:cs="Times New Roman"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2">
    <w:nsid w:val="0D286DCC"/>
    <w:multiLevelType w:val="hybridMultilevel"/>
    <w:tmpl w:val="D226BAA8"/>
    <w:lvl w:ilvl="0" w:tplc="6A18A712">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B48400B"/>
    <w:multiLevelType w:val="hybridMultilevel"/>
    <w:tmpl w:val="573C166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B4D0C10"/>
    <w:multiLevelType w:val="hybridMultilevel"/>
    <w:tmpl w:val="0C58F068"/>
    <w:lvl w:ilvl="0" w:tplc="6A18A712">
      <w:start w:val="2"/>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5">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6">
    <w:nsid w:val="211A09BF"/>
    <w:multiLevelType w:val="hybridMultilevel"/>
    <w:tmpl w:val="0B9A8110"/>
    <w:lvl w:ilvl="0" w:tplc="6A18A7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91016AC"/>
    <w:multiLevelType w:val="hybridMultilevel"/>
    <w:tmpl w:val="1CB4AF4E"/>
    <w:lvl w:ilvl="0" w:tplc="04260001">
      <w:start w:val="1"/>
      <w:numFmt w:val="bullet"/>
      <w:lvlText w:val=""/>
      <w:lvlJc w:val="left"/>
      <w:pPr>
        <w:ind w:left="-351" w:hanging="360"/>
      </w:pPr>
      <w:rPr>
        <w:rFonts w:ascii="Symbol" w:hAnsi="Symbol" w:hint="default"/>
      </w:rPr>
    </w:lvl>
    <w:lvl w:ilvl="1" w:tplc="04260003" w:tentative="1">
      <w:start w:val="1"/>
      <w:numFmt w:val="bullet"/>
      <w:lvlText w:val="o"/>
      <w:lvlJc w:val="left"/>
      <w:pPr>
        <w:ind w:left="369" w:hanging="360"/>
      </w:pPr>
      <w:rPr>
        <w:rFonts w:ascii="Courier New" w:hAnsi="Courier New" w:cs="Courier New" w:hint="default"/>
      </w:rPr>
    </w:lvl>
    <w:lvl w:ilvl="2" w:tplc="04260005" w:tentative="1">
      <w:start w:val="1"/>
      <w:numFmt w:val="bullet"/>
      <w:lvlText w:val=""/>
      <w:lvlJc w:val="left"/>
      <w:pPr>
        <w:ind w:left="1089" w:hanging="360"/>
      </w:pPr>
      <w:rPr>
        <w:rFonts w:ascii="Wingdings" w:hAnsi="Wingdings" w:hint="default"/>
      </w:rPr>
    </w:lvl>
    <w:lvl w:ilvl="3" w:tplc="04260001" w:tentative="1">
      <w:start w:val="1"/>
      <w:numFmt w:val="bullet"/>
      <w:lvlText w:val=""/>
      <w:lvlJc w:val="left"/>
      <w:pPr>
        <w:ind w:left="1809" w:hanging="360"/>
      </w:pPr>
      <w:rPr>
        <w:rFonts w:ascii="Symbol" w:hAnsi="Symbol" w:hint="default"/>
      </w:rPr>
    </w:lvl>
    <w:lvl w:ilvl="4" w:tplc="04260003" w:tentative="1">
      <w:start w:val="1"/>
      <w:numFmt w:val="bullet"/>
      <w:lvlText w:val="o"/>
      <w:lvlJc w:val="left"/>
      <w:pPr>
        <w:ind w:left="2529" w:hanging="360"/>
      </w:pPr>
      <w:rPr>
        <w:rFonts w:ascii="Courier New" w:hAnsi="Courier New" w:cs="Courier New" w:hint="default"/>
      </w:rPr>
    </w:lvl>
    <w:lvl w:ilvl="5" w:tplc="04260005" w:tentative="1">
      <w:start w:val="1"/>
      <w:numFmt w:val="bullet"/>
      <w:lvlText w:val=""/>
      <w:lvlJc w:val="left"/>
      <w:pPr>
        <w:ind w:left="3249" w:hanging="360"/>
      </w:pPr>
      <w:rPr>
        <w:rFonts w:ascii="Wingdings" w:hAnsi="Wingdings" w:hint="default"/>
      </w:rPr>
    </w:lvl>
    <w:lvl w:ilvl="6" w:tplc="04260001" w:tentative="1">
      <w:start w:val="1"/>
      <w:numFmt w:val="bullet"/>
      <w:lvlText w:val=""/>
      <w:lvlJc w:val="left"/>
      <w:pPr>
        <w:ind w:left="3969" w:hanging="360"/>
      </w:pPr>
      <w:rPr>
        <w:rFonts w:ascii="Symbol" w:hAnsi="Symbol" w:hint="default"/>
      </w:rPr>
    </w:lvl>
    <w:lvl w:ilvl="7" w:tplc="04260003" w:tentative="1">
      <w:start w:val="1"/>
      <w:numFmt w:val="bullet"/>
      <w:lvlText w:val="o"/>
      <w:lvlJc w:val="left"/>
      <w:pPr>
        <w:ind w:left="4689" w:hanging="360"/>
      </w:pPr>
      <w:rPr>
        <w:rFonts w:ascii="Courier New" w:hAnsi="Courier New" w:cs="Courier New" w:hint="default"/>
      </w:rPr>
    </w:lvl>
    <w:lvl w:ilvl="8" w:tplc="04260005" w:tentative="1">
      <w:start w:val="1"/>
      <w:numFmt w:val="bullet"/>
      <w:lvlText w:val=""/>
      <w:lvlJc w:val="left"/>
      <w:pPr>
        <w:ind w:left="5409" w:hanging="360"/>
      </w:pPr>
      <w:rPr>
        <w:rFonts w:ascii="Wingdings" w:hAnsi="Wingdings" w:hint="default"/>
      </w:rPr>
    </w:lvl>
  </w:abstractNum>
  <w:abstractNum w:abstractNumId="8">
    <w:nsid w:val="29612213"/>
    <w:multiLevelType w:val="multilevel"/>
    <w:tmpl w:val="AAD66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1D2539"/>
    <w:multiLevelType w:val="hybridMultilevel"/>
    <w:tmpl w:val="4E56C6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A5C1C43"/>
    <w:multiLevelType w:val="hybridMultilevel"/>
    <w:tmpl w:val="5EC87796"/>
    <w:lvl w:ilvl="0" w:tplc="2AF2FB58">
      <w:start w:val="1"/>
      <w:numFmt w:val="bullet"/>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194183"/>
    <w:multiLevelType w:val="multilevel"/>
    <w:tmpl w:val="0BC86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2F16D1"/>
    <w:multiLevelType w:val="hybridMultilevel"/>
    <w:tmpl w:val="1214C848"/>
    <w:lvl w:ilvl="0" w:tplc="6A18A712">
      <w:start w:val="2"/>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3">
    <w:nsid w:val="599735E9"/>
    <w:multiLevelType w:val="hybridMultilevel"/>
    <w:tmpl w:val="D7F807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86668F7"/>
    <w:multiLevelType w:val="hybridMultilevel"/>
    <w:tmpl w:val="F1C601E0"/>
    <w:lvl w:ilvl="0" w:tplc="6A18A712">
      <w:start w:val="2"/>
      <w:numFmt w:val="bullet"/>
      <w:lvlText w:val="–"/>
      <w:lvlJc w:val="left"/>
      <w:pPr>
        <w:ind w:left="862" w:hanging="360"/>
      </w:pPr>
      <w:rPr>
        <w:rFonts w:ascii="Times New Roman" w:eastAsia="Calibr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nsid w:val="68A37646"/>
    <w:multiLevelType w:val="hybridMultilevel"/>
    <w:tmpl w:val="7F509A24"/>
    <w:lvl w:ilvl="0" w:tplc="6A18A712">
      <w:start w:val="2"/>
      <w:numFmt w:val="bullet"/>
      <w:lvlText w:val="–"/>
      <w:lvlJc w:val="left"/>
      <w:pPr>
        <w:ind w:left="975" w:hanging="360"/>
      </w:pPr>
      <w:rPr>
        <w:rFonts w:ascii="Times New Roman" w:eastAsia="Calibri" w:hAnsi="Times New Roman" w:cs="Times New Roman"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2"/>
  </w:num>
  <w:num w:numId="7">
    <w:abstractNumId w:val="6"/>
  </w:num>
  <w:num w:numId="8">
    <w:abstractNumId w:val="15"/>
  </w:num>
  <w:num w:numId="9">
    <w:abstractNumId w:val="1"/>
  </w:num>
  <w:num w:numId="10">
    <w:abstractNumId w:val="12"/>
  </w:num>
  <w:num w:numId="11">
    <w:abstractNumId w:val="5"/>
  </w:num>
  <w:num w:numId="12">
    <w:abstractNumId w:val="3"/>
  </w:num>
  <w:num w:numId="13">
    <w:abstractNumId w:val="13"/>
  </w:num>
  <w:num w:numId="14">
    <w:abstractNumId w:val="7"/>
  </w:num>
  <w:num w:numId="15">
    <w:abstractNumId w:val="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B40635"/>
    <w:rsid w:val="00017119"/>
    <w:rsid w:val="00022B05"/>
    <w:rsid w:val="00023E2E"/>
    <w:rsid w:val="00063809"/>
    <w:rsid w:val="00082AB0"/>
    <w:rsid w:val="00086902"/>
    <w:rsid w:val="000934B2"/>
    <w:rsid w:val="000960CE"/>
    <w:rsid w:val="000A1DFD"/>
    <w:rsid w:val="000A6566"/>
    <w:rsid w:val="000B211B"/>
    <w:rsid w:val="000C7101"/>
    <w:rsid w:val="000F18EA"/>
    <w:rsid w:val="0011694F"/>
    <w:rsid w:val="00142CE9"/>
    <w:rsid w:val="00144C18"/>
    <w:rsid w:val="00195F8D"/>
    <w:rsid w:val="001B2FF1"/>
    <w:rsid w:val="001C05B1"/>
    <w:rsid w:val="001C12CA"/>
    <w:rsid w:val="001C20DA"/>
    <w:rsid w:val="001C3E57"/>
    <w:rsid w:val="001D5162"/>
    <w:rsid w:val="001D7FFD"/>
    <w:rsid w:val="001E4AD8"/>
    <w:rsid w:val="0022555D"/>
    <w:rsid w:val="00236B09"/>
    <w:rsid w:val="0026786A"/>
    <w:rsid w:val="00285AB8"/>
    <w:rsid w:val="002F55BD"/>
    <w:rsid w:val="00305D14"/>
    <w:rsid w:val="00312688"/>
    <w:rsid w:val="00313CF9"/>
    <w:rsid w:val="00347FAA"/>
    <w:rsid w:val="00351661"/>
    <w:rsid w:val="00366C02"/>
    <w:rsid w:val="00382807"/>
    <w:rsid w:val="003A387F"/>
    <w:rsid w:val="003A4DDD"/>
    <w:rsid w:val="003D1054"/>
    <w:rsid w:val="003E5AA5"/>
    <w:rsid w:val="00406A83"/>
    <w:rsid w:val="004158B3"/>
    <w:rsid w:val="00427D76"/>
    <w:rsid w:val="004342B7"/>
    <w:rsid w:val="00444749"/>
    <w:rsid w:val="00447708"/>
    <w:rsid w:val="00462D97"/>
    <w:rsid w:val="00473064"/>
    <w:rsid w:val="00490835"/>
    <w:rsid w:val="004A58C8"/>
    <w:rsid w:val="004C55E8"/>
    <w:rsid w:val="004E6DD4"/>
    <w:rsid w:val="00500F70"/>
    <w:rsid w:val="00512843"/>
    <w:rsid w:val="00515E00"/>
    <w:rsid w:val="00521C93"/>
    <w:rsid w:val="0052284A"/>
    <w:rsid w:val="0052593D"/>
    <w:rsid w:val="00572291"/>
    <w:rsid w:val="0058261B"/>
    <w:rsid w:val="005A4803"/>
    <w:rsid w:val="0061437B"/>
    <w:rsid w:val="006156EF"/>
    <w:rsid w:val="00615820"/>
    <w:rsid w:val="00617162"/>
    <w:rsid w:val="006315C3"/>
    <w:rsid w:val="006333B6"/>
    <w:rsid w:val="006432DE"/>
    <w:rsid w:val="00670E23"/>
    <w:rsid w:val="00686DBE"/>
    <w:rsid w:val="00691B18"/>
    <w:rsid w:val="006A5C3F"/>
    <w:rsid w:val="006C1978"/>
    <w:rsid w:val="00722677"/>
    <w:rsid w:val="00752DC1"/>
    <w:rsid w:val="00785345"/>
    <w:rsid w:val="007A7743"/>
    <w:rsid w:val="007D12D3"/>
    <w:rsid w:val="008077DA"/>
    <w:rsid w:val="00812E1E"/>
    <w:rsid w:val="008137DA"/>
    <w:rsid w:val="0084043C"/>
    <w:rsid w:val="00870FBB"/>
    <w:rsid w:val="00875606"/>
    <w:rsid w:val="008B2AAE"/>
    <w:rsid w:val="008B5068"/>
    <w:rsid w:val="00907A61"/>
    <w:rsid w:val="009110B0"/>
    <w:rsid w:val="0091158C"/>
    <w:rsid w:val="00923A92"/>
    <w:rsid w:val="00930988"/>
    <w:rsid w:val="0093596A"/>
    <w:rsid w:val="00946B33"/>
    <w:rsid w:val="00952BB3"/>
    <w:rsid w:val="00995FC4"/>
    <w:rsid w:val="009D1F78"/>
    <w:rsid w:val="009E2225"/>
    <w:rsid w:val="009F568F"/>
    <w:rsid w:val="009F652E"/>
    <w:rsid w:val="00A30228"/>
    <w:rsid w:val="00A535A1"/>
    <w:rsid w:val="00A63349"/>
    <w:rsid w:val="00A84D54"/>
    <w:rsid w:val="00A868DE"/>
    <w:rsid w:val="00AF6AB6"/>
    <w:rsid w:val="00B3795A"/>
    <w:rsid w:val="00B40635"/>
    <w:rsid w:val="00B865AD"/>
    <w:rsid w:val="00BA7C8F"/>
    <w:rsid w:val="00BB4625"/>
    <w:rsid w:val="00BD6EB1"/>
    <w:rsid w:val="00BD797F"/>
    <w:rsid w:val="00BE608B"/>
    <w:rsid w:val="00C007B5"/>
    <w:rsid w:val="00C07C14"/>
    <w:rsid w:val="00C10B6C"/>
    <w:rsid w:val="00C14B58"/>
    <w:rsid w:val="00C20791"/>
    <w:rsid w:val="00C30090"/>
    <w:rsid w:val="00C348E2"/>
    <w:rsid w:val="00C51714"/>
    <w:rsid w:val="00C6567C"/>
    <w:rsid w:val="00C85885"/>
    <w:rsid w:val="00C87A4E"/>
    <w:rsid w:val="00CA066D"/>
    <w:rsid w:val="00CA4533"/>
    <w:rsid w:val="00CA7DC4"/>
    <w:rsid w:val="00CC2A50"/>
    <w:rsid w:val="00CC692D"/>
    <w:rsid w:val="00CE47E7"/>
    <w:rsid w:val="00CF23BD"/>
    <w:rsid w:val="00CF5AFD"/>
    <w:rsid w:val="00CF7799"/>
    <w:rsid w:val="00D47991"/>
    <w:rsid w:val="00D673A6"/>
    <w:rsid w:val="00DB592E"/>
    <w:rsid w:val="00DC772C"/>
    <w:rsid w:val="00DD46B2"/>
    <w:rsid w:val="00DD6A44"/>
    <w:rsid w:val="00DE5454"/>
    <w:rsid w:val="00DF2DCA"/>
    <w:rsid w:val="00DF3BB2"/>
    <w:rsid w:val="00E11263"/>
    <w:rsid w:val="00E14F92"/>
    <w:rsid w:val="00E20BC6"/>
    <w:rsid w:val="00E3018D"/>
    <w:rsid w:val="00E40917"/>
    <w:rsid w:val="00E60B98"/>
    <w:rsid w:val="00E64E4F"/>
    <w:rsid w:val="00E773F2"/>
    <w:rsid w:val="00E9065A"/>
    <w:rsid w:val="00EB72E5"/>
    <w:rsid w:val="00EC6220"/>
    <w:rsid w:val="00EE653B"/>
    <w:rsid w:val="00EE68DA"/>
    <w:rsid w:val="00EE6D84"/>
    <w:rsid w:val="00EF09D5"/>
    <w:rsid w:val="00EF1A6D"/>
    <w:rsid w:val="00F12285"/>
    <w:rsid w:val="00F1281B"/>
    <w:rsid w:val="00F34323"/>
    <w:rsid w:val="00F363DC"/>
    <w:rsid w:val="00F468E7"/>
    <w:rsid w:val="00F73951"/>
    <w:rsid w:val="00F80EE3"/>
    <w:rsid w:val="00F8172E"/>
    <w:rsid w:val="00FC4F55"/>
    <w:rsid w:val="00FD7AE8"/>
    <w:rsid w:val="00FE03C0"/>
    <w:rsid w:val="00FE698E"/>
    <w:rsid w:val="00FF19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406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B40635"/>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Parastais"/>
    <w:rsid w:val="00B40635"/>
    <w:pPr>
      <w:spacing w:before="75" w:after="75" w:line="240" w:lineRule="auto"/>
      <w:ind w:firstLine="375"/>
      <w:jc w:val="both"/>
    </w:pPr>
    <w:rPr>
      <w:rFonts w:ascii="Times New Roman" w:eastAsia="Times New Roman" w:hAnsi="Times New Roman" w:cs="Times New Roman"/>
      <w:sz w:val="24"/>
      <w:szCs w:val="24"/>
    </w:rPr>
  </w:style>
  <w:style w:type="paragraph" w:styleId="Sarakstarindkopa">
    <w:name w:val="List Paragraph"/>
    <w:basedOn w:val="Parastais"/>
    <w:uiPriority w:val="34"/>
    <w:qFormat/>
    <w:rsid w:val="00B40635"/>
    <w:pPr>
      <w:ind w:left="720"/>
      <w:contextualSpacing/>
    </w:pPr>
  </w:style>
  <w:style w:type="paragraph" w:styleId="Galvene">
    <w:name w:val="header"/>
    <w:aliases w:val="18pt Bold"/>
    <w:basedOn w:val="Parastais"/>
    <w:link w:val="GalveneRakstz"/>
    <w:uiPriority w:val="99"/>
    <w:rsid w:val="00B406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18pt Bold Rakstz."/>
    <w:basedOn w:val="Noklusjumarindkopasfonts"/>
    <w:link w:val="Galvene"/>
    <w:uiPriority w:val="99"/>
    <w:rsid w:val="00B406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40635"/>
    <w:rPr>
      <w:color w:val="0000FF" w:themeColor="hyperlink"/>
      <w:u w:val="single"/>
    </w:rPr>
  </w:style>
  <w:style w:type="paragraph" w:styleId="Pamatteksts">
    <w:name w:val="Body Text"/>
    <w:basedOn w:val="Parastais"/>
    <w:link w:val="PamattekstsRakstz"/>
    <w:rsid w:val="00B40635"/>
    <w:pPr>
      <w:spacing w:after="0" w:line="240" w:lineRule="auto"/>
      <w:jc w:val="center"/>
    </w:pPr>
    <w:rPr>
      <w:rFonts w:ascii="Times New Roman" w:eastAsia="Times New Roman" w:hAnsi="Times New Roman" w:cs="Times New Roman"/>
      <w:b/>
      <w:bCs/>
      <w:sz w:val="24"/>
      <w:szCs w:val="24"/>
      <w:lang w:eastAsia="en-US"/>
    </w:rPr>
  </w:style>
  <w:style w:type="character" w:customStyle="1" w:styleId="PamattekstsRakstz">
    <w:name w:val="Pamatteksts Rakstz."/>
    <w:basedOn w:val="Noklusjumarindkopasfonts"/>
    <w:link w:val="Pamatteksts"/>
    <w:rsid w:val="00B40635"/>
    <w:rPr>
      <w:rFonts w:ascii="Times New Roman" w:eastAsia="Times New Roman" w:hAnsi="Times New Roman" w:cs="Times New Roman"/>
      <w:b/>
      <w:bCs/>
      <w:sz w:val="24"/>
      <w:szCs w:val="24"/>
    </w:rPr>
  </w:style>
  <w:style w:type="paragraph" w:customStyle="1" w:styleId="naisvisr">
    <w:name w:val="naisvisr"/>
    <w:basedOn w:val="Parastais"/>
    <w:rsid w:val="00B40635"/>
    <w:pPr>
      <w:spacing w:before="150" w:after="150" w:line="240" w:lineRule="auto"/>
      <w:jc w:val="center"/>
    </w:pPr>
    <w:rPr>
      <w:rFonts w:ascii="Times New Roman" w:eastAsia="Times New Roman" w:hAnsi="Times New Roman" w:cs="Times New Roman"/>
      <w:b/>
      <w:bCs/>
      <w:sz w:val="28"/>
      <w:szCs w:val="28"/>
    </w:rPr>
  </w:style>
  <w:style w:type="character" w:customStyle="1" w:styleId="parastaischar">
    <w:name w:val="parastais__char"/>
    <w:basedOn w:val="Noklusjumarindkopasfonts"/>
    <w:rsid w:val="00B40635"/>
  </w:style>
  <w:style w:type="paragraph" w:styleId="Kjene">
    <w:name w:val="footer"/>
    <w:basedOn w:val="Parastais"/>
    <w:link w:val="KjeneRakstz"/>
    <w:uiPriority w:val="99"/>
    <w:unhideWhenUsed/>
    <w:rsid w:val="00B40635"/>
    <w:pPr>
      <w:tabs>
        <w:tab w:val="center" w:pos="4153"/>
        <w:tab w:val="right" w:pos="8306"/>
      </w:tabs>
      <w:spacing w:after="0" w:line="240" w:lineRule="auto"/>
    </w:pPr>
    <w:rPr>
      <w:rFonts w:ascii="Arial" w:eastAsia="Calibri" w:hAnsi="Arial" w:cs="Times New Roman"/>
      <w:sz w:val="20"/>
      <w:szCs w:val="20"/>
    </w:rPr>
  </w:style>
  <w:style w:type="character" w:customStyle="1" w:styleId="KjeneRakstz">
    <w:name w:val="Kājene Rakstz."/>
    <w:basedOn w:val="Noklusjumarindkopasfonts"/>
    <w:link w:val="Kjene"/>
    <w:uiPriority w:val="99"/>
    <w:rsid w:val="00B40635"/>
    <w:rPr>
      <w:rFonts w:ascii="Arial" w:eastAsia="Calibri" w:hAnsi="Arial" w:cs="Times New Roman"/>
      <w:sz w:val="20"/>
      <w:szCs w:val="20"/>
    </w:rPr>
  </w:style>
  <w:style w:type="paragraph" w:customStyle="1" w:styleId="naiskr">
    <w:name w:val="naiskr"/>
    <w:basedOn w:val="Parastais"/>
    <w:rsid w:val="00B40635"/>
    <w:pPr>
      <w:spacing w:before="75" w:after="75" w:line="240" w:lineRule="auto"/>
    </w:pPr>
    <w:rPr>
      <w:rFonts w:ascii="Times New Roman" w:eastAsia="Calibri" w:hAnsi="Times New Roman" w:cs="Times New Roman"/>
      <w:sz w:val="24"/>
      <w:szCs w:val="24"/>
    </w:rPr>
  </w:style>
  <w:style w:type="character" w:customStyle="1" w:styleId="izc0113lumschar">
    <w:name w:val="izc_0113lums__char"/>
    <w:basedOn w:val="Noklusjumarindkopasfonts"/>
    <w:rsid w:val="00B40635"/>
  </w:style>
  <w:style w:type="paragraph" w:customStyle="1" w:styleId="parastais0">
    <w:name w:val="parastais"/>
    <w:basedOn w:val="Parastais"/>
    <w:rsid w:val="00B40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0"/>
    <w:rsid w:val="00B40635"/>
    <w:rPr>
      <w:rFonts w:ascii="Times New Roman" w:eastAsia="Times New Roman" w:hAnsi="Times New Roman"/>
      <w:sz w:val="21"/>
      <w:szCs w:val="21"/>
      <w:shd w:val="clear" w:color="auto" w:fill="FFFFFF"/>
    </w:rPr>
  </w:style>
  <w:style w:type="paragraph" w:customStyle="1" w:styleId="Bodytext0">
    <w:name w:val="Body text"/>
    <w:basedOn w:val="Parastais"/>
    <w:link w:val="Bodytext"/>
    <w:rsid w:val="00B40635"/>
    <w:pPr>
      <w:shd w:val="clear" w:color="auto" w:fill="FFFFFF"/>
      <w:spacing w:before="60" w:after="60" w:line="0" w:lineRule="atLeast"/>
      <w:jc w:val="right"/>
    </w:pPr>
    <w:rPr>
      <w:rFonts w:ascii="Times New Roman" w:eastAsia="Times New Roman" w:hAnsi="Times New Roman"/>
      <w:sz w:val="21"/>
      <w:szCs w:val="21"/>
      <w:lang w:eastAsia="en-US"/>
    </w:rPr>
  </w:style>
  <w:style w:type="character" w:customStyle="1" w:styleId="Heading1">
    <w:name w:val="Heading #1_"/>
    <w:link w:val="Heading10"/>
    <w:rsid w:val="00B40635"/>
    <w:rPr>
      <w:rFonts w:ascii="Times New Roman" w:eastAsia="Times New Roman" w:hAnsi="Times New Roman"/>
      <w:sz w:val="23"/>
      <w:szCs w:val="23"/>
      <w:shd w:val="clear" w:color="auto" w:fill="FFFFFF"/>
    </w:rPr>
  </w:style>
  <w:style w:type="paragraph" w:customStyle="1" w:styleId="Heading10">
    <w:name w:val="Heading #1"/>
    <w:basedOn w:val="Parastais"/>
    <w:link w:val="Heading1"/>
    <w:rsid w:val="00B40635"/>
    <w:pPr>
      <w:shd w:val="clear" w:color="auto" w:fill="FFFFFF"/>
      <w:spacing w:before="300" w:after="0" w:line="278" w:lineRule="exact"/>
      <w:outlineLvl w:val="0"/>
    </w:pPr>
    <w:rPr>
      <w:rFonts w:ascii="Times New Roman" w:eastAsia="Times New Roman" w:hAnsi="Times New Roman"/>
      <w:sz w:val="23"/>
      <w:szCs w:val="23"/>
      <w:lang w:eastAsia="en-US"/>
    </w:rPr>
  </w:style>
  <w:style w:type="character" w:customStyle="1" w:styleId="Bodytext3">
    <w:name w:val="Body text (3)_"/>
    <w:link w:val="Bodytext30"/>
    <w:rsid w:val="00B40635"/>
    <w:rPr>
      <w:rFonts w:ascii="Times New Roman" w:eastAsia="Times New Roman" w:hAnsi="Times New Roman"/>
      <w:sz w:val="19"/>
      <w:szCs w:val="19"/>
      <w:shd w:val="clear" w:color="auto" w:fill="FFFFFF"/>
    </w:rPr>
  </w:style>
  <w:style w:type="paragraph" w:customStyle="1" w:styleId="Bodytext30">
    <w:name w:val="Body text (3)"/>
    <w:basedOn w:val="Parastais"/>
    <w:link w:val="Bodytext3"/>
    <w:rsid w:val="00B40635"/>
    <w:pPr>
      <w:shd w:val="clear" w:color="auto" w:fill="FFFFFF"/>
      <w:spacing w:after="0" w:line="226" w:lineRule="exact"/>
    </w:pPr>
    <w:rPr>
      <w:rFonts w:ascii="Times New Roman" w:eastAsia="Times New Roman" w:hAnsi="Times New Roman"/>
      <w:sz w:val="19"/>
      <w:szCs w:val="19"/>
      <w:lang w:eastAsia="en-US"/>
    </w:rPr>
  </w:style>
  <w:style w:type="character" w:customStyle="1" w:styleId="Bodytext2">
    <w:name w:val="Body text (2)_"/>
    <w:link w:val="Bodytext20"/>
    <w:rsid w:val="00B40635"/>
    <w:rPr>
      <w:rFonts w:ascii="Times New Roman" w:eastAsia="Times New Roman" w:hAnsi="Times New Roman"/>
      <w:sz w:val="19"/>
      <w:szCs w:val="19"/>
      <w:shd w:val="clear" w:color="auto" w:fill="FFFFFF"/>
    </w:rPr>
  </w:style>
  <w:style w:type="character" w:customStyle="1" w:styleId="Bodytext2NotItalic">
    <w:name w:val="Body text (2) + Not Italic"/>
    <w:rsid w:val="00B40635"/>
    <w:rPr>
      <w:rFonts w:ascii="Times New Roman" w:eastAsia="Times New Roman" w:hAnsi="Times New Roman"/>
      <w:i/>
      <w:iCs/>
      <w:sz w:val="19"/>
      <w:szCs w:val="19"/>
      <w:shd w:val="clear" w:color="auto" w:fill="FFFFFF"/>
    </w:rPr>
  </w:style>
  <w:style w:type="character" w:customStyle="1" w:styleId="BodytextSpacing1pt">
    <w:name w:val="Body text + Spacing 1 pt"/>
    <w:rsid w:val="00B40635"/>
    <w:rPr>
      <w:rFonts w:ascii="Times New Roman" w:eastAsia="Times New Roman" w:hAnsi="Times New Roman" w:cs="Times New Roman"/>
      <w:b w:val="0"/>
      <w:bCs w:val="0"/>
      <w:i w:val="0"/>
      <w:iCs w:val="0"/>
      <w:smallCaps w:val="0"/>
      <w:strike w:val="0"/>
      <w:spacing w:val="20"/>
      <w:sz w:val="19"/>
      <w:szCs w:val="19"/>
      <w:shd w:val="clear" w:color="auto" w:fill="FFFFFF"/>
    </w:rPr>
  </w:style>
  <w:style w:type="paragraph" w:customStyle="1" w:styleId="Bodytext20">
    <w:name w:val="Body text (2)"/>
    <w:basedOn w:val="Parastais"/>
    <w:link w:val="Bodytext2"/>
    <w:rsid w:val="00B40635"/>
    <w:pPr>
      <w:shd w:val="clear" w:color="auto" w:fill="FFFFFF"/>
      <w:spacing w:after="300" w:line="0" w:lineRule="atLeast"/>
      <w:jc w:val="both"/>
    </w:pPr>
    <w:rPr>
      <w:rFonts w:ascii="Times New Roman" w:eastAsia="Times New Roman" w:hAnsi="Times New Roman"/>
      <w:sz w:val="19"/>
      <w:szCs w:val="19"/>
      <w:lang w:eastAsia="en-US"/>
    </w:rPr>
  </w:style>
  <w:style w:type="character" w:customStyle="1" w:styleId="Tablecaption">
    <w:name w:val="Table caption_"/>
    <w:link w:val="Tablecaption0"/>
    <w:rsid w:val="00B40635"/>
    <w:rPr>
      <w:rFonts w:ascii="Times New Roman" w:eastAsia="Times New Roman" w:hAnsi="Times New Roman"/>
      <w:shd w:val="clear" w:color="auto" w:fill="FFFFFF"/>
    </w:rPr>
  </w:style>
  <w:style w:type="paragraph" w:customStyle="1" w:styleId="Tablecaption0">
    <w:name w:val="Table caption"/>
    <w:basedOn w:val="Parastais"/>
    <w:link w:val="Tablecaption"/>
    <w:rsid w:val="00B40635"/>
    <w:pPr>
      <w:shd w:val="clear" w:color="auto" w:fill="FFFFFF"/>
      <w:spacing w:after="0" w:line="274" w:lineRule="exact"/>
      <w:jc w:val="both"/>
    </w:pPr>
    <w:rPr>
      <w:rFonts w:ascii="Times New Roman" w:eastAsia="Times New Roman" w:hAnsi="Times New Roman"/>
      <w:lang w:eastAsia="en-US"/>
    </w:rPr>
  </w:style>
  <w:style w:type="character" w:customStyle="1" w:styleId="Bodytext27ptNotBoldNotItalic">
    <w:name w:val="Body text (2) + 7 pt;Not Bold;Not Italic"/>
    <w:rsid w:val="00B40635"/>
    <w:rPr>
      <w:rFonts w:ascii="Times New Roman" w:eastAsia="Times New Roman" w:hAnsi="Times New Roman" w:cs="Times New Roman"/>
      <w:b/>
      <w:bCs/>
      <w:i/>
      <w:iCs/>
      <w:smallCaps w:val="0"/>
      <w:strike w:val="0"/>
      <w:spacing w:val="0"/>
      <w:sz w:val="14"/>
      <w:szCs w:val="14"/>
      <w:shd w:val="clear" w:color="auto" w:fill="FFFFFF"/>
    </w:rPr>
  </w:style>
  <w:style w:type="character" w:customStyle="1" w:styleId="Bodytext5">
    <w:name w:val="Body text (5)_"/>
    <w:link w:val="Bodytext50"/>
    <w:rsid w:val="00B40635"/>
    <w:rPr>
      <w:rFonts w:ascii="Times New Roman" w:eastAsia="Times New Roman" w:hAnsi="Times New Roman"/>
      <w:shd w:val="clear" w:color="auto" w:fill="FFFFFF"/>
    </w:rPr>
  </w:style>
  <w:style w:type="character" w:customStyle="1" w:styleId="Bodytext5115ptItalic">
    <w:name w:val="Body text (5) + 11.5 pt;Italic"/>
    <w:rsid w:val="00B40635"/>
    <w:rPr>
      <w:rFonts w:ascii="Times New Roman" w:eastAsia="Times New Roman" w:hAnsi="Times New Roman"/>
      <w:i/>
      <w:iCs/>
      <w:sz w:val="23"/>
      <w:szCs w:val="23"/>
      <w:shd w:val="clear" w:color="auto" w:fill="FFFFFF"/>
    </w:rPr>
  </w:style>
  <w:style w:type="paragraph" w:customStyle="1" w:styleId="Bodytext50">
    <w:name w:val="Body text (5)"/>
    <w:basedOn w:val="Parastais"/>
    <w:link w:val="Bodytext5"/>
    <w:rsid w:val="00B40635"/>
    <w:pPr>
      <w:shd w:val="clear" w:color="auto" w:fill="FFFFFF"/>
      <w:spacing w:after="240" w:line="274" w:lineRule="exact"/>
      <w:jc w:val="both"/>
    </w:pPr>
    <w:rPr>
      <w:rFonts w:ascii="Times New Roman" w:eastAsia="Times New Roman" w:hAnsi="Times New Roman"/>
      <w:lang w:eastAsia="en-US"/>
    </w:rPr>
  </w:style>
  <w:style w:type="character" w:styleId="Komentraatsauce">
    <w:name w:val="annotation reference"/>
    <w:basedOn w:val="Noklusjumarindkopasfonts"/>
    <w:uiPriority w:val="99"/>
    <w:semiHidden/>
    <w:unhideWhenUsed/>
    <w:rsid w:val="00B40635"/>
    <w:rPr>
      <w:sz w:val="16"/>
      <w:szCs w:val="16"/>
    </w:rPr>
  </w:style>
  <w:style w:type="paragraph" w:styleId="Komentrateksts">
    <w:name w:val="annotation text"/>
    <w:basedOn w:val="Parastais"/>
    <w:link w:val="KomentratekstsRakstz"/>
    <w:uiPriority w:val="99"/>
    <w:semiHidden/>
    <w:unhideWhenUsed/>
    <w:rsid w:val="00B406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063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B40635"/>
    <w:rPr>
      <w:b/>
      <w:bCs/>
    </w:rPr>
  </w:style>
  <w:style w:type="character" w:customStyle="1" w:styleId="KomentratmaRakstz">
    <w:name w:val="Komentāra tēma Rakstz."/>
    <w:basedOn w:val="KomentratekstsRakstz"/>
    <w:link w:val="Komentratma"/>
    <w:uiPriority w:val="99"/>
    <w:semiHidden/>
    <w:rsid w:val="00B40635"/>
    <w:rPr>
      <w:b/>
      <w:bCs/>
    </w:rPr>
  </w:style>
  <w:style w:type="paragraph" w:styleId="Balonteksts">
    <w:name w:val="Balloon Text"/>
    <w:basedOn w:val="Parastais"/>
    <w:link w:val="BalontekstsRakstz"/>
    <w:semiHidden/>
    <w:unhideWhenUsed/>
    <w:rsid w:val="00B406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0635"/>
    <w:rPr>
      <w:rFonts w:ascii="Tahoma" w:eastAsiaTheme="minorEastAsia" w:hAnsi="Tahoma" w:cs="Tahoma"/>
      <w:sz w:val="16"/>
      <w:szCs w:val="16"/>
      <w:lang w:eastAsia="lv-LV"/>
    </w:rPr>
  </w:style>
  <w:style w:type="paragraph" w:styleId="Pamattekstaatkpe2">
    <w:name w:val="Body Text Indent 2"/>
    <w:basedOn w:val="Parastais"/>
    <w:link w:val="Pamattekstaatkpe2Rakstz"/>
    <w:rsid w:val="003E5AA5"/>
    <w:pPr>
      <w:spacing w:after="120" w:line="480" w:lineRule="auto"/>
      <w:ind w:left="283"/>
    </w:pPr>
    <w:rPr>
      <w:rFonts w:ascii="Arial" w:eastAsia="Calibri" w:hAnsi="Arial" w:cs="Times New Roman"/>
      <w:sz w:val="20"/>
      <w:lang w:eastAsia="en-US"/>
    </w:rPr>
  </w:style>
  <w:style w:type="character" w:customStyle="1" w:styleId="Pamattekstaatkpe2Rakstz">
    <w:name w:val="Pamatteksta atkāpe 2 Rakstz."/>
    <w:basedOn w:val="Noklusjumarindkopasfonts"/>
    <w:link w:val="Pamattekstaatkpe2"/>
    <w:rsid w:val="003E5AA5"/>
    <w:rPr>
      <w:rFonts w:ascii="Arial" w:eastAsia="Calibri" w:hAnsi="Arial" w:cs="Times New Roman"/>
      <w:sz w:val="20"/>
    </w:rPr>
  </w:style>
  <w:style w:type="paragraph" w:customStyle="1" w:styleId="naisnod">
    <w:name w:val="naisnod"/>
    <w:basedOn w:val="Parastais"/>
    <w:rsid w:val="003E5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722677"/>
    <w:pPr>
      <w:spacing w:after="0" w:line="240" w:lineRule="auto"/>
    </w:pPr>
    <w:rPr>
      <w:rFonts w:ascii="Times New Roman" w:eastAsia="Times New Roman" w:hAnsi="Times New Roman" w:cs="Times New Roman"/>
      <w:color w:val="000000"/>
      <w:sz w:val="24"/>
      <w:szCs w:val="20"/>
      <w:lang w:eastAsia="lv-LV"/>
    </w:rPr>
  </w:style>
  <w:style w:type="character" w:customStyle="1" w:styleId="BodytextSpacing-1pt">
    <w:name w:val="Body text + Spacing -1 pt"/>
    <w:basedOn w:val="Bodytext"/>
    <w:rsid w:val="008077DA"/>
    <w:rPr>
      <w:rFonts w:ascii="Arial" w:eastAsia="Arial" w:hAnsi="Arial" w:cs="Arial"/>
      <w:spacing w:val="-20"/>
      <w:sz w:val="25"/>
      <w:szCs w:val="25"/>
    </w:rPr>
  </w:style>
  <w:style w:type="character" w:customStyle="1" w:styleId="BodytextBold">
    <w:name w:val="Body text + Bold"/>
    <w:basedOn w:val="Bodytext"/>
    <w:rsid w:val="008077DA"/>
    <w:rPr>
      <w:rFonts w:cs="Times New Roman"/>
      <w:b/>
      <w:bCs/>
      <w:i w:val="0"/>
      <w:iCs w:val="0"/>
      <w:smallCaps w:val="0"/>
      <w:strike w:val="0"/>
      <w:spacing w:val="0"/>
      <w:sz w:val="22"/>
      <w:szCs w:val="22"/>
    </w:rPr>
  </w:style>
  <w:style w:type="character" w:customStyle="1" w:styleId="Bodytext4">
    <w:name w:val="Body text (4)"/>
    <w:basedOn w:val="Noklusjumarindkopasfonts"/>
    <w:rsid w:val="00F1281B"/>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Pamatteksts1">
    <w:name w:val="Pamatteksts1"/>
    <w:basedOn w:val="Parastais"/>
    <w:rsid w:val="00E14F92"/>
    <w:pPr>
      <w:shd w:val="clear" w:color="auto" w:fill="FFFFFF"/>
      <w:spacing w:before="660" w:after="660" w:line="0" w:lineRule="atLeast"/>
      <w:ind w:hanging="340"/>
    </w:pPr>
    <w:rPr>
      <w:rFonts w:ascii="Arial" w:eastAsia="Arial" w:hAnsi="Arial" w:cs="Arial"/>
      <w:sz w:val="25"/>
      <w:szCs w:val="25"/>
    </w:rPr>
  </w:style>
  <w:style w:type="paragraph" w:styleId="ParastaisWeb">
    <w:name w:val="Normal (Web)"/>
    <w:basedOn w:val="Parastais"/>
    <w:uiPriority w:val="99"/>
    <w:unhideWhenUsed/>
    <w:rsid w:val="00F73951"/>
    <w:pPr>
      <w:spacing w:before="100" w:beforeAutospacing="1" w:after="100" w:afterAutospacing="1"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255789">
      <w:bodyDiv w:val="1"/>
      <w:marLeft w:val="0"/>
      <w:marRight w:val="0"/>
      <w:marTop w:val="0"/>
      <w:marBottom w:val="0"/>
      <w:divBdr>
        <w:top w:val="none" w:sz="0" w:space="0" w:color="auto"/>
        <w:left w:val="none" w:sz="0" w:space="0" w:color="auto"/>
        <w:bottom w:val="none" w:sz="0" w:space="0" w:color="auto"/>
        <w:right w:val="none" w:sz="0" w:space="0" w:color="auto"/>
      </w:divBdr>
    </w:div>
    <w:div w:id="125706749">
      <w:bodyDiv w:val="1"/>
      <w:marLeft w:val="0"/>
      <w:marRight w:val="0"/>
      <w:marTop w:val="0"/>
      <w:marBottom w:val="0"/>
      <w:divBdr>
        <w:top w:val="none" w:sz="0" w:space="0" w:color="auto"/>
        <w:left w:val="none" w:sz="0" w:space="0" w:color="auto"/>
        <w:bottom w:val="none" w:sz="0" w:space="0" w:color="auto"/>
        <w:right w:val="none" w:sz="0" w:space="0" w:color="auto"/>
      </w:divBdr>
    </w:div>
    <w:div w:id="11394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82818-F522-45FF-AB21-3A88AF54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8882</Words>
  <Characters>5063</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Rīgas vēstures un kuģniecības muzeja filiāles – Latvijas Fotogrāfijas muzejs pārvietošanu no privātīpašuma ēkā Mārstaļu ielā 8, Rīgā uz valsts akciju sabiedrības „Valsts nekustamie īpašumi” ēku Mārstaļu ielā 6, Rīgā” sākotnējās ietekmes novērtējuma ziņojums (anotācija)</dc:title>
  <dc:subject>anotācija</dc:subject>
  <dc:creator>Ilze Zubova</dc:creator>
  <dc:description>Tālr.67330258; fakss 67330293
Ilze.Zubova@km.gov.lv</dc:description>
  <cp:lastModifiedBy>Dzintra Rozīte</cp:lastModifiedBy>
  <cp:revision>3</cp:revision>
  <cp:lastPrinted>2015-01-14T11:36:00Z</cp:lastPrinted>
  <dcterms:created xsi:type="dcterms:W3CDTF">2015-01-14T11:38:00Z</dcterms:created>
  <dcterms:modified xsi:type="dcterms:W3CDTF">2015-01-20T10:12:00Z</dcterms:modified>
</cp:coreProperties>
</file>