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8B" w:rsidRDefault="002F638B" w:rsidP="005713A1">
      <w:pPr>
        <w:jc w:val="center"/>
        <w:outlineLvl w:val="2"/>
        <w:rPr>
          <w:b/>
          <w:bCs/>
        </w:rPr>
      </w:pPr>
      <w:bookmarkStart w:id="0" w:name="_GoBack"/>
      <w:bookmarkEnd w:id="0"/>
    </w:p>
    <w:p w:rsidR="008C5649" w:rsidRPr="000F4A30" w:rsidRDefault="001A1369" w:rsidP="005713A1">
      <w:pPr>
        <w:jc w:val="center"/>
        <w:outlineLvl w:val="2"/>
        <w:rPr>
          <w:b/>
        </w:rPr>
      </w:pPr>
      <w:r w:rsidRPr="000F4A30">
        <w:rPr>
          <w:b/>
          <w:bCs/>
        </w:rPr>
        <w:t>Ministru kabineta noteikumu projekta</w:t>
      </w:r>
      <w:r w:rsidR="00852042" w:rsidRPr="000F4A30">
        <w:rPr>
          <w:b/>
        </w:rPr>
        <w:t xml:space="preserve"> </w:t>
      </w:r>
      <w:r w:rsidR="001D166B" w:rsidRPr="000F4A30">
        <w:rPr>
          <w:b/>
        </w:rPr>
        <w:t>„</w:t>
      </w:r>
      <w:r w:rsidR="00A228CD" w:rsidRPr="000F4A30">
        <w:rPr>
          <w:b/>
          <w:bCs/>
        </w:rPr>
        <w:t xml:space="preserve">Grozījumi Ministru kabineta </w:t>
      </w:r>
      <w:proofErr w:type="gramStart"/>
      <w:r w:rsidR="00A228CD" w:rsidRPr="000F4A30">
        <w:rPr>
          <w:b/>
          <w:bCs/>
        </w:rPr>
        <w:t>2012.gada</w:t>
      </w:r>
      <w:proofErr w:type="gramEnd"/>
      <w:r w:rsidR="00A228CD" w:rsidRPr="000F4A30">
        <w:rPr>
          <w:b/>
          <w:bCs/>
        </w:rPr>
        <w:t xml:space="preserve"> 28.augusta noteikumos Nr.599 „Sabiedriskā transporta pakalpojumu sniegšanas un izmantošanas kārtība”</w:t>
      </w:r>
      <w:r w:rsidRPr="000F4A30">
        <w:rPr>
          <w:b/>
          <w:bCs/>
        </w:rPr>
        <w:t>”</w:t>
      </w:r>
      <w:r w:rsidR="00A228CD" w:rsidRPr="000F4A30">
        <w:rPr>
          <w:b/>
          <w:bCs/>
        </w:rPr>
        <w:t xml:space="preserve"> </w:t>
      </w:r>
      <w:r w:rsidR="00852042" w:rsidRPr="000F4A30">
        <w:rPr>
          <w:b/>
        </w:rPr>
        <w:t>sākotnējā</w:t>
      </w:r>
      <w:r w:rsidR="002D3306" w:rsidRPr="000F4A30">
        <w:rPr>
          <w:b/>
        </w:rPr>
        <w:t>s</w:t>
      </w:r>
      <w:r w:rsidR="00852042" w:rsidRPr="000F4A30">
        <w:rPr>
          <w:b/>
        </w:rPr>
        <w:t xml:space="preserve"> ietekmes novērtējuma </w:t>
      </w:r>
      <w:smartTag w:uri="schemas-tilde-lv/tildestengine" w:element="veidnes">
        <w:smartTagPr>
          <w:attr w:name="id" w:val="-1"/>
          <w:attr w:name="baseform" w:val="ziņojums"/>
          <w:attr w:name="text" w:val="ziņojums"/>
        </w:smartTagPr>
        <w:r w:rsidR="00852042" w:rsidRPr="000F4A30">
          <w:rPr>
            <w:b/>
          </w:rPr>
          <w:t>ziņojums</w:t>
        </w:r>
      </w:smartTag>
      <w:r w:rsidR="00852042" w:rsidRPr="000F4A30">
        <w:rPr>
          <w:b/>
        </w:rPr>
        <w:t xml:space="preserve"> (anotācija)</w:t>
      </w: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3024"/>
        <w:gridCol w:w="6085"/>
      </w:tblGrid>
      <w:tr w:rsidR="009A0027" w:rsidRPr="000F4A30" w:rsidTr="00D36916">
        <w:tc>
          <w:tcPr>
            <w:tcW w:w="9786" w:type="dxa"/>
            <w:gridSpan w:val="3"/>
            <w:vAlign w:val="center"/>
          </w:tcPr>
          <w:p w:rsidR="00852042" w:rsidRPr="000F4A30" w:rsidRDefault="00852042" w:rsidP="00C23F73">
            <w:pPr>
              <w:pStyle w:val="naisnod"/>
              <w:spacing w:before="0" w:after="0"/>
            </w:pPr>
            <w:r w:rsidRPr="000F4A30">
              <w:t>I</w:t>
            </w:r>
            <w:r w:rsidR="000941C5" w:rsidRPr="000F4A30">
              <w:t>.</w:t>
            </w:r>
            <w:r w:rsidRPr="000F4A30">
              <w:t xml:space="preserve"> Tiesību akta </w:t>
            </w:r>
            <w:r w:rsidR="002E3FF4" w:rsidRPr="000F4A30">
              <w:t xml:space="preserve">projekta </w:t>
            </w:r>
            <w:r w:rsidRPr="000F4A30">
              <w:t>izstrādes nepieciešamība</w:t>
            </w:r>
          </w:p>
        </w:tc>
      </w:tr>
      <w:tr w:rsidR="00844C4A" w:rsidRPr="000F4A30" w:rsidTr="00D36916">
        <w:trPr>
          <w:trHeight w:val="267"/>
        </w:trPr>
        <w:tc>
          <w:tcPr>
            <w:tcW w:w="677" w:type="dxa"/>
          </w:tcPr>
          <w:p w:rsidR="00262E2B" w:rsidRPr="000F4A30" w:rsidRDefault="00262E2B" w:rsidP="00C23F73">
            <w:pPr>
              <w:pStyle w:val="naiskr"/>
              <w:spacing w:before="0" w:after="0"/>
              <w:jc w:val="center"/>
            </w:pPr>
            <w:r w:rsidRPr="000F4A30">
              <w:t>1.</w:t>
            </w:r>
          </w:p>
        </w:tc>
        <w:tc>
          <w:tcPr>
            <w:tcW w:w="3024" w:type="dxa"/>
          </w:tcPr>
          <w:p w:rsidR="00262E2B" w:rsidRPr="000F4A30" w:rsidRDefault="002D7F54" w:rsidP="00C23F73">
            <w:pPr>
              <w:pStyle w:val="naiskr"/>
              <w:spacing w:before="0" w:after="0"/>
            </w:pPr>
            <w:r w:rsidRPr="000F4A30">
              <w:t>Pamatojums</w:t>
            </w:r>
          </w:p>
        </w:tc>
        <w:tc>
          <w:tcPr>
            <w:tcW w:w="6085" w:type="dxa"/>
          </w:tcPr>
          <w:p w:rsidR="006B61F9" w:rsidRPr="000F4A30" w:rsidRDefault="006B61F9" w:rsidP="00C23F73">
            <w:pPr>
              <w:jc w:val="both"/>
            </w:pPr>
            <w:r w:rsidRPr="000F4A30">
              <w:t>Ministru prezidenta 2013.gada</w:t>
            </w:r>
            <w:r w:rsidR="00582F97" w:rsidRPr="000F4A30">
              <w:t xml:space="preserve"> </w:t>
            </w:r>
            <w:r w:rsidRPr="000F4A30">
              <w:t>28.maija rezolūcija Nr.45/L-1580-jur</w:t>
            </w:r>
            <w:r w:rsidR="00542E6A" w:rsidRPr="000F4A30">
              <w:t>.</w:t>
            </w:r>
          </w:p>
          <w:p w:rsidR="007F4F28" w:rsidRPr="00105618" w:rsidRDefault="005713A1" w:rsidP="007F4F28">
            <w:pPr>
              <w:jc w:val="both"/>
              <w:rPr>
                <w:bCs/>
                <w:color w:val="414142"/>
              </w:rPr>
            </w:pPr>
            <w:r w:rsidRPr="00105618">
              <w:t xml:space="preserve">Informatīvais ziņojums „Par sabiedriskā transportā pārvadāto personu uzskaites un identificēšanas jautājumu analīzi un priekšlikumu izstrādi” (apstiprināts ar MK 2014.gada 14.janvāra sēdes </w:t>
            </w:r>
            <w:proofErr w:type="spellStart"/>
            <w:r w:rsidRPr="00105618">
              <w:t>protokollēmumu</w:t>
            </w:r>
            <w:proofErr w:type="spellEnd"/>
            <w:r w:rsidRPr="00105618">
              <w:t xml:space="preserve"> Nr.2; </w:t>
            </w:r>
            <w:r w:rsidRPr="00105618">
              <w:rPr>
                <w:bCs/>
                <w:color w:val="414142"/>
              </w:rPr>
              <w:t>32.§)</w:t>
            </w:r>
            <w:r w:rsidR="007F4F28" w:rsidRPr="00105618">
              <w:rPr>
                <w:bCs/>
                <w:color w:val="414142"/>
              </w:rPr>
              <w:t>.</w:t>
            </w:r>
          </w:p>
          <w:p w:rsidR="005713A1" w:rsidRPr="000F4A30" w:rsidRDefault="00844C4A" w:rsidP="007F4F28">
            <w:pPr>
              <w:jc w:val="both"/>
            </w:pPr>
            <w:r w:rsidRPr="000F4A30">
              <w:t xml:space="preserve">Valdības deklarācijas </w:t>
            </w:r>
            <w:r w:rsidR="005713A1" w:rsidRPr="000F4A30">
              <w:t>79</w:t>
            </w:r>
            <w:r w:rsidRPr="000F4A30">
              <w:t>.punkt</w:t>
            </w:r>
            <w:r w:rsidR="007F4F28" w:rsidRPr="000F4A30">
              <w:t>s</w:t>
            </w:r>
            <w:r w:rsidRPr="000F4A30">
              <w:t xml:space="preserve"> </w:t>
            </w:r>
            <w:r w:rsidR="007F4F28" w:rsidRPr="000F4A30">
              <w:t>paredz</w:t>
            </w:r>
            <w:r w:rsidRPr="000F4A30">
              <w:t xml:space="preserve"> </w:t>
            </w:r>
            <w:r w:rsidR="005713A1" w:rsidRPr="000F4A30">
              <w:t>nodrošinot visā valsts teritorijā pieejamus un izmaksu efektīvus pasažieru pārvadājumus.</w:t>
            </w:r>
          </w:p>
          <w:p w:rsidR="006B61F9" w:rsidRPr="000F4A30" w:rsidRDefault="00A228CD" w:rsidP="00C23F73">
            <w:pPr>
              <w:jc w:val="both"/>
            </w:pPr>
            <w:r w:rsidRPr="000F4A30">
              <w:t>Sabiedriskā transporta pakalpojumu likuma 13.panta piektā un devītā daļa.</w:t>
            </w:r>
          </w:p>
        </w:tc>
      </w:tr>
      <w:tr w:rsidR="00EC107F" w:rsidRPr="000F4A30" w:rsidTr="00D36916">
        <w:trPr>
          <w:trHeight w:val="472"/>
        </w:trPr>
        <w:tc>
          <w:tcPr>
            <w:tcW w:w="677" w:type="dxa"/>
          </w:tcPr>
          <w:p w:rsidR="00EC107F" w:rsidRPr="000F4A30" w:rsidRDefault="00EC107F" w:rsidP="00C23F73">
            <w:pPr>
              <w:pStyle w:val="naiskr"/>
              <w:spacing w:before="0" w:after="0"/>
              <w:jc w:val="center"/>
            </w:pPr>
            <w:r w:rsidRPr="000F4A30">
              <w:t>2.</w:t>
            </w:r>
          </w:p>
        </w:tc>
        <w:tc>
          <w:tcPr>
            <w:tcW w:w="3024" w:type="dxa"/>
          </w:tcPr>
          <w:p w:rsidR="00EC107F" w:rsidRPr="000F4A30" w:rsidRDefault="00EC107F" w:rsidP="00C23F73">
            <w:pPr>
              <w:pStyle w:val="naiskr"/>
              <w:spacing w:before="0" w:after="0"/>
            </w:pPr>
            <w:r w:rsidRPr="000F4A30">
              <w:t>Pašreizējā situācija un problēmas, kuru risināšanai tiesību akta projekts izstrādāts, tiesiskā regulējuma mērķis un būtība</w:t>
            </w:r>
          </w:p>
        </w:tc>
        <w:tc>
          <w:tcPr>
            <w:tcW w:w="6085" w:type="dxa"/>
          </w:tcPr>
          <w:p w:rsidR="00EC107F" w:rsidRPr="000F4A30" w:rsidRDefault="00EC107F" w:rsidP="00C23F73">
            <w:pPr>
              <w:jc w:val="both"/>
              <w:rPr>
                <w:bCs/>
              </w:rPr>
            </w:pPr>
            <w:r w:rsidRPr="000F4A30">
              <w:rPr>
                <w:bCs/>
              </w:rPr>
              <w:t>Ar Ministru prezidenta 2013.gada 28.maija rezolūciju Nr.45/L-1580-jur Satiksmes ministrijai tika uzdots</w:t>
            </w:r>
            <w:r w:rsidR="00086B57" w:rsidRPr="000F4A30">
              <w:rPr>
                <w:bCs/>
              </w:rPr>
              <w:t xml:space="preserve"> </w:t>
            </w:r>
            <w:r w:rsidRPr="000F4A30">
              <w:rPr>
                <w:bCs/>
              </w:rPr>
              <w:t>izvērtēt nepieciešamību izveidot darba grupu, lai sagatavotu priekšlikumus un piedāvātu iespējamos risinājuma variantus personu ar invaliditāti identifikācijai un uzskaitei.</w:t>
            </w:r>
          </w:p>
          <w:p w:rsidR="00EC107F" w:rsidRPr="000F4A30" w:rsidRDefault="00EC107F" w:rsidP="00C23F73">
            <w:pPr>
              <w:jc w:val="both"/>
              <w:rPr>
                <w:bCs/>
              </w:rPr>
            </w:pPr>
            <w:r w:rsidRPr="000F4A30">
              <w:rPr>
                <w:bCs/>
              </w:rPr>
              <w:t xml:space="preserve">Saskaņā ar Ministru kabineta 2013.gada 1.oktobra sēdē (prot. Nr.51  52.§) nolemto, lai nodrošinātu jautājumu par sabiedriskajā transportā pārvadāto personu ar invaliditāti uzskaites un identificēšanas problēmu analīzi un izstrādātu priekšlikumus problēmu risināšanai, tika izveidota darba grupa </w:t>
            </w:r>
            <w:proofErr w:type="spellStart"/>
            <w:r w:rsidRPr="000F4A30">
              <w:rPr>
                <w:bCs/>
              </w:rPr>
              <w:t>Pārresoru</w:t>
            </w:r>
            <w:proofErr w:type="spellEnd"/>
            <w:r w:rsidRPr="000F4A30">
              <w:rPr>
                <w:bCs/>
              </w:rPr>
              <w:t xml:space="preserve"> koordinācijas centra vadībā ar uzdevumu sagatavot un iesniegt Ministru kabinetā priekšlikumus par sabiedriskajā transportā pārvadāto personu uzskaiti un identificēšanu.</w:t>
            </w:r>
          </w:p>
          <w:p w:rsidR="00EC107F" w:rsidRPr="000F4A30" w:rsidRDefault="00EC107F" w:rsidP="00C23F73">
            <w:pPr>
              <w:jc w:val="both"/>
              <w:rPr>
                <w:bCs/>
              </w:rPr>
            </w:pPr>
            <w:r w:rsidRPr="000F4A30">
              <w:rPr>
                <w:bCs/>
              </w:rPr>
              <w:t xml:space="preserve">Analizējot ar sabiedriskajā transporta pārvadāto personu uzskaiti un identificēšanu saistītos normatīvos aktus un pašvaldību saistošos noteikumus, tika </w:t>
            </w:r>
            <w:r w:rsidR="00C46145" w:rsidRPr="000F4A30">
              <w:rPr>
                <w:bCs/>
              </w:rPr>
              <w:t>konstatētas vairākas problēmas pasažieriem</w:t>
            </w:r>
            <w:r w:rsidRPr="000F4A30">
              <w:rPr>
                <w:bCs/>
              </w:rPr>
              <w:t xml:space="preserve">, kam piešķirti braukšanas maksas atvieglojumi, uzskaitē un identificēšanā (personas ar invaliditāti, pirmsskolas vecuma bērni, bērni bāreņi, politiski represētās personas, </w:t>
            </w:r>
            <w:r w:rsidR="00B65DCD" w:rsidRPr="000F4A30">
              <w:t xml:space="preserve">nacionālās pretošanās kustības dalībnieki, </w:t>
            </w:r>
            <w:r w:rsidRPr="000F4A30">
              <w:rPr>
                <w:bCs/>
              </w:rPr>
              <w:t xml:space="preserve">vispārējo izglītības iestāžu izglītojamie). </w:t>
            </w:r>
          </w:p>
          <w:p w:rsidR="00EC107F" w:rsidRPr="000F4A30" w:rsidRDefault="00EC107F" w:rsidP="00C23F73">
            <w:pPr>
              <w:pStyle w:val="NormalWeb"/>
              <w:shd w:val="clear" w:color="auto" w:fill="FFFFFF"/>
              <w:spacing w:before="0" w:beforeAutospacing="0" w:after="0" w:afterAutospacing="0"/>
              <w:jc w:val="both"/>
              <w:rPr>
                <w:rFonts w:ascii="Times New Roman" w:eastAsia="Times New Roman" w:hAnsi="Times New Roman" w:cs="Times New Roman"/>
                <w:bCs/>
                <w:lang w:val="lv-LV" w:eastAsia="lv-LV"/>
              </w:rPr>
            </w:pPr>
            <w:r w:rsidRPr="000F4A30">
              <w:rPr>
                <w:rFonts w:ascii="Times New Roman" w:eastAsia="Times New Roman" w:hAnsi="Times New Roman" w:cs="Times New Roman"/>
                <w:bCs/>
                <w:lang w:val="lv-LV" w:eastAsia="lv-LV"/>
              </w:rPr>
              <w:t>Šobrīd personām, kurām valsts noteikusi braukšanas maksas atvieglojumus, braukšanas biļetes tiek izsniegtas, uzrādot attiecīgai kategorijai atbilstošu apliecību. Minēto pasažieru uzskaite sabiedriskajā transportā tiek organizēta, izsniedzot tiem braukšanas tiesības apliecinošu dokumentu – biļeti, kurai ir piemērota 100% atlaide.</w:t>
            </w:r>
          </w:p>
          <w:p w:rsidR="00EC107F" w:rsidRPr="000F4A30" w:rsidRDefault="000F4A30" w:rsidP="00C23F73">
            <w:pPr>
              <w:shd w:val="clear" w:color="auto" w:fill="FFFFFF"/>
              <w:jc w:val="both"/>
              <w:rPr>
                <w:bCs/>
              </w:rPr>
            </w:pPr>
            <w:r>
              <w:rPr>
                <w:bCs/>
              </w:rPr>
              <w:t>E</w:t>
            </w:r>
            <w:r w:rsidR="00EC107F" w:rsidRPr="000F4A30">
              <w:rPr>
                <w:bCs/>
              </w:rPr>
              <w:t>sošajā situācijā pastāv vairāki būtiski nekorektas personu uzskaites riski:</w:t>
            </w:r>
          </w:p>
          <w:p w:rsidR="00EC107F" w:rsidRPr="000F4A30" w:rsidRDefault="00EC107F" w:rsidP="00C23F73">
            <w:pPr>
              <w:pStyle w:val="ListParagraph"/>
              <w:numPr>
                <w:ilvl w:val="0"/>
                <w:numId w:val="26"/>
              </w:numPr>
              <w:ind w:left="410" w:hanging="410"/>
              <w:jc w:val="both"/>
              <w:rPr>
                <w:bCs/>
                <w:lang w:val="lv-LV" w:eastAsia="lv-LV"/>
              </w:rPr>
            </w:pPr>
            <w:r w:rsidRPr="000F4A30">
              <w:rPr>
                <w:bCs/>
                <w:lang w:val="lv-LV" w:eastAsia="lv-LV"/>
              </w:rPr>
              <w:t xml:space="preserve">sabiedriskā transporta pakalpojuma sniedzējs </w:t>
            </w:r>
            <w:r w:rsidRPr="000F4A30">
              <w:rPr>
                <w:bCs/>
                <w:lang w:val="lv-LV" w:eastAsia="lv-LV"/>
              </w:rPr>
              <w:lastRenderedPageBreak/>
              <w:t>(pārvadātājs) ir iesaistīts atvieglojuma nodrošināšanas procesā, kā rezultātā:</w:t>
            </w:r>
          </w:p>
          <w:p w:rsidR="00EC107F" w:rsidRPr="000F4A30" w:rsidRDefault="00EC107F" w:rsidP="00C23F73">
            <w:pPr>
              <w:pStyle w:val="ListParagraph"/>
              <w:numPr>
                <w:ilvl w:val="1"/>
                <w:numId w:val="27"/>
              </w:numPr>
              <w:ind w:left="694" w:hanging="284"/>
              <w:jc w:val="both"/>
              <w:rPr>
                <w:bCs/>
                <w:lang w:val="lv-LV" w:eastAsia="lv-LV"/>
              </w:rPr>
            </w:pPr>
            <w:r w:rsidRPr="000F4A30">
              <w:rPr>
                <w:bCs/>
                <w:lang w:val="lv-LV" w:eastAsia="lv-LV"/>
              </w:rPr>
              <w:t>pārvadātājs nenodrošina uzskaiti, ka, atbilstoši sniegtajam transporta pakalpojumam, biļete ir pārdota konkrētai atvieglotas kategorijas personai, kā arī  nenorāda biļetē informāciju par transporta pakalpojuma tarifu, atlaides apmēru, cenu (summa apmaksai) un PVN apmēru;</w:t>
            </w:r>
          </w:p>
          <w:p w:rsidR="00EC107F" w:rsidRPr="000F4A30" w:rsidRDefault="00EC107F" w:rsidP="00C23F73">
            <w:pPr>
              <w:pStyle w:val="ListParagraph"/>
              <w:numPr>
                <w:ilvl w:val="1"/>
                <w:numId w:val="27"/>
              </w:numPr>
              <w:ind w:left="694" w:hanging="284"/>
              <w:jc w:val="both"/>
              <w:rPr>
                <w:bCs/>
                <w:lang w:val="lv-LV" w:eastAsia="lv-LV"/>
              </w:rPr>
            </w:pPr>
            <w:r w:rsidRPr="000F4A30">
              <w:rPr>
                <w:bCs/>
                <w:lang w:val="lv-LV" w:eastAsia="lv-LV"/>
              </w:rPr>
              <w:t>pārvadātājam tiek nepamatoti palielināts administratīvais un finanšu slogs, jo pārvadātājam ir nepieciešams nodrošināt papildus atlaides un personas identificēšanu;</w:t>
            </w:r>
          </w:p>
          <w:p w:rsidR="00EC107F" w:rsidRPr="000F4A30" w:rsidRDefault="00EC107F" w:rsidP="00C23F73">
            <w:pPr>
              <w:pStyle w:val="ListParagraph"/>
              <w:numPr>
                <w:ilvl w:val="0"/>
                <w:numId w:val="26"/>
              </w:numPr>
              <w:ind w:left="410" w:hanging="410"/>
              <w:jc w:val="both"/>
              <w:rPr>
                <w:bCs/>
                <w:lang w:val="lv-LV" w:eastAsia="lv-LV"/>
              </w:rPr>
            </w:pPr>
            <w:r w:rsidRPr="000F4A30">
              <w:rPr>
                <w:bCs/>
                <w:lang w:val="lv-LV" w:eastAsia="lv-LV"/>
              </w:rPr>
              <w:t>nepietiekamā apmērā nodrošināts atvieglojumu administrēšanas kontroles mehānisms;</w:t>
            </w:r>
          </w:p>
          <w:p w:rsidR="00EC107F" w:rsidRPr="000F4A30" w:rsidRDefault="00EC107F" w:rsidP="00C23F73">
            <w:pPr>
              <w:pStyle w:val="ListParagraph"/>
              <w:numPr>
                <w:ilvl w:val="0"/>
                <w:numId w:val="26"/>
              </w:numPr>
              <w:ind w:left="410" w:hanging="410"/>
              <w:jc w:val="both"/>
              <w:rPr>
                <w:bCs/>
                <w:lang w:val="lv-LV" w:eastAsia="lv-LV"/>
              </w:rPr>
            </w:pPr>
            <w:r w:rsidRPr="000F4A30">
              <w:rPr>
                <w:bCs/>
                <w:lang w:val="lv-LV" w:eastAsia="lv-LV"/>
              </w:rPr>
              <w:t>sniedzot sabiedriskā transportā pakalpojumus, nodrošinot biļešu tirdzniecību un klientu apkalpošanu, tiek izpausts atviegloto kategoriju personu sociālais statuss</w:t>
            </w:r>
            <w:r w:rsidR="00E9701E" w:rsidRPr="000F4A30">
              <w:rPr>
                <w:bCs/>
                <w:lang w:val="lv-LV" w:eastAsia="lv-LV"/>
              </w:rPr>
              <w:t>.</w:t>
            </w:r>
          </w:p>
          <w:p w:rsidR="00EC107F" w:rsidRPr="000F4A30" w:rsidRDefault="00EC107F" w:rsidP="00C23F73">
            <w:pPr>
              <w:shd w:val="clear" w:color="auto" w:fill="FFFFFF"/>
              <w:jc w:val="both"/>
              <w:rPr>
                <w:bCs/>
                <w:color w:val="000000"/>
              </w:rPr>
            </w:pPr>
            <w:r w:rsidRPr="000F4A30">
              <w:rPr>
                <w:bCs/>
              </w:rPr>
              <w:t xml:space="preserve">Ņemot vērā minētos iemeslus, konstatējams, ka esošā uzskaites kārtība ir neprecīza un, rada nepamatotus izdevumus valsts budžetam, jo valstij saskaņā ar normatīvajiem aktiem ir jākompensē pārvadātajiem nesaņemtie ieņēmumi par personu ar braukšanas maksas </w:t>
            </w:r>
            <w:r w:rsidRPr="000F4A30">
              <w:rPr>
                <w:bCs/>
                <w:color w:val="000000"/>
              </w:rPr>
              <w:t>atvieglojumiem pārvadāšanu.</w:t>
            </w:r>
          </w:p>
          <w:p w:rsidR="009522FF" w:rsidRPr="000F4A30" w:rsidRDefault="009522FF" w:rsidP="00C23F73">
            <w:pPr>
              <w:shd w:val="clear" w:color="auto" w:fill="FFFFFF"/>
              <w:jc w:val="both"/>
              <w:rPr>
                <w:color w:val="000000"/>
              </w:rPr>
            </w:pPr>
            <w:r w:rsidRPr="000F4A30">
              <w:rPr>
                <w:color w:val="000000"/>
              </w:rPr>
              <w:t xml:space="preserve">Lai nodrošinātu sabiedriskajā transportā </w:t>
            </w:r>
            <w:r w:rsidR="0048744B" w:rsidRPr="000F4A30">
              <w:rPr>
                <w:color w:val="000000"/>
              </w:rPr>
              <w:t xml:space="preserve">to </w:t>
            </w:r>
            <w:r w:rsidRPr="000F4A30">
              <w:rPr>
                <w:color w:val="000000"/>
              </w:rPr>
              <w:t>pārvadāto</w:t>
            </w:r>
            <w:r w:rsidR="002C113E" w:rsidRPr="000F4A30">
              <w:rPr>
                <w:color w:val="000000"/>
              </w:rPr>
              <w:t xml:space="preserve"> </w:t>
            </w:r>
            <w:r w:rsidR="0048744B" w:rsidRPr="000F4A30">
              <w:rPr>
                <w:color w:val="000000"/>
              </w:rPr>
              <w:t xml:space="preserve">pasažieru kategoriju, kam piešķirti braukšanas maksas atvieglojumi, </w:t>
            </w:r>
            <w:r w:rsidRPr="000F4A30">
              <w:rPr>
                <w:color w:val="000000"/>
              </w:rPr>
              <w:t xml:space="preserve">uzskaiti un identificēšanu atbilstoši normatīvajos aktos noteiktajām prasībām, ir nepieciešams </w:t>
            </w:r>
            <w:r w:rsidR="0048744B" w:rsidRPr="000F4A30">
              <w:rPr>
                <w:color w:val="000000"/>
              </w:rPr>
              <w:t xml:space="preserve">sabiedriskā </w:t>
            </w:r>
            <w:r w:rsidRPr="000F4A30">
              <w:rPr>
                <w:color w:val="000000"/>
              </w:rPr>
              <w:t>transporta pakalpojuma sniegšanas brīdī uzskaitīt, ka, atbilstoši sniegtaj</w:t>
            </w:r>
            <w:r w:rsidR="0048744B" w:rsidRPr="000F4A30">
              <w:rPr>
                <w:color w:val="000000"/>
              </w:rPr>
              <w:t>a</w:t>
            </w:r>
            <w:r w:rsidRPr="000F4A30">
              <w:rPr>
                <w:color w:val="000000"/>
              </w:rPr>
              <w:t xml:space="preserve">m </w:t>
            </w:r>
            <w:r w:rsidR="0048744B" w:rsidRPr="000F4A30">
              <w:rPr>
                <w:color w:val="000000"/>
              </w:rPr>
              <w:t xml:space="preserve">sabiedriskā </w:t>
            </w:r>
            <w:r w:rsidRPr="000F4A30">
              <w:rPr>
                <w:color w:val="000000"/>
              </w:rPr>
              <w:t>transporta pakalpojumam, biļete ir pārdota konkrētai identificē</w:t>
            </w:r>
            <w:r w:rsidR="00552D58" w:rsidRPr="000F4A30">
              <w:rPr>
                <w:color w:val="000000"/>
              </w:rPr>
              <w:t>jam</w:t>
            </w:r>
            <w:r w:rsidRPr="000F4A30">
              <w:rPr>
                <w:color w:val="000000"/>
              </w:rPr>
              <w:t>ai</w:t>
            </w:r>
            <w:r w:rsidR="002C113E" w:rsidRPr="000F4A30">
              <w:rPr>
                <w:color w:val="000000"/>
              </w:rPr>
              <w:t xml:space="preserve"> </w:t>
            </w:r>
            <w:r w:rsidRPr="000F4A30">
              <w:rPr>
                <w:color w:val="000000"/>
              </w:rPr>
              <w:t>personai</w:t>
            </w:r>
            <w:r w:rsidR="00552D58" w:rsidRPr="000F4A30">
              <w:rPr>
                <w:color w:val="000000"/>
              </w:rPr>
              <w:t>, kurai ir piešķirts atbilstošs braukšanas maksas atvieglojums</w:t>
            </w:r>
            <w:r w:rsidRPr="000F4A30">
              <w:rPr>
                <w:color w:val="000000"/>
              </w:rPr>
              <w:t>.</w:t>
            </w:r>
          </w:p>
          <w:p w:rsidR="00EC107F" w:rsidRPr="000F4A30" w:rsidRDefault="00EC107F" w:rsidP="00C23F73">
            <w:pPr>
              <w:jc w:val="both"/>
              <w:rPr>
                <w:bCs/>
              </w:rPr>
            </w:pPr>
            <w:r w:rsidRPr="000F4A30">
              <w:rPr>
                <w:color w:val="000000"/>
              </w:rPr>
              <w:t xml:space="preserve">Atbilstoši </w:t>
            </w:r>
            <w:r w:rsidR="000C74F8" w:rsidRPr="000F4A30">
              <w:rPr>
                <w:color w:val="000000"/>
              </w:rPr>
              <w:t>2012.gada 28.augusta noteikumos Nr.599 „Sabiedriskā transporta</w:t>
            </w:r>
            <w:r w:rsidR="000C74F8" w:rsidRPr="000F4A30">
              <w:t xml:space="preserve"> pakalpojumu sniegšanas un izmantošanas kārtība”</w:t>
            </w:r>
            <w:r w:rsidRPr="000F4A30">
              <w:t xml:space="preserve"> (turpmāk – MK noteikumi Nr.</w:t>
            </w:r>
            <w:r w:rsidR="000C74F8" w:rsidRPr="000F4A30">
              <w:t>599</w:t>
            </w:r>
            <w:r w:rsidRPr="000F4A30">
              <w:t>) prasībām</w:t>
            </w:r>
            <w:r w:rsidR="002C113E" w:rsidRPr="000F4A30">
              <w:t xml:space="preserve"> </w:t>
            </w:r>
            <w:r w:rsidRPr="000F4A30">
              <w:t xml:space="preserve">attiecīgām pasažieru kategorijām ir tiesības </w:t>
            </w:r>
            <w:r w:rsidR="000C74F8" w:rsidRPr="000F4A30">
              <w:t>izmantot</w:t>
            </w:r>
            <w:r w:rsidR="002C113E" w:rsidRPr="000F4A30">
              <w:t xml:space="preserve"> </w:t>
            </w:r>
            <w:r w:rsidR="000C74F8" w:rsidRPr="000F4A30">
              <w:t>braukšanas maksas atvieglojumu</w:t>
            </w:r>
            <w:r w:rsidR="00681C7F" w:rsidRPr="000F4A30">
              <w:t>s</w:t>
            </w:r>
            <w:r w:rsidR="000C74F8" w:rsidRPr="000F4A30">
              <w:t xml:space="preserve">, </w:t>
            </w:r>
            <w:r w:rsidRPr="000F4A30">
              <w:t>uzrādot dokumentu, kas apliecina pasažiera piederību attiecīgai kategorijai (personas</w:t>
            </w:r>
            <w:r w:rsidRPr="000F4A30">
              <w:rPr>
                <w:bCs/>
              </w:rPr>
              <w:t xml:space="preserve"> ar invaliditāti, pirmsskolas vecuma bērni, bērni bāreņi, politiski represētās personas, vispārējo izglītības iestāžu izglītojamie). </w:t>
            </w:r>
          </w:p>
          <w:p w:rsidR="00EC107F" w:rsidRPr="000F4A30" w:rsidRDefault="00EC107F" w:rsidP="009522FF">
            <w:pPr>
              <w:pStyle w:val="ListParagraph"/>
              <w:ind w:left="0"/>
              <w:jc w:val="both"/>
              <w:rPr>
                <w:lang w:val="lv-LV"/>
              </w:rPr>
            </w:pPr>
            <w:r w:rsidRPr="000F4A30">
              <w:rPr>
                <w:bCs/>
                <w:lang w:val="lv-LV"/>
              </w:rPr>
              <w:t>Ar MK noteikumu Nr.</w:t>
            </w:r>
            <w:r w:rsidR="00F449B7" w:rsidRPr="000F4A30">
              <w:rPr>
                <w:bCs/>
                <w:lang w:val="lv-LV"/>
              </w:rPr>
              <w:t>599</w:t>
            </w:r>
            <w:r w:rsidRPr="000F4A30">
              <w:rPr>
                <w:bCs/>
                <w:lang w:val="lv-LV"/>
              </w:rPr>
              <w:t xml:space="preserve"> grozījumiem tiek </w:t>
            </w:r>
            <w:r w:rsidR="00F449B7" w:rsidRPr="000F4A30">
              <w:rPr>
                <w:bCs/>
                <w:lang w:val="lv-LV"/>
              </w:rPr>
              <w:t xml:space="preserve">precizēti biļešu un citu braukšanas dokumentu obligātie rekvizīti, </w:t>
            </w:r>
            <w:r w:rsidR="00C23F73" w:rsidRPr="000F4A30">
              <w:rPr>
                <w:bCs/>
                <w:color w:val="000000"/>
                <w:lang w:val="lv-LV"/>
              </w:rPr>
              <w:t>kā arī</w:t>
            </w:r>
            <w:r w:rsidR="00C23F73" w:rsidRPr="000F4A30">
              <w:rPr>
                <w:color w:val="000000"/>
                <w:lang w:val="lv-LV"/>
              </w:rPr>
              <w:t xml:space="preserve">, lai tiktu </w:t>
            </w:r>
            <w:r w:rsidR="00C23F73" w:rsidRPr="000F4A30">
              <w:rPr>
                <w:lang w:val="lv-LV"/>
              </w:rPr>
              <w:t>nodrošināts, ka biļetē tiktu nor</w:t>
            </w:r>
            <w:r w:rsidR="00141C08" w:rsidRPr="000F4A30">
              <w:rPr>
                <w:lang w:val="lv-LV"/>
              </w:rPr>
              <w:t>ā</w:t>
            </w:r>
            <w:r w:rsidR="00C23F73" w:rsidRPr="000F4A30">
              <w:rPr>
                <w:lang w:val="lv-LV"/>
              </w:rPr>
              <w:t xml:space="preserve">dīta informācija par transporta pakalpojuma </w:t>
            </w:r>
            <w:r w:rsidR="00E9701E" w:rsidRPr="000F4A30">
              <w:rPr>
                <w:lang w:val="lv-LV"/>
              </w:rPr>
              <w:t>cenu (</w:t>
            </w:r>
            <w:r w:rsidR="002C113E" w:rsidRPr="000F4A30">
              <w:rPr>
                <w:lang w:val="lv-LV"/>
              </w:rPr>
              <w:t>t.i.,</w:t>
            </w:r>
            <w:r w:rsidR="00E9701E" w:rsidRPr="000F4A30">
              <w:rPr>
                <w:lang w:val="lv-LV"/>
              </w:rPr>
              <w:t xml:space="preserve"> </w:t>
            </w:r>
            <w:r w:rsidR="00C23F73" w:rsidRPr="000F4A30">
              <w:rPr>
                <w:lang w:val="lv-LV"/>
              </w:rPr>
              <w:t>tarif</w:t>
            </w:r>
            <w:r w:rsidR="009522FF" w:rsidRPr="000F4A30">
              <w:rPr>
                <w:lang w:val="lv-LV"/>
              </w:rPr>
              <w:t>s vai braukšanas maksa)</w:t>
            </w:r>
            <w:r w:rsidR="00C23F73" w:rsidRPr="000F4A30">
              <w:rPr>
                <w:lang w:val="lv-LV"/>
              </w:rPr>
              <w:t>, atlaides apmēru, summa apmaksai un PVN apmēru.</w:t>
            </w:r>
          </w:p>
          <w:p w:rsidR="00D668B1" w:rsidRPr="000F4A30" w:rsidRDefault="00D5057E" w:rsidP="00D5057E">
            <w:pPr>
              <w:jc w:val="both"/>
            </w:pPr>
            <w:r w:rsidRPr="000F4A30">
              <w:t xml:space="preserve"> </w:t>
            </w:r>
            <w:r w:rsidR="00D668B1" w:rsidRPr="000F4A30">
              <w:t>Kontroles mehānisms – maksājumu līdzekļu turētāja iestādes norēķinu konta izraksts.</w:t>
            </w:r>
          </w:p>
          <w:p w:rsidR="009522FF" w:rsidRPr="000F4A30" w:rsidRDefault="005A5043" w:rsidP="00D5057E">
            <w:pPr>
              <w:pStyle w:val="ListParagraph"/>
              <w:ind w:left="0"/>
              <w:jc w:val="both"/>
              <w:rPr>
                <w:lang w:val="lv-LV"/>
              </w:rPr>
            </w:pPr>
            <w:r w:rsidRPr="000F4A30">
              <w:rPr>
                <w:bCs/>
                <w:lang w:val="lv-LV"/>
              </w:rPr>
              <w:t xml:space="preserve">MK noteikumu Nr.599 </w:t>
            </w:r>
            <w:r w:rsidRPr="000F4A30">
              <w:rPr>
                <w:lang w:val="lv-LV"/>
              </w:rPr>
              <w:t>grozījumu</w:t>
            </w:r>
            <w:r w:rsidR="0019076C" w:rsidRPr="000F4A30">
              <w:rPr>
                <w:lang w:val="lv-LV"/>
              </w:rPr>
              <w:t xml:space="preserve"> s</w:t>
            </w:r>
            <w:r w:rsidRPr="000F4A30">
              <w:rPr>
                <w:lang w:val="lv-LV"/>
              </w:rPr>
              <w:t>as</w:t>
            </w:r>
            <w:r w:rsidR="0019076C" w:rsidRPr="000F4A30">
              <w:rPr>
                <w:lang w:val="lv-LV"/>
              </w:rPr>
              <w:t xml:space="preserve">kaņošanas procesā </w:t>
            </w:r>
            <w:r w:rsidR="0019076C" w:rsidRPr="000F4A30">
              <w:rPr>
                <w:lang w:val="lv-LV"/>
              </w:rPr>
              <w:lastRenderedPageBreak/>
              <w:t xml:space="preserve">LPPA ir apliecinājusi, ka </w:t>
            </w:r>
            <w:r w:rsidRPr="000F4A30">
              <w:rPr>
                <w:bCs/>
                <w:lang w:val="lv-LV"/>
              </w:rPr>
              <w:t xml:space="preserve">MK noteikumu Nr.599 </w:t>
            </w:r>
            <w:r w:rsidRPr="000F4A30">
              <w:rPr>
                <w:lang w:val="lv-LV"/>
              </w:rPr>
              <w:t>grozījumu 1.</w:t>
            </w:r>
            <w:r w:rsidR="0019076C" w:rsidRPr="000F4A30">
              <w:rPr>
                <w:lang w:val="lv-LV"/>
              </w:rPr>
              <w:t xml:space="preserve">3., </w:t>
            </w:r>
            <w:r w:rsidRPr="000F4A30">
              <w:rPr>
                <w:lang w:val="lv-LV"/>
              </w:rPr>
              <w:t>1.</w:t>
            </w:r>
            <w:r w:rsidR="0019076C" w:rsidRPr="000F4A30">
              <w:rPr>
                <w:lang w:val="lv-LV"/>
              </w:rPr>
              <w:t xml:space="preserve">4., </w:t>
            </w:r>
            <w:r w:rsidRPr="000F4A30">
              <w:rPr>
                <w:lang w:val="lv-LV"/>
              </w:rPr>
              <w:t>1.</w:t>
            </w:r>
            <w:r w:rsidR="0019076C" w:rsidRPr="000F4A30">
              <w:rPr>
                <w:lang w:val="lv-LV"/>
              </w:rPr>
              <w:t xml:space="preserve">5., </w:t>
            </w:r>
            <w:r w:rsidRPr="000F4A30">
              <w:rPr>
                <w:lang w:val="lv-LV"/>
              </w:rPr>
              <w:t>1.</w:t>
            </w:r>
            <w:r w:rsidR="0019076C" w:rsidRPr="000F4A30">
              <w:rPr>
                <w:lang w:val="lv-LV"/>
              </w:rPr>
              <w:t>6.</w:t>
            </w:r>
            <w:r w:rsidRPr="000F4A30">
              <w:rPr>
                <w:lang w:val="lv-LV"/>
              </w:rPr>
              <w:t>, 1.7., 1.8., 1.9., 1.10., 1.11., 1.12., 1.13., 1.14., 1.15.</w:t>
            </w:r>
            <w:r w:rsidR="0019076C" w:rsidRPr="000F4A30">
              <w:rPr>
                <w:lang w:val="lv-LV"/>
              </w:rPr>
              <w:t xml:space="preserve"> un </w:t>
            </w:r>
            <w:r w:rsidRPr="000F4A30">
              <w:rPr>
                <w:lang w:val="lv-LV"/>
              </w:rPr>
              <w:t>1.16</w:t>
            </w:r>
            <w:r w:rsidR="0019076C" w:rsidRPr="000F4A30">
              <w:rPr>
                <w:lang w:val="lv-LV"/>
              </w:rPr>
              <w:t>.punktā noteiktās papildus prasības attiecībā uz biļetēm ir tehnoloģiski izpildāmas un neprasa būtiskas izmaksas to nodrošināšanai. Jāņem vērā arī tas, ka nepieciešamība veikt</w:t>
            </w:r>
            <w:r w:rsidR="00D5057E" w:rsidRPr="000F4A30">
              <w:rPr>
                <w:lang w:val="lv-LV"/>
              </w:rPr>
              <w:t xml:space="preserve"> šādas izmaiņas ir</w:t>
            </w:r>
            <w:r w:rsidR="0019076C" w:rsidRPr="000F4A30">
              <w:rPr>
                <w:lang w:val="lv-LV"/>
              </w:rPr>
              <w:t xml:space="preserve"> arī saskaņā ar citu normatīvo aktu regulārām izmaiņām.</w:t>
            </w:r>
          </w:p>
        </w:tc>
      </w:tr>
      <w:tr w:rsidR="00EC107F" w:rsidRPr="000F4A30" w:rsidTr="00844C4A">
        <w:trPr>
          <w:trHeight w:val="2240"/>
        </w:trPr>
        <w:tc>
          <w:tcPr>
            <w:tcW w:w="677" w:type="dxa"/>
          </w:tcPr>
          <w:p w:rsidR="00EC107F" w:rsidRPr="000F4A30" w:rsidRDefault="00EC107F" w:rsidP="00C23F73">
            <w:pPr>
              <w:pStyle w:val="naiskr"/>
              <w:spacing w:before="0" w:after="0"/>
              <w:jc w:val="center"/>
            </w:pPr>
          </w:p>
        </w:tc>
        <w:tc>
          <w:tcPr>
            <w:tcW w:w="3024" w:type="dxa"/>
          </w:tcPr>
          <w:p w:rsidR="00EC107F" w:rsidRPr="000F4A30" w:rsidRDefault="00EC107F" w:rsidP="00C23F73">
            <w:pPr>
              <w:pStyle w:val="naiskr"/>
              <w:spacing w:before="0" w:after="0"/>
            </w:pPr>
            <w:r w:rsidRPr="000F4A30">
              <w:t>Projekta izstrādē iesaistītās institūcijas</w:t>
            </w:r>
          </w:p>
        </w:tc>
        <w:tc>
          <w:tcPr>
            <w:tcW w:w="6085" w:type="dxa"/>
          </w:tcPr>
          <w:p w:rsidR="00EC107F" w:rsidRPr="000F4A30" w:rsidRDefault="00EC107F" w:rsidP="005713A1">
            <w:pPr>
              <w:pStyle w:val="naiskr"/>
              <w:spacing w:before="0" w:after="0"/>
              <w:jc w:val="both"/>
            </w:pPr>
            <w:r w:rsidRPr="000F4A30">
              <w:t xml:space="preserve">Ar Ministru prezidenta 2013.gada 14.oktobra rīkojumu Nr.365 tika izveidota darba grupa priekšlikumu izstrādei par sabiedriskajā transportā pārvadāto personu uzskaiti un identificēšanu. Darba grupā tika iekļauti pārstāvji no </w:t>
            </w:r>
            <w:proofErr w:type="spellStart"/>
            <w:r w:rsidRPr="000F4A30">
              <w:t>Pārresoru</w:t>
            </w:r>
            <w:proofErr w:type="spellEnd"/>
            <w:r w:rsidRPr="000F4A30">
              <w:t xml:space="preserve"> koordinācijas centra, Satiksmes ministrijas, Vides aizsardzības un reģionālās attīstības ministrijas, Finanšu ministrijas (Valsts ieņēmuma dienesta (VID))</w:t>
            </w:r>
            <w:r w:rsidR="005713A1" w:rsidRPr="000F4A30">
              <w:t xml:space="preserve"> un</w:t>
            </w:r>
            <w:r w:rsidRPr="000F4A30">
              <w:t xml:space="preserve"> Labklājības ministrijas. </w:t>
            </w:r>
          </w:p>
        </w:tc>
      </w:tr>
      <w:tr w:rsidR="00EC107F" w:rsidRPr="000F4A30" w:rsidTr="00D36916">
        <w:tc>
          <w:tcPr>
            <w:tcW w:w="677" w:type="dxa"/>
          </w:tcPr>
          <w:p w:rsidR="00EC107F" w:rsidRPr="000F4A30" w:rsidRDefault="00EC107F" w:rsidP="00C23F73">
            <w:pPr>
              <w:pStyle w:val="naiskr"/>
              <w:spacing w:before="0" w:after="0"/>
              <w:jc w:val="center"/>
            </w:pPr>
            <w:r w:rsidRPr="000F4A30">
              <w:t>4.</w:t>
            </w:r>
          </w:p>
        </w:tc>
        <w:tc>
          <w:tcPr>
            <w:tcW w:w="3024" w:type="dxa"/>
          </w:tcPr>
          <w:p w:rsidR="00EC107F" w:rsidRPr="000F4A30" w:rsidRDefault="00EC107F" w:rsidP="00C23F73">
            <w:pPr>
              <w:pStyle w:val="naiskr"/>
              <w:spacing w:before="0" w:after="0"/>
            </w:pPr>
            <w:r w:rsidRPr="000F4A30">
              <w:t>Cita informācija</w:t>
            </w:r>
          </w:p>
        </w:tc>
        <w:tc>
          <w:tcPr>
            <w:tcW w:w="6085" w:type="dxa"/>
          </w:tcPr>
          <w:p w:rsidR="00EC107F" w:rsidRPr="000F4A30" w:rsidRDefault="00EC107F" w:rsidP="00C23F73">
            <w:pPr>
              <w:pStyle w:val="naiskr"/>
              <w:spacing w:before="0" w:after="0"/>
              <w:jc w:val="both"/>
            </w:pPr>
            <w:r w:rsidRPr="000F4A30">
              <w:t>Nav.</w:t>
            </w:r>
          </w:p>
        </w:tc>
      </w:tr>
    </w:tbl>
    <w:p w:rsidR="00852042" w:rsidRPr="000F4A30" w:rsidRDefault="00852042" w:rsidP="00C23F73">
      <w:pPr>
        <w:pStyle w:val="naisf"/>
        <w:spacing w:before="0" w:after="0"/>
        <w:ind w:firstLine="0"/>
      </w:pPr>
    </w:p>
    <w:p w:rsidR="009D4EF6" w:rsidRPr="000F4A30" w:rsidRDefault="009D4EF6" w:rsidP="00C23F73">
      <w:pPr>
        <w:pStyle w:val="naisf"/>
        <w:spacing w:before="0" w:after="0"/>
        <w:ind w:firstLine="0"/>
      </w:pPr>
    </w:p>
    <w:tbl>
      <w:tblPr>
        <w:tblW w:w="9862"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
        <w:gridCol w:w="462"/>
        <w:gridCol w:w="232"/>
        <w:gridCol w:w="3010"/>
        <w:gridCol w:w="160"/>
        <w:gridCol w:w="5906"/>
        <w:gridCol w:w="16"/>
      </w:tblGrid>
      <w:tr w:rsidR="009A0027" w:rsidRPr="000F4A30" w:rsidTr="000F4A30">
        <w:trPr>
          <w:gridBefore w:val="1"/>
          <w:wBefore w:w="76" w:type="dxa"/>
          <w:jc w:val="center"/>
        </w:trPr>
        <w:tc>
          <w:tcPr>
            <w:tcW w:w="9786" w:type="dxa"/>
            <w:gridSpan w:val="6"/>
          </w:tcPr>
          <w:p w:rsidR="00FE4973" w:rsidRPr="000F4A30" w:rsidRDefault="00FE4973" w:rsidP="00C23F73">
            <w:pPr>
              <w:pStyle w:val="naisnod"/>
              <w:spacing w:before="0" w:after="0"/>
            </w:pPr>
            <w:r w:rsidRPr="000F4A30">
              <w:t>II.</w:t>
            </w:r>
            <w:r w:rsidRPr="000F4A30">
              <w:rPr>
                <w:bCs w:val="0"/>
              </w:rPr>
              <w:t xml:space="preserve"> Tiesību akta projekta ietekme uz sabiedrību, tautsaimniecības attīstību un administratīvo slogu</w:t>
            </w:r>
          </w:p>
        </w:tc>
      </w:tr>
      <w:tr w:rsidR="009A0027" w:rsidRPr="000F4A30" w:rsidTr="000F4A30">
        <w:trPr>
          <w:gridBefore w:val="1"/>
          <w:wBefore w:w="76" w:type="dxa"/>
          <w:jc w:val="center"/>
        </w:trPr>
        <w:tc>
          <w:tcPr>
            <w:tcW w:w="694" w:type="dxa"/>
            <w:gridSpan w:val="2"/>
          </w:tcPr>
          <w:p w:rsidR="00FE4973" w:rsidRPr="000F4A30" w:rsidRDefault="00FE4973" w:rsidP="00C23F73">
            <w:pPr>
              <w:pStyle w:val="naiskr"/>
              <w:tabs>
                <w:tab w:val="left" w:pos="2628"/>
              </w:tabs>
              <w:spacing w:before="0" w:after="0"/>
              <w:jc w:val="center"/>
              <w:rPr>
                <w:iCs/>
              </w:rPr>
            </w:pPr>
            <w:r w:rsidRPr="000F4A30">
              <w:rPr>
                <w:iCs/>
              </w:rPr>
              <w:t>1.</w:t>
            </w:r>
          </w:p>
        </w:tc>
        <w:tc>
          <w:tcPr>
            <w:tcW w:w="3010" w:type="dxa"/>
          </w:tcPr>
          <w:p w:rsidR="00FE4973" w:rsidRPr="000F4A30" w:rsidRDefault="00FE4973" w:rsidP="00C23F73">
            <w:pPr>
              <w:pStyle w:val="naiskr"/>
              <w:spacing w:before="0" w:after="0"/>
              <w:rPr>
                <w:iCs/>
              </w:rPr>
            </w:pPr>
            <w:r w:rsidRPr="000F4A30">
              <w:t>Sabiedrības mērķgrupas, kuras tiesiskais regulējums ietekmē vai varētu ietekmēt</w:t>
            </w:r>
          </w:p>
        </w:tc>
        <w:tc>
          <w:tcPr>
            <w:tcW w:w="6082" w:type="dxa"/>
            <w:gridSpan w:val="3"/>
          </w:tcPr>
          <w:p w:rsidR="004F304C" w:rsidRPr="000F4A30" w:rsidRDefault="00EA27D0" w:rsidP="00C23F73">
            <w:pPr>
              <w:jc w:val="both"/>
            </w:pPr>
            <w:r w:rsidRPr="000F4A30">
              <w:t>Tiesiskais regulējums netiešā veidā ietekmē pārvadātājus, kas sniedz sabiedriskā transporta pakalpojumus un biļešu tirgotājus.</w:t>
            </w:r>
          </w:p>
        </w:tc>
      </w:tr>
      <w:tr w:rsidR="00A260A5" w:rsidRPr="000F4A30" w:rsidTr="000F4A30">
        <w:trPr>
          <w:gridBefore w:val="1"/>
          <w:wBefore w:w="76" w:type="dxa"/>
          <w:jc w:val="center"/>
        </w:trPr>
        <w:tc>
          <w:tcPr>
            <w:tcW w:w="694" w:type="dxa"/>
            <w:gridSpan w:val="2"/>
          </w:tcPr>
          <w:p w:rsidR="00A260A5" w:rsidRPr="000F4A30" w:rsidRDefault="00A260A5" w:rsidP="00C23F73">
            <w:pPr>
              <w:pStyle w:val="naiskr"/>
              <w:tabs>
                <w:tab w:val="left" w:pos="2628"/>
              </w:tabs>
              <w:spacing w:before="0" w:after="0"/>
              <w:jc w:val="center"/>
              <w:rPr>
                <w:iCs/>
              </w:rPr>
            </w:pPr>
            <w:r w:rsidRPr="000F4A30">
              <w:rPr>
                <w:iCs/>
              </w:rPr>
              <w:t>2.</w:t>
            </w:r>
          </w:p>
        </w:tc>
        <w:tc>
          <w:tcPr>
            <w:tcW w:w="3010" w:type="dxa"/>
          </w:tcPr>
          <w:p w:rsidR="00A260A5" w:rsidRPr="000F4A30" w:rsidRDefault="00A260A5" w:rsidP="00C23F73">
            <w:pPr>
              <w:pStyle w:val="naiskr"/>
              <w:spacing w:before="0" w:after="0"/>
            </w:pPr>
            <w:r w:rsidRPr="000F4A30">
              <w:t>Tiesiskā regulējuma ietekme uz tautsaimniecību un administratīvo slogu</w:t>
            </w:r>
          </w:p>
        </w:tc>
        <w:tc>
          <w:tcPr>
            <w:tcW w:w="6082" w:type="dxa"/>
            <w:gridSpan w:val="3"/>
          </w:tcPr>
          <w:p w:rsidR="00A260A5" w:rsidRPr="000F4A30" w:rsidRDefault="00A260A5" w:rsidP="00C23F73">
            <w:pPr>
              <w:jc w:val="both"/>
            </w:pPr>
            <w:r w:rsidRPr="000F4A30">
              <w:t xml:space="preserve">Tiesiskais regulējums nemaina sabiedrības </w:t>
            </w:r>
            <w:r w:rsidR="002C113E" w:rsidRPr="000F4A30">
              <w:t xml:space="preserve">mērķa </w:t>
            </w:r>
            <w:r w:rsidRPr="000F4A30">
              <w:t xml:space="preserve">grupas </w:t>
            </w:r>
            <w:r w:rsidR="00591959" w:rsidRPr="000F4A30">
              <w:t>administratīvās izmaksas, neparedz informācijas sniegšanas un uzglabāšanas pienākumu un</w:t>
            </w:r>
            <w:r w:rsidRPr="000F4A30">
              <w:t xml:space="preserve"> nerada administratīvo slogu. </w:t>
            </w:r>
          </w:p>
        </w:tc>
      </w:tr>
      <w:tr w:rsidR="00A260A5" w:rsidRPr="000F4A30" w:rsidTr="000F4A30">
        <w:trPr>
          <w:gridBefore w:val="1"/>
          <w:wBefore w:w="76" w:type="dxa"/>
          <w:jc w:val="center"/>
        </w:trPr>
        <w:tc>
          <w:tcPr>
            <w:tcW w:w="694" w:type="dxa"/>
            <w:gridSpan w:val="2"/>
          </w:tcPr>
          <w:p w:rsidR="00A260A5" w:rsidRPr="000F4A30" w:rsidRDefault="00A260A5" w:rsidP="00C23F73">
            <w:pPr>
              <w:pStyle w:val="naiskr"/>
              <w:tabs>
                <w:tab w:val="left" w:pos="2628"/>
              </w:tabs>
              <w:spacing w:before="0" w:after="0"/>
              <w:jc w:val="center"/>
              <w:rPr>
                <w:iCs/>
              </w:rPr>
            </w:pPr>
            <w:r w:rsidRPr="000F4A30">
              <w:rPr>
                <w:iCs/>
              </w:rPr>
              <w:t>3.</w:t>
            </w:r>
          </w:p>
        </w:tc>
        <w:tc>
          <w:tcPr>
            <w:tcW w:w="3010" w:type="dxa"/>
          </w:tcPr>
          <w:p w:rsidR="00A260A5" w:rsidRPr="000F4A30" w:rsidRDefault="00A260A5" w:rsidP="00C23F73">
            <w:pPr>
              <w:pStyle w:val="naiskr"/>
              <w:tabs>
                <w:tab w:val="left" w:pos="2628"/>
              </w:tabs>
              <w:spacing w:before="0" w:after="0"/>
              <w:rPr>
                <w:iCs/>
              </w:rPr>
            </w:pPr>
            <w:r w:rsidRPr="000F4A30">
              <w:t>Administratīvo izmaksu monetārs novērtējums</w:t>
            </w:r>
          </w:p>
        </w:tc>
        <w:tc>
          <w:tcPr>
            <w:tcW w:w="6082" w:type="dxa"/>
            <w:gridSpan w:val="3"/>
          </w:tcPr>
          <w:p w:rsidR="00A260A5" w:rsidRPr="000F4A30" w:rsidRDefault="00A260A5" w:rsidP="00C23F73">
            <w:pPr>
              <w:pStyle w:val="naiskr"/>
              <w:tabs>
                <w:tab w:val="left" w:pos="2628"/>
              </w:tabs>
              <w:spacing w:before="0" w:after="0"/>
              <w:jc w:val="both"/>
              <w:rPr>
                <w:iCs/>
              </w:rPr>
            </w:pPr>
            <w:r w:rsidRPr="000F4A30">
              <w:t>MK noteikumu projekts šo jomu neskar.</w:t>
            </w:r>
          </w:p>
        </w:tc>
      </w:tr>
      <w:tr w:rsidR="00A260A5" w:rsidRPr="000F4A30" w:rsidTr="000F4A30">
        <w:trPr>
          <w:gridBefore w:val="1"/>
          <w:wBefore w:w="76" w:type="dxa"/>
          <w:jc w:val="center"/>
        </w:trPr>
        <w:tc>
          <w:tcPr>
            <w:tcW w:w="694" w:type="dxa"/>
            <w:gridSpan w:val="2"/>
          </w:tcPr>
          <w:p w:rsidR="00A260A5" w:rsidRPr="000F4A30" w:rsidRDefault="00A260A5" w:rsidP="00C23F73">
            <w:pPr>
              <w:pStyle w:val="naiskr"/>
              <w:tabs>
                <w:tab w:val="left" w:pos="2628"/>
              </w:tabs>
              <w:spacing w:before="0" w:after="0"/>
              <w:jc w:val="center"/>
              <w:rPr>
                <w:iCs/>
              </w:rPr>
            </w:pPr>
            <w:r w:rsidRPr="000F4A30">
              <w:rPr>
                <w:iCs/>
              </w:rPr>
              <w:t>4.</w:t>
            </w:r>
          </w:p>
        </w:tc>
        <w:tc>
          <w:tcPr>
            <w:tcW w:w="3010" w:type="dxa"/>
          </w:tcPr>
          <w:p w:rsidR="00A260A5" w:rsidRPr="000F4A30" w:rsidRDefault="00A260A5" w:rsidP="00C23F73">
            <w:pPr>
              <w:pStyle w:val="naiskr"/>
              <w:tabs>
                <w:tab w:val="left" w:pos="2628"/>
              </w:tabs>
              <w:spacing w:before="0" w:after="0"/>
            </w:pPr>
            <w:r w:rsidRPr="000F4A30">
              <w:t>Cita informācija</w:t>
            </w:r>
          </w:p>
        </w:tc>
        <w:tc>
          <w:tcPr>
            <w:tcW w:w="6082" w:type="dxa"/>
            <w:gridSpan w:val="3"/>
          </w:tcPr>
          <w:p w:rsidR="00A260A5" w:rsidRPr="000F4A30" w:rsidRDefault="00A260A5" w:rsidP="00C23F73">
            <w:pPr>
              <w:pStyle w:val="naiskr"/>
              <w:tabs>
                <w:tab w:val="left" w:pos="2628"/>
              </w:tabs>
              <w:spacing w:before="0" w:after="0"/>
              <w:jc w:val="both"/>
            </w:pPr>
            <w:r w:rsidRPr="000F4A30">
              <w:t>Nav.</w:t>
            </w:r>
          </w:p>
        </w:tc>
      </w:tr>
      <w:tr w:rsidR="009A0027" w:rsidRPr="000F4A30" w:rsidTr="000F4A30">
        <w:trPr>
          <w:gridBefore w:val="1"/>
          <w:wBefore w:w="76" w:type="dxa"/>
          <w:jc w:val="center"/>
        </w:trPr>
        <w:tc>
          <w:tcPr>
            <w:tcW w:w="9786" w:type="dxa"/>
            <w:gridSpan w:val="6"/>
          </w:tcPr>
          <w:p w:rsidR="002C10A7" w:rsidRPr="000F4A30" w:rsidRDefault="002C10A7" w:rsidP="00C23F73">
            <w:pPr>
              <w:pStyle w:val="naisnod"/>
              <w:spacing w:before="0" w:after="0"/>
            </w:pPr>
            <w:r w:rsidRPr="000F4A30">
              <w:t>IV. Tiesību akta projekta ietekme uz spēkā esošo tiesību normu sistēmu</w:t>
            </w:r>
          </w:p>
        </w:tc>
      </w:tr>
      <w:tr w:rsidR="009A0027" w:rsidRPr="000F4A30" w:rsidTr="000F4A30">
        <w:trPr>
          <w:gridBefore w:val="1"/>
          <w:wBefore w:w="76" w:type="dxa"/>
          <w:jc w:val="center"/>
        </w:trPr>
        <w:tc>
          <w:tcPr>
            <w:tcW w:w="694" w:type="dxa"/>
            <w:gridSpan w:val="2"/>
          </w:tcPr>
          <w:p w:rsidR="002C10A7" w:rsidRPr="000F4A30" w:rsidRDefault="002C10A7" w:rsidP="00C23F73">
            <w:pPr>
              <w:pStyle w:val="naiskr"/>
              <w:tabs>
                <w:tab w:val="left" w:pos="2628"/>
              </w:tabs>
              <w:spacing w:before="0" w:after="0"/>
              <w:jc w:val="center"/>
              <w:rPr>
                <w:iCs/>
              </w:rPr>
            </w:pPr>
            <w:r w:rsidRPr="000F4A30">
              <w:rPr>
                <w:iCs/>
              </w:rPr>
              <w:t>1.</w:t>
            </w:r>
          </w:p>
        </w:tc>
        <w:tc>
          <w:tcPr>
            <w:tcW w:w="3010" w:type="dxa"/>
          </w:tcPr>
          <w:p w:rsidR="002C10A7" w:rsidRPr="000F4A30" w:rsidRDefault="002C10A7" w:rsidP="00C23F73">
            <w:pPr>
              <w:pStyle w:val="naiskr"/>
              <w:tabs>
                <w:tab w:val="left" w:pos="2628"/>
              </w:tabs>
              <w:spacing w:before="0" w:after="0"/>
              <w:rPr>
                <w:iCs/>
              </w:rPr>
            </w:pPr>
            <w:r w:rsidRPr="000F4A30">
              <w:t>Nepieciešamie saistītie tiesību aktu projekti</w:t>
            </w:r>
          </w:p>
        </w:tc>
        <w:tc>
          <w:tcPr>
            <w:tcW w:w="6082" w:type="dxa"/>
            <w:gridSpan w:val="3"/>
          </w:tcPr>
          <w:p w:rsidR="00EE60CA" w:rsidRPr="000F4A30" w:rsidRDefault="000C4364" w:rsidP="00105618">
            <w:pPr>
              <w:pStyle w:val="naiskr"/>
              <w:tabs>
                <w:tab w:val="left" w:pos="283"/>
              </w:tabs>
              <w:spacing w:before="0" w:after="0"/>
              <w:jc w:val="both"/>
              <w:rPr>
                <w:iCs/>
              </w:rPr>
            </w:pPr>
            <w:r w:rsidRPr="000F4A30">
              <w:t>MK noteikumu projektu paredzēts virzīt vienlaicīgi ar MK noteikum</w:t>
            </w:r>
            <w:r w:rsidR="000F4A30">
              <w:t xml:space="preserve">u projektu </w:t>
            </w:r>
            <w:r w:rsidRPr="000F4A30">
              <w:t>„Noteikumi par pasažieru kategorijām, kuras ir tiesīgas izmantot braukšanas maksas atvieglojumus mar</w:t>
            </w:r>
            <w:r w:rsidR="000F4A30">
              <w:t>šrutu tīkla maršrutos”</w:t>
            </w:r>
            <w:r w:rsidR="00105618">
              <w:t xml:space="preserve">, kuri stāsies spēkā </w:t>
            </w:r>
            <w:r w:rsidR="000F4A30">
              <w:t xml:space="preserve"> </w:t>
            </w:r>
            <w:r w:rsidR="00105618">
              <w:t xml:space="preserve">2015.gada 1.aprīlī </w:t>
            </w:r>
            <w:r w:rsidR="000F4A30">
              <w:t xml:space="preserve">un </w:t>
            </w:r>
            <w:r w:rsidRPr="000F4A30">
              <w:t xml:space="preserve">MK noteikumu projektu </w:t>
            </w:r>
            <w:r w:rsidR="000F4A30">
              <w:t xml:space="preserve">„Grozījumi </w:t>
            </w:r>
            <w:r w:rsidR="00A228CD" w:rsidRPr="000F4A30">
              <w:t xml:space="preserve">Ministru kabineta </w:t>
            </w:r>
            <w:r w:rsidR="000F4A30" w:rsidRPr="000F4A30">
              <w:t xml:space="preserve">2012.gada 15.maija </w:t>
            </w:r>
            <w:r w:rsidR="00A228CD" w:rsidRPr="000F4A30">
              <w:t>noteikum</w:t>
            </w:r>
            <w:r w:rsidR="000F4A30">
              <w:t>os</w:t>
            </w:r>
            <w:r w:rsidR="00A228CD" w:rsidRPr="000F4A30">
              <w:t xml:space="preserve"> Nr.341 „Kārtība, kādā nosaka un kompensē ar sabiedriskā transporta pakalpojumu sniegšanu saistītos zaudējumus un izdevumus un nosaka sabiedriskā transporta pakalpojuma tarifu”</w:t>
            </w:r>
            <w:r w:rsidR="000F4A30">
              <w:t>”</w:t>
            </w:r>
            <w:r w:rsidR="00105618">
              <w:t>, kuri stāsies spēkā</w:t>
            </w:r>
            <w:r w:rsidR="000F4A30">
              <w:t xml:space="preserve"> </w:t>
            </w:r>
            <w:r w:rsidR="00105618">
              <w:t>2017.gada 1.janvārī.</w:t>
            </w:r>
            <w:r w:rsidR="000F4A30">
              <w:t xml:space="preserve"> </w:t>
            </w:r>
          </w:p>
        </w:tc>
      </w:tr>
      <w:tr w:rsidR="009A0027" w:rsidRPr="000F4A30" w:rsidTr="000F4A30">
        <w:trPr>
          <w:gridBefore w:val="1"/>
          <w:wBefore w:w="76" w:type="dxa"/>
          <w:jc w:val="center"/>
        </w:trPr>
        <w:tc>
          <w:tcPr>
            <w:tcW w:w="694" w:type="dxa"/>
            <w:gridSpan w:val="2"/>
          </w:tcPr>
          <w:p w:rsidR="00FE4973" w:rsidRPr="000F4A30" w:rsidRDefault="00FE4973" w:rsidP="00C23F73">
            <w:pPr>
              <w:pStyle w:val="naiskr"/>
              <w:tabs>
                <w:tab w:val="left" w:pos="2628"/>
              </w:tabs>
              <w:spacing w:before="0" w:after="0"/>
              <w:jc w:val="center"/>
              <w:rPr>
                <w:iCs/>
              </w:rPr>
            </w:pPr>
            <w:r w:rsidRPr="000F4A30">
              <w:rPr>
                <w:iCs/>
              </w:rPr>
              <w:t>2.</w:t>
            </w:r>
          </w:p>
        </w:tc>
        <w:tc>
          <w:tcPr>
            <w:tcW w:w="3010" w:type="dxa"/>
          </w:tcPr>
          <w:p w:rsidR="00FE4973" w:rsidRPr="000F4A30" w:rsidRDefault="00FE4973" w:rsidP="00C23F73">
            <w:pPr>
              <w:pStyle w:val="naiskr"/>
              <w:tabs>
                <w:tab w:val="left" w:pos="2628"/>
              </w:tabs>
              <w:spacing w:before="0" w:after="0"/>
              <w:jc w:val="both"/>
            </w:pPr>
            <w:r w:rsidRPr="000F4A30">
              <w:t>Atbildīgā institūcija</w:t>
            </w:r>
          </w:p>
        </w:tc>
        <w:tc>
          <w:tcPr>
            <w:tcW w:w="6082" w:type="dxa"/>
            <w:gridSpan w:val="3"/>
          </w:tcPr>
          <w:p w:rsidR="00FE4973" w:rsidRPr="000F4A30" w:rsidRDefault="0035496B" w:rsidP="00C23F73">
            <w:pPr>
              <w:pStyle w:val="naiskr"/>
              <w:spacing w:before="0" w:after="0"/>
            </w:pPr>
            <w:proofErr w:type="spellStart"/>
            <w:r w:rsidRPr="000F4A30">
              <w:t>Pārresoru</w:t>
            </w:r>
            <w:proofErr w:type="spellEnd"/>
            <w:r w:rsidRPr="000F4A30">
              <w:t xml:space="preserve"> koordinācijas centrs.</w:t>
            </w:r>
          </w:p>
        </w:tc>
      </w:tr>
      <w:tr w:rsidR="009A0027" w:rsidRPr="000F4A30" w:rsidTr="000F4A30">
        <w:trPr>
          <w:gridBefore w:val="1"/>
          <w:wBefore w:w="76" w:type="dxa"/>
          <w:jc w:val="center"/>
        </w:trPr>
        <w:tc>
          <w:tcPr>
            <w:tcW w:w="694" w:type="dxa"/>
            <w:gridSpan w:val="2"/>
          </w:tcPr>
          <w:p w:rsidR="002C10A7" w:rsidRPr="000F4A30" w:rsidRDefault="00FE4973" w:rsidP="00C23F73">
            <w:pPr>
              <w:pStyle w:val="naiskr"/>
              <w:tabs>
                <w:tab w:val="left" w:pos="2628"/>
              </w:tabs>
              <w:spacing w:before="0" w:after="0"/>
              <w:jc w:val="center"/>
              <w:rPr>
                <w:iCs/>
              </w:rPr>
            </w:pPr>
            <w:r w:rsidRPr="000F4A30">
              <w:rPr>
                <w:iCs/>
              </w:rPr>
              <w:t>3</w:t>
            </w:r>
            <w:r w:rsidR="002C10A7" w:rsidRPr="000F4A30">
              <w:rPr>
                <w:iCs/>
              </w:rPr>
              <w:t>.</w:t>
            </w:r>
          </w:p>
        </w:tc>
        <w:tc>
          <w:tcPr>
            <w:tcW w:w="3010" w:type="dxa"/>
          </w:tcPr>
          <w:p w:rsidR="002C10A7" w:rsidRPr="000F4A30" w:rsidRDefault="002C10A7" w:rsidP="00C23F73">
            <w:pPr>
              <w:pStyle w:val="naiskr"/>
              <w:tabs>
                <w:tab w:val="left" w:pos="2628"/>
              </w:tabs>
              <w:spacing w:before="0" w:after="0"/>
              <w:jc w:val="both"/>
              <w:rPr>
                <w:iCs/>
              </w:rPr>
            </w:pPr>
            <w:r w:rsidRPr="000F4A30">
              <w:t>Cita informācija</w:t>
            </w:r>
          </w:p>
        </w:tc>
        <w:tc>
          <w:tcPr>
            <w:tcW w:w="6082" w:type="dxa"/>
            <w:gridSpan w:val="3"/>
          </w:tcPr>
          <w:p w:rsidR="002C10A7" w:rsidRPr="000F4A30" w:rsidRDefault="002C10A7" w:rsidP="00C23F73">
            <w:pPr>
              <w:pStyle w:val="naiskr"/>
              <w:tabs>
                <w:tab w:val="left" w:pos="2628"/>
              </w:tabs>
              <w:spacing w:before="0" w:after="0"/>
              <w:jc w:val="both"/>
              <w:rPr>
                <w:iCs/>
              </w:rPr>
            </w:pPr>
            <w:r w:rsidRPr="000F4A30">
              <w:t>Nav.</w:t>
            </w:r>
          </w:p>
        </w:tc>
      </w:tr>
      <w:tr w:rsidR="009A0027" w:rsidRPr="000F4A30" w:rsidTr="000F4A30">
        <w:trPr>
          <w:gridBefore w:val="1"/>
          <w:wBefore w:w="76" w:type="dxa"/>
          <w:jc w:val="center"/>
        </w:trPr>
        <w:tc>
          <w:tcPr>
            <w:tcW w:w="9786" w:type="dxa"/>
            <w:gridSpan w:val="6"/>
          </w:tcPr>
          <w:p w:rsidR="00FE4973" w:rsidRPr="000F4A30" w:rsidRDefault="00FE4973" w:rsidP="00582F97">
            <w:pPr>
              <w:pStyle w:val="naisnod"/>
              <w:spacing w:before="0" w:after="0"/>
            </w:pPr>
            <w:r w:rsidRPr="000F4A30">
              <w:t xml:space="preserve">V. </w:t>
            </w:r>
            <w:r w:rsidRPr="000F4A30">
              <w:rPr>
                <w:bCs w:val="0"/>
              </w:rPr>
              <w:t>Sabiedrības līdzdalība un komunikācijas aktivitātes</w:t>
            </w:r>
          </w:p>
        </w:tc>
      </w:tr>
      <w:tr w:rsidR="001E1C25" w:rsidRPr="000F4A30" w:rsidTr="000F4A30">
        <w:trPr>
          <w:gridBefore w:val="1"/>
          <w:wBefore w:w="76" w:type="dxa"/>
          <w:jc w:val="center"/>
        </w:trPr>
        <w:tc>
          <w:tcPr>
            <w:tcW w:w="694" w:type="dxa"/>
            <w:gridSpan w:val="2"/>
          </w:tcPr>
          <w:p w:rsidR="001E1C25" w:rsidRPr="000F4A30" w:rsidRDefault="001E1C25" w:rsidP="00C23F73">
            <w:pPr>
              <w:pStyle w:val="naiskr"/>
              <w:tabs>
                <w:tab w:val="left" w:pos="2628"/>
              </w:tabs>
              <w:spacing w:before="0" w:after="0"/>
              <w:jc w:val="center"/>
              <w:rPr>
                <w:iCs/>
              </w:rPr>
            </w:pPr>
            <w:r w:rsidRPr="000F4A30">
              <w:rPr>
                <w:iCs/>
              </w:rPr>
              <w:t>1.</w:t>
            </w:r>
          </w:p>
        </w:tc>
        <w:tc>
          <w:tcPr>
            <w:tcW w:w="3010" w:type="dxa"/>
          </w:tcPr>
          <w:p w:rsidR="001E1C25" w:rsidRPr="000F4A30" w:rsidRDefault="001E1C25" w:rsidP="00C23F73">
            <w:pPr>
              <w:pStyle w:val="naiskr"/>
              <w:tabs>
                <w:tab w:val="left" w:pos="2628"/>
              </w:tabs>
              <w:spacing w:before="0" w:after="0"/>
              <w:rPr>
                <w:iCs/>
              </w:rPr>
            </w:pPr>
            <w:r w:rsidRPr="000F4A30">
              <w:t>Plānotās sabiedrības līdzdalības un komunikācijas aktivitātes saistībā ar projektu</w:t>
            </w:r>
          </w:p>
        </w:tc>
        <w:tc>
          <w:tcPr>
            <w:tcW w:w="6082" w:type="dxa"/>
            <w:gridSpan w:val="3"/>
          </w:tcPr>
          <w:p w:rsidR="001E1C25" w:rsidRPr="000F4A30" w:rsidRDefault="000F4A30" w:rsidP="000F4A30">
            <w:pPr>
              <w:pStyle w:val="naiskr"/>
              <w:tabs>
                <w:tab w:val="left" w:pos="2628"/>
              </w:tabs>
              <w:spacing w:before="0" w:after="0"/>
              <w:jc w:val="both"/>
              <w:rPr>
                <w:iCs/>
              </w:rPr>
            </w:pPr>
            <w:r>
              <w:t>2014.gada</w:t>
            </w:r>
            <w:r w:rsidR="006A5970" w:rsidRPr="000F4A30">
              <w:t xml:space="preserve"> 29. maijā noteikumu projekt</w:t>
            </w:r>
            <w:r>
              <w:t>a</w:t>
            </w:r>
            <w:r w:rsidR="006A5970" w:rsidRPr="000F4A30">
              <w:t xml:space="preserve"> saskaņošanas procesa ietvaros, PKC vadītā darba grupa organizēja tikšanos ar sociālās atstumtības riskam pakļauto personu intereses pārstāvošajām biedrībām, t.sk. „Latvijas politiski represēto apvienības”, Latvijas Cilvēku ar īpašām vajadzībām sadarbības organizācijas SUSTENTO un </w:t>
            </w:r>
            <w:r w:rsidR="00222034" w:rsidRPr="000F4A30">
              <w:t>Īslīces</w:t>
            </w:r>
            <w:r w:rsidR="006A5970" w:rsidRPr="000F4A30">
              <w:t xml:space="preserve"> SOS bērnu </w:t>
            </w:r>
            <w:r w:rsidR="006A5970" w:rsidRPr="000F4A30">
              <w:lastRenderedPageBreak/>
              <w:t>ciemata un Jelgavas SOS jauniešu mājas pārstāvjiem, kā arī citām iesaistītajām pusēm. Uzaicināto sabiedrisko organizāciju pārstāvji izteica atzinību par darbu pie pārejas no „0” biļetēm uz elektronisku pasažieru identifikācijas sistēmu un atbalstīja normatīvajā regulējumā plānotās izmaiņas. Tikšanās laikā minētie priekšlikumi ir ņemti vērā, uzlabojot darba grupas izstrādāto normatīvo regulējumu.</w:t>
            </w:r>
          </w:p>
        </w:tc>
      </w:tr>
      <w:tr w:rsidR="001E1C25" w:rsidRPr="000F4A30" w:rsidTr="000F4A30">
        <w:trPr>
          <w:gridBefore w:val="1"/>
          <w:wBefore w:w="76" w:type="dxa"/>
          <w:jc w:val="center"/>
        </w:trPr>
        <w:tc>
          <w:tcPr>
            <w:tcW w:w="694" w:type="dxa"/>
            <w:gridSpan w:val="2"/>
          </w:tcPr>
          <w:p w:rsidR="001E1C25" w:rsidRPr="000F4A30" w:rsidRDefault="001E1C25" w:rsidP="00C23F73">
            <w:pPr>
              <w:pStyle w:val="naiskr"/>
              <w:tabs>
                <w:tab w:val="left" w:pos="2628"/>
              </w:tabs>
              <w:spacing w:before="0" w:after="0"/>
              <w:jc w:val="center"/>
              <w:rPr>
                <w:iCs/>
              </w:rPr>
            </w:pPr>
            <w:r w:rsidRPr="000F4A30">
              <w:rPr>
                <w:iCs/>
              </w:rPr>
              <w:lastRenderedPageBreak/>
              <w:t>2.</w:t>
            </w:r>
          </w:p>
        </w:tc>
        <w:tc>
          <w:tcPr>
            <w:tcW w:w="3010" w:type="dxa"/>
          </w:tcPr>
          <w:p w:rsidR="001E1C25" w:rsidRPr="000F4A30" w:rsidRDefault="001E1C25" w:rsidP="00C23F73">
            <w:pPr>
              <w:pStyle w:val="naiskr"/>
              <w:tabs>
                <w:tab w:val="left" w:pos="2628"/>
              </w:tabs>
              <w:spacing w:before="0" w:after="0"/>
            </w:pPr>
            <w:r w:rsidRPr="000F4A30">
              <w:t>Sabiedrības līdzdalība projekta izstrādē</w:t>
            </w:r>
          </w:p>
        </w:tc>
        <w:tc>
          <w:tcPr>
            <w:tcW w:w="6082" w:type="dxa"/>
            <w:gridSpan w:val="3"/>
          </w:tcPr>
          <w:p w:rsidR="001E1C25" w:rsidRPr="000F4A30" w:rsidRDefault="006A5970" w:rsidP="00C23F73">
            <w:pPr>
              <w:pStyle w:val="naiskr"/>
              <w:tabs>
                <w:tab w:val="left" w:pos="2628"/>
              </w:tabs>
              <w:spacing w:before="0" w:after="0"/>
              <w:jc w:val="both"/>
            </w:pPr>
            <w:r w:rsidRPr="000F4A30">
              <w:t xml:space="preserve">Pēc darba grupas vadītāja priekšlikuma uz darba grupas sanāksmēm tika pieaicināti attiecīgo nozaru eksperti no Latvijas Pasažieru pārvadātāju asociācijas (LPPA), Latvijas Pašvaldību savienība (LPS), VSIA „Autotransporta direkcija” (ATD), Latvijas Komercbanku asociācijas (LKBA), A/s „Pasažieru vilciens” (PV), SIA „Rīgas karte” (RK). „Latvijas politiski represēto apvienība”, Latvijas Cilvēku ar īpašām vajadzībām sadarbības organizācijas SUSTENTO un </w:t>
            </w:r>
            <w:r w:rsidR="00222034" w:rsidRPr="000F4A30">
              <w:t>Īslīces</w:t>
            </w:r>
            <w:r w:rsidRPr="000F4A30">
              <w:t xml:space="preserve"> SOS bērnu ciemata un Jelgavas SOS jauniešu mājas pārstāvjiem</w:t>
            </w:r>
            <w:r w:rsidR="001E1C25" w:rsidRPr="000F4A30">
              <w:t>.</w:t>
            </w:r>
          </w:p>
        </w:tc>
      </w:tr>
      <w:tr w:rsidR="001E1C25" w:rsidRPr="000F4A30" w:rsidTr="000F4A30">
        <w:trPr>
          <w:gridBefore w:val="1"/>
          <w:wBefore w:w="76" w:type="dxa"/>
          <w:jc w:val="center"/>
        </w:trPr>
        <w:tc>
          <w:tcPr>
            <w:tcW w:w="694" w:type="dxa"/>
            <w:gridSpan w:val="2"/>
          </w:tcPr>
          <w:p w:rsidR="001E1C25" w:rsidRPr="000F4A30" w:rsidRDefault="001E1C25" w:rsidP="00C23F73">
            <w:pPr>
              <w:pStyle w:val="naiskr"/>
              <w:tabs>
                <w:tab w:val="left" w:pos="2628"/>
              </w:tabs>
              <w:spacing w:before="0" w:after="0"/>
              <w:jc w:val="center"/>
              <w:rPr>
                <w:iCs/>
              </w:rPr>
            </w:pPr>
            <w:r w:rsidRPr="000F4A30">
              <w:rPr>
                <w:iCs/>
              </w:rPr>
              <w:t>3.</w:t>
            </w:r>
          </w:p>
        </w:tc>
        <w:tc>
          <w:tcPr>
            <w:tcW w:w="3010" w:type="dxa"/>
          </w:tcPr>
          <w:p w:rsidR="001E1C25" w:rsidRPr="000F4A30" w:rsidRDefault="001E1C25" w:rsidP="00C23F73">
            <w:pPr>
              <w:pStyle w:val="naiskr"/>
              <w:tabs>
                <w:tab w:val="left" w:pos="2628"/>
              </w:tabs>
              <w:spacing w:before="0" w:after="0"/>
              <w:rPr>
                <w:iCs/>
              </w:rPr>
            </w:pPr>
            <w:r w:rsidRPr="000F4A30">
              <w:t>Sabiedrības līdzdalības rezultāti</w:t>
            </w:r>
          </w:p>
        </w:tc>
        <w:tc>
          <w:tcPr>
            <w:tcW w:w="6082" w:type="dxa"/>
            <w:gridSpan w:val="3"/>
          </w:tcPr>
          <w:p w:rsidR="001E1C25" w:rsidRPr="000F4A30" w:rsidRDefault="001E1C25" w:rsidP="00C23F73">
            <w:pPr>
              <w:pStyle w:val="naiskr"/>
              <w:tabs>
                <w:tab w:val="left" w:pos="2628"/>
              </w:tabs>
              <w:spacing w:before="0" w:after="0"/>
              <w:jc w:val="both"/>
              <w:rPr>
                <w:iCs/>
              </w:rPr>
            </w:pPr>
            <w:r w:rsidRPr="000F4A30">
              <w:rPr>
                <w:iCs/>
              </w:rPr>
              <w:t xml:space="preserve">Sabiedrības pārstāvji – nozaru eksperti – atbalsta </w:t>
            </w:r>
            <w:r w:rsidRPr="000F4A30">
              <w:t>MK noteikumu Nr.599 grozījumu projekta izstrādes nepieciešamību.</w:t>
            </w:r>
          </w:p>
        </w:tc>
      </w:tr>
      <w:tr w:rsidR="001E1C25" w:rsidRPr="000F4A30" w:rsidTr="000F4A30">
        <w:trPr>
          <w:gridBefore w:val="1"/>
          <w:wBefore w:w="76" w:type="dxa"/>
          <w:jc w:val="center"/>
        </w:trPr>
        <w:tc>
          <w:tcPr>
            <w:tcW w:w="694" w:type="dxa"/>
            <w:gridSpan w:val="2"/>
          </w:tcPr>
          <w:p w:rsidR="001E1C25" w:rsidRPr="000F4A30" w:rsidRDefault="001E1C25" w:rsidP="00C23F73">
            <w:pPr>
              <w:pStyle w:val="naiskr"/>
              <w:tabs>
                <w:tab w:val="left" w:pos="2628"/>
              </w:tabs>
              <w:spacing w:before="0" w:after="0"/>
              <w:jc w:val="center"/>
              <w:rPr>
                <w:iCs/>
              </w:rPr>
            </w:pPr>
            <w:r w:rsidRPr="000F4A30">
              <w:rPr>
                <w:iCs/>
              </w:rPr>
              <w:t>4.</w:t>
            </w:r>
          </w:p>
        </w:tc>
        <w:tc>
          <w:tcPr>
            <w:tcW w:w="3010" w:type="dxa"/>
          </w:tcPr>
          <w:p w:rsidR="001E1C25" w:rsidRPr="000F4A30" w:rsidRDefault="001E1C25" w:rsidP="00C23F73">
            <w:pPr>
              <w:pStyle w:val="naiskr"/>
              <w:tabs>
                <w:tab w:val="left" w:pos="2628"/>
              </w:tabs>
              <w:spacing w:before="0" w:after="0"/>
            </w:pPr>
            <w:r w:rsidRPr="000F4A30">
              <w:t>Cita informācija</w:t>
            </w:r>
          </w:p>
        </w:tc>
        <w:tc>
          <w:tcPr>
            <w:tcW w:w="6082" w:type="dxa"/>
            <w:gridSpan w:val="3"/>
          </w:tcPr>
          <w:p w:rsidR="001E1C25" w:rsidRPr="000F4A30" w:rsidRDefault="001E1C25" w:rsidP="00C23F73">
            <w:pPr>
              <w:pStyle w:val="naiskr"/>
              <w:tabs>
                <w:tab w:val="left" w:pos="2628"/>
              </w:tabs>
              <w:spacing w:before="0" w:after="0"/>
              <w:jc w:val="both"/>
            </w:pPr>
            <w:r w:rsidRPr="000F4A30">
              <w:t>Nav.</w:t>
            </w:r>
          </w:p>
        </w:tc>
      </w:tr>
      <w:tr w:rsidR="00582F97" w:rsidRPr="000F4A30" w:rsidTr="000F4A30">
        <w:tblPrEx>
          <w:tblCellMar>
            <w:top w:w="28" w:type="dxa"/>
            <w:bottom w:w="28" w:type="dxa"/>
          </w:tblCellMar>
          <w:tblLook w:val="0000" w:firstRow="0" w:lastRow="0" w:firstColumn="0" w:lastColumn="0" w:noHBand="0" w:noVBand="0"/>
        </w:tblPrEx>
        <w:trPr>
          <w:gridAfter w:val="1"/>
          <w:wAfter w:w="16" w:type="dxa"/>
          <w:jc w:val="center"/>
        </w:trPr>
        <w:tc>
          <w:tcPr>
            <w:tcW w:w="9846" w:type="dxa"/>
            <w:gridSpan w:val="6"/>
            <w:tcBorders>
              <w:top w:val="single" w:sz="4" w:space="0" w:color="auto"/>
              <w:left w:val="single" w:sz="4" w:space="0" w:color="auto"/>
              <w:bottom w:val="single" w:sz="4" w:space="0" w:color="auto"/>
              <w:right w:val="single" w:sz="4" w:space="0" w:color="auto"/>
            </w:tcBorders>
          </w:tcPr>
          <w:p w:rsidR="00582F97" w:rsidRPr="000F4A30" w:rsidRDefault="00582F97" w:rsidP="00D61FC5">
            <w:pPr>
              <w:pStyle w:val="naisnod"/>
              <w:spacing w:before="0" w:after="0"/>
            </w:pPr>
            <w:r w:rsidRPr="000F4A30">
              <w:t>VI. Tiesību akta projekta izpildes nodrošināšana un tās ietekme uz institūcijām</w:t>
            </w:r>
          </w:p>
        </w:tc>
      </w:tr>
      <w:tr w:rsidR="00582F97" w:rsidRPr="000F4A30" w:rsidTr="000F4A30">
        <w:tblPrEx>
          <w:tblCellMar>
            <w:top w:w="28" w:type="dxa"/>
            <w:bottom w:w="28" w:type="dxa"/>
          </w:tblCellMar>
          <w:tblLook w:val="0000" w:firstRow="0" w:lastRow="0" w:firstColumn="0" w:lastColumn="0" w:noHBand="0" w:noVBand="0"/>
        </w:tblPrEx>
        <w:trPr>
          <w:gridAfter w:val="1"/>
          <w:wAfter w:w="16" w:type="dxa"/>
          <w:jc w:val="center"/>
        </w:trPr>
        <w:tc>
          <w:tcPr>
            <w:tcW w:w="538" w:type="dxa"/>
            <w:gridSpan w:val="2"/>
            <w:tcBorders>
              <w:top w:val="single" w:sz="4" w:space="0" w:color="auto"/>
              <w:left w:val="single" w:sz="4" w:space="0" w:color="auto"/>
              <w:bottom w:val="single" w:sz="4" w:space="0" w:color="auto"/>
              <w:right w:val="single" w:sz="4" w:space="0" w:color="auto"/>
            </w:tcBorders>
          </w:tcPr>
          <w:p w:rsidR="00582F97" w:rsidRPr="000F4A30" w:rsidRDefault="00582F97" w:rsidP="00D61FC5">
            <w:pPr>
              <w:pStyle w:val="naisnod"/>
              <w:spacing w:before="0" w:after="0"/>
              <w:rPr>
                <w:b w:val="0"/>
              </w:rPr>
            </w:pPr>
            <w:r w:rsidRPr="000F4A30">
              <w:rPr>
                <w:b w:val="0"/>
              </w:rPr>
              <w:t>1.</w:t>
            </w:r>
          </w:p>
        </w:tc>
        <w:tc>
          <w:tcPr>
            <w:tcW w:w="3402" w:type="dxa"/>
            <w:gridSpan w:val="3"/>
            <w:tcBorders>
              <w:top w:val="single" w:sz="4" w:space="0" w:color="auto"/>
              <w:left w:val="single" w:sz="4" w:space="0" w:color="auto"/>
              <w:bottom w:val="single" w:sz="4" w:space="0" w:color="auto"/>
              <w:right w:val="single" w:sz="4" w:space="0" w:color="auto"/>
            </w:tcBorders>
          </w:tcPr>
          <w:p w:rsidR="00582F97" w:rsidRPr="000F4A30" w:rsidRDefault="00582F97" w:rsidP="00D61FC5">
            <w:pPr>
              <w:pStyle w:val="naisnod"/>
              <w:spacing w:before="0" w:after="0"/>
              <w:jc w:val="left"/>
              <w:rPr>
                <w:b w:val="0"/>
              </w:rPr>
            </w:pPr>
            <w:r w:rsidRPr="000F4A30">
              <w:rPr>
                <w:b w:val="0"/>
              </w:rPr>
              <w:t>Projekta izpildē iesaistītās institūcijas</w:t>
            </w:r>
          </w:p>
        </w:tc>
        <w:tc>
          <w:tcPr>
            <w:tcW w:w="5906" w:type="dxa"/>
            <w:tcBorders>
              <w:top w:val="single" w:sz="4" w:space="0" w:color="auto"/>
              <w:left w:val="single" w:sz="4" w:space="0" w:color="auto"/>
              <w:bottom w:val="single" w:sz="4" w:space="0" w:color="auto"/>
              <w:right w:val="single" w:sz="4" w:space="0" w:color="auto"/>
            </w:tcBorders>
          </w:tcPr>
          <w:p w:rsidR="00582F97" w:rsidRPr="000F4A30" w:rsidRDefault="00582F97" w:rsidP="00D61FC5">
            <w:pPr>
              <w:pStyle w:val="naisnod"/>
              <w:spacing w:before="0" w:after="0"/>
              <w:jc w:val="both"/>
              <w:rPr>
                <w:b w:val="0"/>
              </w:rPr>
            </w:pPr>
            <w:r w:rsidRPr="000F4A30">
              <w:rPr>
                <w:b w:val="0"/>
              </w:rPr>
              <w:t>Satiksmes ministrija, Labklājības ministrija, Iekšlietu ministrija</w:t>
            </w:r>
          </w:p>
        </w:tc>
      </w:tr>
      <w:tr w:rsidR="00582F97" w:rsidRPr="000F4A30" w:rsidTr="000F4A30">
        <w:tblPrEx>
          <w:tblCellMar>
            <w:top w:w="28" w:type="dxa"/>
            <w:bottom w:w="28" w:type="dxa"/>
          </w:tblCellMar>
          <w:tblLook w:val="0000" w:firstRow="0" w:lastRow="0" w:firstColumn="0" w:lastColumn="0" w:noHBand="0" w:noVBand="0"/>
        </w:tblPrEx>
        <w:trPr>
          <w:gridAfter w:val="1"/>
          <w:wAfter w:w="16" w:type="dxa"/>
          <w:jc w:val="center"/>
        </w:trPr>
        <w:tc>
          <w:tcPr>
            <w:tcW w:w="538" w:type="dxa"/>
            <w:gridSpan w:val="2"/>
            <w:tcBorders>
              <w:top w:val="single" w:sz="4" w:space="0" w:color="auto"/>
              <w:left w:val="single" w:sz="4" w:space="0" w:color="auto"/>
              <w:bottom w:val="single" w:sz="4" w:space="0" w:color="auto"/>
              <w:right w:val="single" w:sz="4" w:space="0" w:color="auto"/>
            </w:tcBorders>
          </w:tcPr>
          <w:p w:rsidR="00582F97" w:rsidRPr="000F4A30" w:rsidRDefault="00582F97" w:rsidP="00D61FC5">
            <w:pPr>
              <w:pStyle w:val="naisnod"/>
              <w:spacing w:before="0" w:after="0"/>
              <w:rPr>
                <w:b w:val="0"/>
              </w:rPr>
            </w:pPr>
            <w:r w:rsidRPr="000F4A30">
              <w:rPr>
                <w:b w:val="0"/>
              </w:rPr>
              <w:t>2.</w:t>
            </w:r>
          </w:p>
        </w:tc>
        <w:tc>
          <w:tcPr>
            <w:tcW w:w="3402" w:type="dxa"/>
            <w:gridSpan w:val="3"/>
            <w:tcBorders>
              <w:top w:val="single" w:sz="4" w:space="0" w:color="auto"/>
              <w:left w:val="single" w:sz="4" w:space="0" w:color="auto"/>
              <w:bottom w:val="single" w:sz="4" w:space="0" w:color="auto"/>
              <w:right w:val="single" w:sz="4" w:space="0" w:color="auto"/>
            </w:tcBorders>
          </w:tcPr>
          <w:p w:rsidR="00582F97" w:rsidRPr="000F4A30" w:rsidRDefault="00582F97" w:rsidP="00D61FC5">
            <w:r w:rsidRPr="000F4A30">
              <w:t>Projekta izpildes ietekme uz pārvaldes funkcijām un institucionālo struktūru.</w:t>
            </w:r>
          </w:p>
          <w:p w:rsidR="00582F97" w:rsidRPr="000F4A30" w:rsidRDefault="00582F97" w:rsidP="00D61FC5">
            <w:pPr>
              <w:pStyle w:val="naisnod"/>
              <w:spacing w:before="0" w:after="0"/>
              <w:jc w:val="left"/>
              <w:rPr>
                <w:b w:val="0"/>
              </w:rPr>
            </w:pPr>
            <w:r w:rsidRPr="000F4A30">
              <w:rPr>
                <w:b w:val="0"/>
                <w:bCs w:val="0"/>
              </w:rPr>
              <w:t>Jaunu institūciju izveide, esošu institūciju likvidācija vai reorganizācija, to ietekme uz institūcijas cilvēkresursiem</w:t>
            </w:r>
          </w:p>
        </w:tc>
        <w:tc>
          <w:tcPr>
            <w:tcW w:w="5906" w:type="dxa"/>
            <w:tcBorders>
              <w:top w:val="single" w:sz="4" w:space="0" w:color="auto"/>
              <w:left w:val="single" w:sz="4" w:space="0" w:color="auto"/>
              <w:bottom w:val="single" w:sz="4" w:space="0" w:color="auto"/>
              <w:right w:val="single" w:sz="4" w:space="0" w:color="auto"/>
            </w:tcBorders>
          </w:tcPr>
          <w:p w:rsidR="00582F97" w:rsidRPr="000F4A30" w:rsidRDefault="00582F97" w:rsidP="00D61FC5">
            <w:pPr>
              <w:pStyle w:val="naisnod"/>
              <w:spacing w:before="0" w:after="0"/>
              <w:jc w:val="both"/>
              <w:rPr>
                <w:b w:val="0"/>
              </w:rPr>
            </w:pPr>
            <w:r w:rsidRPr="000F4A30">
              <w:rPr>
                <w:b w:val="0"/>
              </w:rPr>
              <w:t>Projekta izpilde tiks veikta institūciju esošo funkciju ietvaros</w:t>
            </w:r>
          </w:p>
        </w:tc>
      </w:tr>
      <w:tr w:rsidR="00582F97" w:rsidRPr="000F4A30" w:rsidTr="000F4A3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jc w:val="center"/>
        </w:trPr>
        <w:tc>
          <w:tcPr>
            <w:tcW w:w="538" w:type="dxa"/>
            <w:gridSpan w:val="2"/>
            <w:tcBorders>
              <w:top w:val="outset" w:sz="6" w:space="0" w:color="auto"/>
              <w:left w:val="outset" w:sz="6" w:space="0" w:color="auto"/>
              <w:bottom w:val="outset" w:sz="6" w:space="0" w:color="auto"/>
              <w:right w:val="outset" w:sz="6" w:space="0" w:color="auto"/>
            </w:tcBorders>
          </w:tcPr>
          <w:p w:rsidR="00582F97" w:rsidRPr="000F4A30" w:rsidRDefault="00582F97" w:rsidP="00D61FC5">
            <w:pPr>
              <w:rPr>
                <w:bCs/>
              </w:rPr>
            </w:pPr>
            <w:r w:rsidRPr="000F4A30">
              <w:rPr>
                <w:bCs/>
              </w:rPr>
              <w:t>3.</w:t>
            </w:r>
          </w:p>
        </w:tc>
        <w:tc>
          <w:tcPr>
            <w:tcW w:w="3402" w:type="dxa"/>
            <w:gridSpan w:val="3"/>
            <w:tcBorders>
              <w:top w:val="outset" w:sz="6" w:space="0" w:color="auto"/>
              <w:left w:val="outset" w:sz="6" w:space="0" w:color="auto"/>
              <w:bottom w:val="outset" w:sz="6" w:space="0" w:color="auto"/>
              <w:right w:val="outset" w:sz="6" w:space="0" w:color="auto"/>
            </w:tcBorders>
          </w:tcPr>
          <w:p w:rsidR="00582F97" w:rsidRPr="000F4A30" w:rsidRDefault="00582F97" w:rsidP="00D61FC5">
            <w:r w:rsidRPr="000F4A30">
              <w:t>Cita informācija</w:t>
            </w:r>
          </w:p>
        </w:tc>
        <w:tc>
          <w:tcPr>
            <w:tcW w:w="5922" w:type="dxa"/>
            <w:gridSpan w:val="2"/>
            <w:tcBorders>
              <w:top w:val="outset" w:sz="6" w:space="0" w:color="auto"/>
              <w:left w:val="outset" w:sz="6" w:space="0" w:color="auto"/>
              <w:bottom w:val="outset" w:sz="6" w:space="0" w:color="auto"/>
              <w:right w:val="outset" w:sz="6" w:space="0" w:color="auto"/>
            </w:tcBorders>
          </w:tcPr>
          <w:p w:rsidR="00582F97" w:rsidRPr="000F4A30" w:rsidRDefault="00582F97" w:rsidP="00D61FC5">
            <w:pPr>
              <w:rPr>
                <w:bCs/>
              </w:rPr>
            </w:pPr>
            <w:r w:rsidRPr="000F4A30">
              <w:rPr>
                <w:bCs/>
              </w:rPr>
              <w:t>Nav</w:t>
            </w:r>
          </w:p>
        </w:tc>
      </w:tr>
    </w:tbl>
    <w:p w:rsidR="004F7F3F" w:rsidRPr="000F4A30" w:rsidRDefault="004F7F3F" w:rsidP="00C23F73">
      <w:pPr>
        <w:tabs>
          <w:tab w:val="left" w:pos="6804"/>
        </w:tabs>
        <w:rPr>
          <w:rFonts w:eastAsia="Calibri"/>
        </w:rPr>
      </w:pPr>
    </w:p>
    <w:p w:rsidR="007F4F28" w:rsidRDefault="007F4F28" w:rsidP="000F4A30">
      <w:r w:rsidRPr="000F4A30">
        <w:t>Anotācijas III sadaļa – MK noteikumu projekts šo jomu neskar.</w:t>
      </w:r>
    </w:p>
    <w:p w:rsidR="000F4A30" w:rsidRDefault="000F4A30" w:rsidP="000F4A30"/>
    <w:p w:rsidR="000F4A30" w:rsidRDefault="000F4A30" w:rsidP="00C23F73">
      <w:pPr>
        <w:tabs>
          <w:tab w:val="left" w:pos="6804"/>
        </w:tabs>
        <w:rPr>
          <w:sz w:val="28"/>
          <w:szCs w:val="28"/>
        </w:rPr>
      </w:pPr>
    </w:p>
    <w:p w:rsidR="002F638B" w:rsidRDefault="002F638B" w:rsidP="00C23F73">
      <w:pPr>
        <w:tabs>
          <w:tab w:val="left" w:pos="6804"/>
        </w:tabs>
        <w:rPr>
          <w:sz w:val="28"/>
          <w:szCs w:val="28"/>
        </w:rPr>
      </w:pPr>
    </w:p>
    <w:p w:rsidR="00EA5325" w:rsidRPr="000376E7" w:rsidRDefault="00EA5325" w:rsidP="00C23F73">
      <w:pPr>
        <w:tabs>
          <w:tab w:val="left" w:pos="6804"/>
        </w:tabs>
        <w:rPr>
          <w:rFonts w:eastAsia="Calibri"/>
        </w:rPr>
      </w:pPr>
      <w:proofErr w:type="spellStart"/>
      <w:r w:rsidRPr="000376E7">
        <w:rPr>
          <w:rFonts w:eastAsia="Calibri"/>
        </w:rPr>
        <w:t>Pārresoru</w:t>
      </w:r>
      <w:proofErr w:type="spellEnd"/>
      <w:r w:rsidRPr="000376E7">
        <w:rPr>
          <w:rFonts w:eastAsia="Calibri"/>
        </w:rPr>
        <w:t xml:space="preserve"> koordinācijas centra vadītājs</w:t>
      </w:r>
      <w:r w:rsidRPr="000376E7">
        <w:rPr>
          <w:rFonts w:eastAsia="Calibri"/>
        </w:rPr>
        <w:tab/>
      </w:r>
      <w:r w:rsidR="000376E7">
        <w:rPr>
          <w:rFonts w:eastAsia="Calibri"/>
        </w:rPr>
        <w:tab/>
      </w:r>
      <w:r w:rsidR="000376E7">
        <w:rPr>
          <w:rFonts w:eastAsia="Calibri"/>
        </w:rPr>
        <w:tab/>
      </w:r>
      <w:r w:rsidRPr="000376E7">
        <w:rPr>
          <w:rFonts w:eastAsia="Calibri"/>
        </w:rPr>
        <w:t>P.Vilks</w:t>
      </w:r>
    </w:p>
    <w:p w:rsidR="00EA5325" w:rsidRPr="000F4A30" w:rsidRDefault="00EA5325" w:rsidP="00C23F73">
      <w:pPr>
        <w:tabs>
          <w:tab w:val="left" w:pos="6804"/>
        </w:tabs>
        <w:rPr>
          <w:rFonts w:eastAsia="Calibri"/>
          <w:sz w:val="28"/>
          <w:szCs w:val="28"/>
        </w:rPr>
      </w:pPr>
    </w:p>
    <w:p w:rsidR="00EA5325" w:rsidRPr="000F4A30" w:rsidRDefault="00EA5325" w:rsidP="00C23F73"/>
    <w:p w:rsidR="002C113E" w:rsidRPr="000376E7" w:rsidRDefault="000376E7" w:rsidP="00C23F73">
      <w:pPr>
        <w:rPr>
          <w:noProof/>
          <w:sz w:val="20"/>
          <w:szCs w:val="20"/>
        </w:rPr>
      </w:pPr>
      <w:r w:rsidRPr="000376E7">
        <w:rPr>
          <w:noProof/>
          <w:sz w:val="20"/>
          <w:szCs w:val="20"/>
        </w:rPr>
        <w:t>05.03</w:t>
      </w:r>
      <w:r w:rsidR="006C6D81" w:rsidRPr="000376E7">
        <w:rPr>
          <w:noProof/>
          <w:sz w:val="20"/>
          <w:szCs w:val="20"/>
        </w:rPr>
        <w:t>.2015</w:t>
      </w:r>
      <w:r w:rsidR="002C113E" w:rsidRPr="000376E7">
        <w:rPr>
          <w:noProof/>
          <w:sz w:val="20"/>
          <w:szCs w:val="20"/>
        </w:rPr>
        <w:t xml:space="preserve"> 11:06</w:t>
      </w:r>
    </w:p>
    <w:p w:rsidR="004F098F" w:rsidRPr="000376E7" w:rsidRDefault="000376E7" w:rsidP="00C23F73">
      <w:pPr>
        <w:rPr>
          <w:noProof/>
          <w:sz w:val="20"/>
          <w:szCs w:val="20"/>
        </w:rPr>
      </w:pPr>
      <w:r>
        <w:rPr>
          <w:noProof/>
          <w:sz w:val="20"/>
          <w:szCs w:val="20"/>
        </w:rPr>
        <w:t>1103</w:t>
      </w:r>
    </w:p>
    <w:p w:rsidR="002C113E" w:rsidRPr="000376E7" w:rsidRDefault="004F098F" w:rsidP="00C23F73">
      <w:pPr>
        <w:rPr>
          <w:noProof/>
          <w:sz w:val="20"/>
          <w:szCs w:val="20"/>
        </w:rPr>
      </w:pPr>
      <w:r w:rsidRPr="000376E7">
        <w:rPr>
          <w:noProof/>
          <w:sz w:val="20"/>
          <w:szCs w:val="20"/>
        </w:rPr>
        <w:t>V.Bolēvics,67082925,</w:t>
      </w:r>
    </w:p>
    <w:p w:rsidR="004F098F" w:rsidRPr="000376E7" w:rsidRDefault="00992288" w:rsidP="00C23F73">
      <w:pPr>
        <w:rPr>
          <w:noProof/>
          <w:sz w:val="20"/>
          <w:szCs w:val="20"/>
        </w:rPr>
      </w:pPr>
      <w:hyperlink r:id="rId13" w:history="1">
        <w:r w:rsidR="002F638B" w:rsidRPr="000376E7">
          <w:rPr>
            <w:rStyle w:val="Hyperlink"/>
            <w:noProof/>
            <w:sz w:val="20"/>
            <w:szCs w:val="20"/>
          </w:rPr>
          <w:t>Valters.Bolevics@pkc.mk.gov.lv</w:t>
        </w:r>
      </w:hyperlink>
    </w:p>
    <w:p w:rsidR="002F638B" w:rsidRPr="000376E7" w:rsidRDefault="002F638B" w:rsidP="00C23F73">
      <w:pPr>
        <w:rPr>
          <w:noProof/>
          <w:sz w:val="20"/>
          <w:szCs w:val="20"/>
        </w:rPr>
      </w:pPr>
    </w:p>
    <w:p w:rsidR="004F098F" w:rsidRPr="000F4A30" w:rsidRDefault="004F098F" w:rsidP="00C23F73">
      <w:pPr>
        <w:pStyle w:val="NormalWeb"/>
        <w:spacing w:before="0" w:beforeAutospacing="0" w:after="0" w:afterAutospacing="0"/>
        <w:jc w:val="both"/>
        <w:rPr>
          <w:lang w:val="lv-LV"/>
        </w:rPr>
      </w:pPr>
    </w:p>
    <w:p w:rsidR="004F098F" w:rsidRPr="000F4A30" w:rsidRDefault="004F098F" w:rsidP="00C23F73"/>
    <w:p w:rsidR="00080AD1" w:rsidRPr="000F4A30" w:rsidRDefault="00080AD1" w:rsidP="00C23F73"/>
    <w:sectPr w:rsidR="00080AD1" w:rsidRPr="000F4A30" w:rsidSect="00992288">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A52" w:rsidRDefault="00C65A52">
      <w:r>
        <w:separator/>
      </w:r>
    </w:p>
  </w:endnote>
  <w:endnote w:type="continuationSeparator" w:id="0">
    <w:p w:rsidR="00C65A52" w:rsidRDefault="00C6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68" w:rsidRDefault="00A60268" w:rsidP="00A60268">
    <w:pPr>
      <w:widowControl w:val="0"/>
      <w:jc w:val="both"/>
      <w:outlineLvl w:val="0"/>
      <w:rPr>
        <w:sz w:val="20"/>
        <w:szCs w:val="20"/>
      </w:rPr>
    </w:pPr>
  </w:p>
  <w:p w:rsidR="00C31E36" w:rsidRPr="00D805F0" w:rsidRDefault="00EF3CB9" w:rsidP="00A60268">
    <w:pPr>
      <w:widowControl w:val="0"/>
      <w:jc w:val="both"/>
      <w:outlineLvl w:val="0"/>
    </w:pPr>
    <w:r>
      <w:rPr>
        <w:sz w:val="20"/>
        <w:szCs w:val="20"/>
      </w:rPr>
      <w:t>PKCanot_</w:t>
    </w:r>
    <w:r w:rsidR="00CA1017">
      <w:rPr>
        <w:sz w:val="20"/>
        <w:szCs w:val="20"/>
      </w:rPr>
      <w:t>0503</w:t>
    </w:r>
    <w:r w:rsidR="006C6D81">
      <w:rPr>
        <w:sz w:val="20"/>
        <w:szCs w:val="20"/>
      </w:rPr>
      <w:t>2015</w:t>
    </w:r>
    <w:r>
      <w:rPr>
        <w:sz w:val="20"/>
        <w:szCs w:val="20"/>
      </w:rPr>
      <w:t>_Groz</w:t>
    </w:r>
    <w:r w:rsidR="00EA688A">
      <w:rPr>
        <w:sz w:val="20"/>
        <w:szCs w:val="20"/>
      </w:rPr>
      <w:t>599</w:t>
    </w:r>
    <w:r>
      <w:rPr>
        <w:sz w:val="20"/>
        <w:szCs w:val="20"/>
      </w:rPr>
      <w:t xml:space="preserve">; </w:t>
    </w:r>
    <w:r w:rsidRPr="00EF3CB9">
      <w:rPr>
        <w:sz w:val="20"/>
        <w:szCs w:val="20"/>
      </w:rPr>
      <w:t>Ministru kabineta noteikumu projekta „</w:t>
    </w:r>
    <w:r w:rsidR="00A228CD" w:rsidRPr="00A228CD">
      <w:rPr>
        <w:sz w:val="20"/>
        <w:szCs w:val="20"/>
      </w:rPr>
      <w:t xml:space="preserve">Grozījumi Ministru kabineta </w:t>
    </w:r>
    <w:proofErr w:type="gramStart"/>
    <w:r w:rsidR="00A228CD" w:rsidRPr="00A228CD">
      <w:rPr>
        <w:sz w:val="20"/>
        <w:szCs w:val="20"/>
      </w:rPr>
      <w:t>2012.gada</w:t>
    </w:r>
    <w:proofErr w:type="gramEnd"/>
    <w:r w:rsidR="00A228CD" w:rsidRPr="00A228CD">
      <w:rPr>
        <w:sz w:val="20"/>
        <w:szCs w:val="20"/>
      </w:rPr>
      <w:t xml:space="preserve"> 28.augusta noteikumos Nr.599 „Sabiedriskā transporta pakalpojumu sniegšanas un izmantošanas kārtība”</w:t>
    </w:r>
    <w:r w:rsidR="00C46145">
      <w:rPr>
        <w:sz w:val="20"/>
        <w:szCs w:val="20"/>
      </w:rPr>
      <w:t xml:space="preserve"> </w:t>
    </w:r>
    <w:r w:rsidRPr="00EF3CB9">
      <w:rPr>
        <w:sz w:val="20"/>
        <w:szCs w:val="20"/>
      </w:rPr>
      <w:t xml:space="preserve">sākotnējās ietekmes novērtējuma </w:t>
    </w:r>
    <w:smartTag w:uri="schemas-tilde-lv/tildestengine" w:element="veidnes">
      <w:smartTagPr>
        <w:attr w:name="id" w:val="-1"/>
        <w:attr w:name="baseform" w:val="ziņojums"/>
        <w:attr w:name="text" w:val="ziņojums"/>
      </w:smartTagPr>
      <w:r w:rsidRPr="00EF3CB9">
        <w:rPr>
          <w:sz w:val="20"/>
          <w:szCs w:val="20"/>
        </w:rPr>
        <w:t>ziņojums</w:t>
      </w:r>
    </w:smartTag>
    <w:r w:rsidRPr="00EF3CB9">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B9" w:rsidRPr="00EF3CB9" w:rsidRDefault="00EF3CB9" w:rsidP="00EF3CB9">
    <w:pPr>
      <w:widowControl w:val="0"/>
      <w:jc w:val="both"/>
      <w:outlineLvl w:val="0"/>
      <w:rPr>
        <w:sz w:val="20"/>
        <w:szCs w:val="20"/>
      </w:rPr>
    </w:pPr>
    <w:r>
      <w:rPr>
        <w:sz w:val="20"/>
        <w:szCs w:val="20"/>
      </w:rPr>
      <w:t xml:space="preserve">PKCanot_XX0414_Groz341_sabtrans_zaud_kompensacija_tarifi; </w:t>
    </w:r>
    <w:r w:rsidRPr="00EF3CB9">
      <w:rPr>
        <w:sz w:val="20"/>
        <w:szCs w:val="20"/>
      </w:rPr>
      <w:t xml:space="preserve">Ministru kabineta noteikumu projekta „Grozījumi Ministru kabineta </w:t>
    </w:r>
    <w:proofErr w:type="gramStart"/>
    <w:r w:rsidRPr="00EF3CB9">
      <w:rPr>
        <w:sz w:val="20"/>
        <w:szCs w:val="20"/>
      </w:rPr>
      <w:t>2012.gada</w:t>
    </w:r>
    <w:proofErr w:type="gramEnd"/>
    <w:r w:rsidRPr="00EF3CB9">
      <w:rPr>
        <w:sz w:val="20"/>
        <w:szCs w:val="20"/>
      </w:rPr>
      <w:t xml:space="preserve"> 15.maija noteikumos Nr.341 "Kārtība, kādā nosaka un kompensē ar sabiedriskā transporta pakalpojumu sniegšanu saistītos zaudējumu un izdevumus un nosaka sabiedriskā transporta pakalpojuma tarifu”</w:t>
    </w:r>
    <w:r>
      <w:rPr>
        <w:sz w:val="20"/>
        <w:szCs w:val="20"/>
      </w:rPr>
      <w:t xml:space="preserve"> </w:t>
    </w:r>
    <w:r w:rsidRPr="00EF3CB9">
      <w:rPr>
        <w:sz w:val="20"/>
        <w:szCs w:val="20"/>
      </w:rPr>
      <w:t xml:space="preserve"> sākotnējās ietekmes novērtējuma </w:t>
    </w:r>
    <w:smartTag w:uri="schemas-tilde-lv/tildestengine" w:element="veidnes">
      <w:smartTagPr>
        <w:attr w:name="id" w:val="-1"/>
        <w:attr w:name="baseform" w:val="ziņojums"/>
        <w:attr w:name="text" w:val="ziņojums"/>
      </w:smartTagPr>
      <w:r w:rsidRPr="00EF3CB9">
        <w:rPr>
          <w:sz w:val="20"/>
          <w:szCs w:val="20"/>
        </w:rPr>
        <w:t>ziņojums</w:t>
      </w:r>
    </w:smartTag>
    <w:r w:rsidRPr="00EF3CB9">
      <w:rPr>
        <w:sz w:val="20"/>
        <w:szCs w:val="20"/>
      </w:rPr>
      <w:t xml:space="preserve"> (anotācija)</w:t>
    </w:r>
  </w:p>
  <w:p w:rsidR="00EA5325" w:rsidRPr="00EB3F3E" w:rsidRDefault="00EA5325" w:rsidP="00EF3CB9">
    <w:pPr>
      <w:widowControl w:val="0"/>
      <w:outlineLvl w:val="0"/>
      <w:rPr>
        <w:bCs/>
        <w:i/>
        <w:sz w:val="20"/>
        <w:szCs w:val="20"/>
      </w:rPr>
    </w:pPr>
  </w:p>
  <w:p w:rsidR="00C31E36" w:rsidRPr="00363EF3" w:rsidRDefault="00C31E36" w:rsidP="0036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A52" w:rsidRDefault="00C65A52">
      <w:r>
        <w:separator/>
      </w:r>
    </w:p>
  </w:footnote>
  <w:footnote w:type="continuationSeparator" w:id="0">
    <w:p w:rsidR="00C65A52" w:rsidRDefault="00C6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53021"/>
      <w:docPartObj>
        <w:docPartGallery w:val="Page Numbers (Top of Page)"/>
        <w:docPartUnique/>
      </w:docPartObj>
    </w:sdtPr>
    <w:sdtEndPr>
      <w:rPr>
        <w:noProof/>
      </w:rPr>
    </w:sdtEndPr>
    <w:sdtContent>
      <w:p w:rsidR="00992288" w:rsidRDefault="00992288">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C31E36" w:rsidRDefault="00C31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13">
    <w:nsid w:val="460A2638"/>
    <w:multiLevelType w:val="hybridMultilevel"/>
    <w:tmpl w:val="F7B6C8BC"/>
    <w:lvl w:ilvl="0" w:tplc="04260001">
      <w:start w:val="1"/>
      <w:numFmt w:val="bullet"/>
      <w:lvlText w:val=""/>
      <w:lvlJc w:val="left"/>
      <w:pPr>
        <w:ind w:left="1065" w:hanging="360"/>
      </w:pPr>
      <w:rPr>
        <w:rFonts w:ascii="Symbol" w:hAnsi="Symbol" w:hint="default"/>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4">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9"/>
  </w:num>
  <w:num w:numId="2">
    <w:abstractNumId w:val="23"/>
  </w:num>
  <w:num w:numId="3">
    <w:abstractNumId w:val="7"/>
  </w:num>
  <w:num w:numId="4">
    <w:abstractNumId w:val="5"/>
  </w:num>
  <w:num w:numId="5">
    <w:abstractNumId w:val="2"/>
  </w:num>
  <w:num w:numId="6">
    <w:abstractNumId w:val="19"/>
  </w:num>
  <w:num w:numId="7">
    <w:abstractNumId w:val="24"/>
  </w:num>
  <w:num w:numId="8">
    <w:abstractNumId w:val="14"/>
  </w:num>
  <w:num w:numId="9">
    <w:abstractNumId w:val="6"/>
  </w:num>
  <w:num w:numId="10">
    <w:abstractNumId w:val="15"/>
  </w:num>
  <w:num w:numId="11">
    <w:abstractNumId w:val="16"/>
  </w:num>
  <w:num w:numId="12">
    <w:abstractNumId w:val="20"/>
  </w:num>
  <w:num w:numId="13">
    <w:abstractNumId w:val="22"/>
  </w:num>
  <w:num w:numId="14">
    <w:abstractNumId w:val="0"/>
  </w:num>
  <w:num w:numId="15">
    <w:abstractNumId w:val="10"/>
  </w:num>
  <w:num w:numId="16">
    <w:abstractNumId w:val="11"/>
  </w:num>
  <w:num w:numId="17">
    <w:abstractNumId w:val="21"/>
  </w:num>
  <w:num w:numId="18">
    <w:abstractNumId w:val="1"/>
  </w:num>
  <w:num w:numId="19">
    <w:abstractNumId w:val="17"/>
  </w:num>
  <w:num w:numId="20">
    <w:abstractNumId w:val="18"/>
  </w:num>
  <w:num w:numId="21">
    <w:abstractNumId w:val="12"/>
  </w:num>
  <w:num w:numId="22">
    <w:abstractNumId w:val="3"/>
  </w:num>
  <w:num w:numId="23">
    <w:abstractNumId w:val="26"/>
  </w:num>
  <w:num w:numId="24">
    <w:abstractNumId w:val="8"/>
  </w:num>
  <w:num w:numId="25">
    <w:abstractNumId w:val="25"/>
  </w:num>
  <w:num w:numId="26">
    <w:abstractNumId w:val="12"/>
  </w:num>
  <w:num w:numId="27">
    <w:abstractNumId w:val="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308F"/>
    <w:rsid w:val="00003517"/>
    <w:rsid w:val="00005687"/>
    <w:rsid w:val="0000641C"/>
    <w:rsid w:val="00011C00"/>
    <w:rsid w:val="00011D24"/>
    <w:rsid w:val="00013FF4"/>
    <w:rsid w:val="00015213"/>
    <w:rsid w:val="00017EAF"/>
    <w:rsid w:val="00020FE1"/>
    <w:rsid w:val="000219F1"/>
    <w:rsid w:val="00022E13"/>
    <w:rsid w:val="0002627A"/>
    <w:rsid w:val="00027394"/>
    <w:rsid w:val="00032388"/>
    <w:rsid w:val="000347CE"/>
    <w:rsid w:val="00035CE2"/>
    <w:rsid w:val="00035DDF"/>
    <w:rsid w:val="000376E7"/>
    <w:rsid w:val="0004669F"/>
    <w:rsid w:val="00053EE5"/>
    <w:rsid w:val="0005553B"/>
    <w:rsid w:val="000604D2"/>
    <w:rsid w:val="00061587"/>
    <w:rsid w:val="00065241"/>
    <w:rsid w:val="000675A9"/>
    <w:rsid w:val="00067A2F"/>
    <w:rsid w:val="00070D7A"/>
    <w:rsid w:val="00074B12"/>
    <w:rsid w:val="000760DB"/>
    <w:rsid w:val="00080AD1"/>
    <w:rsid w:val="0008563A"/>
    <w:rsid w:val="00086B57"/>
    <w:rsid w:val="0009005E"/>
    <w:rsid w:val="00090BFB"/>
    <w:rsid w:val="00090DFB"/>
    <w:rsid w:val="000941C5"/>
    <w:rsid w:val="000971F9"/>
    <w:rsid w:val="00097549"/>
    <w:rsid w:val="000A6451"/>
    <w:rsid w:val="000B064E"/>
    <w:rsid w:val="000B0C7C"/>
    <w:rsid w:val="000B69CF"/>
    <w:rsid w:val="000B7357"/>
    <w:rsid w:val="000C1E30"/>
    <w:rsid w:val="000C299B"/>
    <w:rsid w:val="000C4364"/>
    <w:rsid w:val="000C52D6"/>
    <w:rsid w:val="000C6DD5"/>
    <w:rsid w:val="000C74F8"/>
    <w:rsid w:val="000C788D"/>
    <w:rsid w:val="000C790C"/>
    <w:rsid w:val="000D3AED"/>
    <w:rsid w:val="000D452C"/>
    <w:rsid w:val="000D5A7F"/>
    <w:rsid w:val="000E0375"/>
    <w:rsid w:val="000E7EE1"/>
    <w:rsid w:val="000F061D"/>
    <w:rsid w:val="000F1982"/>
    <w:rsid w:val="000F4794"/>
    <w:rsid w:val="000F4A30"/>
    <w:rsid w:val="00100EF9"/>
    <w:rsid w:val="001010FC"/>
    <w:rsid w:val="00102C2B"/>
    <w:rsid w:val="00105059"/>
    <w:rsid w:val="00105618"/>
    <w:rsid w:val="00115838"/>
    <w:rsid w:val="00117E30"/>
    <w:rsid w:val="00124F12"/>
    <w:rsid w:val="00126BAE"/>
    <w:rsid w:val="001347F7"/>
    <w:rsid w:val="00136907"/>
    <w:rsid w:val="00141024"/>
    <w:rsid w:val="001417B4"/>
    <w:rsid w:val="00141C08"/>
    <w:rsid w:val="0014222F"/>
    <w:rsid w:val="00142604"/>
    <w:rsid w:val="00144E3A"/>
    <w:rsid w:val="00146F25"/>
    <w:rsid w:val="0015060C"/>
    <w:rsid w:val="001547D0"/>
    <w:rsid w:val="00155DD2"/>
    <w:rsid w:val="0016018A"/>
    <w:rsid w:val="00161F0E"/>
    <w:rsid w:val="00165B11"/>
    <w:rsid w:val="0016758D"/>
    <w:rsid w:val="001679AF"/>
    <w:rsid w:val="00170C59"/>
    <w:rsid w:val="00170D0F"/>
    <w:rsid w:val="00170E2A"/>
    <w:rsid w:val="001713F3"/>
    <w:rsid w:val="001717AD"/>
    <w:rsid w:val="00173B38"/>
    <w:rsid w:val="0017676A"/>
    <w:rsid w:val="00177394"/>
    <w:rsid w:val="00180ABF"/>
    <w:rsid w:val="00182C18"/>
    <w:rsid w:val="00183CC2"/>
    <w:rsid w:val="001900E4"/>
    <w:rsid w:val="0019076C"/>
    <w:rsid w:val="00190F88"/>
    <w:rsid w:val="001917DF"/>
    <w:rsid w:val="00192DDB"/>
    <w:rsid w:val="00197064"/>
    <w:rsid w:val="001A1369"/>
    <w:rsid w:val="001A2E25"/>
    <w:rsid w:val="001A3E35"/>
    <w:rsid w:val="001A4066"/>
    <w:rsid w:val="001A6AE4"/>
    <w:rsid w:val="001A769D"/>
    <w:rsid w:val="001B01FD"/>
    <w:rsid w:val="001B4A71"/>
    <w:rsid w:val="001C2E78"/>
    <w:rsid w:val="001C612F"/>
    <w:rsid w:val="001C74FA"/>
    <w:rsid w:val="001D166B"/>
    <w:rsid w:val="001D1780"/>
    <w:rsid w:val="001D390F"/>
    <w:rsid w:val="001D5B54"/>
    <w:rsid w:val="001D79C3"/>
    <w:rsid w:val="001E1C25"/>
    <w:rsid w:val="001E1DBF"/>
    <w:rsid w:val="001E3070"/>
    <w:rsid w:val="001E4639"/>
    <w:rsid w:val="001E4A7D"/>
    <w:rsid w:val="001F4209"/>
    <w:rsid w:val="001F43A8"/>
    <w:rsid w:val="001F5CD6"/>
    <w:rsid w:val="00200CC7"/>
    <w:rsid w:val="00202D9C"/>
    <w:rsid w:val="00204489"/>
    <w:rsid w:val="00206600"/>
    <w:rsid w:val="0020681D"/>
    <w:rsid w:val="00210D0B"/>
    <w:rsid w:val="0021263D"/>
    <w:rsid w:val="00213F0C"/>
    <w:rsid w:val="00214094"/>
    <w:rsid w:val="0021592D"/>
    <w:rsid w:val="00215A98"/>
    <w:rsid w:val="00220098"/>
    <w:rsid w:val="00222034"/>
    <w:rsid w:val="00222D76"/>
    <w:rsid w:val="00223EB1"/>
    <w:rsid w:val="002257D7"/>
    <w:rsid w:val="002259E6"/>
    <w:rsid w:val="00231344"/>
    <w:rsid w:val="00231C8F"/>
    <w:rsid w:val="00233198"/>
    <w:rsid w:val="0023436E"/>
    <w:rsid w:val="002347C0"/>
    <w:rsid w:val="002349E7"/>
    <w:rsid w:val="00241A6C"/>
    <w:rsid w:val="0024252D"/>
    <w:rsid w:val="00242D2B"/>
    <w:rsid w:val="00247D3C"/>
    <w:rsid w:val="00250B39"/>
    <w:rsid w:val="00251ADB"/>
    <w:rsid w:val="00252AAD"/>
    <w:rsid w:val="00262E2B"/>
    <w:rsid w:val="002640EA"/>
    <w:rsid w:val="00270429"/>
    <w:rsid w:val="002723E9"/>
    <w:rsid w:val="00277929"/>
    <w:rsid w:val="002818DF"/>
    <w:rsid w:val="002820A2"/>
    <w:rsid w:val="002824DE"/>
    <w:rsid w:val="00283255"/>
    <w:rsid w:val="00283B82"/>
    <w:rsid w:val="002846E9"/>
    <w:rsid w:val="00284C34"/>
    <w:rsid w:val="0029066C"/>
    <w:rsid w:val="00294B19"/>
    <w:rsid w:val="00297969"/>
    <w:rsid w:val="002A3E3E"/>
    <w:rsid w:val="002A50A8"/>
    <w:rsid w:val="002B04AE"/>
    <w:rsid w:val="002B0982"/>
    <w:rsid w:val="002B10D4"/>
    <w:rsid w:val="002B50DB"/>
    <w:rsid w:val="002C10A7"/>
    <w:rsid w:val="002C113E"/>
    <w:rsid w:val="002C12AB"/>
    <w:rsid w:val="002C5C60"/>
    <w:rsid w:val="002C69D8"/>
    <w:rsid w:val="002C7CAC"/>
    <w:rsid w:val="002D3306"/>
    <w:rsid w:val="002D4244"/>
    <w:rsid w:val="002D48AA"/>
    <w:rsid w:val="002D7875"/>
    <w:rsid w:val="002D7BAA"/>
    <w:rsid w:val="002D7DC7"/>
    <w:rsid w:val="002D7F54"/>
    <w:rsid w:val="002E37E7"/>
    <w:rsid w:val="002E3FF4"/>
    <w:rsid w:val="002E4126"/>
    <w:rsid w:val="002F22AC"/>
    <w:rsid w:val="002F5FDC"/>
    <w:rsid w:val="002F638B"/>
    <w:rsid w:val="002F7078"/>
    <w:rsid w:val="002F759C"/>
    <w:rsid w:val="002F78C8"/>
    <w:rsid w:val="003006CA"/>
    <w:rsid w:val="00301CF3"/>
    <w:rsid w:val="003032C1"/>
    <w:rsid w:val="00303F8C"/>
    <w:rsid w:val="003040EA"/>
    <w:rsid w:val="00304FC1"/>
    <w:rsid w:val="00306656"/>
    <w:rsid w:val="0031344F"/>
    <w:rsid w:val="00313603"/>
    <w:rsid w:val="00321247"/>
    <w:rsid w:val="0032715C"/>
    <w:rsid w:val="00334E28"/>
    <w:rsid w:val="003366D2"/>
    <w:rsid w:val="00336B3B"/>
    <w:rsid w:val="00337CA5"/>
    <w:rsid w:val="0034270B"/>
    <w:rsid w:val="00351F16"/>
    <w:rsid w:val="0035496B"/>
    <w:rsid w:val="00354EEC"/>
    <w:rsid w:val="00360FBC"/>
    <w:rsid w:val="00361181"/>
    <w:rsid w:val="00362478"/>
    <w:rsid w:val="00363EF3"/>
    <w:rsid w:val="0037062B"/>
    <w:rsid w:val="00375B25"/>
    <w:rsid w:val="003807FF"/>
    <w:rsid w:val="0038132C"/>
    <w:rsid w:val="00384E2B"/>
    <w:rsid w:val="003878A9"/>
    <w:rsid w:val="00390D8B"/>
    <w:rsid w:val="00396542"/>
    <w:rsid w:val="0039685B"/>
    <w:rsid w:val="003A31A6"/>
    <w:rsid w:val="003A3C61"/>
    <w:rsid w:val="003A6A3C"/>
    <w:rsid w:val="003A7F0C"/>
    <w:rsid w:val="003A7F79"/>
    <w:rsid w:val="003B12A1"/>
    <w:rsid w:val="003B426E"/>
    <w:rsid w:val="003B6404"/>
    <w:rsid w:val="003B67A2"/>
    <w:rsid w:val="003B787E"/>
    <w:rsid w:val="003C35C6"/>
    <w:rsid w:val="003C449B"/>
    <w:rsid w:val="003C6409"/>
    <w:rsid w:val="003D21FF"/>
    <w:rsid w:val="003D698A"/>
    <w:rsid w:val="003F0112"/>
    <w:rsid w:val="003F071A"/>
    <w:rsid w:val="003F160B"/>
    <w:rsid w:val="003F1E50"/>
    <w:rsid w:val="003F4D77"/>
    <w:rsid w:val="003F7754"/>
    <w:rsid w:val="00400032"/>
    <w:rsid w:val="00400B5B"/>
    <w:rsid w:val="00403CED"/>
    <w:rsid w:val="004056ED"/>
    <w:rsid w:val="00405A00"/>
    <w:rsid w:val="00410024"/>
    <w:rsid w:val="00410246"/>
    <w:rsid w:val="00413396"/>
    <w:rsid w:val="004179DE"/>
    <w:rsid w:val="00420870"/>
    <w:rsid w:val="004268F6"/>
    <w:rsid w:val="0042787C"/>
    <w:rsid w:val="00427C10"/>
    <w:rsid w:val="0043100E"/>
    <w:rsid w:val="004316DA"/>
    <w:rsid w:val="00432422"/>
    <w:rsid w:val="004329B6"/>
    <w:rsid w:val="00432D0C"/>
    <w:rsid w:val="0043791B"/>
    <w:rsid w:val="00440FC7"/>
    <w:rsid w:val="00441187"/>
    <w:rsid w:val="00441483"/>
    <w:rsid w:val="00441BCB"/>
    <w:rsid w:val="0044429E"/>
    <w:rsid w:val="0045176A"/>
    <w:rsid w:val="0045202F"/>
    <w:rsid w:val="00456332"/>
    <w:rsid w:val="00456663"/>
    <w:rsid w:val="00456A48"/>
    <w:rsid w:val="00461826"/>
    <w:rsid w:val="00466561"/>
    <w:rsid w:val="00467DD9"/>
    <w:rsid w:val="004704CE"/>
    <w:rsid w:val="0047358D"/>
    <w:rsid w:val="00475AF2"/>
    <w:rsid w:val="0047614B"/>
    <w:rsid w:val="004800F9"/>
    <w:rsid w:val="00486B38"/>
    <w:rsid w:val="0048744B"/>
    <w:rsid w:val="0049134A"/>
    <w:rsid w:val="00491694"/>
    <w:rsid w:val="004918A5"/>
    <w:rsid w:val="004A58CB"/>
    <w:rsid w:val="004B1795"/>
    <w:rsid w:val="004B56DD"/>
    <w:rsid w:val="004B5B0C"/>
    <w:rsid w:val="004C020F"/>
    <w:rsid w:val="004C1AFD"/>
    <w:rsid w:val="004C4763"/>
    <w:rsid w:val="004C49D2"/>
    <w:rsid w:val="004C558B"/>
    <w:rsid w:val="004C7A0E"/>
    <w:rsid w:val="004D11C0"/>
    <w:rsid w:val="004D492F"/>
    <w:rsid w:val="004D526B"/>
    <w:rsid w:val="004D564C"/>
    <w:rsid w:val="004D5C7F"/>
    <w:rsid w:val="004E2E8D"/>
    <w:rsid w:val="004E6B86"/>
    <w:rsid w:val="004F098F"/>
    <w:rsid w:val="004F1F88"/>
    <w:rsid w:val="004F304C"/>
    <w:rsid w:val="004F5F1B"/>
    <w:rsid w:val="004F7F3F"/>
    <w:rsid w:val="00502374"/>
    <w:rsid w:val="005026E7"/>
    <w:rsid w:val="005037C5"/>
    <w:rsid w:val="005060A1"/>
    <w:rsid w:val="00506F1D"/>
    <w:rsid w:val="00507009"/>
    <w:rsid w:val="0051005B"/>
    <w:rsid w:val="005156F3"/>
    <w:rsid w:val="00516072"/>
    <w:rsid w:val="00527517"/>
    <w:rsid w:val="00530649"/>
    <w:rsid w:val="0053070D"/>
    <w:rsid w:val="00531404"/>
    <w:rsid w:val="005332EC"/>
    <w:rsid w:val="00534418"/>
    <w:rsid w:val="005353AB"/>
    <w:rsid w:val="00535E98"/>
    <w:rsid w:val="00542E6A"/>
    <w:rsid w:val="00552D58"/>
    <w:rsid w:val="005542A6"/>
    <w:rsid w:val="00554F08"/>
    <w:rsid w:val="00555391"/>
    <w:rsid w:val="005560BC"/>
    <w:rsid w:val="005573BE"/>
    <w:rsid w:val="00562633"/>
    <w:rsid w:val="005713A1"/>
    <w:rsid w:val="00572700"/>
    <w:rsid w:val="005739B0"/>
    <w:rsid w:val="00580468"/>
    <w:rsid w:val="00582231"/>
    <w:rsid w:val="00582F97"/>
    <w:rsid w:val="00583F9F"/>
    <w:rsid w:val="0058435B"/>
    <w:rsid w:val="0058603B"/>
    <w:rsid w:val="00591959"/>
    <w:rsid w:val="0059431B"/>
    <w:rsid w:val="005A38C3"/>
    <w:rsid w:val="005A39CC"/>
    <w:rsid w:val="005A44ED"/>
    <w:rsid w:val="005A46F8"/>
    <w:rsid w:val="005A5043"/>
    <w:rsid w:val="005A6055"/>
    <w:rsid w:val="005B0D8F"/>
    <w:rsid w:val="005B1F1F"/>
    <w:rsid w:val="005B41EC"/>
    <w:rsid w:val="005B4730"/>
    <w:rsid w:val="005C0006"/>
    <w:rsid w:val="005E05D7"/>
    <w:rsid w:val="005E41E7"/>
    <w:rsid w:val="005E450F"/>
    <w:rsid w:val="005F0C0D"/>
    <w:rsid w:val="005F126D"/>
    <w:rsid w:val="005F3575"/>
    <w:rsid w:val="005F3D9B"/>
    <w:rsid w:val="005F5FD1"/>
    <w:rsid w:val="0060730F"/>
    <w:rsid w:val="006135BC"/>
    <w:rsid w:val="006161B7"/>
    <w:rsid w:val="0062298A"/>
    <w:rsid w:val="00622BB8"/>
    <w:rsid w:val="00625C4A"/>
    <w:rsid w:val="00626514"/>
    <w:rsid w:val="00626589"/>
    <w:rsid w:val="00627C9A"/>
    <w:rsid w:val="00630F37"/>
    <w:rsid w:val="00632064"/>
    <w:rsid w:val="006339A0"/>
    <w:rsid w:val="00637F83"/>
    <w:rsid w:val="00640460"/>
    <w:rsid w:val="006408AC"/>
    <w:rsid w:val="006413A8"/>
    <w:rsid w:val="00641ECC"/>
    <w:rsid w:val="00642E56"/>
    <w:rsid w:val="00644238"/>
    <w:rsid w:val="006447FA"/>
    <w:rsid w:val="00645609"/>
    <w:rsid w:val="00650DCC"/>
    <w:rsid w:val="00651E00"/>
    <w:rsid w:val="006538D4"/>
    <w:rsid w:val="00655110"/>
    <w:rsid w:val="0066093B"/>
    <w:rsid w:val="00661D25"/>
    <w:rsid w:val="00663195"/>
    <w:rsid w:val="00664480"/>
    <w:rsid w:val="00674572"/>
    <w:rsid w:val="00674912"/>
    <w:rsid w:val="00681C7F"/>
    <w:rsid w:val="0068409C"/>
    <w:rsid w:val="00687763"/>
    <w:rsid w:val="00692B0D"/>
    <w:rsid w:val="00692E1D"/>
    <w:rsid w:val="00693C78"/>
    <w:rsid w:val="00693E0E"/>
    <w:rsid w:val="00693FB6"/>
    <w:rsid w:val="00695BB7"/>
    <w:rsid w:val="006A1AE3"/>
    <w:rsid w:val="006A5970"/>
    <w:rsid w:val="006A73C1"/>
    <w:rsid w:val="006B042F"/>
    <w:rsid w:val="006B6062"/>
    <w:rsid w:val="006B61F9"/>
    <w:rsid w:val="006B7823"/>
    <w:rsid w:val="006C30E1"/>
    <w:rsid w:val="006C3DE1"/>
    <w:rsid w:val="006C4607"/>
    <w:rsid w:val="006C6D81"/>
    <w:rsid w:val="006D0440"/>
    <w:rsid w:val="006D0922"/>
    <w:rsid w:val="006D2766"/>
    <w:rsid w:val="006D45B8"/>
    <w:rsid w:val="006D48F1"/>
    <w:rsid w:val="006D7E24"/>
    <w:rsid w:val="006E5AF5"/>
    <w:rsid w:val="006E70BE"/>
    <w:rsid w:val="006F0F87"/>
    <w:rsid w:val="006F45BE"/>
    <w:rsid w:val="007004FC"/>
    <w:rsid w:val="00703BE1"/>
    <w:rsid w:val="00706670"/>
    <w:rsid w:val="00710D2A"/>
    <w:rsid w:val="00711F59"/>
    <w:rsid w:val="0072417C"/>
    <w:rsid w:val="00724E19"/>
    <w:rsid w:val="007319F1"/>
    <w:rsid w:val="00734450"/>
    <w:rsid w:val="00741006"/>
    <w:rsid w:val="00745F67"/>
    <w:rsid w:val="0075039E"/>
    <w:rsid w:val="00752D9D"/>
    <w:rsid w:val="00754784"/>
    <w:rsid w:val="00756245"/>
    <w:rsid w:val="007579A0"/>
    <w:rsid w:val="00757C6E"/>
    <w:rsid w:val="00762BDA"/>
    <w:rsid w:val="00765346"/>
    <w:rsid w:val="007736F1"/>
    <w:rsid w:val="00774AE2"/>
    <w:rsid w:val="007805FD"/>
    <w:rsid w:val="00783474"/>
    <w:rsid w:val="007839BC"/>
    <w:rsid w:val="00784422"/>
    <w:rsid w:val="0079000A"/>
    <w:rsid w:val="00790869"/>
    <w:rsid w:val="00793C37"/>
    <w:rsid w:val="007964D6"/>
    <w:rsid w:val="00796DA2"/>
    <w:rsid w:val="007A00DA"/>
    <w:rsid w:val="007A2008"/>
    <w:rsid w:val="007A28B9"/>
    <w:rsid w:val="007A3846"/>
    <w:rsid w:val="007A3BCF"/>
    <w:rsid w:val="007A4E59"/>
    <w:rsid w:val="007A5B7B"/>
    <w:rsid w:val="007A66D8"/>
    <w:rsid w:val="007B06F3"/>
    <w:rsid w:val="007B3B54"/>
    <w:rsid w:val="007B3FA0"/>
    <w:rsid w:val="007B4569"/>
    <w:rsid w:val="007B4BC6"/>
    <w:rsid w:val="007C0F2C"/>
    <w:rsid w:val="007C2BCC"/>
    <w:rsid w:val="007C35B2"/>
    <w:rsid w:val="007C4EF0"/>
    <w:rsid w:val="007D099D"/>
    <w:rsid w:val="007D7BA1"/>
    <w:rsid w:val="007E2664"/>
    <w:rsid w:val="007E3ABF"/>
    <w:rsid w:val="007E44C5"/>
    <w:rsid w:val="007E5BFA"/>
    <w:rsid w:val="007E6689"/>
    <w:rsid w:val="007E731C"/>
    <w:rsid w:val="007F0A03"/>
    <w:rsid w:val="007F2F05"/>
    <w:rsid w:val="007F4F28"/>
    <w:rsid w:val="007F517A"/>
    <w:rsid w:val="007F7EAD"/>
    <w:rsid w:val="00810040"/>
    <w:rsid w:val="00810A3A"/>
    <w:rsid w:val="008201D2"/>
    <w:rsid w:val="0082023A"/>
    <w:rsid w:val="00821A7A"/>
    <w:rsid w:val="008253F8"/>
    <w:rsid w:val="00826B74"/>
    <w:rsid w:val="00826C67"/>
    <w:rsid w:val="00826F98"/>
    <w:rsid w:val="008325E4"/>
    <w:rsid w:val="00832A2B"/>
    <w:rsid w:val="00834CA6"/>
    <w:rsid w:val="00836935"/>
    <w:rsid w:val="0083777F"/>
    <w:rsid w:val="00842B02"/>
    <w:rsid w:val="008433E8"/>
    <w:rsid w:val="00843A2D"/>
    <w:rsid w:val="00844C4A"/>
    <w:rsid w:val="00845811"/>
    <w:rsid w:val="00846994"/>
    <w:rsid w:val="00847023"/>
    <w:rsid w:val="00850451"/>
    <w:rsid w:val="00852042"/>
    <w:rsid w:val="008534C9"/>
    <w:rsid w:val="0085599D"/>
    <w:rsid w:val="00855FF4"/>
    <w:rsid w:val="00871439"/>
    <w:rsid w:val="0087510C"/>
    <w:rsid w:val="00876B7D"/>
    <w:rsid w:val="0087759B"/>
    <w:rsid w:val="00881B32"/>
    <w:rsid w:val="00886905"/>
    <w:rsid w:val="00890442"/>
    <w:rsid w:val="00893E73"/>
    <w:rsid w:val="008968D2"/>
    <w:rsid w:val="0089738E"/>
    <w:rsid w:val="008B4465"/>
    <w:rsid w:val="008B5FDB"/>
    <w:rsid w:val="008B6B16"/>
    <w:rsid w:val="008C2F07"/>
    <w:rsid w:val="008C50F4"/>
    <w:rsid w:val="008C5649"/>
    <w:rsid w:val="008E44A2"/>
    <w:rsid w:val="008E697D"/>
    <w:rsid w:val="008F1A6E"/>
    <w:rsid w:val="008F6857"/>
    <w:rsid w:val="008F7591"/>
    <w:rsid w:val="0090267E"/>
    <w:rsid w:val="009030FB"/>
    <w:rsid w:val="00903263"/>
    <w:rsid w:val="009032AB"/>
    <w:rsid w:val="00906A21"/>
    <w:rsid w:val="009079C3"/>
    <w:rsid w:val="00910462"/>
    <w:rsid w:val="00915AB1"/>
    <w:rsid w:val="00917532"/>
    <w:rsid w:val="00917600"/>
    <w:rsid w:val="009202D1"/>
    <w:rsid w:val="00920E7B"/>
    <w:rsid w:val="009235BA"/>
    <w:rsid w:val="00924023"/>
    <w:rsid w:val="00924CE2"/>
    <w:rsid w:val="00925B9F"/>
    <w:rsid w:val="009275AC"/>
    <w:rsid w:val="009309EB"/>
    <w:rsid w:val="00931AED"/>
    <w:rsid w:val="00940C13"/>
    <w:rsid w:val="00945766"/>
    <w:rsid w:val="009476A3"/>
    <w:rsid w:val="009522FF"/>
    <w:rsid w:val="0095334F"/>
    <w:rsid w:val="0095423D"/>
    <w:rsid w:val="00956C8B"/>
    <w:rsid w:val="0096336F"/>
    <w:rsid w:val="009656DE"/>
    <w:rsid w:val="00965897"/>
    <w:rsid w:val="0096765C"/>
    <w:rsid w:val="00967848"/>
    <w:rsid w:val="009714D2"/>
    <w:rsid w:val="009727E4"/>
    <w:rsid w:val="009864BB"/>
    <w:rsid w:val="0098773B"/>
    <w:rsid w:val="00987B16"/>
    <w:rsid w:val="00992288"/>
    <w:rsid w:val="00992E99"/>
    <w:rsid w:val="009934C5"/>
    <w:rsid w:val="009945B8"/>
    <w:rsid w:val="00994C0F"/>
    <w:rsid w:val="009A0027"/>
    <w:rsid w:val="009A33ED"/>
    <w:rsid w:val="009B118C"/>
    <w:rsid w:val="009B22D7"/>
    <w:rsid w:val="009B2A92"/>
    <w:rsid w:val="009B4270"/>
    <w:rsid w:val="009B72ED"/>
    <w:rsid w:val="009C30E0"/>
    <w:rsid w:val="009C5659"/>
    <w:rsid w:val="009C6DEB"/>
    <w:rsid w:val="009D27A6"/>
    <w:rsid w:val="009D4EF6"/>
    <w:rsid w:val="009D6504"/>
    <w:rsid w:val="009E12D7"/>
    <w:rsid w:val="009E159A"/>
    <w:rsid w:val="009E242E"/>
    <w:rsid w:val="009E4BD1"/>
    <w:rsid w:val="009E661A"/>
    <w:rsid w:val="009E6C0C"/>
    <w:rsid w:val="009F0513"/>
    <w:rsid w:val="009F1276"/>
    <w:rsid w:val="009F5710"/>
    <w:rsid w:val="009F7D7D"/>
    <w:rsid w:val="00A01B80"/>
    <w:rsid w:val="00A0461C"/>
    <w:rsid w:val="00A05E77"/>
    <w:rsid w:val="00A06077"/>
    <w:rsid w:val="00A06781"/>
    <w:rsid w:val="00A074C3"/>
    <w:rsid w:val="00A100ED"/>
    <w:rsid w:val="00A102CE"/>
    <w:rsid w:val="00A1367E"/>
    <w:rsid w:val="00A1509C"/>
    <w:rsid w:val="00A228CD"/>
    <w:rsid w:val="00A238AE"/>
    <w:rsid w:val="00A249B9"/>
    <w:rsid w:val="00A25063"/>
    <w:rsid w:val="00A260A5"/>
    <w:rsid w:val="00A26187"/>
    <w:rsid w:val="00A27177"/>
    <w:rsid w:val="00A31F77"/>
    <w:rsid w:val="00A34260"/>
    <w:rsid w:val="00A43390"/>
    <w:rsid w:val="00A513CA"/>
    <w:rsid w:val="00A5160D"/>
    <w:rsid w:val="00A523F9"/>
    <w:rsid w:val="00A549E0"/>
    <w:rsid w:val="00A60268"/>
    <w:rsid w:val="00A6048E"/>
    <w:rsid w:val="00A648A4"/>
    <w:rsid w:val="00A65338"/>
    <w:rsid w:val="00A70CFD"/>
    <w:rsid w:val="00A72A0B"/>
    <w:rsid w:val="00A72CAB"/>
    <w:rsid w:val="00A77110"/>
    <w:rsid w:val="00A77DBB"/>
    <w:rsid w:val="00A77F80"/>
    <w:rsid w:val="00A81E42"/>
    <w:rsid w:val="00A82F8D"/>
    <w:rsid w:val="00A83620"/>
    <w:rsid w:val="00A864FE"/>
    <w:rsid w:val="00A86F41"/>
    <w:rsid w:val="00A8776B"/>
    <w:rsid w:val="00A87D04"/>
    <w:rsid w:val="00A950C5"/>
    <w:rsid w:val="00A95777"/>
    <w:rsid w:val="00AA16DE"/>
    <w:rsid w:val="00AA1BF0"/>
    <w:rsid w:val="00AA1D25"/>
    <w:rsid w:val="00AB2B1A"/>
    <w:rsid w:val="00AB397F"/>
    <w:rsid w:val="00AB5832"/>
    <w:rsid w:val="00AC19C6"/>
    <w:rsid w:val="00AC51F2"/>
    <w:rsid w:val="00AD104F"/>
    <w:rsid w:val="00AD3269"/>
    <w:rsid w:val="00AD3936"/>
    <w:rsid w:val="00AD4425"/>
    <w:rsid w:val="00AD64BC"/>
    <w:rsid w:val="00AD6822"/>
    <w:rsid w:val="00AE0B4B"/>
    <w:rsid w:val="00AE276D"/>
    <w:rsid w:val="00AE5066"/>
    <w:rsid w:val="00AE5E24"/>
    <w:rsid w:val="00AE61B7"/>
    <w:rsid w:val="00AE6CBA"/>
    <w:rsid w:val="00AE79AD"/>
    <w:rsid w:val="00AF2549"/>
    <w:rsid w:val="00AF35E4"/>
    <w:rsid w:val="00AF5CDE"/>
    <w:rsid w:val="00AF6A09"/>
    <w:rsid w:val="00B032F8"/>
    <w:rsid w:val="00B11A57"/>
    <w:rsid w:val="00B12BD4"/>
    <w:rsid w:val="00B17E83"/>
    <w:rsid w:val="00B211C3"/>
    <w:rsid w:val="00B25597"/>
    <w:rsid w:val="00B25658"/>
    <w:rsid w:val="00B267B9"/>
    <w:rsid w:val="00B33E09"/>
    <w:rsid w:val="00B40D37"/>
    <w:rsid w:val="00B4248B"/>
    <w:rsid w:val="00B4663A"/>
    <w:rsid w:val="00B50708"/>
    <w:rsid w:val="00B50C68"/>
    <w:rsid w:val="00B51293"/>
    <w:rsid w:val="00B52B1E"/>
    <w:rsid w:val="00B55481"/>
    <w:rsid w:val="00B56C32"/>
    <w:rsid w:val="00B56D61"/>
    <w:rsid w:val="00B5789E"/>
    <w:rsid w:val="00B57ACF"/>
    <w:rsid w:val="00B61E4D"/>
    <w:rsid w:val="00B64BB1"/>
    <w:rsid w:val="00B65DCD"/>
    <w:rsid w:val="00B71F34"/>
    <w:rsid w:val="00B7276F"/>
    <w:rsid w:val="00B73166"/>
    <w:rsid w:val="00B73D56"/>
    <w:rsid w:val="00B8426C"/>
    <w:rsid w:val="00B84642"/>
    <w:rsid w:val="00B85104"/>
    <w:rsid w:val="00B86462"/>
    <w:rsid w:val="00B866A4"/>
    <w:rsid w:val="00B9193F"/>
    <w:rsid w:val="00B91B8D"/>
    <w:rsid w:val="00B93597"/>
    <w:rsid w:val="00B94E90"/>
    <w:rsid w:val="00BA569A"/>
    <w:rsid w:val="00BA64D3"/>
    <w:rsid w:val="00BA7CAD"/>
    <w:rsid w:val="00BB0A82"/>
    <w:rsid w:val="00BB7C94"/>
    <w:rsid w:val="00BC0A9D"/>
    <w:rsid w:val="00BC33E2"/>
    <w:rsid w:val="00BC54D5"/>
    <w:rsid w:val="00BD02BB"/>
    <w:rsid w:val="00BD0F53"/>
    <w:rsid w:val="00BD3D8C"/>
    <w:rsid w:val="00BD494D"/>
    <w:rsid w:val="00BD4D26"/>
    <w:rsid w:val="00BD5A4C"/>
    <w:rsid w:val="00BD7A1F"/>
    <w:rsid w:val="00BE1763"/>
    <w:rsid w:val="00BF40ED"/>
    <w:rsid w:val="00BF43FE"/>
    <w:rsid w:val="00BF5BC2"/>
    <w:rsid w:val="00BF75BE"/>
    <w:rsid w:val="00C10939"/>
    <w:rsid w:val="00C109F4"/>
    <w:rsid w:val="00C10EA6"/>
    <w:rsid w:val="00C1133D"/>
    <w:rsid w:val="00C143E5"/>
    <w:rsid w:val="00C16414"/>
    <w:rsid w:val="00C23F73"/>
    <w:rsid w:val="00C255EE"/>
    <w:rsid w:val="00C27A08"/>
    <w:rsid w:val="00C31312"/>
    <w:rsid w:val="00C31E36"/>
    <w:rsid w:val="00C31EE7"/>
    <w:rsid w:val="00C326C6"/>
    <w:rsid w:val="00C35295"/>
    <w:rsid w:val="00C368D6"/>
    <w:rsid w:val="00C36ADD"/>
    <w:rsid w:val="00C36E74"/>
    <w:rsid w:val="00C40595"/>
    <w:rsid w:val="00C41621"/>
    <w:rsid w:val="00C41B7C"/>
    <w:rsid w:val="00C42C22"/>
    <w:rsid w:val="00C43E88"/>
    <w:rsid w:val="00C449FA"/>
    <w:rsid w:val="00C46145"/>
    <w:rsid w:val="00C5384F"/>
    <w:rsid w:val="00C53D75"/>
    <w:rsid w:val="00C56964"/>
    <w:rsid w:val="00C656D5"/>
    <w:rsid w:val="00C65A52"/>
    <w:rsid w:val="00C65C7C"/>
    <w:rsid w:val="00C67103"/>
    <w:rsid w:val="00C71BB9"/>
    <w:rsid w:val="00C736FB"/>
    <w:rsid w:val="00C74DEE"/>
    <w:rsid w:val="00C82A12"/>
    <w:rsid w:val="00C945FA"/>
    <w:rsid w:val="00C94C28"/>
    <w:rsid w:val="00C95F30"/>
    <w:rsid w:val="00CA1017"/>
    <w:rsid w:val="00CA15AA"/>
    <w:rsid w:val="00CA6B38"/>
    <w:rsid w:val="00CB0247"/>
    <w:rsid w:val="00CB0A64"/>
    <w:rsid w:val="00CB3440"/>
    <w:rsid w:val="00CB3FC2"/>
    <w:rsid w:val="00CB4084"/>
    <w:rsid w:val="00CB616A"/>
    <w:rsid w:val="00CB7479"/>
    <w:rsid w:val="00CC1692"/>
    <w:rsid w:val="00CC6793"/>
    <w:rsid w:val="00CC7AC4"/>
    <w:rsid w:val="00CD138B"/>
    <w:rsid w:val="00CD3E31"/>
    <w:rsid w:val="00CD593F"/>
    <w:rsid w:val="00CD617D"/>
    <w:rsid w:val="00CD7117"/>
    <w:rsid w:val="00CD74A3"/>
    <w:rsid w:val="00CE0527"/>
    <w:rsid w:val="00CE1DEE"/>
    <w:rsid w:val="00CE27C5"/>
    <w:rsid w:val="00CE30D0"/>
    <w:rsid w:val="00CE53C5"/>
    <w:rsid w:val="00CE5B23"/>
    <w:rsid w:val="00CF573B"/>
    <w:rsid w:val="00CF70AD"/>
    <w:rsid w:val="00CF7729"/>
    <w:rsid w:val="00D00059"/>
    <w:rsid w:val="00D009CE"/>
    <w:rsid w:val="00D02F34"/>
    <w:rsid w:val="00D0487F"/>
    <w:rsid w:val="00D107FA"/>
    <w:rsid w:val="00D11555"/>
    <w:rsid w:val="00D12275"/>
    <w:rsid w:val="00D12766"/>
    <w:rsid w:val="00D12AB6"/>
    <w:rsid w:val="00D20E4E"/>
    <w:rsid w:val="00D20FF4"/>
    <w:rsid w:val="00D212D8"/>
    <w:rsid w:val="00D22B0E"/>
    <w:rsid w:val="00D24D2C"/>
    <w:rsid w:val="00D34B3F"/>
    <w:rsid w:val="00D35881"/>
    <w:rsid w:val="00D36916"/>
    <w:rsid w:val="00D442BD"/>
    <w:rsid w:val="00D44A23"/>
    <w:rsid w:val="00D479AF"/>
    <w:rsid w:val="00D5057E"/>
    <w:rsid w:val="00D55399"/>
    <w:rsid w:val="00D55859"/>
    <w:rsid w:val="00D61FC5"/>
    <w:rsid w:val="00D668B1"/>
    <w:rsid w:val="00D71E21"/>
    <w:rsid w:val="00D72CD1"/>
    <w:rsid w:val="00D73C93"/>
    <w:rsid w:val="00D805F0"/>
    <w:rsid w:val="00D83214"/>
    <w:rsid w:val="00D83E21"/>
    <w:rsid w:val="00D901A0"/>
    <w:rsid w:val="00D920E7"/>
    <w:rsid w:val="00DA25DD"/>
    <w:rsid w:val="00DA664C"/>
    <w:rsid w:val="00DA78A7"/>
    <w:rsid w:val="00DA7DA5"/>
    <w:rsid w:val="00DB0440"/>
    <w:rsid w:val="00DB073B"/>
    <w:rsid w:val="00DB264F"/>
    <w:rsid w:val="00DB7308"/>
    <w:rsid w:val="00DB78F0"/>
    <w:rsid w:val="00DC0CEA"/>
    <w:rsid w:val="00DC2E43"/>
    <w:rsid w:val="00DC34AC"/>
    <w:rsid w:val="00DC55A3"/>
    <w:rsid w:val="00DD095C"/>
    <w:rsid w:val="00DD0A7A"/>
    <w:rsid w:val="00DD1020"/>
    <w:rsid w:val="00DD1330"/>
    <w:rsid w:val="00DD28E0"/>
    <w:rsid w:val="00DD3231"/>
    <w:rsid w:val="00DE0B83"/>
    <w:rsid w:val="00DE0D0F"/>
    <w:rsid w:val="00DE1A81"/>
    <w:rsid w:val="00DE1C13"/>
    <w:rsid w:val="00DE2677"/>
    <w:rsid w:val="00DE4D02"/>
    <w:rsid w:val="00DE4E10"/>
    <w:rsid w:val="00DE7083"/>
    <w:rsid w:val="00DE7949"/>
    <w:rsid w:val="00DF2B15"/>
    <w:rsid w:val="00DF4689"/>
    <w:rsid w:val="00DF6797"/>
    <w:rsid w:val="00DF6A1A"/>
    <w:rsid w:val="00E00E03"/>
    <w:rsid w:val="00E02ABF"/>
    <w:rsid w:val="00E0557E"/>
    <w:rsid w:val="00E12EA4"/>
    <w:rsid w:val="00E14995"/>
    <w:rsid w:val="00E166B0"/>
    <w:rsid w:val="00E179CD"/>
    <w:rsid w:val="00E20F2C"/>
    <w:rsid w:val="00E23250"/>
    <w:rsid w:val="00E23E8D"/>
    <w:rsid w:val="00E246E3"/>
    <w:rsid w:val="00E253EB"/>
    <w:rsid w:val="00E30E9F"/>
    <w:rsid w:val="00E311A3"/>
    <w:rsid w:val="00E37F98"/>
    <w:rsid w:val="00E409BA"/>
    <w:rsid w:val="00E44072"/>
    <w:rsid w:val="00E46559"/>
    <w:rsid w:val="00E62175"/>
    <w:rsid w:val="00E6670C"/>
    <w:rsid w:val="00E744B2"/>
    <w:rsid w:val="00E776E8"/>
    <w:rsid w:val="00E83AD7"/>
    <w:rsid w:val="00E92C1F"/>
    <w:rsid w:val="00E93101"/>
    <w:rsid w:val="00E94DA1"/>
    <w:rsid w:val="00E95663"/>
    <w:rsid w:val="00E95D4B"/>
    <w:rsid w:val="00E9701E"/>
    <w:rsid w:val="00EA20DE"/>
    <w:rsid w:val="00EA27D0"/>
    <w:rsid w:val="00EA5176"/>
    <w:rsid w:val="00EA5325"/>
    <w:rsid w:val="00EA6728"/>
    <w:rsid w:val="00EA688A"/>
    <w:rsid w:val="00EA76B8"/>
    <w:rsid w:val="00EB0D3C"/>
    <w:rsid w:val="00EB199F"/>
    <w:rsid w:val="00EB33CD"/>
    <w:rsid w:val="00EC107F"/>
    <w:rsid w:val="00EC23F7"/>
    <w:rsid w:val="00EC4684"/>
    <w:rsid w:val="00EC4BD8"/>
    <w:rsid w:val="00EC63EB"/>
    <w:rsid w:val="00ED23A9"/>
    <w:rsid w:val="00ED25EB"/>
    <w:rsid w:val="00ED3684"/>
    <w:rsid w:val="00ED412F"/>
    <w:rsid w:val="00EE20B3"/>
    <w:rsid w:val="00EE60CA"/>
    <w:rsid w:val="00EF0186"/>
    <w:rsid w:val="00EF0B43"/>
    <w:rsid w:val="00EF0E3C"/>
    <w:rsid w:val="00EF36B2"/>
    <w:rsid w:val="00EF3CB9"/>
    <w:rsid w:val="00EF5800"/>
    <w:rsid w:val="00EF77F9"/>
    <w:rsid w:val="00F068C5"/>
    <w:rsid w:val="00F1231C"/>
    <w:rsid w:val="00F1246B"/>
    <w:rsid w:val="00F14EA7"/>
    <w:rsid w:val="00F16CC4"/>
    <w:rsid w:val="00F17432"/>
    <w:rsid w:val="00F17B35"/>
    <w:rsid w:val="00F201EC"/>
    <w:rsid w:val="00F208A9"/>
    <w:rsid w:val="00F2102F"/>
    <w:rsid w:val="00F22360"/>
    <w:rsid w:val="00F22CAF"/>
    <w:rsid w:val="00F23DB4"/>
    <w:rsid w:val="00F37796"/>
    <w:rsid w:val="00F41D75"/>
    <w:rsid w:val="00F449B7"/>
    <w:rsid w:val="00F5001D"/>
    <w:rsid w:val="00F508C7"/>
    <w:rsid w:val="00F5139D"/>
    <w:rsid w:val="00F5498A"/>
    <w:rsid w:val="00F55314"/>
    <w:rsid w:val="00F55977"/>
    <w:rsid w:val="00F62F43"/>
    <w:rsid w:val="00F63DAC"/>
    <w:rsid w:val="00F64A42"/>
    <w:rsid w:val="00F6677F"/>
    <w:rsid w:val="00F66DA3"/>
    <w:rsid w:val="00F71B07"/>
    <w:rsid w:val="00F7454F"/>
    <w:rsid w:val="00F745ED"/>
    <w:rsid w:val="00F74C18"/>
    <w:rsid w:val="00F77511"/>
    <w:rsid w:val="00F77988"/>
    <w:rsid w:val="00F77F48"/>
    <w:rsid w:val="00F82FD3"/>
    <w:rsid w:val="00F846BB"/>
    <w:rsid w:val="00F8498D"/>
    <w:rsid w:val="00F923A2"/>
    <w:rsid w:val="00F95719"/>
    <w:rsid w:val="00F96858"/>
    <w:rsid w:val="00FA0FD5"/>
    <w:rsid w:val="00FA6DD0"/>
    <w:rsid w:val="00FB2B33"/>
    <w:rsid w:val="00FB30F1"/>
    <w:rsid w:val="00FB331B"/>
    <w:rsid w:val="00FB37FF"/>
    <w:rsid w:val="00FB3AD8"/>
    <w:rsid w:val="00FB53E7"/>
    <w:rsid w:val="00FB5BAF"/>
    <w:rsid w:val="00FB62D6"/>
    <w:rsid w:val="00FB69DD"/>
    <w:rsid w:val="00FD2A8A"/>
    <w:rsid w:val="00FD5301"/>
    <w:rsid w:val="00FE18F7"/>
    <w:rsid w:val="00FE2265"/>
    <w:rsid w:val="00FE4973"/>
    <w:rsid w:val="00FE4B5F"/>
    <w:rsid w:val="00FE5A2C"/>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aliases w:val="Footnote Reference Number,Footnote symbol"/>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labojumupamats1">
    <w:name w:val="labojumu_pamats1"/>
    <w:basedOn w:val="Normal"/>
    <w:rsid w:val="00D668B1"/>
    <w:pPr>
      <w:spacing w:before="45" w:line="360" w:lineRule="auto"/>
      <w:ind w:firstLine="300"/>
    </w:pPr>
    <w:rPr>
      <w:rFonts w:ascii="Verdana" w:hAnsi="Verdana"/>
      <w:i/>
      <w:i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aliases w:val="Footnote Reference Number,Footnote symbol"/>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labojumupamats1">
    <w:name w:val="labojumu_pamats1"/>
    <w:basedOn w:val="Normal"/>
    <w:rsid w:val="00D668B1"/>
    <w:pPr>
      <w:spacing w:before="45" w:line="360" w:lineRule="auto"/>
      <w:ind w:firstLine="300"/>
    </w:pPr>
    <w:rPr>
      <w:rFonts w:ascii="Verdana" w:hAnsi="Verdana"/>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8762">
      <w:bodyDiv w:val="1"/>
      <w:marLeft w:val="0"/>
      <w:marRight w:val="0"/>
      <w:marTop w:val="0"/>
      <w:marBottom w:val="0"/>
      <w:divBdr>
        <w:top w:val="none" w:sz="0" w:space="0" w:color="auto"/>
        <w:left w:val="none" w:sz="0" w:space="0" w:color="auto"/>
        <w:bottom w:val="none" w:sz="0" w:space="0" w:color="auto"/>
        <w:right w:val="none" w:sz="0" w:space="0" w:color="auto"/>
      </w:divBdr>
      <w:divsChild>
        <w:div w:id="2109160039">
          <w:marLeft w:val="0"/>
          <w:marRight w:val="0"/>
          <w:marTop w:val="0"/>
          <w:marBottom w:val="0"/>
          <w:divBdr>
            <w:top w:val="none" w:sz="0" w:space="0" w:color="auto"/>
            <w:left w:val="none" w:sz="0" w:space="0" w:color="auto"/>
            <w:bottom w:val="none" w:sz="0" w:space="0" w:color="auto"/>
            <w:right w:val="none" w:sz="0" w:space="0" w:color="auto"/>
          </w:divBdr>
          <w:divsChild>
            <w:div w:id="1751151524">
              <w:marLeft w:val="0"/>
              <w:marRight w:val="0"/>
              <w:marTop w:val="0"/>
              <w:marBottom w:val="0"/>
              <w:divBdr>
                <w:top w:val="none" w:sz="0" w:space="0" w:color="auto"/>
                <w:left w:val="none" w:sz="0" w:space="0" w:color="auto"/>
                <w:bottom w:val="none" w:sz="0" w:space="0" w:color="auto"/>
                <w:right w:val="none" w:sz="0" w:space="0" w:color="auto"/>
              </w:divBdr>
              <w:divsChild>
                <w:div w:id="316570131">
                  <w:marLeft w:val="0"/>
                  <w:marRight w:val="0"/>
                  <w:marTop w:val="0"/>
                  <w:marBottom w:val="0"/>
                  <w:divBdr>
                    <w:top w:val="none" w:sz="0" w:space="0" w:color="auto"/>
                    <w:left w:val="none" w:sz="0" w:space="0" w:color="auto"/>
                    <w:bottom w:val="none" w:sz="0" w:space="0" w:color="auto"/>
                    <w:right w:val="none" w:sz="0" w:space="0" w:color="auto"/>
                  </w:divBdr>
                  <w:divsChild>
                    <w:div w:id="1321040848">
                      <w:marLeft w:val="0"/>
                      <w:marRight w:val="0"/>
                      <w:marTop w:val="0"/>
                      <w:marBottom w:val="0"/>
                      <w:divBdr>
                        <w:top w:val="none" w:sz="0" w:space="0" w:color="auto"/>
                        <w:left w:val="none" w:sz="0" w:space="0" w:color="auto"/>
                        <w:bottom w:val="none" w:sz="0" w:space="0" w:color="auto"/>
                        <w:right w:val="none" w:sz="0" w:space="0" w:color="auto"/>
                      </w:divBdr>
                      <w:divsChild>
                        <w:div w:id="128790743">
                          <w:marLeft w:val="0"/>
                          <w:marRight w:val="0"/>
                          <w:marTop w:val="0"/>
                          <w:marBottom w:val="0"/>
                          <w:divBdr>
                            <w:top w:val="none" w:sz="0" w:space="0" w:color="auto"/>
                            <w:left w:val="none" w:sz="0" w:space="0" w:color="auto"/>
                            <w:bottom w:val="none" w:sz="0" w:space="0" w:color="auto"/>
                            <w:right w:val="none" w:sz="0" w:space="0" w:color="auto"/>
                          </w:divBdr>
                          <w:divsChild>
                            <w:div w:id="1952587121">
                              <w:marLeft w:val="0"/>
                              <w:marRight w:val="0"/>
                              <w:marTop w:val="0"/>
                              <w:marBottom w:val="0"/>
                              <w:divBdr>
                                <w:top w:val="none" w:sz="0" w:space="0" w:color="auto"/>
                                <w:left w:val="none" w:sz="0" w:space="0" w:color="auto"/>
                                <w:bottom w:val="none" w:sz="0" w:space="0" w:color="auto"/>
                                <w:right w:val="none" w:sz="0" w:space="0" w:color="auto"/>
                              </w:divBdr>
                              <w:divsChild>
                                <w:div w:id="741683190">
                                  <w:marLeft w:val="0"/>
                                  <w:marRight w:val="0"/>
                                  <w:marTop w:val="0"/>
                                  <w:marBottom w:val="0"/>
                                  <w:divBdr>
                                    <w:top w:val="none" w:sz="0" w:space="0" w:color="auto"/>
                                    <w:left w:val="none" w:sz="0" w:space="0" w:color="auto"/>
                                    <w:bottom w:val="none" w:sz="0" w:space="0" w:color="auto"/>
                                    <w:right w:val="none" w:sz="0" w:space="0" w:color="auto"/>
                                  </w:divBdr>
                                  <w:divsChild>
                                    <w:div w:id="16683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alters.Bolevics@pkc.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9179C8-9A39-4FCA-AF00-0B7F483B3564}">
  <ds:schemaRefs>
    <ds:schemaRef ds:uri="http://www.w3.org/XML/1998/namespace"/>
    <ds:schemaRef ds:uri="2e5bb04e-596e-45bd-9003-43ca78b1ba16"/>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557EECCD-AC77-40D0-9138-4A565895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8537</Characters>
  <Application>Microsoft Office Word</Application>
  <DocSecurity>0</DocSecurity>
  <Lines>71</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Gada pārskatu likumā"</vt:lpstr>
      <vt:lpstr>Likumprojekta „Grozījumi Gada pārskatu likumā"</vt:lpstr>
    </vt:vector>
  </TitlesOfParts>
  <Manager>Māra Čakste</Manager>
  <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Gada pārskatu likumā"</dc:title>
  <dc:subject>Anotācija</dc:subject>
  <dc:creator>Dina Šaknere</dc:creator>
  <dc:description>Dina.Saknere@fm.gov.lv_x000d_
67095618</dc:description>
  <cp:lastModifiedBy>Ināra Laure</cp:lastModifiedBy>
  <cp:revision>3</cp:revision>
  <cp:lastPrinted>2015-03-06T11:29:00Z</cp:lastPrinted>
  <dcterms:created xsi:type="dcterms:W3CDTF">2015-03-06T12:31:00Z</dcterms:created>
  <dcterms:modified xsi:type="dcterms:W3CDTF">2015-03-06T13:01:00Z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