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C104C" w14:textId="77777777" w:rsidR="00265120" w:rsidRPr="00104462" w:rsidRDefault="00265120" w:rsidP="00265120">
      <w:pPr>
        <w:pStyle w:val="tv2121"/>
        <w:spacing w:before="0" w:line="240" w:lineRule="auto"/>
        <w:rPr>
          <w:rFonts w:ascii="Times New Roman" w:hAnsi="Times New Roman"/>
          <w:sz w:val="24"/>
          <w:szCs w:val="28"/>
        </w:rPr>
      </w:pPr>
      <w:bookmarkStart w:id="0" w:name="372832"/>
      <w:r w:rsidRPr="00104462">
        <w:rPr>
          <w:rFonts w:ascii="Times New Roman" w:hAnsi="Times New Roman"/>
          <w:sz w:val="24"/>
          <w:szCs w:val="28"/>
        </w:rPr>
        <w:t xml:space="preserve">Ministru kabineta noteikumu projekta </w:t>
      </w:r>
    </w:p>
    <w:p w14:paraId="45C9FD6A" w14:textId="6E9C9CC9" w:rsidR="00265120" w:rsidRPr="00104462" w:rsidRDefault="00265120" w:rsidP="00265120">
      <w:pPr>
        <w:pStyle w:val="tv2121"/>
        <w:spacing w:before="0" w:line="240" w:lineRule="auto"/>
        <w:rPr>
          <w:rFonts w:ascii="Times New Roman" w:hAnsi="Times New Roman"/>
          <w:sz w:val="24"/>
          <w:szCs w:val="28"/>
        </w:rPr>
      </w:pPr>
      <w:r w:rsidRPr="00104462">
        <w:rPr>
          <w:rFonts w:ascii="Times New Roman" w:hAnsi="Times New Roman"/>
          <w:sz w:val="24"/>
          <w:szCs w:val="28"/>
        </w:rPr>
        <w:t>„Kārtība, kādā nosaka un kompensē ar sabiedriskā transporta pakalpojumu sniegšanu saistītos zaudējumus un izdevumus un nosaka sabiedriskā transporta pakalpojuma tarifu” sākotnējās ietekmes novērtējuma ziņojums (anotācija)</w:t>
      </w:r>
      <w:bookmarkEnd w:id="0"/>
    </w:p>
    <w:p w14:paraId="710BA21F" w14:textId="77777777" w:rsidR="00265120" w:rsidRDefault="00265120" w:rsidP="00265120">
      <w:pPr>
        <w:pStyle w:val="naisf"/>
        <w:spacing w:before="0" w:after="0"/>
        <w:jc w:val="right"/>
        <w:rPr>
          <w:sz w:val="28"/>
          <w:szCs w:val="28"/>
        </w:rPr>
      </w:pPr>
    </w:p>
    <w:p w14:paraId="390D814C" w14:textId="77777777" w:rsidR="00AE2831" w:rsidRPr="002A1C57" w:rsidRDefault="00AE2831" w:rsidP="00265120">
      <w:pPr>
        <w:pStyle w:val="naisf"/>
        <w:spacing w:before="0" w:after="0"/>
        <w:jc w:val="right"/>
        <w:rPr>
          <w:sz w:val="28"/>
          <w:szCs w:val="28"/>
        </w:rPr>
      </w:pPr>
    </w:p>
    <w:tbl>
      <w:tblPr>
        <w:tblpPr w:leftFromText="180" w:rightFromText="180" w:vertAnchor="text" w:horzAnchor="margin" w:tblpXSpec="center" w:tblpY="149"/>
        <w:tblW w:w="53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0"/>
        <w:gridCol w:w="2976"/>
        <w:gridCol w:w="6238"/>
      </w:tblGrid>
      <w:tr w:rsidR="00265120" w:rsidRPr="00B63299" w14:paraId="459F4B87" w14:textId="77777777" w:rsidTr="00265120">
        <w:trPr>
          <w:trHeight w:val="419"/>
        </w:trPr>
        <w:tc>
          <w:tcPr>
            <w:tcW w:w="5000" w:type="pct"/>
            <w:gridSpan w:val="3"/>
            <w:vAlign w:val="center"/>
          </w:tcPr>
          <w:p w14:paraId="66577E90" w14:textId="77777777" w:rsidR="00265120" w:rsidRPr="00B63299" w:rsidRDefault="00265120" w:rsidP="00C3136D">
            <w:pPr>
              <w:pStyle w:val="naisnod"/>
              <w:spacing w:before="0" w:beforeAutospacing="0" w:after="0" w:afterAutospacing="0"/>
              <w:ind w:left="57" w:right="57"/>
              <w:jc w:val="center"/>
              <w:rPr>
                <w:b/>
              </w:rPr>
            </w:pPr>
            <w:r w:rsidRPr="00B63299">
              <w:rPr>
                <w:b/>
              </w:rPr>
              <w:t>I. Tiesību akta projekta izstrādes nepieciešamība</w:t>
            </w:r>
          </w:p>
        </w:tc>
      </w:tr>
      <w:tr w:rsidR="005B5991" w:rsidRPr="00B63299" w14:paraId="59B00EAA" w14:textId="77777777" w:rsidTr="00265120">
        <w:trPr>
          <w:trHeight w:val="415"/>
        </w:trPr>
        <w:tc>
          <w:tcPr>
            <w:tcW w:w="223" w:type="pct"/>
          </w:tcPr>
          <w:p w14:paraId="0B21657E" w14:textId="77777777" w:rsidR="00265120" w:rsidRPr="00B63299" w:rsidRDefault="00265120" w:rsidP="00265120">
            <w:pPr>
              <w:pStyle w:val="naiskr"/>
              <w:spacing w:before="0" w:after="0"/>
              <w:ind w:left="57" w:right="57"/>
              <w:jc w:val="center"/>
            </w:pPr>
            <w:r w:rsidRPr="00B63299">
              <w:t>1.</w:t>
            </w:r>
          </w:p>
        </w:tc>
        <w:tc>
          <w:tcPr>
            <w:tcW w:w="1543" w:type="pct"/>
          </w:tcPr>
          <w:p w14:paraId="1B3F5862" w14:textId="77777777" w:rsidR="00265120" w:rsidRPr="00B63299" w:rsidRDefault="00265120" w:rsidP="00265120">
            <w:pPr>
              <w:pStyle w:val="naiskr"/>
              <w:spacing w:before="0" w:after="0"/>
              <w:ind w:left="57" w:right="57"/>
            </w:pPr>
            <w:r w:rsidRPr="00B63299">
              <w:t>Pamatojums</w:t>
            </w:r>
          </w:p>
        </w:tc>
        <w:tc>
          <w:tcPr>
            <w:tcW w:w="3234" w:type="pct"/>
          </w:tcPr>
          <w:p w14:paraId="682E779F" w14:textId="66083044" w:rsidR="00265120" w:rsidRPr="00B63299" w:rsidRDefault="00265120" w:rsidP="00265120">
            <w:pPr>
              <w:jc w:val="both"/>
            </w:pPr>
            <w:r w:rsidRPr="00B63299">
              <w:t xml:space="preserve">Sabiedriskā transporta pakalpojumu likuma </w:t>
            </w:r>
            <w:r w:rsidR="00F555C7" w:rsidRPr="00B63299">
              <w:t>5.panta trešās daļas 4.punkts, 11.</w:t>
            </w:r>
            <w:r w:rsidRPr="00B63299">
              <w:t>panta pirmā</w:t>
            </w:r>
            <w:r w:rsidR="00F555C7" w:rsidRPr="00B63299">
              <w:t xml:space="preserve"> un otrā</w:t>
            </w:r>
            <w:r w:rsidRPr="00B63299">
              <w:t xml:space="preserve"> daļa</w:t>
            </w:r>
            <w:r w:rsidR="00F555C7" w:rsidRPr="00B63299">
              <w:t>, 12.panta trešā daļa</w:t>
            </w:r>
            <w:r w:rsidRPr="00B63299">
              <w:t xml:space="preserve"> un </w:t>
            </w:r>
            <w:r w:rsidR="00F555C7" w:rsidRPr="00B63299">
              <w:t xml:space="preserve">16.panta otrā daļa </w:t>
            </w:r>
            <w:r w:rsidR="008B15E1" w:rsidRPr="00B63299">
              <w:t xml:space="preserve">un </w:t>
            </w:r>
            <w:r w:rsidRPr="00B63299">
              <w:t xml:space="preserve">Ministru kabineta 2014.gada 13. maija </w:t>
            </w:r>
            <w:proofErr w:type="spellStart"/>
            <w:r w:rsidRPr="00B63299">
              <w:t>protokollēmuma</w:t>
            </w:r>
            <w:proofErr w:type="spellEnd"/>
            <w:r w:rsidRPr="00B63299">
              <w:t xml:space="preserve"> 4.punkts (Ministru kabineta sēdes protokols Nr.28 26§).</w:t>
            </w:r>
          </w:p>
        </w:tc>
      </w:tr>
      <w:tr w:rsidR="005B5991" w:rsidRPr="00B63299" w14:paraId="04DB5611" w14:textId="77777777" w:rsidTr="00265120">
        <w:trPr>
          <w:trHeight w:val="472"/>
        </w:trPr>
        <w:tc>
          <w:tcPr>
            <w:tcW w:w="223" w:type="pct"/>
          </w:tcPr>
          <w:p w14:paraId="522F6BEB" w14:textId="77777777" w:rsidR="00265120" w:rsidRPr="00B63299" w:rsidRDefault="00265120" w:rsidP="00265120">
            <w:pPr>
              <w:pStyle w:val="naiskr"/>
              <w:spacing w:before="0" w:after="0"/>
              <w:ind w:left="57" w:right="57"/>
              <w:jc w:val="center"/>
            </w:pPr>
            <w:r w:rsidRPr="00B63299">
              <w:t>2.</w:t>
            </w:r>
          </w:p>
        </w:tc>
        <w:tc>
          <w:tcPr>
            <w:tcW w:w="1543" w:type="pct"/>
          </w:tcPr>
          <w:p w14:paraId="004C0040" w14:textId="166D2A80" w:rsidR="00E20931" w:rsidRPr="00B63299" w:rsidRDefault="00265120" w:rsidP="00265120">
            <w:pPr>
              <w:pStyle w:val="naiskr"/>
              <w:tabs>
                <w:tab w:val="left" w:pos="170"/>
              </w:tabs>
              <w:spacing w:before="0" w:after="0"/>
              <w:ind w:left="57" w:right="57"/>
            </w:pPr>
            <w:r w:rsidRPr="00B63299">
              <w:t>Pašreizējā situācija un problēmas, kuru risināšanai tiesību akta projekts izstrādāts, tiesiskā regulējuma mērķis un būtība</w:t>
            </w:r>
          </w:p>
          <w:p w14:paraId="043C61C1" w14:textId="77777777" w:rsidR="00E20931" w:rsidRPr="00B63299" w:rsidRDefault="00E20931" w:rsidP="00E20931"/>
          <w:p w14:paraId="6D0C7C96" w14:textId="77777777" w:rsidR="00E20931" w:rsidRPr="00B63299" w:rsidRDefault="00E20931" w:rsidP="00E20931"/>
          <w:p w14:paraId="11EB3598" w14:textId="77777777" w:rsidR="00E20931" w:rsidRPr="00B63299" w:rsidRDefault="00E20931" w:rsidP="00E20931"/>
          <w:p w14:paraId="7F6CFC64" w14:textId="77777777" w:rsidR="00E20931" w:rsidRPr="00B63299" w:rsidRDefault="00E20931" w:rsidP="00E20931"/>
          <w:p w14:paraId="21D600A4" w14:textId="77777777" w:rsidR="00E20931" w:rsidRPr="00B63299" w:rsidRDefault="00E20931" w:rsidP="00E20931"/>
          <w:p w14:paraId="12A7AD8A" w14:textId="77777777" w:rsidR="00E20931" w:rsidRPr="00B63299" w:rsidRDefault="00E20931" w:rsidP="00E20931"/>
          <w:p w14:paraId="715FFDEE" w14:textId="77777777" w:rsidR="00E20931" w:rsidRPr="00B63299" w:rsidRDefault="00E20931" w:rsidP="00E20931"/>
          <w:p w14:paraId="5AB24D04" w14:textId="77777777" w:rsidR="00E20931" w:rsidRPr="00B63299" w:rsidRDefault="00E20931" w:rsidP="00E20931"/>
          <w:p w14:paraId="3E1A3A6C" w14:textId="77777777" w:rsidR="00E20931" w:rsidRPr="00B63299" w:rsidRDefault="00E20931" w:rsidP="00E20931"/>
          <w:p w14:paraId="27A96D1B" w14:textId="77777777" w:rsidR="00E20931" w:rsidRPr="00B63299" w:rsidRDefault="00E20931" w:rsidP="00E20931"/>
          <w:p w14:paraId="7A3A4C5A" w14:textId="77777777" w:rsidR="00E20931" w:rsidRPr="00B63299" w:rsidRDefault="00E20931" w:rsidP="00E20931"/>
          <w:p w14:paraId="152F82BA" w14:textId="77777777" w:rsidR="00E20931" w:rsidRPr="00B63299" w:rsidRDefault="00E20931" w:rsidP="00E20931"/>
          <w:p w14:paraId="75041D74" w14:textId="5AB6C5C7" w:rsidR="00E20931" w:rsidRPr="00B63299" w:rsidRDefault="00E20931" w:rsidP="00E20931"/>
          <w:p w14:paraId="30CE4394" w14:textId="77777777" w:rsidR="00265120" w:rsidRPr="00B63299" w:rsidRDefault="00265120" w:rsidP="00E20931">
            <w:pPr>
              <w:jc w:val="center"/>
            </w:pPr>
          </w:p>
        </w:tc>
        <w:tc>
          <w:tcPr>
            <w:tcW w:w="3234" w:type="pct"/>
          </w:tcPr>
          <w:p w14:paraId="7EB23D9C" w14:textId="086BFC8E" w:rsidR="00265120" w:rsidRPr="00B63299" w:rsidRDefault="00265120" w:rsidP="00265120">
            <w:pPr>
              <w:jc w:val="both"/>
            </w:pPr>
            <w:r w:rsidRPr="00B63299">
              <w:t xml:space="preserve">Eiropas Parlamenta un Padomes Regulas (EK) Nr. 1370/2007 (2007.gada 23.oktobris) par sabiedriskā pasažieru transporta pakalpojumiem, izmantojot dzelzceļu un autoceļus (turpmāk – Regula) 4.panta 1.punkta b) apakšpunktā ir paredzēts, ka pakalpojumu valsts līgumos un vispārējos noteikumos </w:t>
            </w:r>
            <w:r w:rsidRPr="00B63299">
              <w:rPr>
                <w:u w:val="single"/>
              </w:rPr>
              <w:t>iepriekš objektīvi un pārredzami jābūt noteiktiem parametriem kompensācijas maksājumu aprēķināšanai.</w:t>
            </w:r>
          </w:p>
          <w:p w14:paraId="16F289E1" w14:textId="5E4EE90C" w:rsidR="005006E5" w:rsidRPr="00B63299" w:rsidRDefault="005006E5" w:rsidP="003C6826">
            <w:pPr>
              <w:jc w:val="both"/>
            </w:pPr>
            <w:r w:rsidRPr="00B63299">
              <w:t>Spēkā esošie</w:t>
            </w:r>
            <w:r w:rsidR="00265120" w:rsidRPr="00B63299">
              <w:t xml:space="preserve"> 2012.gada 15.maija Ministru kabineta noteikum</w:t>
            </w:r>
            <w:r w:rsidRPr="00B63299">
              <w:t>i</w:t>
            </w:r>
            <w:r w:rsidR="00265120" w:rsidRPr="00B63299">
              <w:t xml:space="preserve"> Nr.341 "Kārtība, kādā nosaka un kompensē ar sabiedriskā transporta pakalpojumu sniegšanu saistītos zaudējumus un izdevumus un nosaka sabiedriskā transporta pakalpojuma tarifu</w:t>
            </w:r>
            <w:hyperlink r:id="rId9" w:tgtFrame="_blank" w:history="1"/>
            <w:r w:rsidR="00265120" w:rsidRPr="00B63299">
              <w:t xml:space="preserve">" (turpmāk tekstā- MK noteikumi Nr.341) </w:t>
            </w:r>
            <w:r w:rsidRPr="00B63299">
              <w:t xml:space="preserve">paredz, ka no valsts budžetā šim mērķim paredzētajiem līdzekļiem pārvadātājam sedz: </w:t>
            </w:r>
          </w:p>
          <w:p w14:paraId="71A03681" w14:textId="0C73092E" w:rsidR="005006E5" w:rsidRPr="00B63299" w:rsidRDefault="005006E5" w:rsidP="003C6826">
            <w:pPr>
              <w:ind w:firstLine="720"/>
              <w:jc w:val="both"/>
            </w:pPr>
            <w:r w:rsidRPr="00B63299">
              <w:t>1) zaudējumus, kas radušies, ja ar sabiedriskā transporta pakalpojumu pasūtījuma līguma izpildi saistītās nepieciešamās izmaksas pārsniedz gūtos ieņēmumus</w:t>
            </w:r>
            <w:r w:rsidR="00425FD7">
              <w:t>,</w:t>
            </w:r>
            <w:r w:rsidRPr="00B63299">
              <w:t xml:space="preserve"> pieskaitot peļņas apmēru (turpmāk </w:t>
            </w:r>
            <w:r w:rsidR="00396D8B" w:rsidRPr="00B63299">
              <w:t xml:space="preserve">– </w:t>
            </w:r>
            <w:r w:rsidRPr="00B63299">
              <w:t>kompensācija). Peļņas apmēru nosaka, no biļešu (tai skaitā abonementa biļešu un bagāžas biļešu) pārdošanas gūto ieņēmumu summu reizinot ar peļņas procentu, ko aprēķina, summējot 2,5% un Eiropas starpbanku tirgus likmes EURIBOR pārskata (kalendāra) gada 12 mēnešu vidējo vērtību procentos.</w:t>
            </w:r>
          </w:p>
          <w:p w14:paraId="2A57F4CA" w14:textId="77777777" w:rsidR="005006E5" w:rsidRPr="00B63299" w:rsidRDefault="005006E5" w:rsidP="005006E5">
            <w:pPr>
              <w:ind w:firstLine="720"/>
              <w:jc w:val="both"/>
            </w:pPr>
            <w:r w:rsidRPr="00B63299">
              <w:t>2) nesaņemtos ieņēmumus par tādu pasažieru pārvadāšanu, kuriem saskaņā ar normatīvajiem aktiem par pasažieru kategorijām, kuras ir tiesīgas izmantot braukšanas maksas atvieglojumus, noteikti braukšanas maksas atvieglojumi reģionālās nozīmes maršrutos.</w:t>
            </w:r>
          </w:p>
          <w:p w14:paraId="0B56C207" w14:textId="77777777" w:rsidR="002A46D9" w:rsidRPr="00B63299" w:rsidRDefault="008B15E1" w:rsidP="00AE2831">
            <w:pPr>
              <w:jc w:val="both"/>
            </w:pPr>
            <w:r w:rsidRPr="00B63299">
              <w:t>Aprēķinot zaudējumu apmēru, pasūtītājs nosaka p</w:t>
            </w:r>
            <w:r w:rsidR="00265120" w:rsidRPr="00B63299">
              <w:t xml:space="preserve">ārvadātājam maksimālo kompensējamo izmaksu </w:t>
            </w:r>
            <w:r w:rsidR="007653BE" w:rsidRPr="00B63299">
              <w:t xml:space="preserve">apmēru, kur </w:t>
            </w:r>
            <w:r w:rsidR="00265120" w:rsidRPr="00B63299">
              <w:t>noteikšanas gadījumā katra pārvadātāja aprēķinātā viena kilometra pašizmaksa tiek salīdzināta ar vidējo svērto koriģēto viena kilometra pašizmaksu pasūtītāja maršrutu</w:t>
            </w:r>
            <w:r w:rsidR="007653BE" w:rsidRPr="00B63299">
              <w:t xml:space="preserve"> tīkla pārvadātājiem, tādējādi</w:t>
            </w:r>
            <w:r w:rsidR="00265120" w:rsidRPr="00B63299">
              <w:t xml:space="preserve"> </w:t>
            </w:r>
            <w:r w:rsidR="007653BE" w:rsidRPr="00B63299">
              <w:t>tiek salīdzināt</w:t>
            </w:r>
            <w:r w:rsidR="00DC28F7" w:rsidRPr="00B63299">
              <w:t xml:space="preserve">i </w:t>
            </w:r>
            <w:r w:rsidR="00265120" w:rsidRPr="00B63299">
              <w:t xml:space="preserve">reģionālie starppilsētu pārvadātāji ar reģionālajiem starppilsētu pārvadātājiem, bet reģionālie vietējie </w:t>
            </w:r>
            <w:r w:rsidR="00265120" w:rsidRPr="00B63299">
              <w:lastRenderedPageBreak/>
              <w:t xml:space="preserve">pārvadātāji ar sava reģiona reģionālajiem vietējiem pārvadātājiem (skat. MK noteikumu Nr.341 1.pielikuma 1.punktu). </w:t>
            </w:r>
          </w:p>
          <w:p w14:paraId="1A5E3573" w14:textId="77777777" w:rsidR="00265120" w:rsidRPr="00B63299" w:rsidRDefault="00265120" w:rsidP="00AE2831">
            <w:pPr>
              <w:jc w:val="both"/>
            </w:pPr>
            <w:r w:rsidRPr="00B63299">
              <w:t xml:space="preserve">Spēkā </w:t>
            </w:r>
            <w:r w:rsidR="002A46D9" w:rsidRPr="00B63299">
              <w:t>esošās kārtības piemērošana</w:t>
            </w:r>
            <w:r w:rsidR="005006E5" w:rsidRPr="00B63299">
              <w:t xml:space="preserve"> praksē </w:t>
            </w:r>
            <w:r w:rsidR="002A46D9" w:rsidRPr="00B63299">
              <w:t>identificēja</w:t>
            </w:r>
            <w:r w:rsidR="005006E5" w:rsidRPr="00B63299">
              <w:t xml:space="preserve"> sekojošas nepilnības:</w:t>
            </w:r>
          </w:p>
          <w:p w14:paraId="2B354B61" w14:textId="77777777" w:rsidR="00265120" w:rsidRPr="00B63299" w:rsidRDefault="00265120" w:rsidP="00DC28F7">
            <w:pPr>
              <w:ind w:firstLine="707"/>
              <w:jc w:val="both"/>
            </w:pPr>
            <w:r w:rsidRPr="00B63299">
              <w:t xml:space="preserve">1) pārvadātāji tiek sadalīti pēc teritorijām, kas dotajā brīdī rada nepilnīgus nosacījumus uzņēmumu </w:t>
            </w:r>
            <w:r w:rsidR="00DC28F7" w:rsidRPr="00B63299">
              <w:t xml:space="preserve">izmaksu </w:t>
            </w:r>
            <w:r w:rsidRPr="00B63299">
              <w:t>salīdzināšanā;</w:t>
            </w:r>
          </w:p>
          <w:p w14:paraId="36999078" w14:textId="77777777" w:rsidR="007B0EE8" w:rsidRPr="00B63299" w:rsidRDefault="00265120" w:rsidP="00DC28F7">
            <w:pPr>
              <w:ind w:firstLine="707"/>
              <w:jc w:val="both"/>
            </w:pPr>
            <w:r w:rsidRPr="00B63299">
              <w:t>2) pārvadātājiem nav zināmi un paredzami maksājumi nepietiekama finansējuma un novēlotu aprēķinu apstākļos;</w:t>
            </w:r>
          </w:p>
          <w:p w14:paraId="3C482954" w14:textId="55FE35C1" w:rsidR="00265120" w:rsidRPr="00B63299" w:rsidRDefault="00265120" w:rsidP="00DC28F7">
            <w:pPr>
              <w:ind w:firstLine="707"/>
              <w:jc w:val="both"/>
            </w:pPr>
            <w:r w:rsidRPr="00B63299">
              <w:t>3)</w:t>
            </w:r>
            <w:r w:rsidR="005006E5" w:rsidRPr="00B63299">
              <w:t xml:space="preserve"> katram gadam plānotais budžeta apjoms esošajam sabiedriskā transporta pakalpojumu maršrutu tīklam tiek apstiprināts bez izvērsta ekonomiska pamatojuma, tād</w:t>
            </w:r>
            <w:r w:rsidR="00425FD7">
              <w:t>ē</w:t>
            </w:r>
            <w:r w:rsidR="005006E5" w:rsidRPr="00B63299">
              <w:t>jādi neveicinot atbilstošu budžeta plānošanu un radot pastāvīgu spriedzi sabiedriskā transporta nozarē</w:t>
            </w:r>
            <w:r w:rsidR="002A46D9" w:rsidRPr="00B63299">
              <w:t xml:space="preserve"> gan budžeta izpildītājiem, gan sadarbības partneriem (pārvadātājiem)</w:t>
            </w:r>
            <w:r w:rsidR="005006E5" w:rsidRPr="00B63299">
              <w:t>;</w:t>
            </w:r>
          </w:p>
          <w:p w14:paraId="37665E46" w14:textId="77777777" w:rsidR="00265120" w:rsidRPr="00B63299" w:rsidRDefault="005006E5" w:rsidP="00DC28F7">
            <w:pPr>
              <w:ind w:firstLine="707"/>
              <w:jc w:val="both"/>
            </w:pPr>
            <w:r w:rsidRPr="00B63299">
              <w:t xml:space="preserve">4) </w:t>
            </w:r>
            <w:r w:rsidR="002A46D9" w:rsidRPr="00B63299">
              <w:t>s</w:t>
            </w:r>
            <w:r w:rsidRPr="00B63299">
              <w:t xml:space="preserve">pēkā esošajos MK noteikumos Nr.341 ir paredzēta nepilnīga metodoloģija valsts budžeta līdzekļu pieprasījuma veidošanai, kā arī nav paredzēta metodoloģija, kā tiek sabalansēti pieejami valsts budžeta līdzekļi ar izpildāmo sabiedriskā transporta pakalpojumu apjomu. </w:t>
            </w:r>
          </w:p>
          <w:p w14:paraId="6D3B6657" w14:textId="77777777" w:rsidR="00DC28F7" w:rsidRPr="00B63299" w:rsidRDefault="00DC28F7" w:rsidP="00AE2831">
            <w:pPr>
              <w:jc w:val="both"/>
            </w:pPr>
            <w:r w:rsidRPr="00B63299">
              <w:t xml:space="preserve">Par plānotā </w:t>
            </w:r>
            <w:r w:rsidR="00274BD1" w:rsidRPr="00B63299">
              <w:t xml:space="preserve">un piešķirtā </w:t>
            </w:r>
            <w:r w:rsidRPr="00B63299">
              <w:t xml:space="preserve">valsts budžeta līdzekļu atbilstību </w:t>
            </w:r>
            <w:r w:rsidR="00274BD1" w:rsidRPr="00B63299">
              <w:t xml:space="preserve">sabiedriskā transporta pakalpojumu </w:t>
            </w:r>
            <w:r w:rsidRPr="00B63299">
              <w:t xml:space="preserve">pasūtījuma </w:t>
            </w:r>
            <w:r w:rsidR="00274BD1" w:rsidRPr="00B63299">
              <w:t>apjomam tika norādīts arī Valsts kontroles revīzijas lietā Nr.5.1-2-11-6/2013.</w:t>
            </w:r>
          </w:p>
          <w:p w14:paraId="1AD1F951" w14:textId="4E68FC30" w:rsidR="002A46D9" w:rsidRPr="00B63299" w:rsidRDefault="002A46D9" w:rsidP="00AE2831">
            <w:pPr>
              <w:jc w:val="both"/>
            </w:pPr>
            <w:r w:rsidRPr="00B63299">
              <w:t>Sabiedriskā transporta pakalpojuma likum</w:t>
            </w:r>
            <w:r w:rsidR="00396D8B" w:rsidRPr="00B63299">
              <w:t>s</w:t>
            </w:r>
            <w:r w:rsidRPr="00B63299">
              <w:t xml:space="preserve"> paredz vairākus principus, pēc kuriem jāvadās pakalpojuma sniegšanas organizētājam. Sabiedriskā transporta pakalpojumu likuma 6.panta trešajā daļā noteikts, ka pakalpojumus organizē, pamatojoties gan uz sabiedriskā transporta pakalpojumu pieprasījumu (ievērojot nepieciešamo pārvadājumu intensitāti un regularitāti maršrutu tīklā, pakalpojumu apjomu un kvalitāti, pārvadājumu ekonomisko nodrošinājumu un paredzot pasažieru pārvadājumu organizēšanas veidu), gan sabiedrisko transportlīdzekļu izmantošanas prioritāti, ko nosaka pēc tādiem kritērijiem kā ekonomiskie rādītāji (piemēram, izdevumi, efektivitāte) un pasažieru plūsma.</w:t>
            </w:r>
            <w:r w:rsidRPr="00B63299">
              <w:rPr>
                <w:rStyle w:val="Strong"/>
              </w:rPr>
              <w:t xml:space="preserve"> </w:t>
            </w:r>
            <w:r w:rsidRPr="00B63299">
              <w:rPr>
                <w:rStyle w:val="Strong"/>
                <w:b w:val="0"/>
              </w:rPr>
              <w:t xml:space="preserve">Savukārt </w:t>
            </w:r>
            <w:r w:rsidR="00396D8B" w:rsidRPr="00B63299">
              <w:rPr>
                <w:rStyle w:val="Strong"/>
                <w:b w:val="0"/>
              </w:rPr>
              <w:t>6.</w:t>
            </w:r>
            <w:r w:rsidRPr="00B63299">
              <w:rPr>
                <w:rStyle w:val="Strong"/>
                <w:b w:val="0"/>
              </w:rPr>
              <w:t xml:space="preserve">panta ceturtajā daļā paredzēts, ka </w:t>
            </w:r>
            <w:r w:rsidRPr="00B63299">
              <w:t>maršrutu tīklu</w:t>
            </w:r>
            <w:r w:rsidRPr="00B63299">
              <w:rPr>
                <w:b/>
              </w:rPr>
              <w:t xml:space="preserve"> </w:t>
            </w:r>
            <w:r w:rsidRPr="00B63299">
              <w:t>veido, lai apmierinātu iedzīvotāju pieprasījumu pēc sabiedriskā transporta pakalpojumiem un nodrošinātu maršrutu tīklā iespēju apmeklēt izglītības iestādes, ārstniecības iestādes, darbavietas, valsts un pašvaldību institūcijas to normālajā (vispārpieņemtajā) darba laikā. Sabiedriskā transporta pakalpojumi ir organizējami, pamatojoties uz mainīgajiem rādītājiem, kurus pasūtītā</w:t>
            </w:r>
            <w:r w:rsidR="00FC5EAD">
              <w:t>ja</w:t>
            </w:r>
            <w:r w:rsidRPr="00B63299">
              <w:t xml:space="preserve">m nav iespējams iepriekš prognozēt, īpaši slēdzot ilgtermiņa līgumus. </w:t>
            </w:r>
          </w:p>
          <w:p w14:paraId="7CDBB7E6" w14:textId="14612347" w:rsidR="002A46D9" w:rsidRPr="00B63299" w:rsidRDefault="002A46D9" w:rsidP="00AE2831">
            <w:pPr>
              <w:jc w:val="both"/>
            </w:pPr>
            <w:r w:rsidRPr="00B63299">
              <w:t>MK</w:t>
            </w:r>
            <w:r w:rsidR="008B17FF" w:rsidRPr="00B63299">
              <w:t xml:space="preserve"> noteikumu projektā ietvertas precīzas sabiedriskā transporta pakalpojumu pasūtītāja (</w:t>
            </w:r>
            <w:r w:rsidR="00425FD7">
              <w:t>VSIA „</w:t>
            </w:r>
            <w:r w:rsidR="008B17FF" w:rsidRPr="00B63299">
              <w:t>Autotransporta direkcija</w:t>
            </w:r>
            <w:r w:rsidR="00425FD7">
              <w:t>”</w:t>
            </w:r>
            <w:r w:rsidR="004055A4">
              <w:t xml:space="preserve"> un republikas </w:t>
            </w:r>
            <w:proofErr w:type="spellStart"/>
            <w:r w:rsidR="004055A4">
              <w:t>pašva;dības</w:t>
            </w:r>
            <w:proofErr w:type="spellEnd"/>
            <w:r w:rsidR="008B17FF" w:rsidRPr="00B63299">
              <w:t xml:space="preserve">) un sabiedriskā transporta pakalpojumu organizētāja (Sabiedriskā transporta padomes) veicamo darbību apjoms </w:t>
            </w:r>
            <w:r w:rsidRPr="00B63299">
              <w:t xml:space="preserve">jau </w:t>
            </w:r>
            <w:r w:rsidR="008B17FF" w:rsidRPr="00B63299">
              <w:t>budžeta pieprasījuma sagatavošanas stadijā,</w:t>
            </w:r>
            <w:r w:rsidR="000F742C" w:rsidRPr="00B63299">
              <w:t xml:space="preserve"> kas ļaus veidot maršrutu tī</w:t>
            </w:r>
            <w:r w:rsidRPr="00B63299">
              <w:t xml:space="preserve">klam atbilstošu budžeta plānošanu un radīs </w:t>
            </w:r>
            <w:r w:rsidRPr="00B63299">
              <w:lastRenderedPageBreak/>
              <w:t xml:space="preserve">pārliecību sadarbības partneriem, ka valsts ir gatava pildīt savas uzņemtās saistības. MK noteikumu projektā tiek paredzētas pasūtītāja darbības gadījumos, kad </w:t>
            </w:r>
            <w:r w:rsidR="008B17FF" w:rsidRPr="00B63299">
              <w:t xml:space="preserve">apstiprinātais budžets nespēj nodrošināt Sabiedriskā transporta pakalpojumu likuma 6.panta ceturtajā daļā noteiktos sabiedriskā transporta pakalpojumu sniegšanas  </w:t>
            </w:r>
            <w:r w:rsidR="000F742C" w:rsidRPr="00B63299">
              <w:t xml:space="preserve">principus. MK </w:t>
            </w:r>
            <w:r w:rsidR="00274BD1" w:rsidRPr="00B63299">
              <w:t>n</w:t>
            </w:r>
            <w:r w:rsidRPr="00B63299">
              <w:t>oteikumu projektā iestrādātā kārtība ļaus budžeta izpildītājiem elastīgāk reaģēt uz izmaiņām pasūtāmajā pakalpojumu apjoma, jo pasūtāmais sabiedriskā transporta pakalpojumu apjoms primāri ir atkarīgs no šim mērķim iedalītajiem valsts budžeta līdzekļiem. Piemēram, pasažieru skaita samazinājums (palielinājums) nozīmē pieprasījuma pēc pakalpojumiem samazināšanos (palielināšanos), kā rezultātā no pakalpojumu pasūtītāja puses tiek samazināts (palielināts) pakalpojumu sniedzējam piešķirto tiesību apjoms. Analoģiski pasūtītājs rīkojas arī situācijās, kad valsts vai pašvaldību budžetā tiek samazināti sabiedriskā transporta izmaksu kompensēšanai paredzētie naudas līdzekļi. MK noteikumos paredzētā kārtība ļauj arī objektīvi īsā laikā reaģēt uz gadījumiem, kad notiek iepriekš neprognozējami valsts budžeta konsolidācijas pasākumi.</w:t>
            </w:r>
          </w:p>
          <w:p w14:paraId="142AE81F" w14:textId="6D931F6D" w:rsidR="001B3953" w:rsidRPr="00B63299" w:rsidRDefault="008B17FF" w:rsidP="00AE2831">
            <w:pPr>
              <w:jc w:val="both"/>
            </w:pPr>
            <w:r w:rsidRPr="00B63299">
              <w:t>Ar jauno tiesisko regulējumu tiek</w:t>
            </w:r>
            <w:r w:rsidR="00265120" w:rsidRPr="00B63299">
              <w:t xml:space="preserve"> paredzēts, ka</w:t>
            </w:r>
            <w:r w:rsidR="00624F15" w:rsidRPr="00B63299">
              <w:t xml:space="preserve"> kompensējamo zaudējumu aprēķināšanas vajadzībām, t.i., </w:t>
            </w:r>
            <w:r w:rsidR="00265120" w:rsidRPr="00B63299">
              <w:t>no valsts budžeta līdzekļiem kompensējamo izdevumu, kas saistīti ar sabiedriskā transporta pakalpojumu sniegšanu</w:t>
            </w:r>
            <w:r w:rsidR="00274BD1" w:rsidRPr="00B63299">
              <w:t xml:space="preserve"> pārvadājumos ar autobusiem</w:t>
            </w:r>
            <w:r w:rsidR="00265120" w:rsidRPr="00B63299">
              <w:t>, apjom</w:t>
            </w:r>
            <w:r w:rsidR="00624F15" w:rsidRPr="00B63299">
              <w:t>a noteikšanai</w:t>
            </w:r>
            <w:r w:rsidR="00265120" w:rsidRPr="00B63299">
              <w:t xml:space="preserve">, sabiedriskā transporta pakalpojumu līgumi tiek sadalīti grupās atbilstoši veiktajam nobraukumam maršrutu tīklā kalendārā gada </w:t>
            </w:r>
            <w:r w:rsidR="00265120" w:rsidRPr="004055A4">
              <w:t>ietvar</w:t>
            </w:r>
            <w:r w:rsidR="00425FD7" w:rsidRPr="004055A4">
              <w:t>os</w:t>
            </w:r>
            <w:r w:rsidR="00265120" w:rsidRPr="004055A4">
              <w:t xml:space="preserve">. </w:t>
            </w:r>
            <w:r w:rsidR="00624F15" w:rsidRPr="004055A4">
              <w:t xml:space="preserve">Analizējot </w:t>
            </w:r>
            <w:r w:rsidR="00624F15" w:rsidRPr="00B63299">
              <w:t xml:space="preserve">sabiedriskā transporta pakalpojumu sniedzēju pārvadājumos ar autobusiem datus, tika konstatēts, ka pie noteikta pārvadājumu apjoma izmaksu apjomi par 1 veikto kilometru ir samērā līdzīgi, tādējādi pastāv iespēja objektīvam salīdzinājumam. </w:t>
            </w:r>
            <w:r w:rsidR="001B3953" w:rsidRPr="00B63299">
              <w:t xml:space="preserve">Sniegto pakalpojumu apjomi kilometros tiek sadalīti trīs grupās, ņemot vērā faktiskā nobraukuma izkliedi. </w:t>
            </w:r>
            <w:r w:rsidR="00624F15" w:rsidRPr="00B63299">
              <w:t>Līdz ar to p</w:t>
            </w:r>
            <w:r w:rsidR="00265120" w:rsidRPr="00B63299">
              <w:t>ārvadātāja izdevumi tiks segti</w:t>
            </w:r>
            <w:r w:rsidR="00425FD7">
              <w:t>,</w:t>
            </w:r>
            <w:r w:rsidR="00265120" w:rsidRPr="00B63299">
              <w:t xml:space="preserve"> vadoties no ie</w:t>
            </w:r>
            <w:r w:rsidRPr="00B63299">
              <w:t xml:space="preserve">robežotajiem izmaksu grieztiem, t.i. pārvadātāja faktiskā pašizmaksa tiks salīdzināta </w:t>
            </w:r>
            <w:r w:rsidR="001B3953" w:rsidRPr="00B63299">
              <w:t xml:space="preserve">noteiktās </w:t>
            </w:r>
            <w:r w:rsidRPr="00B63299">
              <w:t>grupas ietvaros</w:t>
            </w:r>
            <w:r w:rsidR="00425FD7">
              <w:t>,</w:t>
            </w:r>
            <w:r w:rsidRPr="00B63299">
              <w:t xml:space="preserve"> un gadījumā, ja pārvadātāja faktiskā pašizmaksa atšķirsies no grupā vidējās pašizmaksa</w:t>
            </w:r>
            <w:r w:rsidR="001B3953" w:rsidRPr="00B63299">
              <w:t>s</w:t>
            </w:r>
            <w:r w:rsidRPr="00B63299">
              <w:t xml:space="preserve"> un pārvadātājs nespēs sniegt objektīvu pamatojumu pašizmaksas atšķirībām, pārvadātāja izmaksas tiks segtas grupas vidēj</w:t>
            </w:r>
            <w:r w:rsidR="001B3953" w:rsidRPr="00B63299">
              <w:t>ās</w:t>
            </w:r>
            <w:r w:rsidRPr="00B63299">
              <w:t xml:space="preserve"> </w:t>
            </w:r>
            <w:r w:rsidR="001B3953" w:rsidRPr="00B63299">
              <w:t>paš</w:t>
            </w:r>
            <w:r w:rsidRPr="00B63299">
              <w:t xml:space="preserve">izmaksas apmērā. Izmaksu salīdzināšana grupas ietvaros notiks arī pa </w:t>
            </w:r>
            <w:r w:rsidR="001B3953" w:rsidRPr="00B63299">
              <w:t>pārskatā par sabiedriskā transporta pakalpojumu peļņu vai zaudējumiem (MK noteikumu projekta 3.pielikums)</w:t>
            </w:r>
            <w:r w:rsidRPr="00B63299">
              <w:t xml:space="preserve"> ietvertaj</w:t>
            </w:r>
            <w:r w:rsidR="001B3953" w:rsidRPr="00B63299">
              <w:t>iem izmaksu posteņiem, tādē</w:t>
            </w:r>
            <w:r w:rsidRPr="00B63299">
              <w:t xml:space="preserve">jādi tiek panākta precīzāka uzņēmumu </w:t>
            </w:r>
            <w:r w:rsidR="001B3953" w:rsidRPr="00B63299">
              <w:t xml:space="preserve">izmaksu </w:t>
            </w:r>
            <w:r w:rsidRPr="00B63299">
              <w:t>salīdzināšana.</w:t>
            </w:r>
            <w:r w:rsidR="001B3953" w:rsidRPr="00B63299">
              <w:t xml:space="preserve"> Vienlaikus tiek precizēta MK noteikumu projekta 3.pielikuma </w:t>
            </w:r>
            <w:r w:rsidR="001B3953" w:rsidRPr="00B63299">
              <w:rPr>
                <w:i/>
              </w:rPr>
              <w:t>Pārskats par sabiedriskā transporta pakalpojumu peļņu vai zaudējumiem</w:t>
            </w:r>
            <w:r w:rsidR="001B3953" w:rsidRPr="00B63299">
              <w:t xml:space="preserve"> forma, lai detalizēti būtu iespējams salīdzināt uzņēmumu izmaksas arī no efektivitātes viedokļa, piemēram, uzņēmuma </w:t>
            </w:r>
            <w:r w:rsidR="00771A35" w:rsidRPr="00B63299">
              <w:t xml:space="preserve">saimnieciskās darbības atdeve sabiedriskā transporta pakalpojumu sniegšanā, iesaistot </w:t>
            </w:r>
            <w:r w:rsidR="001B3953" w:rsidRPr="00B63299">
              <w:t>struktūrvien</w:t>
            </w:r>
            <w:r w:rsidR="00771A35" w:rsidRPr="00B63299">
              <w:t>ības, vai ārpakalpojumu saņemšanas nepieciešamība.</w:t>
            </w:r>
            <w:r w:rsidR="00C3136D" w:rsidRPr="00B63299">
              <w:t xml:space="preserve"> </w:t>
            </w:r>
            <w:r w:rsidR="00F939EB" w:rsidRPr="00B63299">
              <w:t xml:space="preserve">Tāpat ir precizēti </w:t>
            </w:r>
            <w:r w:rsidR="00F939EB" w:rsidRPr="00B63299">
              <w:lastRenderedPageBreak/>
              <w:t xml:space="preserve">sabiedriskā transporta pakalpojumu sniedzēju pienākumi attiecībā uz grāmatvedības kārtošanas un organizācijas jautājumiem sabiedriskā transporta pakalpojumu sniegšanā, </w:t>
            </w:r>
            <w:r w:rsidR="007849D3" w:rsidRPr="00B63299">
              <w:t>tādejādi veicinot caurspīdīgākas izmaksu, kas attiecināmi uz sabiedriskā transporta pakalpojumu sniegšanu, uzskaites sistēmas izveidi</w:t>
            </w:r>
            <w:r w:rsidR="00F939EB" w:rsidRPr="00B63299">
              <w:t>,</w:t>
            </w:r>
            <w:r w:rsidR="007849D3" w:rsidRPr="00B63299">
              <w:t xml:space="preserve"> atvieglojot </w:t>
            </w:r>
            <w:r w:rsidR="00F939EB" w:rsidRPr="00B63299">
              <w:t xml:space="preserve"> kompensācijām paredzēto līdzekļu izmantošanas likumības, lie</w:t>
            </w:r>
            <w:r w:rsidR="007849D3" w:rsidRPr="00B63299">
              <w:t>tderības un pareizības pārbaudes veikšanu pārvadājumu uzņēmumos.</w:t>
            </w:r>
          </w:p>
          <w:p w14:paraId="4D17A096" w14:textId="1ACF8B7E" w:rsidR="00034569" w:rsidRPr="00B63299" w:rsidRDefault="00034569" w:rsidP="00AE2831">
            <w:pPr>
              <w:jc w:val="both"/>
            </w:pPr>
            <w:r w:rsidRPr="00B63299">
              <w:t xml:space="preserve">Ar MK noteikumu projektu tiek mainīta arī sabiedriskā transporta pakalpojumu sniedzēju izmaksu sadales metodika, precīzāk pārvadātāju uzņēmumu netiešo izmaksu jeb administrācijas izmaksu sadale. Ja līdzšinējā kārtība paredzēja, ka netiešās izmaksas, kas būtu attiecināmas uz sabiedriskā transporta pakalpojumu sniegšanu, tiek nodalītas no citas pārvadātāju uzņēmumu saimnieciskās darbības, proporcionāli pārvadātāja saņemtajiem ieņēmumiem, neņemot vērā valsts vai pašvaldības </w:t>
            </w:r>
            <w:r w:rsidR="00522DB3" w:rsidRPr="00B63299">
              <w:t>i</w:t>
            </w:r>
            <w:r w:rsidRPr="00B63299">
              <w:t xml:space="preserve">zmaksātās kompensācijas vai dotācijas, tad </w:t>
            </w:r>
            <w:r w:rsidR="00522DB3" w:rsidRPr="00B63299">
              <w:t xml:space="preserve">MK noteikumu projektā ir iestrādāts princips, ka </w:t>
            </w:r>
            <w:r w:rsidR="00E60EAE" w:rsidRPr="00B63299">
              <w:t xml:space="preserve">uz sabiedriskā transporta pakalpojumu sniegšanu attiecināmās </w:t>
            </w:r>
            <w:r w:rsidR="00522DB3" w:rsidRPr="00B63299">
              <w:t xml:space="preserve">netiešās izmaksas tiek dalītas proporcionāli </w:t>
            </w:r>
            <w:r w:rsidR="00E60EAE" w:rsidRPr="00B63299">
              <w:t>ieņēmumi</w:t>
            </w:r>
            <w:r w:rsidR="00425FD7">
              <w:t>em</w:t>
            </w:r>
            <w:r w:rsidR="00E60EAE" w:rsidRPr="00B63299">
              <w:t>, par kuriem minētajā gadījumā ir uzskatāmi no sabiedriskā transporta pakalpojumu sniegšanas gūtie ieņēmumi, tai skaitā arī nesaņemtie ieņēmumi par tādu pasažieru kategoriju pārvadāšanu, kurām ir noteikti braukšanas maksas atvieglojumi. Attiecīgās izmaiņas izmaksu sadalē rada ietekmi uz valsts un pašvaldību budžetiem.</w:t>
            </w:r>
          </w:p>
          <w:p w14:paraId="1E788498" w14:textId="77777777" w:rsidR="002A46D9" w:rsidRPr="00B63299" w:rsidRDefault="002A46D9" w:rsidP="00AE2831">
            <w:pPr>
              <w:ind w:left="71"/>
              <w:jc w:val="both"/>
              <w:rPr>
                <w:bCs/>
              </w:rPr>
            </w:pPr>
            <w:r w:rsidRPr="00B63299">
              <w:rPr>
                <w:bCs/>
              </w:rPr>
              <w:t xml:space="preserve">Saskaņā ar 2007.gada 23.oktobra Regulu Nr.1370/2007 par sabiedriskā pasažieru transporta pakalpojumiem, izmantojot dzelzceļu un autoceļus (preambulas 34.punkts, 4.panta 1.punkta b) apakšpunkts, pielikuma 2. un 6.punkts) kompensācijā par sabiedriskā transporta pakalpojumiem ir jāiekļauj </w:t>
            </w:r>
            <w:r w:rsidRPr="00B63299">
              <w:rPr>
                <w:bCs/>
                <w:u w:val="single"/>
              </w:rPr>
              <w:t>samērīga peļņa</w:t>
            </w:r>
            <w:r w:rsidRPr="00B63299">
              <w:rPr>
                <w:bCs/>
              </w:rPr>
              <w:t>.</w:t>
            </w:r>
          </w:p>
          <w:p w14:paraId="1083767E" w14:textId="06AD381C" w:rsidR="00E60EAE" w:rsidRPr="00B63299" w:rsidRDefault="0073434F" w:rsidP="00AE2831">
            <w:pPr>
              <w:jc w:val="both"/>
            </w:pPr>
            <w:r>
              <w:t>G</w:t>
            </w:r>
            <w:r w:rsidR="00E60EAE" w:rsidRPr="00B63299">
              <w:t>arantēt</w:t>
            </w:r>
            <w:r>
              <w:t>ās peļņas aprēķināšanas kārtība</w:t>
            </w:r>
            <w:r w:rsidR="00E60EAE" w:rsidRPr="00B63299">
              <w:t xml:space="preserve"> </w:t>
            </w:r>
            <w:r w:rsidR="00795482" w:rsidRPr="00B63299">
              <w:t>nosaka,</w:t>
            </w:r>
            <w:r w:rsidR="00E60EAE" w:rsidRPr="00B63299">
              <w:t xml:space="preserve"> ka peļņa </w:t>
            </w:r>
            <w:r>
              <w:t>tiek</w:t>
            </w:r>
            <w:r w:rsidR="00E60EAE" w:rsidRPr="00B63299">
              <w:t xml:space="preserve"> aprēķināta ņemot vērā divus galvenos paveiktā darba apjoma rādītājus – ieņēmumus un nobrauktos kilometrus, katram no tiem dodot 50% īpatsvara peļņas aprēķinā. </w:t>
            </w:r>
            <w:r w:rsidR="00795482" w:rsidRPr="00B63299">
              <w:t>Pārvadātājam izmaksājamās peļņas aprēķināšanas kārtība nosaka arī minimālo peļņas procenta likmes apmēra ierobežojumu. Saskaņā ar spēkā esošo tiesisko regulējumu un arī turpmāk peļņas aprēķins par pārskata (kalendāro) gadu tiek veikts reizi gadā, veicot gala norēķinu.</w:t>
            </w:r>
          </w:p>
          <w:p w14:paraId="1E6566E3" w14:textId="77777777" w:rsidR="00C3136D" w:rsidRPr="00B63299" w:rsidRDefault="00795482" w:rsidP="00AE2831">
            <w:pPr>
              <w:jc w:val="both"/>
            </w:pPr>
            <w:r w:rsidRPr="00B63299">
              <w:t xml:space="preserve">Ievērojot to, ka pašlaik noteiktais peļņas apmērs nerada pietiekamu </w:t>
            </w:r>
            <w:r w:rsidR="00C3136D" w:rsidRPr="00B63299">
              <w:t>atbalstu</w:t>
            </w:r>
            <w:r w:rsidRPr="00B63299">
              <w:t xml:space="preserve">, lai pārvadātāju uzņēmumi varētu atjaunot sabiedriskā transporta pakalpojumu sniegšanā iesaistīto tehniku (transportlīdzekļu parku), kā arī paaugstināt sabiedriskā transporta pakalpojumu sniegšanas kvalitāti, tad ar MK noteikumu projektu ir paredzēta pārejas kārtība, pakāpeniski  </w:t>
            </w:r>
            <w:r w:rsidR="00C3136D" w:rsidRPr="00B63299">
              <w:t>palielinot peļņas apmēru, nobraukto kilometru komponentes ietvarā</w:t>
            </w:r>
            <w:r w:rsidR="002A46D9" w:rsidRPr="00B63299">
              <w:t xml:space="preserve"> t.i., ar MK noteikumu projektu tiek paredzēts, ka ar 2015.gadu peļņas aprēķināšanai tiek piemērots </w:t>
            </w:r>
            <w:r w:rsidR="00C3136D" w:rsidRPr="00B63299">
              <w:t xml:space="preserve">nobraukuma </w:t>
            </w:r>
            <w:r w:rsidR="00C3136D" w:rsidRPr="00B63299">
              <w:lastRenderedPageBreak/>
              <w:t xml:space="preserve">reizinājums ar </w:t>
            </w:r>
            <w:r w:rsidR="002A46D9" w:rsidRPr="00B63299">
              <w:t>0,01 EUR, ar 2016.gadu peļņas aprēķināšanai tiek piemērots rādītājs</w:t>
            </w:r>
            <w:r w:rsidR="00C3136D" w:rsidRPr="00B63299">
              <w:t xml:space="preserve"> -</w:t>
            </w:r>
            <w:r w:rsidR="002A46D9" w:rsidRPr="00B63299">
              <w:t xml:space="preserve"> 0,02 EUR un ar 2017.gadu peļņas aprēķināšanai tiek piemērots rādītājs 0,03 EUR, kas tiek noteikts, lai vidējais peļņas procents atbilstu 2015.gadā aptuveni 4% no ieņēmumiem, jeb vidēji 2% no apgrozījuma, 2016.gadā vidējais peļņas procents atbilstu aptuveni 5% no ieņēmumiem, jeb vidēji 3%, savukārt 2017.gadā vidējais peļņas procents atbilstu aptuveni 6% no ieņēmumiem, jeb vidēji 4% no apgrozījuma, kas, ņemot vērā pašreizējo finansiālo situāciju un normatīvajos aktos izvirzītās prasības pakalpojumu sniegšanā izmantojamajiem transportlīdzekļiem, atbilst „saprātīgas peļņas” jēdzienam ilgtermiņa valsts pasūtījuma līgumos.</w:t>
            </w:r>
            <w:r w:rsidR="00C3136D" w:rsidRPr="00B63299">
              <w:t xml:space="preserve"> Attiecīgās izmaiņas peļņas noteikšanā rada ietekmi uz valsts un pašvaldību budžetiem.</w:t>
            </w:r>
          </w:p>
          <w:p w14:paraId="42F00A2A" w14:textId="20170665" w:rsidR="002A46D9" w:rsidRPr="00B63299" w:rsidRDefault="00C3136D" w:rsidP="00AE2831">
            <w:pPr>
              <w:jc w:val="both"/>
            </w:pPr>
            <w:r w:rsidRPr="00B63299">
              <w:t xml:space="preserve">Vienlaikus, lai nodrošinātu sabiedriskā transporta pakalpojumu sniegšanas nepārtrauktību un Sabiedriskā transporta pakalpojumu likuma 6.pantā noteiktos sabiedriskā transporta pakalpojumu sniegšanas pamatprincipus, ar MK noteikumu projektu tiek noteikts, ka pasūtītājam ir jānodrošina avansa maksājums sabiedriskā transporta pakalpojumu sniedzējiem vismaz 95% apmērā no kopējiem plānotajiem zaudējumiem. </w:t>
            </w:r>
          </w:p>
          <w:p w14:paraId="0DC2CA66" w14:textId="77777777" w:rsidR="00265120" w:rsidRPr="00B63299" w:rsidRDefault="00265120" w:rsidP="00AE2831">
            <w:pPr>
              <w:jc w:val="both"/>
            </w:pPr>
            <w:r w:rsidRPr="00B63299">
              <w:t>Ņemot vērā, ka projektā paredzētie grozījumi pārsniedz pusi no MK noteikumu Nr. 341 normu apjoma un vairums tiesību normu tiek izteiktas jaunā redakcijā, noteikumi ir sagatavoti izdošanai jaunā redakcijā.</w:t>
            </w:r>
          </w:p>
        </w:tc>
      </w:tr>
      <w:tr w:rsidR="005B5991" w:rsidRPr="00B63299" w14:paraId="280A88CD" w14:textId="77777777" w:rsidTr="00265120">
        <w:trPr>
          <w:trHeight w:val="476"/>
        </w:trPr>
        <w:tc>
          <w:tcPr>
            <w:tcW w:w="223" w:type="pct"/>
          </w:tcPr>
          <w:p w14:paraId="6D8187B1" w14:textId="77777777" w:rsidR="00265120" w:rsidRPr="00B63299" w:rsidRDefault="00265120" w:rsidP="00C3136D">
            <w:pPr>
              <w:pStyle w:val="naiskr"/>
              <w:spacing w:before="0" w:after="0"/>
              <w:ind w:left="57" w:right="57"/>
              <w:jc w:val="center"/>
            </w:pPr>
            <w:r w:rsidRPr="00B63299">
              <w:lastRenderedPageBreak/>
              <w:t>3.</w:t>
            </w:r>
          </w:p>
        </w:tc>
        <w:tc>
          <w:tcPr>
            <w:tcW w:w="1543" w:type="pct"/>
          </w:tcPr>
          <w:p w14:paraId="1D3F7003" w14:textId="77777777" w:rsidR="00265120" w:rsidRPr="00B63299" w:rsidRDefault="00265120" w:rsidP="00C3136D">
            <w:pPr>
              <w:pStyle w:val="naiskr"/>
              <w:spacing w:before="0" w:after="0"/>
              <w:ind w:left="57" w:right="57"/>
            </w:pPr>
            <w:r w:rsidRPr="00B63299">
              <w:t>Projekta izstrādē iesaistītās institūcijas</w:t>
            </w:r>
          </w:p>
        </w:tc>
        <w:tc>
          <w:tcPr>
            <w:tcW w:w="3234" w:type="pct"/>
          </w:tcPr>
          <w:p w14:paraId="0E757198" w14:textId="77777777" w:rsidR="006F0639" w:rsidRPr="00B63299" w:rsidRDefault="006F0639" w:rsidP="006F0639">
            <w:pPr>
              <w:jc w:val="both"/>
            </w:pPr>
            <w:r w:rsidRPr="00B63299">
              <w:t>Satiksmes ministrija, Autotransporta direkcija, Latvijas Pasažieru pārvadātāju asociācija (turpmāk tekstā – LPPA) organizēja vairākas sanāksmes MK noteikumu projekta izstrādes gaitā, kas norisinājās 2014.gada 29.jūlijā; 28.augustā; 4.septembrī; 13.oktobrī.</w:t>
            </w:r>
          </w:p>
          <w:p w14:paraId="4A9385E5" w14:textId="77777777" w:rsidR="006F0639" w:rsidRDefault="006F0639" w:rsidP="006F0639">
            <w:pPr>
              <w:jc w:val="both"/>
            </w:pPr>
            <w:r w:rsidRPr="00B63299">
              <w:t>Projekta izstrādes gaitā ir panākta konceptuāla vienošanās ar LPPA par MK noteikumos ietverto regulējumu, izņemot sekojošu jautājumu:</w:t>
            </w:r>
          </w:p>
          <w:p w14:paraId="18848C71" w14:textId="77777777" w:rsidR="006F0639" w:rsidRPr="00B63299" w:rsidRDefault="006F0639" w:rsidP="006F0639">
            <w:pPr>
              <w:jc w:val="both"/>
            </w:pPr>
            <w:r w:rsidRPr="00B63299">
              <w:t>Peļņas aprēķināšanas kārtība (MK noteikumu projekta 54.punkts). LPPA uzskata, ka peļņas aprēķināšanas vajadzībām ir izmantojama tikai viena komponente, kas ir sabiedriskā transporta pakalpojumu sniegšanā veiktais nobraukums. Ar MK noteikumu projektā noteikto peļņas aprēķināšanas kārtību ir paredzēts izmantot arī ieņēmumu komponenti, kas stimulē pārvadātājiem gūt ieņēmumus, nevis tikai izpildīt sabiedriskā transporta pasūtījumu;</w:t>
            </w:r>
          </w:p>
          <w:p w14:paraId="6DA06D35" w14:textId="44CA106D" w:rsidR="006F0639" w:rsidRDefault="006F0639" w:rsidP="006F0639">
            <w:pPr>
              <w:pStyle w:val="ListParagraph"/>
              <w:ind w:left="-2"/>
              <w:jc w:val="both"/>
            </w:pPr>
            <w:r w:rsidRPr="00B63299">
              <w:t>Par noteikumu projektu viedokli ir sniegusi arī Latvijas Pašvaldību savienība, kura savā atzinumā nav paudusi viedokli par finansējuma apjomu vai citiem ar republikas pilsētu pašvaldību darbību ietekmējošiem faktoriem. Latvijas Pašvaldību savienība līdzīgi kā Latvijas Pasažieru pārvadātāju asociācija uztur iebildumu par peļņas par sabiedriskā transporta pakalpojumu sniegšanu apmēru, kuram pēc sav</w:t>
            </w:r>
            <w:r>
              <w:t>ienības ieskata jābūt lielākam.</w:t>
            </w:r>
          </w:p>
          <w:p w14:paraId="5C2F9240" w14:textId="62FD071D" w:rsidR="00F86056" w:rsidRPr="00B63299" w:rsidRDefault="006F0639" w:rsidP="006F0639">
            <w:pPr>
              <w:jc w:val="both"/>
            </w:pPr>
            <w:r>
              <w:t xml:space="preserve">Korupcijas novēršanas un apkarošanas biroja (turpmāk – Birojs) </w:t>
            </w:r>
            <w:r>
              <w:lastRenderedPageBreak/>
              <w:t>ieskatā MK noteikumu 53 un 56.punkta redakcijas netieši rada korupcijas riskus. Satiksmes ministrija nepiekrīt šādam viedoklim, tomēr veiks</w:t>
            </w:r>
            <w:r w:rsidRPr="00E45F0F">
              <w:t xml:space="preserve"> padziļinātu MK noteikumu 53. un 56.punkta izpēti</w:t>
            </w:r>
            <w:r>
              <w:t>.</w:t>
            </w:r>
          </w:p>
        </w:tc>
      </w:tr>
      <w:tr w:rsidR="005B5991" w:rsidRPr="00B63299" w14:paraId="5BC30200" w14:textId="77777777" w:rsidTr="00265120">
        <w:tc>
          <w:tcPr>
            <w:tcW w:w="223" w:type="pct"/>
          </w:tcPr>
          <w:p w14:paraId="372EFB5D" w14:textId="49F1B2AF" w:rsidR="00265120" w:rsidRPr="00B63299" w:rsidRDefault="00265120" w:rsidP="00C3136D">
            <w:pPr>
              <w:pStyle w:val="naiskr"/>
              <w:spacing w:before="0" w:after="0"/>
              <w:ind w:left="57" w:right="57"/>
              <w:jc w:val="center"/>
            </w:pPr>
            <w:r w:rsidRPr="00B63299">
              <w:lastRenderedPageBreak/>
              <w:t>4.</w:t>
            </w:r>
          </w:p>
        </w:tc>
        <w:tc>
          <w:tcPr>
            <w:tcW w:w="1543" w:type="pct"/>
          </w:tcPr>
          <w:p w14:paraId="206DDEED" w14:textId="77777777" w:rsidR="00265120" w:rsidRPr="00B63299" w:rsidRDefault="00265120" w:rsidP="00C3136D">
            <w:pPr>
              <w:pStyle w:val="naiskr"/>
              <w:spacing w:before="0" w:after="0"/>
              <w:ind w:left="57" w:right="57"/>
            </w:pPr>
            <w:r w:rsidRPr="00B63299">
              <w:t>Cita informācija</w:t>
            </w:r>
          </w:p>
        </w:tc>
        <w:tc>
          <w:tcPr>
            <w:tcW w:w="3234" w:type="pct"/>
          </w:tcPr>
          <w:p w14:paraId="320DF028" w14:textId="77777777" w:rsidR="00265120" w:rsidRPr="00B63299" w:rsidRDefault="00265120" w:rsidP="00C3136D">
            <w:pPr>
              <w:pStyle w:val="naiskr"/>
              <w:spacing w:before="0" w:after="0"/>
              <w:ind w:left="57" w:right="57"/>
            </w:pPr>
            <w:r w:rsidRPr="00B63299">
              <w:t>Nav.</w:t>
            </w:r>
          </w:p>
        </w:tc>
      </w:tr>
    </w:tbl>
    <w:p w14:paraId="6330A12D" w14:textId="77777777" w:rsidR="00265120" w:rsidRPr="00B63299" w:rsidRDefault="00265120" w:rsidP="00265120"/>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5B5991" w:rsidRPr="00B63299" w14:paraId="72E4DAE4" w14:textId="77777777" w:rsidTr="00C3136D">
        <w:trPr>
          <w:trHeight w:val="556"/>
        </w:trPr>
        <w:tc>
          <w:tcPr>
            <w:tcW w:w="9503" w:type="dxa"/>
            <w:gridSpan w:val="3"/>
            <w:vAlign w:val="center"/>
          </w:tcPr>
          <w:p w14:paraId="5BA419C2" w14:textId="77777777" w:rsidR="00265120" w:rsidRPr="00B63299" w:rsidRDefault="00265120" w:rsidP="00C3136D">
            <w:pPr>
              <w:pStyle w:val="naisnod"/>
              <w:spacing w:before="0" w:beforeAutospacing="0" w:after="0" w:afterAutospacing="0"/>
              <w:ind w:left="57" w:right="57"/>
              <w:jc w:val="center"/>
              <w:rPr>
                <w:b/>
              </w:rPr>
            </w:pPr>
            <w:r w:rsidRPr="00B63299">
              <w:rPr>
                <w:b/>
              </w:rPr>
              <w:t>II. Tiesību akta projekta ietekme uz sabiedrību, tautsaimniecības attīstību</w:t>
            </w:r>
          </w:p>
          <w:p w14:paraId="417CFC38" w14:textId="77777777" w:rsidR="00265120" w:rsidRPr="00B63299" w:rsidRDefault="00265120" w:rsidP="00C3136D">
            <w:pPr>
              <w:pStyle w:val="naisnod"/>
              <w:spacing w:before="0" w:beforeAutospacing="0" w:after="0" w:afterAutospacing="0"/>
              <w:ind w:left="57" w:right="57"/>
              <w:jc w:val="center"/>
              <w:rPr>
                <w:b/>
              </w:rPr>
            </w:pPr>
            <w:r w:rsidRPr="00B63299">
              <w:rPr>
                <w:b/>
              </w:rPr>
              <w:t>un administratīvo slogu</w:t>
            </w:r>
          </w:p>
        </w:tc>
      </w:tr>
      <w:tr w:rsidR="005B5991" w:rsidRPr="00B63299" w14:paraId="74384D3E" w14:textId="77777777" w:rsidTr="00C3136D">
        <w:trPr>
          <w:trHeight w:val="467"/>
        </w:trPr>
        <w:tc>
          <w:tcPr>
            <w:tcW w:w="431" w:type="dxa"/>
          </w:tcPr>
          <w:p w14:paraId="50AE41E8" w14:textId="77777777" w:rsidR="00265120" w:rsidRPr="00B63299" w:rsidRDefault="00265120" w:rsidP="00C3136D">
            <w:pPr>
              <w:pStyle w:val="naiskr"/>
              <w:spacing w:before="0" w:after="0"/>
              <w:ind w:left="57" w:right="57"/>
              <w:jc w:val="both"/>
            </w:pPr>
            <w:r w:rsidRPr="00B63299">
              <w:t>1.</w:t>
            </w:r>
          </w:p>
        </w:tc>
        <w:tc>
          <w:tcPr>
            <w:tcW w:w="2976" w:type="dxa"/>
          </w:tcPr>
          <w:p w14:paraId="48233C78" w14:textId="77777777" w:rsidR="00265120" w:rsidRPr="00B63299" w:rsidRDefault="00265120" w:rsidP="00C3136D">
            <w:pPr>
              <w:pStyle w:val="naiskr"/>
              <w:spacing w:before="0" w:after="0"/>
              <w:ind w:left="57" w:right="57"/>
            </w:pPr>
            <w:r w:rsidRPr="00B63299">
              <w:t xml:space="preserve">Sabiedrības </w:t>
            </w:r>
            <w:proofErr w:type="spellStart"/>
            <w:r w:rsidRPr="00B63299">
              <w:t>mērķgrupas</w:t>
            </w:r>
            <w:proofErr w:type="spellEnd"/>
            <w:r w:rsidRPr="00B63299">
              <w:t>, kuras tiesiskais regulējums ietekmē vai varētu ietekmēt</w:t>
            </w:r>
          </w:p>
        </w:tc>
        <w:tc>
          <w:tcPr>
            <w:tcW w:w="6096" w:type="dxa"/>
          </w:tcPr>
          <w:p w14:paraId="0AD3A39C" w14:textId="040C1C1E" w:rsidR="00265120" w:rsidRPr="00B63299" w:rsidRDefault="00265120" w:rsidP="0095732A">
            <w:pPr>
              <w:shd w:val="clear" w:color="auto" w:fill="FFFFFF"/>
              <w:ind w:left="57" w:right="57"/>
              <w:jc w:val="both"/>
            </w:pPr>
            <w:bookmarkStart w:id="1" w:name="p21"/>
            <w:bookmarkEnd w:id="1"/>
            <w:r w:rsidRPr="00B63299">
              <w:rPr>
                <w:bCs/>
              </w:rPr>
              <w:t>Satiksmes ministrija, Sabiedriskā transporta padome, Autotransporta direkcija</w:t>
            </w:r>
            <w:r w:rsidR="0011613E" w:rsidRPr="00B63299">
              <w:rPr>
                <w:bCs/>
              </w:rPr>
              <w:t>, republikas pilsētu pašvaldības</w:t>
            </w:r>
            <w:r w:rsidRPr="00B63299">
              <w:rPr>
                <w:bCs/>
              </w:rPr>
              <w:t xml:space="preserve"> un 5</w:t>
            </w:r>
            <w:r w:rsidR="0095732A" w:rsidRPr="00B63299">
              <w:rPr>
                <w:bCs/>
              </w:rPr>
              <w:t>0</w:t>
            </w:r>
            <w:r w:rsidRPr="00B63299">
              <w:rPr>
                <w:bCs/>
              </w:rPr>
              <w:t xml:space="preserve"> uzņēmumi, kas sniedz </w:t>
            </w:r>
            <w:r w:rsidR="008B17FF" w:rsidRPr="00B63299">
              <w:rPr>
                <w:bCs/>
              </w:rPr>
              <w:t xml:space="preserve">regulāros </w:t>
            </w:r>
            <w:r w:rsidRPr="00B63299">
              <w:rPr>
                <w:bCs/>
              </w:rPr>
              <w:t xml:space="preserve">sabiedriskā transporta pakalpojumus. </w:t>
            </w:r>
          </w:p>
        </w:tc>
      </w:tr>
      <w:tr w:rsidR="005B5991" w:rsidRPr="00B63299" w14:paraId="466A54D6" w14:textId="77777777" w:rsidTr="00C3136D">
        <w:trPr>
          <w:trHeight w:val="523"/>
        </w:trPr>
        <w:tc>
          <w:tcPr>
            <w:tcW w:w="431" w:type="dxa"/>
          </w:tcPr>
          <w:p w14:paraId="2EF83EDB" w14:textId="77777777" w:rsidR="00265120" w:rsidRPr="00B63299" w:rsidRDefault="00265120" w:rsidP="00C3136D">
            <w:pPr>
              <w:pStyle w:val="naiskr"/>
              <w:spacing w:before="0" w:after="0"/>
              <w:ind w:left="57" w:right="57"/>
              <w:jc w:val="both"/>
            </w:pPr>
            <w:r w:rsidRPr="00B63299">
              <w:t>2.</w:t>
            </w:r>
          </w:p>
        </w:tc>
        <w:tc>
          <w:tcPr>
            <w:tcW w:w="2976" w:type="dxa"/>
          </w:tcPr>
          <w:p w14:paraId="049030CD" w14:textId="77777777" w:rsidR="00265120" w:rsidRPr="00B63299" w:rsidRDefault="00265120" w:rsidP="00C3136D">
            <w:pPr>
              <w:pStyle w:val="naiskr"/>
              <w:spacing w:before="0" w:after="0"/>
              <w:ind w:left="57" w:right="57"/>
            </w:pPr>
            <w:r w:rsidRPr="00B63299">
              <w:t>Tiesiskā regulējuma ietekme uz tautsaimniecību un administratīvo slogu</w:t>
            </w:r>
          </w:p>
        </w:tc>
        <w:tc>
          <w:tcPr>
            <w:tcW w:w="6096" w:type="dxa"/>
          </w:tcPr>
          <w:p w14:paraId="2AACE8C3" w14:textId="5D5E80E0" w:rsidR="00265120" w:rsidRPr="00B63299" w:rsidRDefault="0095732A" w:rsidP="0095732A">
            <w:pPr>
              <w:shd w:val="clear" w:color="auto" w:fill="FFFFFF"/>
              <w:ind w:left="57" w:right="57"/>
              <w:jc w:val="both"/>
            </w:pPr>
            <w:r w:rsidRPr="00B63299">
              <w:t>Ministru kabineta noteikumu projekta t</w:t>
            </w:r>
            <w:r w:rsidR="00265120" w:rsidRPr="00B63299">
              <w:t>iesiskais regulējums ne</w:t>
            </w:r>
            <w:r w:rsidRPr="00B63299">
              <w:t xml:space="preserve">maina sabiedrības </w:t>
            </w:r>
            <w:proofErr w:type="spellStart"/>
            <w:r w:rsidRPr="00B63299">
              <w:t>mērķgrupas</w:t>
            </w:r>
            <w:proofErr w:type="spellEnd"/>
            <w:r w:rsidRPr="00B63299">
              <w:t xml:space="preserve"> tiesības un pienākumus, kā arī veicamās darbības</w:t>
            </w:r>
            <w:r w:rsidR="00265120" w:rsidRPr="00B63299">
              <w:t>.</w:t>
            </w:r>
          </w:p>
        </w:tc>
      </w:tr>
      <w:tr w:rsidR="005B5991" w:rsidRPr="00B63299" w14:paraId="5F6599D7" w14:textId="77777777" w:rsidTr="00C3136D">
        <w:trPr>
          <w:trHeight w:val="523"/>
        </w:trPr>
        <w:tc>
          <w:tcPr>
            <w:tcW w:w="431" w:type="dxa"/>
          </w:tcPr>
          <w:p w14:paraId="784560F8" w14:textId="77777777" w:rsidR="00265120" w:rsidRPr="00B63299" w:rsidRDefault="00265120" w:rsidP="00C3136D">
            <w:pPr>
              <w:pStyle w:val="naiskr"/>
              <w:spacing w:before="0" w:after="0"/>
              <w:ind w:left="57" w:right="57"/>
              <w:jc w:val="both"/>
            </w:pPr>
            <w:r w:rsidRPr="00B63299">
              <w:t>3.</w:t>
            </w:r>
          </w:p>
        </w:tc>
        <w:tc>
          <w:tcPr>
            <w:tcW w:w="2976" w:type="dxa"/>
          </w:tcPr>
          <w:p w14:paraId="18A5F206" w14:textId="77777777" w:rsidR="00265120" w:rsidRPr="00B63299" w:rsidRDefault="00265120" w:rsidP="00C3136D">
            <w:pPr>
              <w:pStyle w:val="naiskr"/>
              <w:spacing w:before="0" w:after="0"/>
              <w:ind w:left="57" w:right="57"/>
            </w:pPr>
            <w:r w:rsidRPr="00B63299">
              <w:t>Administratīvo izmaksu monetārs novērtējums</w:t>
            </w:r>
          </w:p>
        </w:tc>
        <w:tc>
          <w:tcPr>
            <w:tcW w:w="6096" w:type="dxa"/>
          </w:tcPr>
          <w:p w14:paraId="31428142" w14:textId="61052549" w:rsidR="00265120" w:rsidRPr="00B63299" w:rsidRDefault="00802E52" w:rsidP="00AE2831">
            <w:pPr>
              <w:shd w:val="clear" w:color="auto" w:fill="FFFFFF"/>
              <w:ind w:left="57" w:right="57"/>
              <w:jc w:val="both"/>
            </w:pPr>
            <w:r w:rsidRPr="00B63299">
              <w:t>Tiesiskais regulējums Autotransporta direkcijai rada izmaksas saistībā ar informācijas pieņemšanas, apstrādes vai uzglabāšanas pienākumiem</w:t>
            </w:r>
            <w:r w:rsidR="003C1701" w:rsidRPr="00B63299">
              <w:t>, kas saskaņā ar Autotransporta direkcijas aprēķiniem sastāda 4 642.81 EUR gadā. Pievienojam detalizētu aprēķinu izmaksu novērtējumam</w:t>
            </w:r>
            <w:r w:rsidR="003F3C4F" w:rsidRPr="00B63299">
              <w:t xml:space="preserve"> anotācijas 1.pielikumā</w:t>
            </w:r>
            <w:r w:rsidR="003C1701" w:rsidRPr="00B63299">
              <w:t>.</w:t>
            </w:r>
          </w:p>
        </w:tc>
      </w:tr>
      <w:tr w:rsidR="005B5991" w:rsidRPr="00B63299" w14:paraId="6806DA87" w14:textId="77777777" w:rsidTr="00C3136D">
        <w:trPr>
          <w:trHeight w:val="357"/>
        </w:trPr>
        <w:tc>
          <w:tcPr>
            <w:tcW w:w="431" w:type="dxa"/>
          </w:tcPr>
          <w:p w14:paraId="57CBB747" w14:textId="6291063B" w:rsidR="00265120" w:rsidRPr="00B63299" w:rsidRDefault="00265120" w:rsidP="00C3136D">
            <w:pPr>
              <w:pStyle w:val="naiskr"/>
              <w:spacing w:before="0" w:after="0"/>
              <w:ind w:left="57" w:right="57"/>
              <w:jc w:val="both"/>
            </w:pPr>
            <w:r w:rsidRPr="00B63299">
              <w:t>4.</w:t>
            </w:r>
          </w:p>
        </w:tc>
        <w:tc>
          <w:tcPr>
            <w:tcW w:w="2976" w:type="dxa"/>
          </w:tcPr>
          <w:p w14:paraId="3D430765" w14:textId="77777777" w:rsidR="00265120" w:rsidRPr="00B63299" w:rsidRDefault="00265120" w:rsidP="00C3136D">
            <w:pPr>
              <w:pStyle w:val="naiskr"/>
              <w:spacing w:before="0" w:after="0"/>
              <w:ind w:left="57" w:right="57"/>
            </w:pPr>
            <w:r w:rsidRPr="00B63299">
              <w:t>Cita informācija</w:t>
            </w:r>
          </w:p>
        </w:tc>
        <w:tc>
          <w:tcPr>
            <w:tcW w:w="6096" w:type="dxa"/>
          </w:tcPr>
          <w:p w14:paraId="4F7F770C" w14:textId="77777777" w:rsidR="00265120" w:rsidRPr="00B63299" w:rsidRDefault="00265120" w:rsidP="00C3136D">
            <w:pPr>
              <w:shd w:val="clear" w:color="auto" w:fill="FFFFFF"/>
              <w:ind w:left="57" w:right="57"/>
            </w:pPr>
            <w:r w:rsidRPr="00B63299">
              <w:t>Nav.</w:t>
            </w:r>
          </w:p>
        </w:tc>
      </w:tr>
    </w:tbl>
    <w:p w14:paraId="69FA5EB5" w14:textId="77777777" w:rsidR="00265120" w:rsidRPr="00B63299" w:rsidRDefault="00265120" w:rsidP="00265120"/>
    <w:tbl>
      <w:tblPr>
        <w:tblW w:w="9400"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1873"/>
        <w:gridCol w:w="1559"/>
        <w:gridCol w:w="1292"/>
        <w:gridCol w:w="1260"/>
        <w:gridCol w:w="1296"/>
      </w:tblGrid>
      <w:tr w:rsidR="005B5991" w:rsidRPr="00B63299" w14:paraId="19C0978D" w14:textId="77777777" w:rsidTr="00AE2831">
        <w:trPr>
          <w:trHeight w:val="361"/>
          <w:jc w:val="center"/>
        </w:trPr>
        <w:tc>
          <w:tcPr>
            <w:tcW w:w="9400" w:type="dxa"/>
            <w:gridSpan w:val="6"/>
            <w:vAlign w:val="center"/>
          </w:tcPr>
          <w:p w14:paraId="451034A6" w14:textId="77777777" w:rsidR="00265120" w:rsidRPr="00B63299" w:rsidRDefault="00265120" w:rsidP="00C3136D">
            <w:pPr>
              <w:pStyle w:val="naisnod"/>
              <w:spacing w:before="0" w:beforeAutospacing="0" w:after="0" w:afterAutospacing="0"/>
              <w:jc w:val="center"/>
              <w:rPr>
                <w:b/>
                <w:i/>
              </w:rPr>
            </w:pPr>
            <w:r w:rsidRPr="00B63299">
              <w:br w:type="page"/>
            </w:r>
            <w:r w:rsidRPr="00B63299">
              <w:rPr>
                <w:b/>
              </w:rPr>
              <w:t>III. Tiesību akta projekta ietekme uz valsts budžetu un pašvaldību budžetiem</w:t>
            </w:r>
          </w:p>
        </w:tc>
      </w:tr>
      <w:tr w:rsidR="005B5991" w:rsidRPr="00B63299" w14:paraId="2E0C456F" w14:textId="77777777" w:rsidTr="00AE2831">
        <w:trPr>
          <w:jc w:val="center"/>
        </w:trPr>
        <w:tc>
          <w:tcPr>
            <w:tcW w:w="2120" w:type="dxa"/>
            <w:vMerge w:val="restart"/>
            <w:vAlign w:val="center"/>
          </w:tcPr>
          <w:p w14:paraId="0C82CE7F" w14:textId="77777777" w:rsidR="00265120" w:rsidRPr="00B63299" w:rsidRDefault="00265120" w:rsidP="00C3136D">
            <w:pPr>
              <w:pStyle w:val="naisf"/>
              <w:spacing w:before="0" w:after="0"/>
              <w:jc w:val="center"/>
              <w:rPr>
                <w:b/>
              </w:rPr>
            </w:pPr>
            <w:r w:rsidRPr="00B63299">
              <w:rPr>
                <w:b/>
              </w:rPr>
              <w:t>Rādītāji</w:t>
            </w:r>
          </w:p>
        </w:tc>
        <w:tc>
          <w:tcPr>
            <w:tcW w:w="3432" w:type="dxa"/>
            <w:gridSpan w:val="2"/>
            <w:vMerge w:val="restart"/>
            <w:vAlign w:val="center"/>
          </w:tcPr>
          <w:p w14:paraId="1138A28D" w14:textId="77777777" w:rsidR="00265120" w:rsidRPr="00B63299" w:rsidRDefault="00BB617D" w:rsidP="00C3136D">
            <w:pPr>
              <w:pStyle w:val="naisf"/>
              <w:spacing w:before="0" w:after="0"/>
              <w:jc w:val="center"/>
              <w:rPr>
                <w:b/>
              </w:rPr>
            </w:pPr>
            <w:r w:rsidRPr="00B63299">
              <w:rPr>
                <w:b/>
              </w:rPr>
              <w:t>2015</w:t>
            </w:r>
            <w:r w:rsidR="00265120" w:rsidRPr="00B63299">
              <w:rPr>
                <w:b/>
              </w:rPr>
              <w:t>.gads</w:t>
            </w:r>
          </w:p>
        </w:tc>
        <w:tc>
          <w:tcPr>
            <w:tcW w:w="3848" w:type="dxa"/>
            <w:gridSpan w:val="3"/>
            <w:vAlign w:val="center"/>
          </w:tcPr>
          <w:p w14:paraId="44C0A87B" w14:textId="77777777" w:rsidR="00265120" w:rsidRPr="00B63299" w:rsidRDefault="00265120" w:rsidP="00C3136D">
            <w:pPr>
              <w:pStyle w:val="naisf"/>
              <w:spacing w:before="0" w:after="0"/>
              <w:jc w:val="center"/>
              <w:rPr>
                <w:b/>
                <w:i/>
              </w:rPr>
            </w:pPr>
            <w:r w:rsidRPr="00B63299">
              <w:t>Turpmākie trīs gadi (</w:t>
            </w:r>
            <w:proofErr w:type="spellStart"/>
            <w:r w:rsidRPr="00B63299">
              <w:t>euro</w:t>
            </w:r>
            <w:proofErr w:type="spellEnd"/>
            <w:r w:rsidRPr="00B63299">
              <w:t>)</w:t>
            </w:r>
          </w:p>
        </w:tc>
      </w:tr>
      <w:tr w:rsidR="005B5991" w:rsidRPr="00B63299" w14:paraId="2212AE79" w14:textId="77777777" w:rsidTr="00AE2831">
        <w:trPr>
          <w:jc w:val="center"/>
        </w:trPr>
        <w:tc>
          <w:tcPr>
            <w:tcW w:w="2120" w:type="dxa"/>
            <w:vMerge/>
            <w:vAlign w:val="center"/>
          </w:tcPr>
          <w:p w14:paraId="27D0897E" w14:textId="77777777" w:rsidR="00265120" w:rsidRPr="00B63299" w:rsidRDefault="00265120" w:rsidP="00C3136D">
            <w:pPr>
              <w:pStyle w:val="naisf"/>
              <w:spacing w:before="0" w:after="0"/>
              <w:jc w:val="center"/>
              <w:rPr>
                <w:b/>
                <w:i/>
              </w:rPr>
            </w:pPr>
          </w:p>
        </w:tc>
        <w:tc>
          <w:tcPr>
            <w:tcW w:w="3432" w:type="dxa"/>
            <w:gridSpan w:val="2"/>
            <w:vMerge/>
            <w:vAlign w:val="center"/>
          </w:tcPr>
          <w:p w14:paraId="06377C45" w14:textId="77777777" w:rsidR="00265120" w:rsidRPr="00B63299" w:rsidRDefault="00265120" w:rsidP="00C3136D">
            <w:pPr>
              <w:pStyle w:val="naisf"/>
              <w:spacing w:before="0" w:after="0"/>
              <w:jc w:val="center"/>
              <w:rPr>
                <w:b/>
                <w:i/>
              </w:rPr>
            </w:pPr>
          </w:p>
        </w:tc>
        <w:tc>
          <w:tcPr>
            <w:tcW w:w="1292" w:type="dxa"/>
            <w:vAlign w:val="center"/>
          </w:tcPr>
          <w:p w14:paraId="19A72036" w14:textId="77777777" w:rsidR="00265120" w:rsidRPr="00B63299" w:rsidRDefault="00265120" w:rsidP="00BB617D">
            <w:pPr>
              <w:pStyle w:val="naisf"/>
              <w:spacing w:before="0" w:after="0"/>
              <w:jc w:val="center"/>
              <w:rPr>
                <w:b/>
                <w:i/>
              </w:rPr>
            </w:pPr>
            <w:r w:rsidRPr="00B63299">
              <w:rPr>
                <w:b/>
                <w:bCs/>
                <w:i/>
              </w:rPr>
              <w:t>201</w:t>
            </w:r>
            <w:r w:rsidR="00BB617D" w:rsidRPr="00B63299">
              <w:rPr>
                <w:b/>
                <w:bCs/>
                <w:i/>
              </w:rPr>
              <w:t>6</w:t>
            </w:r>
          </w:p>
        </w:tc>
        <w:tc>
          <w:tcPr>
            <w:tcW w:w="1260" w:type="dxa"/>
            <w:vAlign w:val="center"/>
          </w:tcPr>
          <w:p w14:paraId="3B8B737C" w14:textId="77777777" w:rsidR="00265120" w:rsidRPr="00B63299" w:rsidRDefault="00265120" w:rsidP="00BB617D">
            <w:pPr>
              <w:pStyle w:val="naisf"/>
              <w:spacing w:before="0" w:after="0"/>
              <w:jc w:val="center"/>
              <w:rPr>
                <w:b/>
                <w:i/>
              </w:rPr>
            </w:pPr>
            <w:r w:rsidRPr="00B63299">
              <w:rPr>
                <w:b/>
                <w:i/>
              </w:rPr>
              <w:t>201</w:t>
            </w:r>
            <w:r w:rsidR="00BB617D" w:rsidRPr="00B63299">
              <w:rPr>
                <w:b/>
                <w:i/>
              </w:rPr>
              <w:t>7</w:t>
            </w:r>
          </w:p>
        </w:tc>
        <w:tc>
          <w:tcPr>
            <w:tcW w:w="1296" w:type="dxa"/>
            <w:vAlign w:val="center"/>
          </w:tcPr>
          <w:p w14:paraId="6FDA3AE7" w14:textId="77777777" w:rsidR="00265120" w:rsidRPr="00B63299" w:rsidRDefault="00265120" w:rsidP="00BB617D">
            <w:pPr>
              <w:pStyle w:val="naisf"/>
              <w:spacing w:before="0" w:after="0"/>
              <w:jc w:val="center"/>
              <w:rPr>
                <w:b/>
                <w:i/>
              </w:rPr>
            </w:pPr>
            <w:r w:rsidRPr="00B63299">
              <w:rPr>
                <w:b/>
                <w:i/>
              </w:rPr>
              <w:t>201</w:t>
            </w:r>
            <w:r w:rsidR="00BB617D" w:rsidRPr="00B63299">
              <w:rPr>
                <w:b/>
                <w:i/>
              </w:rPr>
              <w:t>8</w:t>
            </w:r>
          </w:p>
        </w:tc>
      </w:tr>
      <w:tr w:rsidR="00A67DDD" w:rsidRPr="00B63299" w14:paraId="780E14CB" w14:textId="77777777" w:rsidTr="00AE2831">
        <w:trPr>
          <w:jc w:val="center"/>
        </w:trPr>
        <w:tc>
          <w:tcPr>
            <w:tcW w:w="2120" w:type="dxa"/>
            <w:vMerge/>
            <w:vAlign w:val="center"/>
          </w:tcPr>
          <w:p w14:paraId="41BC29DB" w14:textId="77777777" w:rsidR="00265120" w:rsidRPr="00B63299" w:rsidRDefault="00265120" w:rsidP="00C3136D">
            <w:pPr>
              <w:pStyle w:val="naisf"/>
              <w:spacing w:before="0" w:after="0"/>
              <w:jc w:val="center"/>
              <w:rPr>
                <w:b/>
                <w:i/>
              </w:rPr>
            </w:pPr>
          </w:p>
        </w:tc>
        <w:tc>
          <w:tcPr>
            <w:tcW w:w="1873" w:type="dxa"/>
            <w:vAlign w:val="center"/>
          </w:tcPr>
          <w:p w14:paraId="6A9E7E7D" w14:textId="77777777" w:rsidR="00265120" w:rsidRPr="00B63299" w:rsidRDefault="00265120" w:rsidP="00C3136D">
            <w:pPr>
              <w:pStyle w:val="naisf"/>
              <w:spacing w:before="0" w:after="0"/>
              <w:ind w:firstLine="0"/>
              <w:rPr>
                <w:b/>
                <w:i/>
              </w:rPr>
            </w:pPr>
            <w:r w:rsidRPr="00B63299">
              <w:t>saskaņā ar valsts budžetu kārtējam gadam</w:t>
            </w:r>
          </w:p>
        </w:tc>
        <w:tc>
          <w:tcPr>
            <w:tcW w:w="1559" w:type="dxa"/>
            <w:vAlign w:val="center"/>
          </w:tcPr>
          <w:p w14:paraId="5D6769A2" w14:textId="77777777" w:rsidR="00265120" w:rsidRPr="00B63299" w:rsidRDefault="00265120" w:rsidP="00C3136D">
            <w:pPr>
              <w:pStyle w:val="naisf"/>
              <w:spacing w:before="0" w:after="0"/>
              <w:ind w:firstLine="0"/>
              <w:rPr>
                <w:b/>
                <w:i/>
              </w:rPr>
            </w:pPr>
            <w:r w:rsidRPr="00B63299">
              <w:t>izmaiņas kārtējā gadā, salīdzinot ar valsts budžetu kārtējam gadam</w:t>
            </w:r>
          </w:p>
        </w:tc>
        <w:tc>
          <w:tcPr>
            <w:tcW w:w="1292" w:type="dxa"/>
            <w:vAlign w:val="center"/>
          </w:tcPr>
          <w:p w14:paraId="634C5F17" w14:textId="77777777" w:rsidR="00265120" w:rsidRPr="00B63299" w:rsidRDefault="00265120" w:rsidP="00C3136D">
            <w:pPr>
              <w:pStyle w:val="naisf"/>
              <w:spacing w:before="0" w:after="0"/>
              <w:ind w:firstLine="0"/>
              <w:rPr>
                <w:b/>
                <w:i/>
              </w:rPr>
            </w:pPr>
            <w:r w:rsidRPr="00B63299">
              <w:t>izmaiņas, salīdzinot ar kārtējo (n) gadu</w:t>
            </w:r>
          </w:p>
        </w:tc>
        <w:tc>
          <w:tcPr>
            <w:tcW w:w="1260" w:type="dxa"/>
            <w:vAlign w:val="center"/>
          </w:tcPr>
          <w:p w14:paraId="03E8DD23" w14:textId="77777777" w:rsidR="00265120" w:rsidRPr="00B63299" w:rsidRDefault="00265120" w:rsidP="00C3136D">
            <w:pPr>
              <w:pStyle w:val="naisf"/>
              <w:spacing w:before="0" w:after="0"/>
              <w:ind w:firstLine="0"/>
              <w:rPr>
                <w:b/>
                <w:i/>
              </w:rPr>
            </w:pPr>
            <w:r w:rsidRPr="00B63299">
              <w:t>izmaiņas, salīdzinot ar kārtējo (n) gadu</w:t>
            </w:r>
          </w:p>
        </w:tc>
        <w:tc>
          <w:tcPr>
            <w:tcW w:w="1296" w:type="dxa"/>
            <w:vAlign w:val="center"/>
          </w:tcPr>
          <w:p w14:paraId="17782AC9" w14:textId="77777777" w:rsidR="00265120" w:rsidRPr="00B63299" w:rsidRDefault="00265120" w:rsidP="00C3136D">
            <w:pPr>
              <w:pStyle w:val="naisf"/>
              <w:spacing w:before="0" w:after="0"/>
              <w:ind w:firstLine="0"/>
              <w:rPr>
                <w:b/>
                <w:i/>
              </w:rPr>
            </w:pPr>
            <w:r w:rsidRPr="00B63299">
              <w:t>izmaiņas, salīdzinot ar kārtējo (n) gadu</w:t>
            </w:r>
          </w:p>
        </w:tc>
      </w:tr>
      <w:tr w:rsidR="00A67DDD" w:rsidRPr="00B63299" w14:paraId="6594A679" w14:textId="77777777" w:rsidTr="00AE2831">
        <w:trPr>
          <w:jc w:val="center"/>
        </w:trPr>
        <w:tc>
          <w:tcPr>
            <w:tcW w:w="2120" w:type="dxa"/>
            <w:vAlign w:val="center"/>
          </w:tcPr>
          <w:p w14:paraId="4F409D4A" w14:textId="77777777" w:rsidR="00265120" w:rsidRPr="00B63299" w:rsidRDefault="00265120" w:rsidP="00C3136D">
            <w:pPr>
              <w:pStyle w:val="naisf"/>
              <w:spacing w:before="0" w:after="0"/>
              <w:jc w:val="center"/>
              <w:rPr>
                <w:bCs/>
              </w:rPr>
            </w:pPr>
            <w:r w:rsidRPr="00B63299">
              <w:rPr>
                <w:bCs/>
              </w:rPr>
              <w:t>1</w:t>
            </w:r>
          </w:p>
        </w:tc>
        <w:tc>
          <w:tcPr>
            <w:tcW w:w="1873" w:type="dxa"/>
            <w:vAlign w:val="center"/>
          </w:tcPr>
          <w:p w14:paraId="7CDF0F4C" w14:textId="77777777" w:rsidR="00265120" w:rsidRPr="00B63299" w:rsidRDefault="00265120" w:rsidP="00C3136D">
            <w:pPr>
              <w:pStyle w:val="naisf"/>
              <w:spacing w:before="0" w:after="0"/>
              <w:jc w:val="center"/>
              <w:rPr>
                <w:bCs/>
              </w:rPr>
            </w:pPr>
            <w:r w:rsidRPr="00B63299">
              <w:rPr>
                <w:bCs/>
              </w:rPr>
              <w:t>2</w:t>
            </w:r>
          </w:p>
        </w:tc>
        <w:tc>
          <w:tcPr>
            <w:tcW w:w="1559" w:type="dxa"/>
            <w:vAlign w:val="center"/>
          </w:tcPr>
          <w:p w14:paraId="145ADAA3" w14:textId="77777777" w:rsidR="00265120" w:rsidRPr="00B63299" w:rsidRDefault="00265120" w:rsidP="00C3136D">
            <w:pPr>
              <w:pStyle w:val="naisf"/>
              <w:spacing w:before="0" w:after="0"/>
              <w:jc w:val="center"/>
              <w:rPr>
                <w:bCs/>
              </w:rPr>
            </w:pPr>
            <w:r w:rsidRPr="00B63299">
              <w:rPr>
                <w:bCs/>
              </w:rPr>
              <w:t>3</w:t>
            </w:r>
          </w:p>
        </w:tc>
        <w:tc>
          <w:tcPr>
            <w:tcW w:w="1292" w:type="dxa"/>
            <w:vAlign w:val="center"/>
          </w:tcPr>
          <w:p w14:paraId="7C8254C9" w14:textId="77777777" w:rsidR="00265120" w:rsidRPr="00B63299" w:rsidRDefault="00265120" w:rsidP="00C3136D">
            <w:pPr>
              <w:pStyle w:val="naisf"/>
              <w:spacing w:before="0" w:after="0"/>
              <w:jc w:val="center"/>
              <w:rPr>
                <w:bCs/>
              </w:rPr>
            </w:pPr>
            <w:r w:rsidRPr="00B63299">
              <w:rPr>
                <w:bCs/>
              </w:rPr>
              <w:t>4</w:t>
            </w:r>
          </w:p>
        </w:tc>
        <w:tc>
          <w:tcPr>
            <w:tcW w:w="1260" w:type="dxa"/>
            <w:vAlign w:val="center"/>
          </w:tcPr>
          <w:p w14:paraId="2EFB9E5A" w14:textId="77777777" w:rsidR="00265120" w:rsidRPr="00B63299" w:rsidRDefault="00265120" w:rsidP="00C3136D">
            <w:pPr>
              <w:pStyle w:val="naisf"/>
              <w:spacing w:before="0" w:after="0"/>
              <w:jc w:val="center"/>
              <w:rPr>
                <w:bCs/>
              </w:rPr>
            </w:pPr>
            <w:r w:rsidRPr="00B63299">
              <w:rPr>
                <w:bCs/>
              </w:rPr>
              <w:t>5</w:t>
            </w:r>
          </w:p>
        </w:tc>
        <w:tc>
          <w:tcPr>
            <w:tcW w:w="1296" w:type="dxa"/>
            <w:vAlign w:val="center"/>
          </w:tcPr>
          <w:p w14:paraId="05F6BBF0" w14:textId="77777777" w:rsidR="00265120" w:rsidRPr="00B63299" w:rsidRDefault="00265120" w:rsidP="00C3136D">
            <w:pPr>
              <w:pStyle w:val="naisf"/>
              <w:spacing w:before="0" w:after="0"/>
              <w:jc w:val="center"/>
              <w:rPr>
                <w:bCs/>
              </w:rPr>
            </w:pPr>
            <w:r w:rsidRPr="00B63299">
              <w:rPr>
                <w:bCs/>
              </w:rPr>
              <w:t>6</w:t>
            </w:r>
          </w:p>
        </w:tc>
      </w:tr>
      <w:tr w:rsidR="00A67DDD" w:rsidRPr="00B63299" w14:paraId="40511068" w14:textId="77777777" w:rsidTr="00AE2831">
        <w:trPr>
          <w:jc w:val="center"/>
        </w:trPr>
        <w:tc>
          <w:tcPr>
            <w:tcW w:w="2120" w:type="dxa"/>
          </w:tcPr>
          <w:p w14:paraId="12C36A51" w14:textId="77777777" w:rsidR="00265120" w:rsidRPr="00B63299" w:rsidRDefault="00265120" w:rsidP="00C3136D">
            <w:pPr>
              <w:pStyle w:val="naisf"/>
              <w:spacing w:before="0" w:after="0"/>
              <w:ind w:firstLine="0"/>
              <w:rPr>
                <w:i/>
              </w:rPr>
            </w:pPr>
            <w:r w:rsidRPr="00B63299">
              <w:t>1. Budžeta ieņēmumi:</w:t>
            </w:r>
          </w:p>
        </w:tc>
        <w:tc>
          <w:tcPr>
            <w:tcW w:w="1873" w:type="dxa"/>
            <w:vAlign w:val="center"/>
          </w:tcPr>
          <w:p w14:paraId="6DD270A7" w14:textId="7FDD9482" w:rsidR="00265120" w:rsidRPr="00B63299" w:rsidRDefault="00D76565" w:rsidP="00F30B84">
            <w:pPr>
              <w:pStyle w:val="naisf"/>
              <w:spacing w:before="0" w:after="0"/>
              <w:ind w:firstLine="0"/>
              <w:jc w:val="center"/>
              <w:rPr>
                <w:b/>
                <w:i/>
              </w:rPr>
            </w:pPr>
            <w:r w:rsidRPr="00B63299">
              <w:rPr>
                <w:b/>
                <w:i/>
              </w:rPr>
              <w:t>77 590 629</w:t>
            </w:r>
          </w:p>
        </w:tc>
        <w:tc>
          <w:tcPr>
            <w:tcW w:w="1559" w:type="dxa"/>
            <w:vAlign w:val="center"/>
          </w:tcPr>
          <w:p w14:paraId="3D389E98" w14:textId="77777777" w:rsidR="00265120" w:rsidRPr="00B63299" w:rsidRDefault="00265120" w:rsidP="00F30B84">
            <w:pPr>
              <w:pStyle w:val="naisf"/>
              <w:spacing w:before="0" w:after="0"/>
              <w:ind w:firstLine="0"/>
              <w:jc w:val="center"/>
              <w:rPr>
                <w:b/>
                <w:i/>
              </w:rPr>
            </w:pPr>
          </w:p>
        </w:tc>
        <w:tc>
          <w:tcPr>
            <w:tcW w:w="1292" w:type="dxa"/>
            <w:vAlign w:val="center"/>
          </w:tcPr>
          <w:p w14:paraId="402904A9" w14:textId="77777777" w:rsidR="00265120" w:rsidRPr="00B63299" w:rsidRDefault="00265120" w:rsidP="00F30B84">
            <w:pPr>
              <w:pStyle w:val="naisf"/>
              <w:spacing w:before="0" w:after="0"/>
              <w:ind w:firstLine="0"/>
              <w:jc w:val="center"/>
              <w:rPr>
                <w:b/>
                <w:i/>
              </w:rPr>
            </w:pPr>
          </w:p>
        </w:tc>
        <w:tc>
          <w:tcPr>
            <w:tcW w:w="1260" w:type="dxa"/>
            <w:vAlign w:val="center"/>
          </w:tcPr>
          <w:p w14:paraId="00A4A044" w14:textId="77777777" w:rsidR="00265120" w:rsidRPr="00B63299" w:rsidRDefault="00265120" w:rsidP="00F30B84">
            <w:pPr>
              <w:pStyle w:val="naisf"/>
              <w:spacing w:before="0" w:after="0"/>
              <w:ind w:firstLine="0"/>
              <w:jc w:val="center"/>
              <w:rPr>
                <w:b/>
                <w:i/>
              </w:rPr>
            </w:pPr>
          </w:p>
        </w:tc>
        <w:tc>
          <w:tcPr>
            <w:tcW w:w="1296" w:type="dxa"/>
            <w:vAlign w:val="center"/>
          </w:tcPr>
          <w:p w14:paraId="46A4EE26" w14:textId="77777777" w:rsidR="00265120" w:rsidRPr="00B63299" w:rsidRDefault="00265120" w:rsidP="00F30B84">
            <w:pPr>
              <w:pStyle w:val="naisf"/>
              <w:spacing w:before="0" w:after="0"/>
              <w:ind w:firstLine="0"/>
              <w:jc w:val="center"/>
              <w:rPr>
                <w:b/>
                <w:i/>
              </w:rPr>
            </w:pPr>
          </w:p>
        </w:tc>
      </w:tr>
      <w:tr w:rsidR="00A67DDD" w:rsidRPr="00B63299" w14:paraId="2DF663A7" w14:textId="77777777" w:rsidTr="00AE2831">
        <w:trPr>
          <w:jc w:val="center"/>
        </w:trPr>
        <w:tc>
          <w:tcPr>
            <w:tcW w:w="2120" w:type="dxa"/>
          </w:tcPr>
          <w:p w14:paraId="00EF3A9B" w14:textId="77777777" w:rsidR="00265120" w:rsidRPr="00B63299" w:rsidRDefault="00265120" w:rsidP="00C3136D">
            <w:pPr>
              <w:pStyle w:val="naisf"/>
              <w:spacing w:before="0" w:after="0"/>
              <w:ind w:firstLine="0"/>
              <w:rPr>
                <w:i/>
              </w:rPr>
            </w:pPr>
            <w:r w:rsidRPr="00B63299">
              <w:t>1.1. valsts pamatbudžets, tai skaitā ieņēmumi no maksas pakalpojumiem un citi pašu ieņēmumi</w:t>
            </w:r>
          </w:p>
        </w:tc>
        <w:tc>
          <w:tcPr>
            <w:tcW w:w="1873" w:type="dxa"/>
            <w:vAlign w:val="center"/>
          </w:tcPr>
          <w:p w14:paraId="74A7F118" w14:textId="77777777" w:rsidR="00265120" w:rsidRPr="00B63299" w:rsidRDefault="00265120" w:rsidP="00F30B84">
            <w:pPr>
              <w:pStyle w:val="naisf"/>
              <w:spacing w:before="0" w:after="0"/>
              <w:ind w:firstLine="0"/>
              <w:jc w:val="center"/>
              <w:rPr>
                <w:b/>
                <w:i/>
              </w:rPr>
            </w:pPr>
          </w:p>
        </w:tc>
        <w:tc>
          <w:tcPr>
            <w:tcW w:w="1559" w:type="dxa"/>
            <w:vAlign w:val="center"/>
          </w:tcPr>
          <w:p w14:paraId="69D92D0A" w14:textId="77777777" w:rsidR="00265120" w:rsidRPr="00B63299" w:rsidRDefault="00265120" w:rsidP="00F30B84">
            <w:pPr>
              <w:pStyle w:val="naisf"/>
              <w:spacing w:before="0" w:after="0"/>
              <w:ind w:firstLine="0"/>
              <w:jc w:val="center"/>
              <w:rPr>
                <w:b/>
                <w:i/>
              </w:rPr>
            </w:pPr>
          </w:p>
        </w:tc>
        <w:tc>
          <w:tcPr>
            <w:tcW w:w="1292" w:type="dxa"/>
            <w:vAlign w:val="center"/>
          </w:tcPr>
          <w:p w14:paraId="4BA1BFA9" w14:textId="2AFC20E7" w:rsidR="00265120" w:rsidRPr="00B63299" w:rsidRDefault="00A67DDD" w:rsidP="00F30B84">
            <w:pPr>
              <w:pStyle w:val="naisf"/>
              <w:spacing w:before="0" w:after="0"/>
              <w:ind w:firstLine="0"/>
              <w:jc w:val="center"/>
              <w:rPr>
                <w:b/>
                <w:i/>
              </w:rPr>
            </w:pPr>
            <w:r w:rsidRPr="00B63299">
              <w:rPr>
                <w:b/>
                <w:i/>
              </w:rPr>
              <w:t>0</w:t>
            </w:r>
          </w:p>
        </w:tc>
        <w:tc>
          <w:tcPr>
            <w:tcW w:w="1260" w:type="dxa"/>
            <w:vAlign w:val="center"/>
          </w:tcPr>
          <w:p w14:paraId="174286DF" w14:textId="25871536" w:rsidR="00265120" w:rsidRPr="00B63299" w:rsidRDefault="00A67DDD" w:rsidP="00F30B84">
            <w:pPr>
              <w:pStyle w:val="naisf"/>
              <w:spacing w:before="0" w:after="0"/>
              <w:ind w:firstLine="0"/>
              <w:jc w:val="center"/>
              <w:rPr>
                <w:b/>
                <w:i/>
              </w:rPr>
            </w:pPr>
            <w:r w:rsidRPr="00B63299">
              <w:rPr>
                <w:b/>
                <w:i/>
              </w:rPr>
              <w:t>0</w:t>
            </w:r>
          </w:p>
        </w:tc>
        <w:tc>
          <w:tcPr>
            <w:tcW w:w="1296" w:type="dxa"/>
            <w:vAlign w:val="center"/>
          </w:tcPr>
          <w:p w14:paraId="6E3CCFA2" w14:textId="4A45838C" w:rsidR="00265120" w:rsidRPr="00B63299" w:rsidRDefault="00A67DDD" w:rsidP="00F30B84">
            <w:pPr>
              <w:pStyle w:val="naisf"/>
              <w:spacing w:before="0" w:after="0"/>
              <w:ind w:firstLine="0"/>
              <w:jc w:val="center"/>
              <w:rPr>
                <w:b/>
                <w:i/>
              </w:rPr>
            </w:pPr>
            <w:r w:rsidRPr="00B63299">
              <w:rPr>
                <w:b/>
                <w:i/>
              </w:rPr>
              <w:t>0</w:t>
            </w:r>
          </w:p>
        </w:tc>
      </w:tr>
      <w:tr w:rsidR="00A67DDD" w:rsidRPr="00B63299" w14:paraId="4BCFDAC0" w14:textId="77777777" w:rsidTr="00AE2831">
        <w:trPr>
          <w:jc w:val="center"/>
        </w:trPr>
        <w:tc>
          <w:tcPr>
            <w:tcW w:w="2120" w:type="dxa"/>
          </w:tcPr>
          <w:p w14:paraId="6059C36D" w14:textId="77777777" w:rsidR="00265120" w:rsidRPr="00B63299" w:rsidRDefault="00265120" w:rsidP="00C3136D">
            <w:pPr>
              <w:pStyle w:val="naisf"/>
              <w:spacing w:before="0" w:after="0"/>
              <w:ind w:firstLine="0"/>
              <w:rPr>
                <w:i/>
              </w:rPr>
            </w:pPr>
            <w:r w:rsidRPr="00B63299">
              <w:t>1.2. valsts speciālais budžets</w:t>
            </w:r>
          </w:p>
        </w:tc>
        <w:tc>
          <w:tcPr>
            <w:tcW w:w="1873" w:type="dxa"/>
            <w:vAlign w:val="center"/>
          </w:tcPr>
          <w:p w14:paraId="6EAB0A8E" w14:textId="77777777" w:rsidR="00265120" w:rsidRPr="00B63299" w:rsidRDefault="00265120" w:rsidP="00F30B84">
            <w:pPr>
              <w:pStyle w:val="naisf"/>
              <w:spacing w:before="0" w:after="0"/>
              <w:ind w:firstLine="0"/>
              <w:jc w:val="center"/>
              <w:rPr>
                <w:b/>
                <w:i/>
              </w:rPr>
            </w:pPr>
          </w:p>
        </w:tc>
        <w:tc>
          <w:tcPr>
            <w:tcW w:w="1559" w:type="dxa"/>
            <w:vAlign w:val="center"/>
          </w:tcPr>
          <w:p w14:paraId="32C0E13F" w14:textId="77777777" w:rsidR="00265120" w:rsidRPr="00B63299" w:rsidRDefault="00265120" w:rsidP="00F30B84">
            <w:pPr>
              <w:pStyle w:val="naisf"/>
              <w:spacing w:before="0" w:after="0"/>
              <w:ind w:firstLine="0"/>
              <w:jc w:val="center"/>
              <w:rPr>
                <w:b/>
                <w:i/>
              </w:rPr>
            </w:pPr>
          </w:p>
        </w:tc>
        <w:tc>
          <w:tcPr>
            <w:tcW w:w="1292" w:type="dxa"/>
            <w:vAlign w:val="center"/>
          </w:tcPr>
          <w:p w14:paraId="2C8E0AE0" w14:textId="77777777" w:rsidR="00265120" w:rsidRPr="00B63299" w:rsidRDefault="00265120" w:rsidP="00F30B84">
            <w:pPr>
              <w:pStyle w:val="naisf"/>
              <w:spacing w:before="0" w:after="0"/>
              <w:ind w:firstLine="0"/>
              <w:jc w:val="center"/>
              <w:rPr>
                <w:b/>
                <w:i/>
              </w:rPr>
            </w:pPr>
          </w:p>
        </w:tc>
        <w:tc>
          <w:tcPr>
            <w:tcW w:w="1260" w:type="dxa"/>
            <w:vAlign w:val="center"/>
          </w:tcPr>
          <w:p w14:paraId="6043F6CF" w14:textId="77777777" w:rsidR="00265120" w:rsidRPr="00B63299" w:rsidRDefault="00265120" w:rsidP="00F30B84">
            <w:pPr>
              <w:pStyle w:val="naisf"/>
              <w:spacing w:before="0" w:after="0"/>
              <w:ind w:firstLine="0"/>
              <w:jc w:val="center"/>
              <w:rPr>
                <w:b/>
                <w:i/>
              </w:rPr>
            </w:pPr>
          </w:p>
        </w:tc>
        <w:tc>
          <w:tcPr>
            <w:tcW w:w="1296" w:type="dxa"/>
            <w:vAlign w:val="center"/>
          </w:tcPr>
          <w:p w14:paraId="2A604F53" w14:textId="77777777" w:rsidR="00265120" w:rsidRPr="00B63299" w:rsidRDefault="00265120" w:rsidP="00F30B84">
            <w:pPr>
              <w:pStyle w:val="naisf"/>
              <w:spacing w:before="0" w:after="0"/>
              <w:ind w:firstLine="0"/>
              <w:jc w:val="center"/>
              <w:rPr>
                <w:b/>
                <w:i/>
              </w:rPr>
            </w:pPr>
          </w:p>
        </w:tc>
      </w:tr>
      <w:tr w:rsidR="00A67DDD" w:rsidRPr="00B63299" w14:paraId="4757A34A" w14:textId="77777777" w:rsidTr="00AE2831">
        <w:trPr>
          <w:jc w:val="center"/>
        </w:trPr>
        <w:tc>
          <w:tcPr>
            <w:tcW w:w="2120" w:type="dxa"/>
          </w:tcPr>
          <w:p w14:paraId="0007C90D" w14:textId="77777777" w:rsidR="00265120" w:rsidRPr="00B63299" w:rsidRDefault="00265120" w:rsidP="00C3136D">
            <w:pPr>
              <w:pStyle w:val="naisf"/>
              <w:spacing w:before="0" w:after="0"/>
              <w:ind w:firstLine="0"/>
              <w:rPr>
                <w:i/>
              </w:rPr>
            </w:pPr>
            <w:r w:rsidRPr="00B63299">
              <w:t>1.3. pašvaldību budžets</w:t>
            </w:r>
          </w:p>
        </w:tc>
        <w:tc>
          <w:tcPr>
            <w:tcW w:w="1873" w:type="dxa"/>
            <w:vAlign w:val="center"/>
          </w:tcPr>
          <w:p w14:paraId="45B8AE45" w14:textId="77777777" w:rsidR="00265120" w:rsidRPr="00B63299" w:rsidRDefault="00265120" w:rsidP="00F30B84">
            <w:pPr>
              <w:pStyle w:val="naisf"/>
              <w:spacing w:before="0" w:after="0"/>
              <w:ind w:firstLine="0"/>
              <w:jc w:val="center"/>
              <w:rPr>
                <w:b/>
                <w:i/>
              </w:rPr>
            </w:pPr>
          </w:p>
        </w:tc>
        <w:tc>
          <w:tcPr>
            <w:tcW w:w="1559" w:type="dxa"/>
            <w:vAlign w:val="center"/>
          </w:tcPr>
          <w:p w14:paraId="59026FE6" w14:textId="77777777" w:rsidR="00265120" w:rsidRPr="00B63299" w:rsidRDefault="00265120" w:rsidP="00F30B84">
            <w:pPr>
              <w:pStyle w:val="naisf"/>
              <w:spacing w:before="0" w:after="0"/>
              <w:ind w:firstLine="0"/>
              <w:jc w:val="center"/>
              <w:rPr>
                <w:b/>
                <w:i/>
              </w:rPr>
            </w:pPr>
          </w:p>
        </w:tc>
        <w:tc>
          <w:tcPr>
            <w:tcW w:w="1292" w:type="dxa"/>
            <w:vAlign w:val="center"/>
          </w:tcPr>
          <w:p w14:paraId="4D8BA212" w14:textId="67D45DE9" w:rsidR="00265120" w:rsidRPr="00B63299" w:rsidRDefault="00A67DDD" w:rsidP="00F30B84">
            <w:pPr>
              <w:pStyle w:val="naisf"/>
              <w:spacing w:before="0" w:after="0"/>
              <w:ind w:firstLine="0"/>
              <w:jc w:val="center"/>
              <w:rPr>
                <w:b/>
                <w:i/>
              </w:rPr>
            </w:pPr>
            <w:r w:rsidRPr="00B63299">
              <w:rPr>
                <w:b/>
                <w:i/>
              </w:rPr>
              <w:t>0</w:t>
            </w:r>
          </w:p>
        </w:tc>
        <w:tc>
          <w:tcPr>
            <w:tcW w:w="1260" w:type="dxa"/>
            <w:vAlign w:val="center"/>
          </w:tcPr>
          <w:p w14:paraId="00D56C60" w14:textId="59239B7E" w:rsidR="00265120" w:rsidRPr="00B63299" w:rsidRDefault="00A67DDD" w:rsidP="00F30B84">
            <w:pPr>
              <w:pStyle w:val="naisf"/>
              <w:spacing w:before="0" w:after="0"/>
              <w:ind w:firstLine="0"/>
              <w:jc w:val="center"/>
              <w:rPr>
                <w:b/>
                <w:i/>
              </w:rPr>
            </w:pPr>
            <w:r w:rsidRPr="00B63299">
              <w:rPr>
                <w:b/>
                <w:i/>
              </w:rPr>
              <w:t>0</w:t>
            </w:r>
          </w:p>
        </w:tc>
        <w:tc>
          <w:tcPr>
            <w:tcW w:w="1296" w:type="dxa"/>
            <w:vAlign w:val="center"/>
          </w:tcPr>
          <w:p w14:paraId="16AB5E91" w14:textId="46112789" w:rsidR="00265120" w:rsidRPr="00B63299" w:rsidRDefault="00A67DDD" w:rsidP="00F30B84">
            <w:pPr>
              <w:pStyle w:val="naisf"/>
              <w:spacing w:before="0" w:after="0"/>
              <w:ind w:firstLine="0"/>
              <w:jc w:val="center"/>
              <w:rPr>
                <w:b/>
                <w:i/>
              </w:rPr>
            </w:pPr>
            <w:r w:rsidRPr="00B63299">
              <w:rPr>
                <w:b/>
                <w:i/>
              </w:rPr>
              <w:t>0</w:t>
            </w:r>
          </w:p>
        </w:tc>
      </w:tr>
      <w:tr w:rsidR="00A67DDD" w:rsidRPr="00B63299" w14:paraId="7073E653" w14:textId="77777777" w:rsidTr="00AE2831">
        <w:trPr>
          <w:jc w:val="center"/>
        </w:trPr>
        <w:tc>
          <w:tcPr>
            <w:tcW w:w="2120" w:type="dxa"/>
          </w:tcPr>
          <w:p w14:paraId="08201F39" w14:textId="77777777" w:rsidR="00265120" w:rsidRPr="00B63299" w:rsidRDefault="00265120" w:rsidP="00C3136D">
            <w:r w:rsidRPr="00B63299">
              <w:t>2. Budžeta izdevumi:</w:t>
            </w:r>
          </w:p>
        </w:tc>
        <w:tc>
          <w:tcPr>
            <w:tcW w:w="1873" w:type="dxa"/>
            <w:vAlign w:val="center"/>
          </w:tcPr>
          <w:p w14:paraId="535A7485" w14:textId="77777777" w:rsidR="00265120" w:rsidRPr="00B63299" w:rsidRDefault="00265120" w:rsidP="00F30B84">
            <w:pPr>
              <w:pStyle w:val="naisf"/>
              <w:spacing w:before="0" w:after="0"/>
              <w:ind w:firstLine="0"/>
              <w:jc w:val="center"/>
              <w:rPr>
                <w:b/>
                <w:i/>
              </w:rPr>
            </w:pPr>
          </w:p>
        </w:tc>
        <w:tc>
          <w:tcPr>
            <w:tcW w:w="1559" w:type="dxa"/>
            <w:vAlign w:val="center"/>
          </w:tcPr>
          <w:p w14:paraId="5034EF9A" w14:textId="77777777" w:rsidR="00265120" w:rsidRPr="00B63299" w:rsidRDefault="00265120" w:rsidP="00F30B84">
            <w:pPr>
              <w:pStyle w:val="naisf"/>
              <w:spacing w:before="0" w:after="0"/>
              <w:ind w:firstLine="0"/>
              <w:jc w:val="center"/>
              <w:rPr>
                <w:b/>
                <w:i/>
              </w:rPr>
            </w:pPr>
          </w:p>
        </w:tc>
        <w:tc>
          <w:tcPr>
            <w:tcW w:w="1292" w:type="dxa"/>
            <w:vAlign w:val="center"/>
          </w:tcPr>
          <w:p w14:paraId="19D8C642" w14:textId="77777777" w:rsidR="00265120" w:rsidRPr="00B63299" w:rsidRDefault="00265120" w:rsidP="00F30B84">
            <w:pPr>
              <w:pStyle w:val="naisf"/>
              <w:spacing w:before="0" w:after="0"/>
              <w:ind w:firstLine="0"/>
              <w:jc w:val="center"/>
              <w:rPr>
                <w:b/>
                <w:i/>
              </w:rPr>
            </w:pPr>
          </w:p>
        </w:tc>
        <w:tc>
          <w:tcPr>
            <w:tcW w:w="1260" w:type="dxa"/>
            <w:vAlign w:val="center"/>
          </w:tcPr>
          <w:p w14:paraId="2C3A8741" w14:textId="77777777" w:rsidR="00265120" w:rsidRPr="00B63299" w:rsidRDefault="00265120" w:rsidP="00F30B84">
            <w:pPr>
              <w:pStyle w:val="naisf"/>
              <w:spacing w:before="0" w:after="0"/>
              <w:ind w:firstLine="0"/>
              <w:jc w:val="center"/>
              <w:rPr>
                <w:b/>
                <w:i/>
              </w:rPr>
            </w:pPr>
          </w:p>
        </w:tc>
        <w:tc>
          <w:tcPr>
            <w:tcW w:w="1296" w:type="dxa"/>
            <w:vAlign w:val="center"/>
          </w:tcPr>
          <w:p w14:paraId="5C6381B5" w14:textId="77777777" w:rsidR="00265120" w:rsidRPr="00B63299" w:rsidRDefault="00265120" w:rsidP="00F30B84">
            <w:pPr>
              <w:pStyle w:val="naisf"/>
              <w:spacing w:before="0" w:after="0"/>
              <w:ind w:firstLine="0"/>
              <w:jc w:val="center"/>
              <w:rPr>
                <w:b/>
                <w:i/>
              </w:rPr>
            </w:pPr>
          </w:p>
        </w:tc>
      </w:tr>
      <w:tr w:rsidR="00A67DDD" w:rsidRPr="00B63299" w14:paraId="098589BB" w14:textId="77777777" w:rsidTr="00AE2831">
        <w:trPr>
          <w:jc w:val="center"/>
        </w:trPr>
        <w:tc>
          <w:tcPr>
            <w:tcW w:w="2120" w:type="dxa"/>
          </w:tcPr>
          <w:p w14:paraId="2957FBBC" w14:textId="77777777" w:rsidR="00265120" w:rsidRPr="00B63299" w:rsidRDefault="00265120" w:rsidP="00C3136D">
            <w:r w:rsidRPr="00B63299">
              <w:lastRenderedPageBreak/>
              <w:t>2.1. valsts pamatbudžets</w:t>
            </w:r>
          </w:p>
        </w:tc>
        <w:tc>
          <w:tcPr>
            <w:tcW w:w="1873" w:type="dxa"/>
            <w:vAlign w:val="center"/>
          </w:tcPr>
          <w:p w14:paraId="2F611F42" w14:textId="0F328ECA" w:rsidR="00265120" w:rsidRPr="00B63299" w:rsidRDefault="00F30B84" w:rsidP="00DC3DD0">
            <w:pPr>
              <w:pStyle w:val="naisf"/>
              <w:spacing w:before="0" w:after="0"/>
              <w:ind w:firstLine="0"/>
              <w:jc w:val="center"/>
              <w:rPr>
                <w:b/>
                <w:i/>
              </w:rPr>
            </w:pPr>
            <w:r w:rsidRPr="00B63299">
              <w:rPr>
                <w:b/>
                <w:i/>
              </w:rPr>
              <w:t>7</w:t>
            </w:r>
            <w:r w:rsidR="00DC3DD0" w:rsidRPr="00B63299">
              <w:rPr>
                <w:b/>
                <w:i/>
              </w:rPr>
              <w:t>7</w:t>
            </w:r>
            <w:r w:rsidRPr="00B63299">
              <w:rPr>
                <w:b/>
                <w:i/>
              </w:rPr>
              <w:t> 590 629</w:t>
            </w:r>
          </w:p>
        </w:tc>
        <w:tc>
          <w:tcPr>
            <w:tcW w:w="1559" w:type="dxa"/>
            <w:vAlign w:val="center"/>
          </w:tcPr>
          <w:p w14:paraId="3BF8F727" w14:textId="7F5FDD8E" w:rsidR="00265120" w:rsidRPr="00B63299" w:rsidRDefault="00265120" w:rsidP="00F30B84">
            <w:pPr>
              <w:pStyle w:val="naisf"/>
              <w:spacing w:before="0" w:after="0"/>
              <w:ind w:firstLine="0"/>
              <w:jc w:val="center"/>
              <w:rPr>
                <w:b/>
                <w:i/>
              </w:rPr>
            </w:pPr>
          </w:p>
        </w:tc>
        <w:tc>
          <w:tcPr>
            <w:tcW w:w="1292" w:type="dxa"/>
            <w:vAlign w:val="center"/>
          </w:tcPr>
          <w:p w14:paraId="592E5448" w14:textId="626DD587" w:rsidR="00265120" w:rsidRPr="00B63299" w:rsidRDefault="004D78BD" w:rsidP="004D78BD">
            <w:pPr>
              <w:pStyle w:val="naisf"/>
              <w:spacing w:before="0" w:after="0"/>
              <w:ind w:firstLine="0"/>
              <w:jc w:val="center"/>
              <w:rPr>
                <w:b/>
                <w:i/>
              </w:rPr>
            </w:pPr>
            <w:r>
              <w:rPr>
                <w:b/>
                <w:i/>
              </w:rPr>
              <w:t>0</w:t>
            </w:r>
          </w:p>
        </w:tc>
        <w:tc>
          <w:tcPr>
            <w:tcW w:w="1260" w:type="dxa"/>
            <w:vAlign w:val="center"/>
          </w:tcPr>
          <w:p w14:paraId="61642213" w14:textId="2C91753D" w:rsidR="00265120" w:rsidRPr="00B63299" w:rsidRDefault="003532E1" w:rsidP="00B63299">
            <w:pPr>
              <w:pStyle w:val="naisf"/>
              <w:spacing w:before="0" w:after="0"/>
              <w:ind w:firstLine="0"/>
              <w:rPr>
                <w:b/>
                <w:i/>
              </w:rPr>
            </w:pPr>
            <w:r>
              <w:rPr>
                <w:b/>
                <w:i/>
              </w:rPr>
              <w:t>3 418 690</w:t>
            </w:r>
          </w:p>
        </w:tc>
        <w:tc>
          <w:tcPr>
            <w:tcW w:w="1296" w:type="dxa"/>
            <w:vAlign w:val="center"/>
          </w:tcPr>
          <w:p w14:paraId="597C1D86" w14:textId="4E0A2A66" w:rsidR="00265120" w:rsidRPr="00B63299" w:rsidRDefault="00A67DDD" w:rsidP="00F30B84">
            <w:pPr>
              <w:pStyle w:val="naisf"/>
              <w:spacing w:before="0" w:after="0"/>
              <w:ind w:firstLine="0"/>
              <w:jc w:val="center"/>
              <w:rPr>
                <w:b/>
                <w:i/>
              </w:rPr>
            </w:pPr>
            <w:r w:rsidRPr="00B63299">
              <w:rPr>
                <w:b/>
                <w:i/>
              </w:rPr>
              <w:t>2 229 675</w:t>
            </w:r>
          </w:p>
        </w:tc>
      </w:tr>
      <w:tr w:rsidR="00A67DDD" w:rsidRPr="00B63299" w14:paraId="21262AA2" w14:textId="77777777" w:rsidTr="00AE2831">
        <w:trPr>
          <w:jc w:val="center"/>
        </w:trPr>
        <w:tc>
          <w:tcPr>
            <w:tcW w:w="2120" w:type="dxa"/>
          </w:tcPr>
          <w:p w14:paraId="63017B8F" w14:textId="77777777" w:rsidR="00265120" w:rsidRPr="00B63299" w:rsidRDefault="00265120" w:rsidP="00C3136D">
            <w:r w:rsidRPr="00B63299">
              <w:t>2.2. valsts speciālais budžets</w:t>
            </w:r>
          </w:p>
        </w:tc>
        <w:tc>
          <w:tcPr>
            <w:tcW w:w="1873" w:type="dxa"/>
            <w:vAlign w:val="center"/>
          </w:tcPr>
          <w:p w14:paraId="4AEE18BB" w14:textId="77777777" w:rsidR="00265120" w:rsidRPr="00B63299" w:rsidRDefault="00265120" w:rsidP="00F30B84">
            <w:pPr>
              <w:pStyle w:val="naisf"/>
              <w:spacing w:before="0" w:after="0"/>
              <w:ind w:firstLine="0"/>
              <w:jc w:val="center"/>
              <w:rPr>
                <w:b/>
                <w:i/>
              </w:rPr>
            </w:pPr>
          </w:p>
        </w:tc>
        <w:tc>
          <w:tcPr>
            <w:tcW w:w="1559" w:type="dxa"/>
            <w:vAlign w:val="center"/>
          </w:tcPr>
          <w:p w14:paraId="2B379A79" w14:textId="77777777" w:rsidR="00265120" w:rsidRPr="00B63299" w:rsidRDefault="00265120" w:rsidP="00F30B84">
            <w:pPr>
              <w:pStyle w:val="naisf"/>
              <w:spacing w:before="0" w:after="0"/>
              <w:ind w:firstLine="0"/>
              <w:jc w:val="center"/>
              <w:rPr>
                <w:b/>
                <w:i/>
              </w:rPr>
            </w:pPr>
          </w:p>
        </w:tc>
        <w:tc>
          <w:tcPr>
            <w:tcW w:w="1292" w:type="dxa"/>
            <w:vAlign w:val="center"/>
          </w:tcPr>
          <w:p w14:paraId="0F2DD3F3" w14:textId="77777777" w:rsidR="00265120" w:rsidRPr="00B63299" w:rsidRDefault="00265120" w:rsidP="00F30B84">
            <w:pPr>
              <w:pStyle w:val="naisf"/>
              <w:spacing w:before="0" w:after="0"/>
              <w:ind w:firstLine="0"/>
              <w:jc w:val="center"/>
              <w:rPr>
                <w:b/>
                <w:i/>
              </w:rPr>
            </w:pPr>
          </w:p>
        </w:tc>
        <w:tc>
          <w:tcPr>
            <w:tcW w:w="1260" w:type="dxa"/>
            <w:vAlign w:val="center"/>
          </w:tcPr>
          <w:p w14:paraId="6C28C965" w14:textId="77777777" w:rsidR="00265120" w:rsidRPr="00B63299" w:rsidRDefault="00265120" w:rsidP="00F30B84">
            <w:pPr>
              <w:pStyle w:val="naisf"/>
              <w:spacing w:before="0" w:after="0"/>
              <w:ind w:firstLine="0"/>
              <w:jc w:val="center"/>
              <w:rPr>
                <w:b/>
                <w:i/>
              </w:rPr>
            </w:pPr>
          </w:p>
        </w:tc>
        <w:tc>
          <w:tcPr>
            <w:tcW w:w="1296" w:type="dxa"/>
            <w:vAlign w:val="center"/>
          </w:tcPr>
          <w:p w14:paraId="73C329C4" w14:textId="77777777" w:rsidR="00265120" w:rsidRPr="00B63299" w:rsidRDefault="00265120" w:rsidP="00F30B84">
            <w:pPr>
              <w:pStyle w:val="naisf"/>
              <w:spacing w:before="0" w:after="0"/>
              <w:ind w:firstLine="0"/>
              <w:jc w:val="center"/>
              <w:rPr>
                <w:b/>
                <w:i/>
              </w:rPr>
            </w:pPr>
          </w:p>
        </w:tc>
      </w:tr>
      <w:tr w:rsidR="00A67DDD" w:rsidRPr="00B63299" w14:paraId="1003AF8E" w14:textId="77777777" w:rsidTr="00AE2831">
        <w:trPr>
          <w:jc w:val="center"/>
        </w:trPr>
        <w:tc>
          <w:tcPr>
            <w:tcW w:w="2120" w:type="dxa"/>
          </w:tcPr>
          <w:p w14:paraId="503E4804" w14:textId="77777777" w:rsidR="00265120" w:rsidRPr="00B63299" w:rsidRDefault="00265120" w:rsidP="00C3136D">
            <w:r w:rsidRPr="00B63299">
              <w:t xml:space="preserve">2.3. pašvaldību budžets </w:t>
            </w:r>
          </w:p>
        </w:tc>
        <w:tc>
          <w:tcPr>
            <w:tcW w:w="1873" w:type="dxa"/>
            <w:vAlign w:val="center"/>
          </w:tcPr>
          <w:p w14:paraId="005DA004" w14:textId="77777777" w:rsidR="00265120" w:rsidRPr="00B63299" w:rsidRDefault="00265120" w:rsidP="00F30B84">
            <w:pPr>
              <w:pStyle w:val="naisf"/>
              <w:spacing w:before="0" w:after="0"/>
              <w:ind w:firstLine="0"/>
              <w:jc w:val="center"/>
              <w:rPr>
                <w:b/>
                <w:i/>
              </w:rPr>
            </w:pPr>
          </w:p>
        </w:tc>
        <w:tc>
          <w:tcPr>
            <w:tcW w:w="1559" w:type="dxa"/>
            <w:vAlign w:val="center"/>
          </w:tcPr>
          <w:p w14:paraId="22D075C6" w14:textId="740E1F86" w:rsidR="00265120" w:rsidRPr="00B63299" w:rsidRDefault="00265120" w:rsidP="00F30B84">
            <w:pPr>
              <w:pStyle w:val="naisf"/>
              <w:spacing w:before="0" w:after="0"/>
              <w:ind w:firstLine="0"/>
              <w:jc w:val="center"/>
              <w:rPr>
                <w:b/>
                <w:i/>
              </w:rPr>
            </w:pPr>
          </w:p>
        </w:tc>
        <w:tc>
          <w:tcPr>
            <w:tcW w:w="1292" w:type="dxa"/>
            <w:vAlign w:val="center"/>
          </w:tcPr>
          <w:p w14:paraId="3242E8E0" w14:textId="77095ADA" w:rsidR="00265120" w:rsidRPr="00B63299" w:rsidRDefault="00A67DDD" w:rsidP="00B63299">
            <w:pPr>
              <w:pStyle w:val="naisf"/>
              <w:spacing w:before="0" w:after="0"/>
              <w:ind w:firstLine="0"/>
              <w:rPr>
                <w:b/>
                <w:i/>
              </w:rPr>
            </w:pPr>
            <w:r w:rsidRPr="00B63299">
              <w:rPr>
                <w:b/>
                <w:i/>
              </w:rPr>
              <w:t>972 779</w:t>
            </w:r>
          </w:p>
        </w:tc>
        <w:tc>
          <w:tcPr>
            <w:tcW w:w="1260" w:type="dxa"/>
            <w:vAlign w:val="center"/>
          </w:tcPr>
          <w:p w14:paraId="4BECA73A" w14:textId="3CEF4832" w:rsidR="00265120" w:rsidRPr="00B63299" w:rsidRDefault="00A67DDD" w:rsidP="00F30B84">
            <w:pPr>
              <w:pStyle w:val="naisf"/>
              <w:spacing w:before="0" w:after="0"/>
              <w:ind w:firstLine="0"/>
              <w:jc w:val="center"/>
              <w:rPr>
                <w:b/>
                <w:i/>
              </w:rPr>
            </w:pPr>
            <w:r w:rsidRPr="00B63299">
              <w:rPr>
                <w:b/>
                <w:i/>
              </w:rPr>
              <w:t>1 552 497</w:t>
            </w:r>
          </w:p>
        </w:tc>
        <w:tc>
          <w:tcPr>
            <w:tcW w:w="1296" w:type="dxa"/>
            <w:vAlign w:val="center"/>
          </w:tcPr>
          <w:p w14:paraId="50D82B58" w14:textId="42B16853" w:rsidR="00265120" w:rsidRPr="00B63299" w:rsidRDefault="00A67DDD" w:rsidP="00F30B84">
            <w:pPr>
              <w:pStyle w:val="naisf"/>
              <w:spacing w:before="0" w:after="0"/>
              <w:ind w:firstLine="0"/>
              <w:jc w:val="center"/>
              <w:rPr>
                <w:b/>
                <w:i/>
              </w:rPr>
            </w:pPr>
            <w:r w:rsidRPr="00B63299">
              <w:rPr>
                <w:b/>
                <w:i/>
              </w:rPr>
              <w:t>1 552 497</w:t>
            </w:r>
          </w:p>
        </w:tc>
      </w:tr>
      <w:tr w:rsidR="00A67DDD" w:rsidRPr="00B63299" w14:paraId="45B0560C" w14:textId="77777777" w:rsidTr="00AE2831">
        <w:trPr>
          <w:jc w:val="center"/>
        </w:trPr>
        <w:tc>
          <w:tcPr>
            <w:tcW w:w="2120" w:type="dxa"/>
          </w:tcPr>
          <w:p w14:paraId="7872933B" w14:textId="77777777" w:rsidR="00265120" w:rsidRPr="00B63299" w:rsidRDefault="00265120" w:rsidP="00C3136D">
            <w:r w:rsidRPr="00B63299">
              <w:t>3. Finansiālā ietekme:</w:t>
            </w:r>
          </w:p>
        </w:tc>
        <w:tc>
          <w:tcPr>
            <w:tcW w:w="1873" w:type="dxa"/>
            <w:shd w:val="clear" w:color="auto" w:fill="auto"/>
            <w:vAlign w:val="center"/>
          </w:tcPr>
          <w:p w14:paraId="5E87248F" w14:textId="77777777" w:rsidR="00265120" w:rsidRPr="00B63299" w:rsidRDefault="00265120" w:rsidP="00F30B84">
            <w:pPr>
              <w:pStyle w:val="naisf"/>
              <w:spacing w:before="0" w:after="0"/>
              <w:ind w:firstLine="0"/>
              <w:jc w:val="center"/>
            </w:pPr>
          </w:p>
        </w:tc>
        <w:tc>
          <w:tcPr>
            <w:tcW w:w="1559" w:type="dxa"/>
            <w:vAlign w:val="center"/>
          </w:tcPr>
          <w:p w14:paraId="019271F9" w14:textId="77777777" w:rsidR="00265120" w:rsidRPr="00B63299" w:rsidRDefault="00265120" w:rsidP="00F30B84">
            <w:pPr>
              <w:pStyle w:val="naisf"/>
              <w:spacing w:before="0" w:after="0"/>
              <w:ind w:firstLine="0"/>
              <w:jc w:val="center"/>
              <w:rPr>
                <w:b/>
                <w:i/>
              </w:rPr>
            </w:pPr>
          </w:p>
        </w:tc>
        <w:tc>
          <w:tcPr>
            <w:tcW w:w="1292" w:type="dxa"/>
            <w:vAlign w:val="center"/>
          </w:tcPr>
          <w:p w14:paraId="6A2AFFC6" w14:textId="77777777" w:rsidR="00265120" w:rsidRPr="00B63299" w:rsidRDefault="00265120" w:rsidP="00F30B84">
            <w:pPr>
              <w:pStyle w:val="naisf"/>
              <w:spacing w:before="0" w:after="0"/>
              <w:ind w:firstLine="0"/>
              <w:jc w:val="center"/>
              <w:rPr>
                <w:b/>
                <w:i/>
              </w:rPr>
            </w:pPr>
          </w:p>
        </w:tc>
        <w:tc>
          <w:tcPr>
            <w:tcW w:w="1260" w:type="dxa"/>
            <w:vAlign w:val="center"/>
          </w:tcPr>
          <w:p w14:paraId="0EA3301E" w14:textId="77777777" w:rsidR="00265120" w:rsidRPr="00B63299" w:rsidRDefault="00265120" w:rsidP="00F30B84">
            <w:pPr>
              <w:pStyle w:val="naisf"/>
              <w:spacing w:before="0" w:after="0"/>
              <w:ind w:firstLine="0"/>
              <w:jc w:val="center"/>
              <w:rPr>
                <w:b/>
                <w:i/>
              </w:rPr>
            </w:pPr>
          </w:p>
        </w:tc>
        <w:tc>
          <w:tcPr>
            <w:tcW w:w="1296" w:type="dxa"/>
            <w:vAlign w:val="center"/>
          </w:tcPr>
          <w:p w14:paraId="25799E08" w14:textId="77777777" w:rsidR="00265120" w:rsidRPr="00B63299" w:rsidRDefault="00265120" w:rsidP="00F30B84">
            <w:pPr>
              <w:pStyle w:val="naisf"/>
              <w:spacing w:before="0" w:after="0"/>
              <w:ind w:firstLine="0"/>
              <w:jc w:val="center"/>
              <w:rPr>
                <w:b/>
                <w:i/>
              </w:rPr>
            </w:pPr>
          </w:p>
        </w:tc>
      </w:tr>
      <w:tr w:rsidR="00A67DDD" w:rsidRPr="00B63299" w14:paraId="2EDED287" w14:textId="77777777" w:rsidTr="00AE2831">
        <w:trPr>
          <w:jc w:val="center"/>
        </w:trPr>
        <w:tc>
          <w:tcPr>
            <w:tcW w:w="2120" w:type="dxa"/>
          </w:tcPr>
          <w:p w14:paraId="18E1EC98" w14:textId="77777777" w:rsidR="00265120" w:rsidRPr="00B63299" w:rsidRDefault="00265120" w:rsidP="00C3136D">
            <w:r w:rsidRPr="00B63299">
              <w:t>3.1. valsts pamatbudžets</w:t>
            </w:r>
          </w:p>
        </w:tc>
        <w:tc>
          <w:tcPr>
            <w:tcW w:w="1873" w:type="dxa"/>
            <w:shd w:val="clear" w:color="auto" w:fill="auto"/>
            <w:vAlign w:val="center"/>
          </w:tcPr>
          <w:p w14:paraId="2E3E3BB7" w14:textId="77777777" w:rsidR="00265120" w:rsidRPr="00B63299" w:rsidRDefault="00265120" w:rsidP="00F30B84">
            <w:pPr>
              <w:pStyle w:val="naisf"/>
              <w:spacing w:before="0" w:after="0"/>
              <w:ind w:firstLine="0"/>
              <w:jc w:val="center"/>
              <w:rPr>
                <w:i/>
              </w:rPr>
            </w:pPr>
          </w:p>
        </w:tc>
        <w:tc>
          <w:tcPr>
            <w:tcW w:w="1559" w:type="dxa"/>
            <w:vAlign w:val="center"/>
          </w:tcPr>
          <w:p w14:paraId="2485B3AC" w14:textId="77777777" w:rsidR="00265120" w:rsidRPr="00B63299" w:rsidRDefault="00265120" w:rsidP="00F30B84">
            <w:pPr>
              <w:pStyle w:val="naisf"/>
              <w:spacing w:before="0" w:after="0"/>
              <w:ind w:firstLine="0"/>
              <w:jc w:val="center"/>
              <w:rPr>
                <w:b/>
                <w:i/>
              </w:rPr>
            </w:pPr>
          </w:p>
        </w:tc>
        <w:tc>
          <w:tcPr>
            <w:tcW w:w="1292" w:type="dxa"/>
            <w:vAlign w:val="center"/>
          </w:tcPr>
          <w:p w14:paraId="384A9F4F" w14:textId="77777777" w:rsidR="00265120" w:rsidRPr="00B63299" w:rsidRDefault="00265120" w:rsidP="00F30B84">
            <w:pPr>
              <w:pStyle w:val="naisf"/>
              <w:spacing w:before="0" w:after="0"/>
              <w:ind w:firstLine="0"/>
              <w:jc w:val="center"/>
              <w:rPr>
                <w:b/>
                <w:i/>
              </w:rPr>
            </w:pPr>
          </w:p>
        </w:tc>
        <w:tc>
          <w:tcPr>
            <w:tcW w:w="1260" w:type="dxa"/>
            <w:vAlign w:val="center"/>
          </w:tcPr>
          <w:p w14:paraId="21CE5AAA" w14:textId="77777777" w:rsidR="00265120" w:rsidRPr="00B63299" w:rsidRDefault="00265120" w:rsidP="00F30B84">
            <w:pPr>
              <w:pStyle w:val="naisf"/>
              <w:spacing w:before="0" w:after="0"/>
              <w:ind w:firstLine="0"/>
              <w:jc w:val="center"/>
              <w:rPr>
                <w:b/>
                <w:i/>
              </w:rPr>
            </w:pPr>
          </w:p>
        </w:tc>
        <w:tc>
          <w:tcPr>
            <w:tcW w:w="1296" w:type="dxa"/>
            <w:vAlign w:val="center"/>
          </w:tcPr>
          <w:p w14:paraId="0478F1BF" w14:textId="77777777" w:rsidR="00265120" w:rsidRPr="00B63299" w:rsidRDefault="00265120" w:rsidP="00F30B84">
            <w:pPr>
              <w:pStyle w:val="naisf"/>
              <w:spacing w:before="0" w:after="0"/>
              <w:ind w:firstLine="0"/>
              <w:jc w:val="center"/>
              <w:rPr>
                <w:b/>
                <w:i/>
              </w:rPr>
            </w:pPr>
          </w:p>
        </w:tc>
      </w:tr>
      <w:tr w:rsidR="00A67DDD" w:rsidRPr="00B63299" w14:paraId="0A2DEB1E" w14:textId="77777777" w:rsidTr="00AE2831">
        <w:trPr>
          <w:jc w:val="center"/>
        </w:trPr>
        <w:tc>
          <w:tcPr>
            <w:tcW w:w="2120" w:type="dxa"/>
          </w:tcPr>
          <w:p w14:paraId="353F49FA" w14:textId="77777777" w:rsidR="00265120" w:rsidRPr="00B63299" w:rsidRDefault="00265120" w:rsidP="00C3136D">
            <w:r w:rsidRPr="00B63299">
              <w:t>3.2. speciālais budžets</w:t>
            </w:r>
          </w:p>
        </w:tc>
        <w:tc>
          <w:tcPr>
            <w:tcW w:w="1873" w:type="dxa"/>
            <w:shd w:val="clear" w:color="auto" w:fill="auto"/>
            <w:vAlign w:val="center"/>
          </w:tcPr>
          <w:p w14:paraId="5805D9DB" w14:textId="77777777" w:rsidR="00265120" w:rsidRPr="00B63299" w:rsidRDefault="00265120" w:rsidP="00F30B84">
            <w:pPr>
              <w:pStyle w:val="naisf"/>
              <w:spacing w:before="0" w:after="0"/>
              <w:ind w:firstLine="0"/>
              <w:jc w:val="center"/>
              <w:rPr>
                <w:i/>
              </w:rPr>
            </w:pPr>
          </w:p>
        </w:tc>
        <w:tc>
          <w:tcPr>
            <w:tcW w:w="1559" w:type="dxa"/>
            <w:vAlign w:val="center"/>
          </w:tcPr>
          <w:p w14:paraId="73837ED2" w14:textId="77777777" w:rsidR="00265120" w:rsidRPr="00B63299" w:rsidRDefault="00265120" w:rsidP="00F30B84">
            <w:pPr>
              <w:pStyle w:val="naisf"/>
              <w:spacing w:before="0" w:after="0"/>
              <w:ind w:firstLine="0"/>
              <w:jc w:val="center"/>
              <w:rPr>
                <w:b/>
                <w:i/>
              </w:rPr>
            </w:pPr>
          </w:p>
        </w:tc>
        <w:tc>
          <w:tcPr>
            <w:tcW w:w="1292" w:type="dxa"/>
            <w:vAlign w:val="center"/>
          </w:tcPr>
          <w:p w14:paraId="16A53D72" w14:textId="77777777" w:rsidR="00265120" w:rsidRPr="00B63299" w:rsidRDefault="00265120" w:rsidP="00F30B84">
            <w:pPr>
              <w:pStyle w:val="naisf"/>
              <w:spacing w:before="0" w:after="0"/>
              <w:ind w:firstLine="0"/>
              <w:jc w:val="center"/>
              <w:rPr>
                <w:b/>
                <w:i/>
              </w:rPr>
            </w:pPr>
          </w:p>
        </w:tc>
        <w:tc>
          <w:tcPr>
            <w:tcW w:w="1260" w:type="dxa"/>
            <w:vAlign w:val="center"/>
          </w:tcPr>
          <w:p w14:paraId="5C32FB54" w14:textId="77777777" w:rsidR="00265120" w:rsidRPr="00B63299" w:rsidRDefault="00265120" w:rsidP="00F30B84">
            <w:pPr>
              <w:pStyle w:val="naisf"/>
              <w:spacing w:before="0" w:after="0"/>
              <w:ind w:firstLine="0"/>
              <w:jc w:val="center"/>
              <w:rPr>
                <w:b/>
                <w:i/>
              </w:rPr>
            </w:pPr>
          </w:p>
        </w:tc>
        <w:tc>
          <w:tcPr>
            <w:tcW w:w="1296" w:type="dxa"/>
            <w:vAlign w:val="center"/>
          </w:tcPr>
          <w:p w14:paraId="2AE0B935" w14:textId="77777777" w:rsidR="00265120" w:rsidRPr="00B63299" w:rsidRDefault="00265120" w:rsidP="00F30B84">
            <w:pPr>
              <w:pStyle w:val="naisf"/>
              <w:spacing w:before="0" w:after="0"/>
              <w:ind w:firstLine="0"/>
              <w:jc w:val="center"/>
              <w:rPr>
                <w:b/>
                <w:i/>
              </w:rPr>
            </w:pPr>
          </w:p>
        </w:tc>
      </w:tr>
      <w:tr w:rsidR="00A67DDD" w:rsidRPr="00B63299" w14:paraId="2C988069" w14:textId="77777777" w:rsidTr="00AE2831">
        <w:trPr>
          <w:jc w:val="center"/>
        </w:trPr>
        <w:tc>
          <w:tcPr>
            <w:tcW w:w="2120" w:type="dxa"/>
          </w:tcPr>
          <w:p w14:paraId="1EA18E9B" w14:textId="77777777" w:rsidR="00265120" w:rsidRPr="00B63299" w:rsidRDefault="00265120" w:rsidP="00C3136D">
            <w:r w:rsidRPr="00B63299">
              <w:t xml:space="preserve">3.3. pašvaldību budžets </w:t>
            </w:r>
          </w:p>
        </w:tc>
        <w:tc>
          <w:tcPr>
            <w:tcW w:w="1873" w:type="dxa"/>
            <w:shd w:val="clear" w:color="auto" w:fill="auto"/>
            <w:vAlign w:val="center"/>
          </w:tcPr>
          <w:p w14:paraId="36E88655" w14:textId="77777777" w:rsidR="00265120" w:rsidRPr="00B63299" w:rsidRDefault="00265120" w:rsidP="00F30B84">
            <w:pPr>
              <w:pStyle w:val="naisf"/>
              <w:spacing w:before="0" w:after="0"/>
              <w:ind w:firstLine="0"/>
              <w:jc w:val="center"/>
              <w:rPr>
                <w:i/>
              </w:rPr>
            </w:pPr>
          </w:p>
        </w:tc>
        <w:tc>
          <w:tcPr>
            <w:tcW w:w="1559" w:type="dxa"/>
            <w:vAlign w:val="center"/>
          </w:tcPr>
          <w:p w14:paraId="1176434C" w14:textId="77777777" w:rsidR="00265120" w:rsidRPr="00B63299" w:rsidRDefault="00265120" w:rsidP="00F30B84">
            <w:pPr>
              <w:pStyle w:val="naisf"/>
              <w:spacing w:before="0" w:after="0"/>
              <w:ind w:firstLine="0"/>
              <w:jc w:val="center"/>
              <w:rPr>
                <w:b/>
                <w:i/>
              </w:rPr>
            </w:pPr>
          </w:p>
        </w:tc>
        <w:tc>
          <w:tcPr>
            <w:tcW w:w="1292" w:type="dxa"/>
            <w:vAlign w:val="center"/>
          </w:tcPr>
          <w:p w14:paraId="01007AFA" w14:textId="77777777" w:rsidR="00265120" w:rsidRPr="00B63299" w:rsidRDefault="00265120" w:rsidP="00F30B84">
            <w:pPr>
              <w:pStyle w:val="naisf"/>
              <w:spacing w:before="0" w:after="0"/>
              <w:ind w:firstLine="0"/>
              <w:jc w:val="center"/>
              <w:rPr>
                <w:b/>
                <w:i/>
              </w:rPr>
            </w:pPr>
          </w:p>
        </w:tc>
        <w:tc>
          <w:tcPr>
            <w:tcW w:w="1260" w:type="dxa"/>
            <w:vAlign w:val="center"/>
          </w:tcPr>
          <w:p w14:paraId="0A7A7D6C" w14:textId="77777777" w:rsidR="00265120" w:rsidRPr="00B63299" w:rsidRDefault="00265120" w:rsidP="00F30B84">
            <w:pPr>
              <w:pStyle w:val="naisf"/>
              <w:spacing w:before="0" w:after="0"/>
              <w:ind w:firstLine="0"/>
              <w:jc w:val="center"/>
              <w:rPr>
                <w:b/>
                <w:i/>
              </w:rPr>
            </w:pPr>
          </w:p>
        </w:tc>
        <w:tc>
          <w:tcPr>
            <w:tcW w:w="1296" w:type="dxa"/>
            <w:vAlign w:val="center"/>
          </w:tcPr>
          <w:p w14:paraId="182A5F58" w14:textId="77777777" w:rsidR="00265120" w:rsidRPr="00B63299" w:rsidRDefault="00265120" w:rsidP="00F30B84">
            <w:pPr>
              <w:pStyle w:val="naisf"/>
              <w:spacing w:before="0" w:after="0"/>
              <w:ind w:firstLine="0"/>
              <w:jc w:val="center"/>
              <w:rPr>
                <w:b/>
                <w:i/>
              </w:rPr>
            </w:pPr>
          </w:p>
        </w:tc>
      </w:tr>
      <w:tr w:rsidR="00A67DDD" w:rsidRPr="00B63299" w14:paraId="6115BC4C" w14:textId="77777777" w:rsidTr="00AE2831">
        <w:trPr>
          <w:jc w:val="center"/>
        </w:trPr>
        <w:tc>
          <w:tcPr>
            <w:tcW w:w="2120" w:type="dxa"/>
            <w:vMerge w:val="restart"/>
          </w:tcPr>
          <w:p w14:paraId="7182F846" w14:textId="77777777" w:rsidR="00265120" w:rsidRPr="00B63299" w:rsidRDefault="00265120" w:rsidP="00C3136D">
            <w:r w:rsidRPr="00B63299">
              <w:t>4. Finanšu līdzekļi papildu izdevumu finansēšanai (kompensējošu izdevumu samazinājumu norāda ar "+" zīmi)</w:t>
            </w:r>
          </w:p>
        </w:tc>
        <w:tc>
          <w:tcPr>
            <w:tcW w:w="1873" w:type="dxa"/>
            <w:vMerge w:val="restart"/>
            <w:vAlign w:val="center"/>
          </w:tcPr>
          <w:p w14:paraId="487B797F" w14:textId="77777777" w:rsidR="00265120" w:rsidRPr="00B63299" w:rsidRDefault="00265120" w:rsidP="00F30B84">
            <w:pPr>
              <w:pStyle w:val="naisf"/>
              <w:spacing w:before="0" w:after="0"/>
              <w:jc w:val="center"/>
              <w:rPr>
                <w:i/>
              </w:rPr>
            </w:pPr>
          </w:p>
        </w:tc>
        <w:tc>
          <w:tcPr>
            <w:tcW w:w="1559" w:type="dxa"/>
            <w:vAlign w:val="center"/>
          </w:tcPr>
          <w:p w14:paraId="43F0DA1F" w14:textId="77777777" w:rsidR="00265120" w:rsidRPr="00B63299" w:rsidRDefault="00265120" w:rsidP="00F30B84">
            <w:pPr>
              <w:pStyle w:val="naisf"/>
              <w:spacing w:before="0" w:after="0"/>
              <w:ind w:firstLine="0"/>
              <w:jc w:val="center"/>
              <w:rPr>
                <w:b/>
                <w:i/>
              </w:rPr>
            </w:pPr>
          </w:p>
        </w:tc>
        <w:tc>
          <w:tcPr>
            <w:tcW w:w="1292" w:type="dxa"/>
            <w:vAlign w:val="center"/>
          </w:tcPr>
          <w:p w14:paraId="09ECC110" w14:textId="77777777" w:rsidR="00265120" w:rsidRPr="00B63299" w:rsidRDefault="00265120" w:rsidP="00F30B84">
            <w:pPr>
              <w:pStyle w:val="naisf"/>
              <w:spacing w:before="0" w:after="0"/>
              <w:ind w:firstLine="0"/>
              <w:jc w:val="center"/>
              <w:rPr>
                <w:b/>
                <w:i/>
              </w:rPr>
            </w:pPr>
          </w:p>
        </w:tc>
        <w:tc>
          <w:tcPr>
            <w:tcW w:w="1260" w:type="dxa"/>
            <w:vAlign w:val="center"/>
          </w:tcPr>
          <w:p w14:paraId="5AB74892" w14:textId="77777777" w:rsidR="00265120" w:rsidRPr="00B63299" w:rsidRDefault="00265120" w:rsidP="00F30B84">
            <w:pPr>
              <w:pStyle w:val="naisf"/>
              <w:spacing w:before="0" w:after="0"/>
              <w:ind w:firstLine="0"/>
              <w:jc w:val="center"/>
              <w:rPr>
                <w:b/>
                <w:i/>
              </w:rPr>
            </w:pPr>
          </w:p>
        </w:tc>
        <w:tc>
          <w:tcPr>
            <w:tcW w:w="1296" w:type="dxa"/>
            <w:vAlign w:val="center"/>
          </w:tcPr>
          <w:p w14:paraId="4467E700" w14:textId="77777777" w:rsidR="00265120" w:rsidRPr="00B63299" w:rsidRDefault="00265120" w:rsidP="00F30B84">
            <w:pPr>
              <w:pStyle w:val="naisf"/>
              <w:spacing w:before="0" w:after="0"/>
              <w:ind w:firstLine="0"/>
              <w:jc w:val="center"/>
              <w:rPr>
                <w:b/>
                <w:i/>
              </w:rPr>
            </w:pPr>
          </w:p>
        </w:tc>
      </w:tr>
      <w:tr w:rsidR="00A67DDD" w:rsidRPr="00B63299" w14:paraId="75FCAACE" w14:textId="77777777" w:rsidTr="00AE2831">
        <w:trPr>
          <w:jc w:val="center"/>
        </w:trPr>
        <w:tc>
          <w:tcPr>
            <w:tcW w:w="2120" w:type="dxa"/>
            <w:vMerge/>
          </w:tcPr>
          <w:p w14:paraId="19E58C86" w14:textId="77777777" w:rsidR="00265120" w:rsidRPr="00B63299" w:rsidRDefault="00265120" w:rsidP="00C3136D"/>
        </w:tc>
        <w:tc>
          <w:tcPr>
            <w:tcW w:w="1873" w:type="dxa"/>
            <w:vMerge/>
            <w:vAlign w:val="center"/>
          </w:tcPr>
          <w:p w14:paraId="164CAD26" w14:textId="77777777" w:rsidR="00265120" w:rsidRPr="00B63299" w:rsidRDefault="00265120" w:rsidP="00F30B84">
            <w:pPr>
              <w:pStyle w:val="naisf"/>
              <w:spacing w:before="0" w:after="0"/>
              <w:jc w:val="center"/>
              <w:rPr>
                <w:i/>
              </w:rPr>
            </w:pPr>
          </w:p>
        </w:tc>
        <w:tc>
          <w:tcPr>
            <w:tcW w:w="1559" w:type="dxa"/>
            <w:vAlign w:val="center"/>
          </w:tcPr>
          <w:p w14:paraId="169B54B0" w14:textId="77777777" w:rsidR="00265120" w:rsidRPr="00B63299" w:rsidRDefault="00265120" w:rsidP="00F30B84">
            <w:pPr>
              <w:pStyle w:val="naisf"/>
              <w:spacing w:before="0" w:after="0"/>
              <w:ind w:firstLine="0"/>
              <w:jc w:val="center"/>
              <w:rPr>
                <w:b/>
                <w:i/>
              </w:rPr>
            </w:pPr>
          </w:p>
        </w:tc>
        <w:tc>
          <w:tcPr>
            <w:tcW w:w="1292" w:type="dxa"/>
            <w:vAlign w:val="center"/>
          </w:tcPr>
          <w:p w14:paraId="600C9B28" w14:textId="77777777" w:rsidR="00265120" w:rsidRPr="00B63299" w:rsidRDefault="00265120" w:rsidP="00F30B84">
            <w:pPr>
              <w:pStyle w:val="naisf"/>
              <w:spacing w:before="0" w:after="0"/>
              <w:ind w:firstLine="0"/>
              <w:jc w:val="center"/>
              <w:rPr>
                <w:b/>
                <w:i/>
              </w:rPr>
            </w:pPr>
          </w:p>
        </w:tc>
        <w:tc>
          <w:tcPr>
            <w:tcW w:w="1260" w:type="dxa"/>
            <w:vAlign w:val="center"/>
          </w:tcPr>
          <w:p w14:paraId="5EA948B6" w14:textId="77777777" w:rsidR="00265120" w:rsidRPr="00B63299" w:rsidRDefault="00265120" w:rsidP="00F30B84">
            <w:pPr>
              <w:pStyle w:val="naisf"/>
              <w:spacing w:before="0" w:after="0"/>
              <w:ind w:firstLine="0"/>
              <w:jc w:val="center"/>
              <w:rPr>
                <w:b/>
                <w:i/>
              </w:rPr>
            </w:pPr>
          </w:p>
        </w:tc>
        <w:tc>
          <w:tcPr>
            <w:tcW w:w="1296" w:type="dxa"/>
            <w:vAlign w:val="center"/>
          </w:tcPr>
          <w:p w14:paraId="1F575FA3" w14:textId="77777777" w:rsidR="00265120" w:rsidRPr="00B63299" w:rsidRDefault="00265120" w:rsidP="00F30B84">
            <w:pPr>
              <w:pStyle w:val="naisf"/>
              <w:spacing w:before="0" w:after="0"/>
              <w:ind w:firstLine="0"/>
              <w:jc w:val="center"/>
              <w:rPr>
                <w:b/>
                <w:i/>
              </w:rPr>
            </w:pPr>
          </w:p>
        </w:tc>
      </w:tr>
      <w:tr w:rsidR="00A67DDD" w:rsidRPr="00B63299" w14:paraId="0E54EAE8" w14:textId="77777777" w:rsidTr="00AE2831">
        <w:trPr>
          <w:jc w:val="center"/>
        </w:trPr>
        <w:tc>
          <w:tcPr>
            <w:tcW w:w="2120" w:type="dxa"/>
            <w:vMerge/>
          </w:tcPr>
          <w:p w14:paraId="7931A2AF" w14:textId="77777777" w:rsidR="00265120" w:rsidRPr="00B63299" w:rsidRDefault="00265120" w:rsidP="00C3136D"/>
        </w:tc>
        <w:tc>
          <w:tcPr>
            <w:tcW w:w="1873" w:type="dxa"/>
            <w:vMerge/>
            <w:vAlign w:val="center"/>
          </w:tcPr>
          <w:p w14:paraId="003B0B8A" w14:textId="77777777" w:rsidR="00265120" w:rsidRPr="00B63299" w:rsidRDefault="00265120" w:rsidP="00F30B84">
            <w:pPr>
              <w:pStyle w:val="naisf"/>
              <w:spacing w:before="0" w:after="0"/>
              <w:jc w:val="center"/>
              <w:rPr>
                <w:i/>
              </w:rPr>
            </w:pPr>
          </w:p>
        </w:tc>
        <w:tc>
          <w:tcPr>
            <w:tcW w:w="1559" w:type="dxa"/>
            <w:vAlign w:val="center"/>
          </w:tcPr>
          <w:p w14:paraId="74365943" w14:textId="77777777" w:rsidR="00265120" w:rsidRPr="00B63299" w:rsidRDefault="00265120" w:rsidP="00F30B84">
            <w:pPr>
              <w:pStyle w:val="naisf"/>
              <w:spacing w:before="0" w:after="0"/>
              <w:ind w:firstLine="0"/>
              <w:jc w:val="center"/>
              <w:rPr>
                <w:b/>
                <w:i/>
              </w:rPr>
            </w:pPr>
          </w:p>
        </w:tc>
        <w:tc>
          <w:tcPr>
            <w:tcW w:w="1292" w:type="dxa"/>
            <w:vAlign w:val="center"/>
          </w:tcPr>
          <w:p w14:paraId="640B5F04" w14:textId="77777777" w:rsidR="00265120" w:rsidRPr="00B63299" w:rsidRDefault="00265120" w:rsidP="00F30B84">
            <w:pPr>
              <w:pStyle w:val="naisf"/>
              <w:spacing w:before="0" w:after="0"/>
              <w:ind w:firstLine="0"/>
              <w:jc w:val="center"/>
              <w:rPr>
                <w:b/>
                <w:i/>
              </w:rPr>
            </w:pPr>
          </w:p>
        </w:tc>
        <w:tc>
          <w:tcPr>
            <w:tcW w:w="1260" w:type="dxa"/>
            <w:vAlign w:val="center"/>
          </w:tcPr>
          <w:p w14:paraId="23491876" w14:textId="77777777" w:rsidR="00265120" w:rsidRPr="00B63299" w:rsidRDefault="00265120" w:rsidP="00F30B84">
            <w:pPr>
              <w:pStyle w:val="naisf"/>
              <w:spacing w:before="0" w:after="0"/>
              <w:ind w:firstLine="0"/>
              <w:jc w:val="center"/>
              <w:rPr>
                <w:b/>
                <w:i/>
              </w:rPr>
            </w:pPr>
          </w:p>
        </w:tc>
        <w:tc>
          <w:tcPr>
            <w:tcW w:w="1296" w:type="dxa"/>
            <w:vAlign w:val="center"/>
          </w:tcPr>
          <w:p w14:paraId="463C31F2" w14:textId="77777777" w:rsidR="00265120" w:rsidRPr="00B63299" w:rsidRDefault="00265120" w:rsidP="00F30B84">
            <w:pPr>
              <w:pStyle w:val="naisf"/>
              <w:spacing w:before="0" w:after="0"/>
              <w:ind w:firstLine="0"/>
              <w:jc w:val="center"/>
              <w:rPr>
                <w:b/>
                <w:i/>
              </w:rPr>
            </w:pPr>
          </w:p>
        </w:tc>
      </w:tr>
      <w:tr w:rsidR="00A67DDD" w:rsidRPr="00B63299" w14:paraId="21992F75" w14:textId="77777777" w:rsidTr="00AE2831">
        <w:trPr>
          <w:jc w:val="center"/>
        </w:trPr>
        <w:tc>
          <w:tcPr>
            <w:tcW w:w="2120" w:type="dxa"/>
          </w:tcPr>
          <w:p w14:paraId="6AC47F86" w14:textId="77777777" w:rsidR="00265120" w:rsidRPr="00B63299" w:rsidRDefault="00265120" w:rsidP="00C3136D">
            <w:r w:rsidRPr="00B63299">
              <w:t>5. Precizēta finansiālā ietekme:</w:t>
            </w:r>
          </w:p>
        </w:tc>
        <w:tc>
          <w:tcPr>
            <w:tcW w:w="1873" w:type="dxa"/>
            <w:vMerge w:val="restart"/>
            <w:vAlign w:val="center"/>
          </w:tcPr>
          <w:p w14:paraId="0F5D2F32" w14:textId="77777777" w:rsidR="00265120" w:rsidRPr="00B63299" w:rsidRDefault="00265120" w:rsidP="00F30B84">
            <w:pPr>
              <w:pStyle w:val="naisf"/>
              <w:spacing w:before="0" w:after="0"/>
              <w:jc w:val="center"/>
              <w:rPr>
                <w:i/>
              </w:rPr>
            </w:pPr>
          </w:p>
        </w:tc>
        <w:tc>
          <w:tcPr>
            <w:tcW w:w="1559" w:type="dxa"/>
            <w:vAlign w:val="center"/>
          </w:tcPr>
          <w:p w14:paraId="04E839DB" w14:textId="77777777" w:rsidR="00265120" w:rsidRPr="00B63299" w:rsidRDefault="00265120" w:rsidP="00F30B84">
            <w:pPr>
              <w:pStyle w:val="naisf"/>
              <w:spacing w:before="0" w:after="0"/>
              <w:ind w:firstLine="0"/>
              <w:jc w:val="center"/>
              <w:rPr>
                <w:b/>
                <w:i/>
              </w:rPr>
            </w:pPr>
          </w:p>
        </w:tc>
        <w:tc>
          <w:tcPr>
            <w:tcW w:w="1292" w:type="dxa"/>
            <w:vAlign w:val="center"/>
          </w:tcPr>
          <w:p w14:paraId="5C002BDF" w14:textId="77777777" w:rsidR="00265120" w:rsidRPr="00B63299" w:rsidRDefault="00265120" w:rsidP="00F30B84">
            <w:pPr>
              <w:pStyle w:val="naisf"/>
              <w:spacing w:before="0" w:after="0"/>
              <w:ind w:firstLine="0"/>
              <w:jc w:val="center"/>
              <w:rPr>
                <w:b/>
                <w:i/>
              </w:rPr>
            </w:pPr>
          </w:p>
        </w:tc>
        <w:tc>
          <w:tcPr>
            <w:tcW w:w="1260" w:type="dxa"/>
            <w:vAlign w:val="center"/>
          </w:tcPr>
          <w:p w14:paraId="0D9FF563" w14:textId="77777777" w:rsidR="00265120" w:rsidRPr="00B63299" w:rsidRDefault="00265120" w:rsidP="00F30B84">
            <w:pPr>
              <w:pStyle w:val="naisf"/>
              <w:spacing w:before="0" w:after="0"/>
              <w:ind w:firstLine="0"/>
              <w:jc w:val="center"/>
              <w:rPr>
                <w:b/>
                <w:i/>
              </w:rPr>
            </w:pPr>
          </w:p>
        </w:tc>
        <w:tc>
          <w:tcPr>
            <w:tcW w:w="1296" w:type="dxa"/>
            <w:vAlign w:val="center"/>
          </w:tcPr>
          <w:p w14:paraId="4C95959B" w14:textId="77777777" w:rsidR="00265120" w:rsidRPr="00B63299" w:rsidRDefault="00265120" w:rsidP="00F30B84">
            <w:pPr>
              <w:pStyle w:val="naisf"/>
              <w:spacing w:before="0" w:after="0"/>
              <w:ind w:firstLine="0"/>
              <w:jc w:val="center"/>
              <w:rPr>
                <w:b/>
                <w:i/>
              </w:rPr>
            </w:pPr>
          </w:p>
        </w:tc>
      </w:tr>
      <w:tr w:rsidR="00A67DDD" w:rsidRPr="00B63299" w14:paraId="4341045F" w14:textId="77777777" w:rsidTr="00AE2831">
        <w:trPr>
          <w:jc w:val="center"/>
        </w:trPr>
        <w:tc>
          <w:tcPr>
            <w:tcW w:w="2120" w:type="dxa"/>
          </w:tcPr>
          <w:p w14:paraId="0CBE4E4F" w14:textId="77777777" w:rsidR="00A67DDD" w:rsidRPr="00B63299" w:rsidRDefault="00A67DDD" w:rsidP="00A67DDD">
            <w:r w:rsidRPr="00B63299">
              <w:t>5.1. valsts pamatbudžets</w:t>
            </w:r>
          </w:p>
        </w:tc>
        <w:tc>
          <w:tcPr>
            <w:tcW w:w="1873" w:type="dxa"/>
            <w:vMerge/>
            <w:vAlign w:val="center"/>
          </w:tcPr>
          <w:p w14:paraId="7BCEE604" w14:textId="77777777" w:rsidR="00A67DDD" w:rsidRPr="00B63299" w:rsidRDefault="00A67DDD" w:rsidP="00A67DDD">
            <w:pPr>
              <w:pStyle w:val="naisf"/>
              <w:spacing w:before="0" w:after="0"/>
              <w:jc w:val="center"/>
              <w:rPr>
                <w:i/>
              </w:rPr>
            </w:pPr>
          </w:p>
        </w:tc>
        <w:tc>
          <w:tcPr>
            <w:tcW w:w="1559" w:type="dxa"/>
            <w:vAlign w:val="center"/>
          </w:tcPr>
          <w:p w14:paraId="4B5B25EF" w14:textId="54AD433A" w:rsidR="00A67DDD" w:rsidRPr="00B63299" w:rsidRDefault="00A67DDD" w:rsidP="00A67DDD">
            <w:pPr>
              <w:pStyle w:val="naisf"/>
              <w:spacing w:before="0" w:after="0"/>
              <w:ind w:firstLine="0"/>
              <w:jc w:val="center"/>
              <w:rPr>
                <w:b/>
                <w:i/>
              </w:rPr>
            </w:pPr>
          </w:p>
        </w:tc>
        <w:tc>
          <w:tcPr>
            <w:tcW w:w="1292" w:type="dxa"/>
            <w:vAlign w:val="center"/>
          </w:tcPr>
          <w:p w14:paraId="02CB0CAF" w14:textId="634B70B0" w:rsidR="00A67DDD" w:rsidRPr="00B63299" w:rsidRDefault="00A67DDD" w:rsidP="003532E1">
            <w:pPr>
              <w:pStyle w:val="naisf"/>
              <w:spacing w:before="0" w:after="0"/>
              <w:ind w:firstLine="0"/>
              <w:jc w:val="center"/>
              <w:rPr>
                <w:b/>
                <w:i/>
              </w:rPr>
            </w:pPr>
          </w:p>
        </w:tc>
        <w:tc>
          <w:tcPr>
            <w:tcW w:w="1260" w:type="dxa"/>
            <w:vAlign w:val="center"/>
          </w:tcPr>
          <w:p w14:paraId="42B2344C" w14:textId="602EED5F" w:rsidR="00A67DDD" w:rsidRPr="00B63299" w:rsidRDefault="00A67DDD" w:rsidP="003532E1">
            <w:pPr>
              <w:pStyle w:val="naisf"/>
              <w:spacing w:before="0" w:after="0"/>
              <w:ind w:firstLine="0"/>
              <w:jc w:val="center"/>
              <w:rPr>
                <w:b/>
                <w:i/>
              </w:rPr>
            </w:pPr>
            <w:r w:rsidRPr="00B63299">
              <w:rPr>
                <w:b/>
                <w:i/>
              </w:rPr>
              <w:t>-</w:t>
            </w:r>
            <w:r w:rsidR="003532E1">
              <w:rPr>
                <w:b/>
                <w:i/>
              </w:rPr>
              <w:t>3 418 690</w:t>
            </w:r>
          </w:p>
        </w:tc>
        <w:tc>
          <w:tcPr>
            <w:tcW w:w="1296" w:type="dxa"/>
            <w:vAlign w:val="center"/>
          </w:tcPr>
          <w:p w14:paraId="498D0D38" w14:textId="2304A6A7" w:rsidR="00A67DDD" w:rsidRPr="00B63299" w:rsidRDefault="00A67DDD" w:rsidP="00A67DDD">
            <w:pPr>
              <w:pStyle w:val="naisf"/>
              <w:spacing w:before="0" w:after="0"/>
              <w:ind w:firstLine="0"/>
              <w:jc w:val="center"/>
              <w:rPr>
                <w:b/>
                <w:i/>
              </w:rPr>
            </w:pPr>
            <w:r w:rsidRPr="00B63299">
              <w:rPr>
                <w:b/>
                <w:i/>
              </w:rPr>
              <w:t>-2 229 675</w:t>
            </w:r>
          </w:p>
        </w:tc>
      </w:tr>
      <w:tr w:rsidR="00A67DDD" w:rsidRPr="00B63299" w14:paraId="23D2D7BB" w14:textId="77777777" w:rsidTr="00AE2831">
        <w:trPr>
          <w:jc w:val="center"/>
        </w:trPr>
        <w:tc>
          <w:tcPr>
            <w:tcW w:w="2120" w:type="dxa"/>
          </w:tcPr>
          <w:p w14:paraId="305180FC" w14:textId="77777777" w:rsidR="00A67DDD" w:rsidRPr="00B63299" w:rsidRDefault="00A67DDD" w:rsidP="00A67DDD">
            <w:r w:rsidRPr="00B63299">
              <w:t>5.2. speciālais budžets</w:t>
            </w:r>
          </w:p>
        </w:tc>
        <w:tc>
          <w:tcPr>
            <w:tcW w:w="1873" w:type="dxa"/>
            <w:vMerge/>
            <w:vAlign w:val="center"/>
          </w:tcPr>
          <w:p w14:paraId="41CE2088" w14:textId="77777777" w:rsidR="00A67DDD" w:rsidRPr="00B63299" w:rsidRDefault="00A67DDD" w:rsidP="00A67DDD">
            <w:pPr>
              <w:pStyle w:val="naisf"/>
              <w:spacing w:before="0" w:after="0"/>
              <w:jc w:val="center"/>
              <w:rPr>
                <w:i/>
              </w:rPr>
            </w:pPr>
          </w:p>
        </w:tc>
        <w:tc>
          <w:tcPr>
            <w:tcW w:w="1559" w:type="dxa"/>
            <w:vAlign w:val="center"/>
          </w:tcPr>
          <w:p w14:paraId="1BC2EB35" w14:textId="77777777" w:rsidR="00A67DDD" w:rsidRPr="00B63299" w:rsidRDefault="00A67DDD" w:rsidP="00A67DDD">
            <w:pPr>
              <w:pStyle w:val="naisf"/>
              <w:spacing w:before="0" w:after="0"/>
              <w:ind w:firstLine="0"/>
              <w:jc w:val="center"/>
              <w:rPr>
                <w:b/>
                <w:i/>
              </w:rPr>
            </w:pPr>
          </w:p>
        </w:tc>
        <w:tc>
          <w:tcPr>
            <w:tcW w:w="1292" w:type="dxa"/>
            <w:vAlign w:val="center"/>
          </w:tcPr>
          <w:p w14:paraId="1FC61604" w14:textId="77777777" w:rsidR="00A67DDD" w:rsidRPr="00B63299" w:rsidRDefault="00A67DDD" w:rsidP="00A67DDD">
            <w:pPr>
              <w:pStyle w:val="naisf"/>
              <w:spacing w:before="0" w:after="0"/>
              <w:ind w:firstLine="0"/>
              <w:jc w:val="center"/>
              <w:rPr>
                <w:b/>
                <w:i/>
              </w:rPr>
            </w:pPr>
          </w:p>
        </w:tc>
        <w:tc>
          <w:tcPr>
            <w:tcW w:w="1260" w:type="dxa"/>
            <w:vAlign w:val="center"/>
          </w:tcPr>
          <w:p w14:paraId="0D474F0E" w14:textId="77777777" w:rsidR="00A67DDD" w:rsidRPr="00B63299" w:rsidRDefault="00A67DDD" w:rsidP="00A67DDD">
            <w:pPr>
              <w:pStyle w:val="naisf"/>
              <w:spacing w:before="0" w:after="0"/>
              <w:ind w:firstLine="0"/>
              <w:jc w:val="center"/>
              <w:rPr>
                <w:b/>
                <w:i/>
              </w:rPr>
            </w:pPr>
          </w:p>
        </w:tc>
        <w:tc>
          <w:tcPr>
            <w:tcW w:w="1296" w:type="dxa"/>
            <w:vAlign w:val="center"/>
          </w:tcPr>
          <w:p w14:paraId="03B07706" w14:textId="77777777" w:rsidR="00A67DDD" w:rsidRPr="00B63299" w:rsidRDefault="00A67DDD" w:rsidP="00A67DDD">
            <w:pPr>
              <w:pStyle w:val="naisf"/>
              <w:spacing w:before="0" w:after="0"/>
              <w:ind w:firstLine="0"/>
              <w:jc w:val="center"/>
              <w:rPr>
                <w:b/>
                <w:i/>
              </w:rPr>
            </w:pPr>
          </w:p>
        </w:tc>
      </w:tr>
      <w:tr w:rsidR="00A67DDD" w:rsidRPr="00B63299" w14:paraId="1B6108E8" w14:textId="77777777" w:rsidTr="00AE2831">
        <w:trPr>
          <w:jc w:val="center"/>
        </w:trPr>
        <w:tc>
          <w:tcPr>
            <w:tcW w:w="2120" w:type="dxa"/>
          </w:tcPr>
          <w:p w14:paraId="6AAADD66" w14:textId="77777777" w:rsidR="00A67DDD" w:rsidRPr="00B63299" w:rsidRDefault="00A67DDD" w:rsidP="00A67DDD">
            <w:r w:rsidRPr="00B63299">
              <w:t xml:space="preserve">5.3. pašvaldību budžets </w:t>
            </w:r>
          </w:p>
        </w:tc>
        <w:tc>
          <w:tcPr>
            <w:tcW w:w="1873" w:type="dxa"/>
            <w:vMerge/>
            <w:vAlign w:val="center"/>
          </w:tcPr>
          <w:p w14:paraId="37FC824C" w14:textId="77777777" w:rsidR="00A67DDD" w:rsidRPr="00B63299" w:rsidRDefault="00A67DDD" w:rsidP="00A67DDD">
            <w:pPr>
              <w:pStyle w:val="naisf"/>
              <w:spacing w:before="0" w:after="0"/>
              <w:jc w:val="center"/>
              <w:rPr>
                <w:i/>
              </w:rPr>
            </w:pPr>
          </w:p>
        </w:tc>
        <w:tc>
          <w:tcPr>
            <w:tcW w:w="1559" w:type="dxa"/>
            <w:vAlign w:val="center"/>
          </w:tcPr>
          <w:p w14:paraId="6D1F7B31" w14:textId="00F39F6C" w:rsidR="00A67DDD" w:rsidRPr="00B63299" w:rsidRDefault="00A67DDD" w:rsidP="00A67DDD">
            <w:pPr>
              <w:pStyle w:val="naisf"/>
              <w:spacing w:before="0" w:after="0"/>
              <w:ind w:firstLine="0"/>
              <w:jc w:val="center"/>
              <w:rPr>
                <w:b/>
                <w:i/>
              </w:rPr>
            </w:pPr>
          </w:p>
        </w:tc>
        <w:tc>
          <w:tcPr>
            <w:tcW w:w="1292" w:type="dxa"/>
            <w:vAlign w:val="center"/>
          </w:tcPr>
          <w:p w14:paraId="6BC601FB" w14:textId="047A0C92" w:rsidR="00A67DDD" w:rsidRPr="00B63299" w:rsidRDefault="00A67DDD" w:rsidP="00A67DDD">
            <w:pPr>
              <w:pStyle w:val="naisf"/>
              <w:spacing w:before="0" w:after="0"/>
              <w:ind w:firstLine="0"/>
              <w:jc w:val="center"/>
              <w:rPr>
                <w:b/>
                <w:i/>
              </w:rPr>
            </w:pPr>
            <w:r w:rsidRPr="00B63299">
              <w:rPr>
                <w:b/>
                <w:i/>
              </w:rPr>
              <w:t>-972 779</w:t>
            </w:r>
          </w:p>
        </w:tc>
        <w:tc>
          <w:tcPr>
            <w:tcW w:w="1260" w:type="dxa"/>
            <w:vAlign w:val="center"/>
          </w:tcPr>
          <w:p w14:paraId="2646EBB4" w14:textId="5940DD7B" w:rsidR="00A67DDD" w:rsidRPr="00B63299" w:rsidRDefault="00A67DDD" w:rsidP="00A67DDD">
            <w:pPr>
              <w:pStyle w:val="naisf"/>
              <w:spacing w:before="0" w:after="0"/>
              <w:ind w:firstLine="0"/>
              <w:jc w:val="center"/>
              <w:rPr>
                <w:b/>
                <w:i/>
              </w:rPr>
            </w:pPr>
            <w:r w:rsidRPr="00B63299">
              <w:rPr>
                <w:b/>
                <w:i/>
              </w:rPr>
              <w:t>-1 552 497</w:t>
            </w:r>
          </w:p>
        </w:tc>
        <w:tc>
          <w:tcPr>
            <w:tcW w:w="1296" w:type="dxa"/>
            <w:vAlign w:val="center"/>
          </w:tcPr>
          <w:p w14:paraId="09CD1310" w14:textId="287DAA7A" w:rsidR="00A67DDD" w:rsidRPr="00B63299" w:rsidRDefault="00A67DDD" w:rsidP="00A67DDD">
            <w:pPr>
              <w:pStyle w:val="naisf"/>
              <w:spacing w:before="0" w:after="0"/>
              <w:ind w:firstLine="0"/>
              <w:jc w:val="center"/>
              <w:rPr>
                <w:b/>
                <w:i/>
              </w:rPr>
            </w:pPr>
            <w:r w:rsidRPr="00B63299">
              <w:rPr>
                <w:b/>
                <w:i/>
              </w:rPr>
              <w:t>-1 552 497</w:t>
            </w:r>
          </w:p>
        </w:tc>
      </w:tr>
      <w:tr w:rsidR="005B5991" w:rsidRPr="00B63299" w14:paraId="749B9FC0" w14:textId="77777777" w:rsidTr="00AE2831">
        <w:trPr>
          <w:jc w:val="center"/>
        </w:trPr>
        <w:tc>
          <w:tcPr>
            <w:tcW w:w="2120" w:type="dxa"/>
          </w:tcPr>
          <w:p w14:paraId="749F79AE" w14:textId="77777777" w:rsidR="00265120" w:rsidRPr="00B63299" w:rsidRDefault="00265120" w:rsidP="00C3136D">
            <w:r w:rsidRPr="00B63299">
              <w:t>6. Detalizēts ieņēmumu un izdevumu aprēķins (ja nepie</w:t>
            </w:r>
            <w:r w:rsidRPr="00B63299">
              <w:softHyphen/>
              <w:t>ciešams, detalizētu ieņēmumu un izdevumu aprēķinu var pie</w:t>
            </w:r>
            <w:r w:rsidRPr="00B63299">
              <w:softHyphen/>
              <w:t>vienot anotācijas pielikumā):</w:t>
            </w:r>
          </w:p>
        </w:tc>
        <w:tc>
          <w:tcPr>
            <w:tcW w:w="7280" w:type="dxa"/>
            <w:gridSpan w:val="5"/>
            <w:vMerge w:val="restart"/>
            <w:vAlign w:val="center"/>
          </w:tcPr>
          <w:p w14:paraId="49A400B6" w14:textId="78EEDFDE" w:rsidR="00AC54E0" w:rsidRPr="00B63299" w:rsidRDefault="00CC2834" w:rsidP="003B55D7">
            <w:pPr>
              <w:jc w:val="both"/>
            </w:pPr>
            <w:r w:rsidRPr="00B63299">
              <w:t>MK noteikumu projekta paredzētās normas attiecībā uz netiešo izmaksu jeb administrācijas izmaksu sadales kārtības maiņu un peļņas apjoma palielināšanu no 2016.gada rada negatīvu finansiālu ietekmi</w:t>
            </w:r>
            <w:r w:rsidR="005F4685" w:rsidRPr="00B63299">
              <w:t xml:space="preserve"> attiecībā pret 2015.gada</w:t>
            </w:r>
            <w:r w:rsidR="0042211A">
              <w:t>m</w:t>
            </w:r>
            <w:r w:rsidR="005F4685" w:rsidRPr="00B63299">
              <w:t xml:space="preserve"> </w:t>
            </w:r>
            <w:r w:rsidR="0042211A">
              <w:t xml:space="preserve">apstiprināto </w:t>
            </w:r>
            <w:r w:rsidR="005F4685" w:rsidRPr="00B63299">
              <w:t>valsts budžet</w:t>
            </w:r>
            <w:r w:rsidR="0042211A">
              <w:t>u</w:t>
            </w:r>
            <w:r w:rsidR="005F4685" w:rsidRPr="00B63299">
              <w:t xml:space="preserve"> programmā 31.00 </w:t>
            </w:r>
            <w:r w:rsidR="005F4685" w:rsidRPr="00B63299">
              <w:rPr>
                <w:i/>
              </w:rPr>
              <w:t>Sabiedriskais transports</w:t>
            </w:r>
            <w:r w:rsidR="005F4685" w:rsidRPr="00B63299">
              <w:t xml:space="preserve">. </w:t>
            </w:r>
          </w:p>
          <w:p w14:paraId="44DB1032" w14:textId="59E50362" w:rsidR="005F4685" w:rsidRPr="00B63299" w:rsidRDefault="009A0E53" w:rsidP="003B55D7">
            <w:pPr>
              <w:jc w:val="both"/>
            </w:pPr>
            <w:r w:rsidRPr="00B63299">
              <w:t>Valsts budžeta i</w:t>
            </w:r>
            <w:r w:rsidR="005F4685" w:rsidRPr="00B63299">
              <w:t>zdevumu aprēķins veikts pamatojoties uz 2013.</w:t>
            </w:r>
            <w:r w:rsidR="00AC54E0" w:rsidRPr="00B63299">
              <w:t xml:space="preserve"> un 2014.</w:t>
            </w:r>
            <w:r w:rsidR="005F4685" w:rsidRPr="00B63299">
              <w:t>gada faktiskajiem sabiedriskā transporta pakalpojumu sniedzēju</w:t>
            </w:r>
            <w:r w:rsidR="00DC3DD0" w:rsidRPr="00B63299">
              <w:t>, tai skaitā republikas pašvaldībās sabiedriskā transporta pakalpojumu sniedzēju</w:t>
            </w:r>
            <w:r w:rsidR="005F4685" w:rsidRPr="00B63299">
              <w:t xml:space="preserve"> datiem.</w:t>
            </w:r>
            <w:r w:rsidRPr="00B63299">
              <w:t xml:space="preserve"> </w:t>
            </w:r>
            <w:r w:rsidR="00335E1A" w:rsidRPr="00B63299">
              <w:t xml:space="preserve">Detalizēts aprēķins pa pārvadājumu veidiem ir pievienots anotācijas </w:t>
            </w:r>
            <w:r w:rsidR="003F3C4F" w:rsidRPr="00B63299">
              <w:t>2.</w:t>
            </w:r>
            <w:r w:rsidR="00335E1A" w:rsidRPr="00B63299">
              <w:t xml:space="preserve">pielikumā. </w:t>
            </w:r>
            <w:r w:rsidRPr="00B63299">
              <w:t>Aprēķinos ir ņemts vērā pieņēmums, ka ieņēmumi saglabāsies 201</w:t>
            </w:r>
            <w:r w:rsidR="00335E1A" w:rsidRPr="00B63299">
              <w:t>4</w:t>
            </w:r>
            <w:r w:rsidRPr="00B63299">
              <w:t xml:space="preserve">.gada apmērā, ņemot vērā to, ka, sākot ar 2015.gada vidu ir plānotas izmaiņas reģionālās nozīmes maršrutu tarifu noteikšanā, kas </w:t>
            </w:r>
            <w:r w:rsidR="00335E1A" w:rsidRPr="00B63299">
              <w:t xml:space="preserve">ļaus saglabāt </w:t>
            </w:r>
            <w:r w:rsidRPr="00B63299">
              <w:t>ieņēmumu</w:t>
            </w:r>
            <w:r w:rsidR="00335E1A" w:rsidRPr="00B63299">
              <w:t>s</w:t>
            </w:r>
            <w:r w:rsidR="00950A21">
              <w:t xml:space="preserve"> </w:t>
            </w:r>
            <w:r w:rsidR="00335E1A" w:rsidRPr="00B63299">
              <w:t>2014.gada apjomā</w:t>
            </w:r>
            <w:r w:rsidRPr="00B63299">
              <w:t>.</w:t>
            </w:r>
            <w:r w:rsidR="00DC3DD0" w:rsidRPr="00B63299">
              <w:t xml:space="preserve"> </w:t>
            </w:r>
            <w:r w:rsidR="005F4685" w:rsidRPr="00B63299">
              <w:t xml:space="preserve">Netiešo izmaksu sadales metodikas maiņa rada kopējo netiešo izmaksu pieaugumu 6.5% apmērā (precīzāk reģionālās nozīmes pārvadājumos 2.4%; republikas pilsētu pārvadājumos 4.1%), kas kopumā palielina pārvadātājiem kompensējamo zaudējumu apmēru, kas kompensējams no valsts un pašvaldību budžetiem. </w:t>
            </w:r>
            <w:r w:rsidR="00DC3DD0" w:rsidRPr="00B63299">
              <w:t xml:space="preserve">Neskatoties uz to, ka </w:t>
            </w:r>
            <w:r w:rsidR="003B55D7" w:rsidRPr="00B63299">
              <w:t xml:space="preserve">saskaņā ar vidējā termiņa budžeta ietvaru 2015., 2016. un 2017.gadam ir paredzēti 77 590 629 EUR (tai skaitā 5 000 000 EUR ar papildu piešķirtajiem </w:t>
            </w:r>
            <w:r w:rsidR="003B55D7" w:rsidRPr="00B63299">
              <w:lastRenderedPageBreak/>
              <w:t xml:space="preserve">līdzekļiem jaunās politikas iniciatīvai), tomēr minētais finansējums nodrošina zaudējumu kompensēšanu, neņemot vērā paredzētās izmaiņas attiecībā uz peļņas apjoma un netiešo izmaksu sadales kārtības maiņu. </w:t>
            </w:r>
            <w:r w:rsidR="005F4685" w:rsidRPr="00B63299">
              <w:t>Līdz ar to no valsts budžeta papildus 201</w:t>
            </w:r>
            <w:r w:rsidR="00335E1A" w:rsidRPr="00B63299">
              <w:t>6</w:t>
            </w:r>
            <w:r w:rsidR="005F4685" w:rsidRPr="00B63299">
              <w:t xml:space="preserve">.gadā un turpmākos gados ir nepieciešami ne mazāk </w:t>
            </w:r>
            <w:r w:rsidR="0073434F">
              <w:t xml:space="preserve">kā </w:t>
            </w:r>
            <w:r w:rsidR="005F4685" w:rsidRPr="00B63299">
              <w:t>148 355 EUR</w:t>
            </w:r>
            <w:r w:rsidR="003B55D7" w:rsidRPr="00B63299">
              <w:t xml:space="preserve"> par netiešo izmaksu sadales kārtības maiņu</w:t>
            </w:r>
            <w:r w:rsidR="005F4685" w:rsidRPr="00B63299">
              <w:t xml:space="preserve">. Savukārt attiecībā uz peļņas apmēra palielinājumu, sākot no 2016.gada, papildus no valsts budžeta ir nepieciešami 2016.gadā - </w:t>
            </w:r>
            <w:r w:rsidR="00335E1A" w:rsidRPr="00B63299">
              <w:t>1 040 660</w:t>
            </w:r>
            <w:r w:rsidR="005F4685" w:rsidRPr="00B63299">
              <w:t xml:space="preserve"> EUR; 2017.gadā un 2018.gadā – </w:t>
            </w:r>
            <w:r w:rsidR="00335E1A" w:rsidRPr="00B63299">
              <w:t>2 081 320</w:t>
            </w:r>
            <w:r w:rsidR="005F4685" w:rsidRPr="00B63299">
              <w:t xml:space="preserve"> EUR. </w:t>
            </w:r>
            <w:r w:rsidR="00830D1F" w:rsidRPr="00B63299">
              <w:t>2015.gadā plānotā peļņas daļa, kas izmaksājama no valsts budžeta par reģionālās nozīmes pārvadājumiem un pilsētas nozīmes pārvadājumiem, sastāda aptuveni 2.</w:t>
            </w:r>
            <w:r w:rsidR="00335E1A" w:rsidRPr="00B63299">
              <w:t>3</w:t>
            </w:r>
            <w:r w:rsidR="00830D1F" w:rsidRPr="00B63299">
              <w:t xml:space="preserve"> milj. EUR, un palielinot peļņas apmēru 2016.gadā vidējais peļņas procents atbilstu aptuveni 5% no ieņēmumiem, jeb vidēji 3%</w:t>
            </w:r>
            <w:r w:rsidRPr="00B63299">
              <w:t xml:space="preserve"> no apgrozījuma</w:t>
            </w:r>
            <w:r w:rsidR="00830D1F" w:rsidRPr="00B63299">
              <w:t>, savukārt 2017.gadā vidējais peļņas procents atbilstu aptuveni 6% no ieņēmumiem, jeb vidēji 4% no apgrozījuma</w:t>
            </w:r>
            <w:r w:rsidRPr="00B63299">
              <w:t>.</w:t>
            </w:r>
            <w:r w:rsidR="00830D1F" w:rsidRPr="00B63299">
              <w:t xml:space="preserve"> </w:t>
            </w:r>
            <w:r w:rsidR="0057714C" w:rsidRPr="00B63299">
              <w:t>Papildus nepieciešamais finansējums valsts budžetam</w:t>
            </w:r>
            <w:r w:rsidR="00AC2EBB">
              <w:t xml:space="preserve"> </w:t>
            </w:r>
            <w:r w:rsidR="0057714C" w:rsidRPr="00B63299">
              <w:t xml:space="preserve">tiks pieteikts Jauno politikas iniciatīvu sagatavošanas procesā atbilstoši valsts budžeta </w:t>
            </w:r>
            <w:r w:rsidR="00AC2EBB">
              <w:t>attiecīgajam kalendārajam gadam</w:t>
            </w:r>
            <w:r w:rsidR="0057714C" w:rsidRPr="00B63299">
              <w:t xml:space="preserve"> sagatavošanas grafikam.</w:t>
            </w:r>
          </w:p>
          <w:p w14:paraId="1A24108D" w14:textId="6F4FC2A9" w:rsidR="00475D32" w:rsidRPr="00B63299" w:rsidRDefault="003B55D7" w:rsidP="0073434F">
            <w:pPr>
              <w:jc w:val="both"/>
            </w:pPr>
            <w:r w:rsidRPr="00B63299">
              <w:t>Attiecībā uz finansējuma ietekmi pašvaldību bud</w:t>
            </w:r>
            <w:r w:rsidR="00DF33D1" w:rsidRPr="00B63299">
              <w:t xml:space="preserve">žetos, ir izdarīti pieņēmumi, kā noteikumu projektā iestrādātās izmaiņas varētu ietekmēt republikas pilsētu pašvaldību izdevumus, ievērojot republikas pilsētu pašvaldību sabiedrisko transporta pakalpojumu sniedzēju iesniegtos datus, tomēr nav ņemtas vērā izmaiņas saistībā ar republikas pilsētu pašvaldību pieņemtajiem lēmumiem sabiedriskā transporta pakalpojumu nodrošināšanā konkrētajās administratīvajās teritorijās. </w:t>
            </w:r>
            <w:r w:rsidR="0057714C" w:rsidRPr="00B63299">
              <w:t>Visas ar noteikumu projektu saistītās izmaiņas, kas rada ietekm</w:t>
            </w:r>
            <w:r w:rsidR="0073434F">
              <w:t>i</w:t>
            </w:r>
            <w:r w:rsidR="0057714C" w:rsidRPr="00B63299">
              <w:t xml:space="preserve"> uz pašvaldību budžetiem saistībā ar pilsētas nozīmes pārvadājumiem, jāsedz no pašvaldību budžetiem. </w:t>
            </w:r>
            <w:r w:rsidR="00475D32" w:rsidRPr="00B63299">
              <w:t>Par noteikumu projektu viedokli ir sniegusi arī Latvijas Pašvaldību savienība, kura savā atzinumā nav paudusi viedokli par finansējuma apjomu vai citiem ar republikas pilsētu pašvaldību darbību ietekmējošiem faktoriem.</w:t>
            </w:r>
          </w:p>
        </w:tc>
      </w:tr>
      <w:tr w:rsidR="00265120" w:rsidRPr="00B63299" w14:paraId="7FBF9DB6" w14:textId="77777777" w:rsidTr="00AE2831">
        <w:trPr>
          <w:jc w:val="center"/>
        </w:trPr>
        <w:tc>
          <w:tcPr>
            <w:tcW w:w="2120" w:type="dxa"/>
          </w:tcPr>
          <w:p w14:paraId="114C813D" w14:textId="380CF92A" w:rsidR="00265120" w:rsidRPr="00B63299" w:rsidRDefault="00265120" w:rsidP="00C3136D">
            <w:r w:rsidRPr="00B63299">
              <w:t>6.1. detalizēts ieņēmumu aprēķins</w:t>
            </w:r>
          </w:p>
        </w:tc>
        <w:tc>
          <w:tcPr>
            <w:tcW w:w="7280" w:type="dxa"/>
            <w:gridSpan w:val="5"/>
            <w:vMerge/>
          </w:tcPr>
          <w:p w14:paraId="3F06B7A2" w14:textId="77777777" w:rsidR="00265120" w:rsidRPr="00B63299" w:rsidRDefault="00265120" w:rsidP="00C3136D">
            <w:pPr>
              <w:pStyle w:val="naisf"/>
              <w:spacing w:before="0" w:after="0"/>
              <w:rPr>
                <w:b/>
                <w:i/>
              </w:rPr>
            </w:pPr>
          </w:p>
        </w:tc>
      </w:tr>
      <w:tr w:rsidR="00265120" w:rsidRPr="00B63299" w14:paraId="7E7FE379" w14:textId="77777777" w:rsidTr="00AE2831">
        <w:trPr>
          <w:jc w:val="center"/>
        </w:trPr>
        <w:tc>
          <w:tcPr>
            <w:tcW w:w="2120" w:type="dxa"/>
          </w:tcPr>
          <w:p w14:paraId="7512437A" w14:textId="77777777" w:rsidR="00265120" w:rsidRPr="00B63299" w:rsidRDefault="00265120" w:rsidP="00C3136D">
            <w:r w:rsidRPr="00B63299">
              <w:t>6.2. detalizēts izdevumu aprēķins</w:t>
            </w:r>
          </w:p>
        </w:tc>
        <w:tc>
          <w:tcPr>
            <w:tcW w:w="7280" w:type="dxa"/>
            <w:gridSpan w:val="5"/>
            <w:vMerge/>
          </w:tcPr>
          <w:p w14:paraId="58B3A2F8" w14:textId="77777777" w:rsidR="00265120" w:rsidRPr="00B63299" w:rsidRDefault="00265120" w:rsidP="00C3136D">
            <w:pPr>
              <w:pStyle w:val="naisf"/>
              <w:spacing w:before="0" w:after="0"/>
              <w:rPr>
                <w:b/>
                <w:i/>
              </w:rPr>
            </w:pPr>
          </w:p>
        </w:tc>
      </w:tr>
      <w:tr w:rsidR="00265120" w:rsidRPr="00B63299" w14:paraId="481B7846" w14:textId="77777777" w:rsidTr="00AE2831">
        <w:trPr>
          <w:trHeight w:val="556"/>
          <w:jc w:val="center"/>
        </w:trPr>
        <w:tc>
          <w:tcPr>
            <w:tcW w:w="2120" w:type="dxa"/>
          </w:tcPr>
          <w:p w14:paraId="0B46A1EE" w14:textId="77777777" w:rsidR="00265120" w:rsidRPr="00B63299" w:rsidRDefault="00265120" w:rsidP="00C3136D">
            <w:r w:rsidRPr="00B63299">
              <w:lastRenderedPageBreak/>
              <w:t>7. Cita informācija</w:t>
            </w:r>
          </w:p>
        </w:tc>
        <w:tc>
          <w:tcPr>
            <w:tcW w:w="7280" w:type="dxa"/>
            <w:gridSpan w:val="5"/>
          </w:tcPr>
          <w:p w14:paraId="2FBEDC70" w14:textId="11B18F42" w:rsidR="00AC2EBB" w:rsidRPr="00AC2EBB" w:rsidRDefault="00950A21" w:rsidP="00BB6CDF">
            <w:pPr>
              <w:jc w:val="both"/>
              <w:rPr>
                <w:color w:val="FF0000"/>
                <w:lang w:eastAsia="ar-SA"/>
              </w:rPr>
            </w:pPr>
            <w:r w:rsidRPr="004D78BD">
              <w:rPr>
                <w:lang w:eastAsia="ar-SA"/>
              </w:rPr>
              <w:t>Ievērojot to, ka MK noteikumu projekta sagatavošanas procesā Ministru kabinets 2015.gada 13.apr</w:t>
            </w:r>
            <w:r w:rsidR="00AC2EBB" w:rsidRPr="004D78BD">
              <w:rPr>
                <w:lang w:eastAsia="ar-SA"/>
              </w:rPr>
              <w:t>īļa sēdē Nr.19 (prot. Nr.19 1.§) pieņēma lēmumu atbilstoši Likuma par budžetu un finanšu vadību 16.</w:t>
            </w:r>
            <w:r w:rsidR="00AC2EBB" w:rsidRPr="004D78BD">
              <w:rPr>
                <w:vertAlign w:val="superscript"/>
                <w:lang w:eastAsia="ar-SA"/>
              </w:rPr>
              <w:t>1</w:t>
            </w:r>
            <w:r w:rsidR="00AC2EBB" w:rsidRPr="004D78BD">
              <w:rPr>
                <w:lang w:eastAsia="ar-SA"/>
              </w:rPr>
              <w:t>panta otrajā daļā noteiktajam un ņemot vērā aktuālās makroekonomiskās attīstības prognozes, ministrijām un citām centrālajām valsts iestādēm negatavot un neiesniegt priekšlikumus jaunajām politikas iniciatīvām 2016., 2017. un 2018.gadam, izņemot veselības un izglītības jomu saistībā ar strukturālām reformām, kā arī iekšējās un ārējās drošības jomu</w:t>
            </w:r>
            <w:r w:rsidR="00BB6CDF">
              <w:rPr>
                <w:lang w:eastAsia="ar-SA"/>
              </w:rPr>
              <w:t>, tad no valsts budžeta papildus nepieciešamais finansējums 2016.gadam, netiek norādīts anotācijas 3.sadaļas 2.1.punktā</w:t>
            </w:r>
            <w:r w:rsidR="00AC2EBB" w:rsidRPr="004D78BD">
              <w:rPr>
                <w:lang w:eastAsia="ar-SA"/>
              </w:rPr>
              <w:t xml:space="preserve">. </w:t>
            </w:r>
            <w:r w:rsidR="003532E1" w:rsidRPr="004D78BD">
              <w:rPr>
                <w:lang w:eastAsia="ar-SA"/>
              </w:rPr>
              <w:t xml:space="preserve">Ņemot vērā to, ka ar sabiedriskā transporta pakalpojumu sniedzējiem gala norēķini par 2016.gadu tiks veikti 2017.gadā, tad </w:t>
            </w:r>
            <w:r w:rsidR="00AC2EBB" w:rsidRPr="004D78BD">
              <w:rPr>
                <w:lang w:eastAsia="ar-SA"/>
              </w:rPr>
              <w:t xml:space="preserve">nepieciešamais papildus finansējums 2016.gadam tiks </w:t>
            </w:r>
            <w:r w:rsidR="00AC2EBB" w:rsidRPr="004D78BD">
              <w:t xml:space="preserve">pieteikts Jauno politikas iniciatīvu sagatavošanas procesā vienlaikus ar 2017.gadam nepieciešamo finansējumu atbilstoši valsts budžeta 2017.gadam sagatavošanas grafikam. </w:t>
            </w:r>
          </w:p>
        </w:tc>
      </w:tr>
    </w:tbl>
    <w:p w14:paraId="60E1E91F" w14:textId="7B60A5AF" w:rsidR="00265120" w:rsidRPr="00B63299" w:rsidRDefault="00265120" w:rsidP="00265120"/>
    <w:p w14:paraId="594CFD6F" w14:textId="77777777" w:rsidR="00265120" w:rsidRPr="00B63299" w:rsidRDefault="00265120" w:rsidP="00265120"/>
    <w:tbl>
      <w:tblPr>
        <w:tblW w:w="9490" w:type="dxa"/>
        <w:tblInd w:w="-114" w:type="dxa"/>
        <w:tblLayout w:type="fixed"/>
        <w:tblCellMar>
          <w:left w:w="28" w:type="dxa"/>
          <w:right w:w="28" w:type="dxa"/>
        </w:tblCellMar>
        <w:tblLook w:val="0000" w:firstRow="0" w:lastRow="0" w:firstColumn="0" w:lastColumn="0" w:noHBand="0" w:noVBand="0"/>
      </w:tblPr>
      <w:tblGrid>
        <w:gridCol w:w="454"/>
        <w:gridCol w:w="3118"/>
        <w:gridCol w:w="5918"/>
      </w:tblGrid>
      <w:tr w:rsidR="005B5991" w:rsidRPr="00B63299" w14:paraId="4B971E10" w14:textId="77777777" w:rsidTr="00AE2831">
        <w:trPr>
          <w:trHeight w:val="1"/>
        </w:trPr>
        <w:tc>
          <w:tcPr>
            <w:tcW w:w="949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14:paraId="2367438C" w14:textId="77777777" w:rsidR="005B5991" w:rsidRPr="00B63299" w:rsidRDefault="005B5991" w:rsidP="00AC2EBB">
            <w:pPr>
              <w:autoSpaceDE w:val="0"/>
              <w:autoSpaceDN w:val="0"/>
              <w:adjustRightInd w:val="0"/>
              <w:jc w:val="center"/>
            </w:pPr>
            <w:r w:rsidRPr="00B63299">
              <w:rPr>
                <w:b/>
                <w:bCs/>
              </w:rPr>
              <w:t>V. Tiesību akta projekta atbilstība Latvijas Republikas starptautiskajām saistībām</w:t>
            </w:r>
          </w:p>
        </w:tc>
      </w:tr>
      <w:tr w:rsidR="005B5991" w:rsidRPr="00B63299" w14:paraId="0ADDC3A0" w14:textId="77777777" w:rsidTr="00AE2831">
        <w:trPr>
          <w:trHeight w:val="1"/>
        </w:trPr>
        <w:tc>
          <w:tcPr>
            <w:tcW w:w="454" w:type="dxa"/>
            <w:tcBorders>
              <w:top w:val="single" w:sz="4" w:space="0" w:color="000000"/>
              <w:left w:val="single" w:sz="4" w:space="0" w:color="000000"/>
              <w:bottom w:val="single" w:sz="4" w:space="0" w:color="000000"/>
              <w:right w:val="single" w:sz="4" w:space="0" w:color="000000"/>
            </w:tcBorders>
            <w:shd w:val="clear" w:color="000000" w:fill="FFFFFF"/>
          </w:tcPr>
          <w:p w14:paraId="7F691B3C" w14:textId="77777777" w:rsidR="005B5991" w:rsidRPr="00B63299" w:rsidRDefault="005B5991" w:rsidP="00AC2EBB">
            <w:pPr>
              <w:autoSpaceDE w:val="0"/>
              <w:autoSpaceDN w:val="0"/>
              <w:adjustRightInd w:val="0"/>
              <w:ind w:left="57"/>
            </w:pPr>
            <w:r w:rsidRPr="00B63299">
              <w:t>1.</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14:paraId="7E46BB50" w14:textId="77777777" w:rsidR="005B5991" w:rsidRPr="00B63299" w:rsidRDefault="005B5991" w:rsidP="00AC2EBB">
            <w:pPr>
              <w:autoSpaceDE w:val="0"/>
              <w:autoSpaceDN w:val="0"/>
              <w:adjustRightInd w:val="0"/>
              <w:ind w:left="57"/>
            </w:pPr>
            <w:r w:rsidRPr="00B63299">
              <w:t xml:space="preserve">Saistības pret Eiropas </w:t>
            </w:r>
            <w:r w:rsidRPr="00B63299">
              <w:lastRenderedPageBreak/>
              <w:t>Savienību</w:t>
            </w:r>
          </w:p>
        </w:tc>
        <w:tc>
          <w:tcPr>
            <w:tcW w:w="5918" w:type="dxa"/>
            <w:tcBorders>
              <w:top w:val="single" w:sz="4" w:space="0" w:color="000000"/>
              <w:left w:val="single" w:sz="4" w:space="0" w:color="000000"/>
              <w:bottom w:val="single" w:sz="4" w:space="0" w:color="000000"/>
              <w:right w:val="single" w:sz="4" w:space="0" w:color="000000"/>
            </w:tcBorders>
            <w:shd w:val="clear" w:color="000000" w:fill="FFFFFF"/>
          </w:tcPr>
          <w:p w14:paraId="7A8CE944" w14:textId="77777777" w:rsidR="005B5991" w:rsidRPr="00B63299" w:rsidRDefault="005B5991" w:rsidP="00AC2EBB">
            <w:pPr>
              <w:autoSpaceDE w:val="0"/>
              <w:autoSpaceDN w:val="0"/>
              <w:adjustRightInd w:val="0"/>
              <w:jc w:val="both"/>
            </w:pPr>
            <w:r w:rsidRPr="00B63299">
              <w:rPr>
                <w:rFonts w:eastAsia="Calibri"/>
              </w:rPr>
              <w:lastRenderedPageBreak/>
              <w:t xml:space="preserve">Eiropas Parlamenta un Padomes 2007.gada 23.oktobra </w:t>
            </w:r>
            <w:r w:rsidRPr="00B63299">
              <w:rPr>
                <w:rFonts w:eastAsia="Calibri"/>
              </w:rPr>
              <w:lastRenderedPageBreak/>
              <w:t>Regulas (EK) Nr.1370/2007 par sabiedriskā pasažieru transporta pakalpojumiem, izmantojot dzelzceļu un autoceļus.</w:t>
            </w:r>
          </w:p>
        </w:tc>
      </w:tr>
      <w:tr w:rsidR="005B5991" w:rsidRPr="00B63299" w14:paraId="63851303" w14:textId="77777777" w:rsidTr="00AE2831">
        <w:trPr>
          <w:trHeight w:val="1"/>
        </w:trPr>
        <w:tc>
          <w:tcPr>
            <w:tcW w:w="454" w:type="dxa"/>
            <w:tcBorders>
              <w:top w:val="single" w:sz="4" w:space="0" w:color="000000"/>
              <w:left w:val="single" w:sz="4" w:space="0" w:color="000000"/>
              <w:bottom w:val="single" w:sz="4" w:space="0" w:color="000000"/>
              <w:right w:val="single" w:sz="4" w:space="0" w:color="000000"/>
            </w:tcBorders>
            <w:shd w:val="clear" w:color="000000" w:fill="FFFFFF"/>
          </w:tcPr>
          <w:p w14:paraId="78A69695" w14:textId="77777777" w:rsidR="005B5991" w:rsidRPr="00B63299" w:rsidRDefault="005B5991" w:rsidP="00AC2EBB">
            <w:pPr>
              <w:autoSpaceDE w:val="0"/>
              <w:autoSpaceDN w:val="0"/>
              <w:adjustRightInd w:val="0"/>
              <w:ind w:left="57"/>
            </w:pPr>
            <w:r w:rsidRPr="00B63299">
              <w:lastRenderedPageBreak/>
              <w:t>2.</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14:paraId="29EBBA95" w14:textId="77777777" w:rsidR="005B5991" w:rsidRPr="00B63299" w:rsidRDefault="005B5991" w:rsidP="00AC2EBB">
            <w:pPr>
              <w:autoSpaceDE w:val="0"/>
              <w:autoSpaceDN w:val="0"/>
              <w:adjustRightInd w:val="0"/>
              <w:ind w:left="57"/>
            </w:pPr>
            <w:r w:rsidRPr="00B63299">
              <w:t>Citas starptautiskās saistības</w:t>
            </w:r>
          </w:p>
        </w:tc>
        <w:tc>
          <w:tcPr>
            <w:tcW w:w="5918" w:type="dxa"/>
            <w:tcBorders>
              <w:top w:val="single" w:sz="4" w:space="0" w:color="000000"/>
              <w:left w:val="single" w:sz="4" w:space="0" w:color="000000"/>
              <w:bottom w:val="single" w:sz="4" w:space="0" w:color="000000"/>
              <w:right w:val="single" w:sz="4" w:space="0" w:color="000000"/>
            </w:tcBorders>
            <w:shd w:val="clear" w:color="000000" w:fill="FFFFFF"/>
          </w:tcPr>
          <w:p w14:paraId="5361A1B2" w14:textId="77777777" w:rsidR="005B5991" w:rsidRPr="00B63299" w:rsidRDefault="005B5991" w:rsidP="00AC2EBB">
            <w:pPr>
              <w:autoSpaceDE w:val="0"/>
              <w:autoSpaceDN w:val="0"/>
              <w:adjustRightInd w:val="0"/>
              <w:ind w:left="57"/>
            </w:pPr>
            <w:r w:rsidRPr="00B63299">
              <w:t>Projekts šo jomu neskar.</w:t>
            </w:r>
          </w:p>
        </w:tc>
      </w:tr>
      <w:tr w:rsidR="005B5991" w:rsidRPr="00B63299" w14:paraId="09034E67" w14:textId="77777777" w:rsidTr="00AE2831">
        <w:trPr>
          <w:trHeight w:val="1"/>
        </w:trPr>
        <w:tc>
          <w:tcPr>
            <w:tcW w:w="454" w:type="dxa"/>
            <w:tcBorders>
              <w:top w:val="single" w:sz="4" w:space="0" w:color="000000"/>
              <w:left w:val="single" w:sz="4" w:space="0" w:color="000000"/>
              <w:bottom w:val="single" w:sz="4" w:space="0" w:color="000000"/>
              <w:right w:val="single" w:sz="4" w:space="0" w:color="000000"/>
            </w:tcBorders>
            <w:shd w:val="clear" w:color="000000" w:fill="FFFFFF"/>
          </w:tcPr>
          <w:p w14:paraId="033742C5" w14:textId="77777777" w:rsidR="005B5991" w:rsidRPr="00B63299" w:rsidRDefault="005B5991" w:rsidP="00AC2EBB">
            <w:pPr>
              <w:autoSpaceDE w:val="0"/>
              <w:autoSpaceDN w:val="0"/>
              <w:adjustRightInd w:val="0"/>
              <w:ind w:left="57"/>
            </w:pPr>
            <w:r w:rsidRPr="00B63299">
              <w:t>3.</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14:paraId="7A092986" w14:textId="77777777" w:rsidR="005B5991" w:rsidRPr="00B63299" w:rsidRDefault="005B5991" w:rsidP="00AC2EBB">
            <w:pPr>
              <w:autoSpaceDE w:val="0"/>
              <w:autoSpaceDN w:val="0"/>
              <w:adjustRightInd w:val="0"/>
              <w:ind w:left="57"/>
            </w:pPr>
            <w:r w:rsidRPr="00B63299">
              <w:t>Cita informācija</w:t>
            </w:r>
          </w:p>
        </w:tc>
        <w:tc>
          <w:tcPr>
            <w:tcW w:w="5918" w:type="dxa"/>
            <w:tcBorders>
              <w:top w:val="single" w:sz="4" w:space="0" w:color="000000"/>
              <w:left w:val="single" w:sz="4" w:space="0" w:color="000000"/>
              <w:bottom w:val="single" w:sz="4" w:space="0" w:color="000000"/>
              <w:right w:val="single" w:sz="4" w:space="0" w:color="000000"/>
            </w:tcBorders>
            <w:shd w:val="clear" w:color="000000" w:fill="FFFFFF"/>
          </w:tcPr>
          <w:p w14:paraId="4C8AEF18" w14:textId="77777777" w:rsidR="005B5991" w:rsidRPr="00B63299" w:rsidRDefault="005B5991" w:rsidP="00AC2EBB">
            <w:pPr>
              <w:autoSpaceDE w:val="0"/>
              <w:autoSpaceDN w:val="0"/>
              <w:adjustRightInd w:val="0"/>
              <w:ind w:left="57"/>
            </w:pPr>
            <w:r w:rsidRPr="00B63299">
              <w:t>Nav.</w:t>
            </w:r>
          </w:p>
        </w:tc>
      </w:tr>
    </w:tbl>
    <w:p w14:paraId="5EE3815C" w14:textId="77777777" w:rsidR="005B5991" w:rsidRPr="00B63299" w:rsidRDefault="005B5991" w:rsidP="005B5991">
      <w:pPr>
        <w:autoSpaceDE w:val="0"/>
        <w:autoSpaceDN w:val="0"/>
        <w:adjustRightInd w:val="0"/>
      </w:pPr>
    </w:p>
    <w:tbl>
      <w:tblPr>
        <w:tblW w:w="9490" w:type="dxa"/>
        <w:tblInd w:w="-114" w:type="dxa"/>
        <w:tblLayout w:type="fixed"/>
        <w:tblCellMar>
          <w:left w:w="28" w:type="dxa"/>
          <w:right w:w="28" w:type="dxa"/>
        </w:tblCellMar>
        <w:tblLook w:val="0000" w:firstRow="0" w:lastRow="0" w:firstColumn="0" w:lastColumn="0" w:noHBand="0" w:noVBand="0"/>
      </w:tblPr>
      <w:tblGrid>
        <w:gridCol w:w="2686"/>
        <w:gridCol w:w="1701"/>
        <w:gridCol w:w="2246"/>
        <w:gridCol w:w="2857"/>
      </w:tblGrid>
      <w:tr w:rsidR="005B5991" w:rsidRPr="00B63299" w14:paraId="3C7FE6FC" w14:textId="77777777" w:rsidTr="00AE2831">
        <w:trPr>
          <w:trHeight w:val="523"/>
        </w:trPr>
        <w:tc>
          <w:tcPr>
            <w:tcW w:w="9490"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14:paraId="58E68C40" w14:textId="77777777" w:rsidR="005B5991" w:rsidRPr="00B63299" w:rsidRDefault="005B5991" w:rsidP="00AC2EBB">
            <w:pPr>
              <w:autoSpaceDE w:val="0"/>
              <w:autoSpaceDN w:val="0"/>
              <w:adjustRightInd w:val="0"/>
              <w:ind w:left="57"/>
              <w:jc w:val="center"/>
              <w:rPr>
                <w:b/>
                <w:bCs/>
              </w:rPr>
            </w:pPr>
            <w:r w:rsidRPr="00B63299">
              <w:rPr>
                <w:b/>
                <w:bCs/>
              </w:rPr>
              <w:t>1.tabula</w:t>
            </w:r>
          </w:p>
          <w:p w14:paraId="1F9F4752" w14:textId="77777777" w:rsidR="005B5991" w:rsidRPr="00B63299" w:rsidRDefault="005B5991" w:rsidP="00AC2EBB">
            <w:pPr>
              <w:autoSpaceDE w:val="0"/>
              <w:autoSpaceDN w:val="0"/>
              <w:adjustRightInd w:val="0"/>
              <w:ind w:left="57"/>
              <w:jc w:val="center"/>
            </w:pPr>
            <w:r w:rsidRPr="00B63299">
              <w:rPr>
                <w:b/>
                <w:bCs/>
              </w:rPr>
              <w:t>Tiesību akta projekta atbilstība ES tiesību aktiem</w:t>
            </w:r>
          </w:p>
        </w:tc>
      </w:tr>
      <w:tr w:rsidR="005B5991" w:rsidRPr="00B63299" w14:paraId="6165B810" w14:textId="77777777" w:rsidTr="00AE2831">
        <w:trPr>
          <w:trHeight w:val="1"/>
        </w:trPr>
        <w:tc>
          <w:tcPr>
            <w:tcW w:w="2686" w:type="dxa"/>
            <w:tcBorders>
              <w:top w:val="single" w:sz="4" w:space="0" w:color="000000"/>
              <w:left w:val="single" w:sz="4" w:space="0" w:color="000000"/>
              <w:bottom w:val="single" w:sz="4" w:space="0" w:color="000000"/>
              <w:right w:val="single" w:sz="4" w:space="0" w:color="000000"/>
            </w:tcBorders>
            <w:shd w:val="clear" w:color="000000" w:fill="FFFFFF"/>
          </w:tcPr>
          <w:p w14:paraId="11CD355B" w14:textId="77777777" w:rsidR="005B5991" w:rsidRPr="00B63299" w:rsidRDefault="005B5991" w:rsidP="00AC2EBB">
            <w:pPr>
              <w:autoSpaceDE w:val="0"/>
              <w:autoSpaceDN w:val="0"/>
              <w:adjustRightInd w:val="0"/>
              <w:ind w:left="57"/>
            </w:pPr>
            <w:r w:rsidRPr="00B63299">
              <w:t>Attiecīgā ES tiesību akta datums, numurs un nosaukums</w:t>
            </w:r>
          </w:p>
        </w:tc>
        <w:tc>
          <w:tcPr>
            <w:tcW w:w="6804" w:type="dxa"/>
            <w:gridSpan w:val="3"/>
            <w:tcBorders>
              <w:top w:val="single" w:sz="4" w:space="0" w:color="000000"/>
              <w:left w:val="single" w:sz="4" w:space="0" w:color="000000"/>
              <w:bottom w:val="single" w:sz="4" w:space="0" w:color="000000"/>
              <w:right w:val="single" w:sz="4" w:space="0" w:color="000000"/>
            </w:tcBorders>
            <w:shd w:val="clear" w:color="000000" w:fill="FFFFFF"/>
          </w:tcPr>
          <w:p w14:paraId="08849571" w14:textId="77777777" w:rsidR="005B5991" w:rsidRPr="00B63299" w:rsidRDefault="005B5991" w:rsidP="00AC2EBB">
            <w:pPr>
              <w:autoSpaceDE w:val="0"/>
              <w:autoSpaceDN w:val="0"/>
              <w:adjustRightInd w:val="0"/>
              <w:jc w:val="both"/>
            </w:pPr>
            <w:r w:rsidRPr="00B63299">
              <w:rPr>
                <w:rFonts w:eastAsia="Calibri"/>
              </w:rPr>
              <w:t>Eiropas Parlamenta un Padomes 2007.gada 23.oktobra Regulas (EK) Nr.1370/2007 par sabiedriskā pasažieru transporta pakalpojumiem, izmantojot dzelzceļu un autoceļus.</w:t>
            </w:r>
          </w:p>
        </w:tc>
      </w:tr>
      <w:tr w:rsidR="005B5991" w:rsidRPr="00B63299" w14:paraId="2BCD204D" w14:textId="77777777" w:rsidTr="00AE2831">
        <w:trPr>
          <w:trHeight w:val="1"/>
        </w:trPr>
        <w:tc>
          <w:tcPr>
            <w:tcW w:w="268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6531781" w14:textId="77777777" w:rsidR="005B5991" w:rsidRPr="00B63299" w:rsidRDefault="005B5991" w:rsidP="00AC2EBB">
            <w:pPr>
              <w:autoSpaceDE w:val="0"/>
              <w:autoSpaceDN w:val="0"/>
              <w:adjustRightInd w:val="0"/>
              <w:ind w:left="57"/>
              <w:jc w:val="center"/>
            </w:pPr>
            <w:r w:rsidRPr="00B63299">
              <w:t>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CB9739A" w14:textId="77777777" w:rsidR="005B5991" w:rsidRPr="00B63299" w:rsidRDefault="005B5991" w:rsidP="00AC2EBB">
            <w:pPr>
              <w:autoSpaceDE w:val="0"/>
              <w:autoSpaceDN w:val="0"/>
              <w:adjustRightInd w:val="0"/>
              <w:ind w:left="57"/>
              <w:jc w:val="center"/>
            </w:pPr>
            <w:r w:rsidRPr="00B63299">
              <w:t>B</w:t>
            </w:r>
          </w:p>
        </w:tc>
        <w:tc>
          <w:tcPr>
            <w:tcW w:w="224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1949637" w14:textId="77777777" w:rsidR="005B5991" w:rsidRPr="00B63299" w:rsidRDefault="005B5991" w:rsidP="00AC2EBB">
            <w:pPr>
              <w:autoSpaceDE w:val="0"/>
              <w:autoSpaceDN w:val="0"/>
              <w:adjustRightInd w:val="0"/>
              <w:ind w:left="57"/>
              <w:jc w:val="center"/>
            </w:pPr>
            <w:r w:rsidRPr="00B63299">
              <w:t>C</w:t>
            </w:r>
          </w:p>
        </w:tc>
        <w:tc>
          <w:tcPr>
            <w:tcW w:w="285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C538974" w14:textId="77777777" w:rsidR="005B5991" w:rsidRPr="00B63299" w:rsidRDefault="005B5991" w:rsidP="00AC2EBB">
            <w:pPr>
              <w:autoSpaceDE w:val="0"/>
              <w:autoSpaceDN w:val="0"/>
              <w:adjustRightInd w:val="0"/>
              <w:ind w:left="57"/>
              <w:jc w:val="center"/>
            </w:pPr>
            <w:r w:rsidRPr="00B63299">
              <w:t>D</w:t>
            </w:r>
          </w:p>
        </w:tc>
      </w:tr>
      <w:tr w:rsidR="005B5991" w:rsidRPr="00B63299" w14:paraId="19169BE8" w14:textId="77777777" w:rsidTr="00AE2831">
        <w:trPr>
          <w:trHeight w:val="4708"/>
        </w:trPr>
        <w:tc>
          <w:tcPr>
            <w:tcW w:w="2686" w:type="dxa"/>
            <w:tcBorders>
              <w:top w:val="single" w:sz="4" w:space="0" w:color="000000"/>
              <w:left w:val="single" w:sz="4" w:space="0" w:color="000000"/>
              <w:bottom w:val="single" w:sz="4" w:space="0" w:color="000000"/>
              <w:right w:val="single" w:sz="4" w:space="0" w:color="000000"/>
            </w:tcBorders>
            <w:shd w:val="clear" w:color="000000" w:fill="FFFFFF"/>
          </w:tcPr>
          <w:p w14:paraId="775CF8DE" w14:textId="77777777" w:rsidR="005B5991" w:rsidRPr="00B63299" w:rsidRDefault="005B5991" w:rsidP="00AC2EBB">
            <w:pPr>
              <w:autoSpaceDE w:val="0"/>
              <w:autoSpaceDN w:val="0"/>
              <w:adjustRightInd w:val="0"/>
              <w:ind w:left="57"/>
            </w:pPr>
            <w:r w:rsidRPr="00B63299">
              <w:rPr>
                <w:spacing w:val="-3"/>
              </w:rPr>
              <w:t>Attiecīgā ES tiesību akta panta numurs (uzskaitot katru tiesību akta vienību – pantu, daļu, punktu, apakšpunktu)</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44C4671E" w14:textId="77777777" w:rsidR="005B5991" w:rsidRPr="00B63299" w:rsidRDefault="005B5991" w:rsidP="00B27134">
            <w:pPr>
              <w:autoSpaceDE w:val="0"/>
              <w:autoSpaceDN w:val="0"/>
              <w:adjustRightInd w:val="0"/>
              <w:ind w:left="57"/>
              <w:jc w:val="both"/>
            </w:pPr>
            <w:r w:rsidRPr="00B63299">
              <w:rPr>
                <w:spacing w:val="-3"/>
              </w:rPr>
              <w:t>Projekta vienība, kas pārņem vai ievieš katru šīs tabulas A ailē minēto ES tiesību akta vienību, vai tiesību akts, kur attiecīgā ES tiesību akta vienība pārņemta vai ieviesta</w:t>
            </w:r>
          </w:p>
        </w:tc>
        <w:tc>
          <w:tcPr>
            <w:tcW w:w="2246" w:type="dxa"/>
            <w:tcBorders>
              <w:top w:val="single" w:sz="4" w:space="0" w:color="000000"/>
              <w:left w:val="single" w:sz="4" w:space="0" w:color="000000"/>
              <w:bottom w:val="single" w:sz="4" w:space="0" w:color="000000"/>
              <w:right w:val="single" w:sz="4" w:space="0" w:color="000000"/>
            </w:tcBorders>
            <w:shd w:val="clear" w:color="000000" w:fill="FFFFFF"/>
          </w:tcPr>
          <w:p w14:paraId="3DB4B726" w14:textId="77777777" w:rsidR="005B5991" w:rsidRPr="00B63299" w:rsidRDefault="005B5991" w:rsidP="00B27134">
            <w:pPr>
              <w:autoSpaceDE w:val="0"/>
              <w:autoSpaceDN w:val="0"/>
              <w:adjustRightInd w:val="0"/>
              <w:ind w:left="57"/>
              <w:jc w:val="both"/>
              <w:rPr>
                <w:spacing w:val="-3"/>
              </w:rPr>
            </w:pPr>
            <w:r w:rsidRPr="00B63299">
              <w:rPr>
                <w:spacing w:val="-3"/>
              </w:rPr>
              <w:t>Informācija par to, vai šīs tabulas A ailē minētās ES tiesību akta vienības tiek pārņemtas vai ieviestas pilnībā vai daļēji.</w:t>
            </w:r>
          </w:p>
          <w:p w14:paraId="58E3110F" w14:textId="77777777" w:rsidR="005B5991" w:rsidRPr="00B63299" w:rsidRDefault="005B5991" w:rsidP="00B27134">
            <w:pPr>
              <w:autoSpaceDE w:val="0"/>
              <w:autoSpaceDN w:val="0"/>
              <w:adjustRightInd w:val="0"/>
              <w:ind w:left="57"/>
              <w:jc w:val="both"/>
              <w:rPr>
                <w:spacing w:val="-3"/>
              </w:rPr>
            </w:pPr>
            <w:r w:rsidRPr="00B63299">
              <w:rPr>
                <w:spacing w:val="-3"/>
              </w:rPr>
              <w:t>Ja attiecīgā ES tiesību akta vienība tiek pārņemta vai ieviesta daļēji, sniedz attiecīgu skaidrojumu, kā arī precīzi norāda, kad un kādā veidā ES tiesību akta vienība tiks pārņemta vai ieviesta pilnībā.</w:t>
            </w:r>
          </w:p>
          <w:p w14:paraId="1A1247A4" w14:textId="77777777" w:rsidR="005B5991" w:rsidRPr="00B63299" w:rsidRDefault="005B5991" w:rsidP="00B27134">
            <w:pPr>
              <w:autoSpaceDE w:val="0"/>
              <w:autoSpaceDN w:val="0"/>
              <w:adjustRightInd w:val="0"/>
              <w:ind w:left="57"/>
              <w:jc w:val="both"/>
            </w:pPr>
            <w:r w:rsidRPr="00B63299">
              <w:rPr>
                <w:spacing w:val="-3"/>
              </w:rPr>
              <w:t>Norāda institūciju, kas ir atbildīga par šo saistību izpildi pilnībā</w:t>
            </w:r>
          </w:p>
        </w:tc>
        <w:tc>
          <w:tcPr>
            <w:tcW w:w="2857" w:type="dxa"/>
            <w:tcBorders>
              <w:top w:val="single" w:sz="4" w:space="0" w:color="000000"/>
              <w:left w:val="single" w:sz="4" w:space="0" w:color="000000"/>
              <w:bottom w:val="single" w:sz="4" w:space="0" w:color="000000"/>
              <w:right w:val="single" w:sz="4" w:space="0" w:color="000000"/>
            </w:tcBorders>
            <w:shd w:val="clear" w:color="000000" w:fill="FFFFFF"/>
          </w:tcPr>
          <w:p w14:paraId="4A53143A" w14:textId="77777777" w:rsidR="005B5991" w:rsidRPr="00B63299" w:rsidRDefault="005B5991" w:rsidP="00B27134">
            <w:pPr>
              <w:autoSpaceDE w:val="0"/>
              <w:autoSpaceDN w:val="0"/>
              <w:adjustRightInd w:val="0"/>
              <w:ind w:left="57"/>
              <w:jc w:val="both"/>
            </w:pPr>
            <w:r w:rsidRPr="00B63299">
              <w:rPr>
                <w:spacing w:val="-3"/>
              </w:rPr>
              <w:t xml:space="preserve">Informācija par to, vai šīs </w:t>
            </w:r>
            <w:r w:rsidRPr="00B63299">
              <w:t>tabulas B ailē minētās projekta vienības paredz stingrākas prasības nekā šīs tabulas A ailē minētās ES tiesību akta vienības.</w:t>
            </w:r>
          </w:p>
          <w:p w14:paraId="703BD101" w14:textId="77777777" w:rsidR="005B5991" w:rsidRPr="00B63299" w:rsidRDefault="005B5991" w:rsidP="00B27134">
            <w:pPr>
              <w:autoSpaceDE w:val="0"/>
              <w:autoSpaceDN w:val="0"/>
              <w:adjustRightInd w:val="0"/>
              <w:ind w:left="57"/>
              <w:jc w:val="both"/>
            </w:pPr>
            <w:r w:rsidRPr="00B63299">
              <w:t>Ja projekts satur stingrākas prasības nekā attiecīgais ES tiesību akts, norāda pamatojumu un samērīgumu.</w:t>
            </w:r>
          </w:p>
          <w:p w14:paraId="41CE0EB2" w14:textId="77777777" w:rsidR="005B5991" w:rsidRPr="00B63299" w:rsidRDefault="005B5991" w:rsidP="00B27134">
            <w:pPr>
              <w:autoSpaceDE w:val="0"/>
              <w:autoSpaceDN w:val="0"/>
              <w:adjustRightInd w:val="0"/>
              <w:ind w:left="57"/>
              <w:jc w:val="both"/>
            </w:pPr>
            <w:r w:rsidRPr="00B63299">
              <w:t>Norāda iespējamās alternatīvas (t.sk. alternatīvas, kas neparedz tiesiskā regulējuma izstrādi) – kādos gadījumos būtu iespējams izvairīties no stingrāku prasību</w:t>
            </w:r>
            <w:r w:rsidRPr="00B63299">
              <w:rPr>
                <w:spacing w:val="-3"/>
              </w:rPr>
              <w:t xml:space="preserve"> noteikšanas, nekā paredzēts attiecīgajos ES tiesību aktos</w:t>
            </w:r>
          </w:p>
        </w:tc>
      </w:tr>
      <w:tr w:rsidR="005B5991" w:rsidRPr="00B63299" w14:paraId="0FB57D42" w14:textId="77777777" w:rsidTr="00AE2831">
        <w:trPr>
          <w:trHeight w:val="2068"/>
        </w:trPr>
        <w:tc>
          <w:tcPr>
            <w:tcW w:w="2686" w:type="dxa"/>
            <w:tcBorders>
              <w:top w:val="single" w:sz="4" w:space="0" w:color="000000"/>
              <w:left w:val="single" w:sz="4" w:space="0" w:color="000000"/>
              <w:bottom w:val="single" w:sz="4" w:space="0" w:color="000000"/>
              <w:right w:val="single" w:sz="4" w:space="0" w:color="000000"/>
            </w:tcBorders>
            <w:shd w:val="clear" w:color="000000" w:fill="FFFFFF"/>
          </w:tcPr>
          <w:p w14:paraId="1367D393" w14:textId="77777777" w:rsidR="005B5991" w:rsidRPr="00B63299" w:rsidRDefault="005B5991" w:rsidP="00AC2EBB">
            <w:pPr>
              <w:autoSpaceDE w:val="0"/>
              <w:autoSpaceDN w:val="0"/>
              <w:adjustRightInd w:val="0"/>
              <w:ind w:left="57"/>
              <w:jc w:val="both"/>
            </w:pPr>
            <w:r w:rsidRPr="00B63299">
              <w:t>4., 5. un 6. pants</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112C5C09" w14:textId="6E9DD70A" w:rsidR="005B5991" w:rsidRPr="00B63299" w:rsidRDefault="005B5991" w:rsidP="00B27134">
            <w:pPr>
              <w:autoSpaceDE w:val="0"/>
              <w:autoSpaceDN w:val="0"/>
              <w:adjustRightInd w:val="0"/>
              <w:ind w:left="57"/>
              <w:jc w:val="both"/>
            </w:pPr>
            <w:r w:rsidRPr="00B63299">
              <w:t>28.3.2.punkts</w:t>
            </w:r>
            <w:r w:rsidR="00B63299">
              <w:t xml:space="preserve"> un noteikumu IV sadaļa. </w:t>
            </w:r>
          </w:p>
        </w:tc>
        <w:tc>
          <w:tcPr>
            <w:tcW w:w="2246" w:type="dxa"/>
            <w:tcBorders>
              <w:top w:val="single" w:sz="4" w:space="0" w:color="000000"/>
              <w:left w:val="single" w:sz="4" w:space="0" w:color="000000"/>
              <w:bottom w:val="single" w:sz="4" w:space="0" w:color="000000"/>
              <w:right w:val="single" w:sz="4" w:space="0" w:color="000000"/>
            </w:tcBorders>
            <w:shd w:val="clear" w:color="000000" w:fill="FFFFFF"/>
          </w:tcPr>
          <w:p w14:paraId="6DD3907F" w14:textId="77777777" w:rsidR="005B5991" w:rsidRPr="00B63299" w:rsidRDefault="005B5991" w:rsidP="00B27134">
            <w:pPr>
              <w:autoSpaceDE w:val="0"/>
              <w:autoSpaceDN w:val="0"/>
              <w:adjustRightInd w:val="0"/>
              <w:ind w:left="57"/>
              <w:jc w:val="both"/>
            </w:pPr>
            <w:r w:rsidRPr="00B63299">
              <w:t>ES tiesību akta norma tiek īstenota pilnībā.</w:t>
            </w:r>
          </w:p>
        </w:tc>
        <w:tc>
          <w:tcPr>
            <w:tcW w:w="2857" w:type="dxa"/>
            <w:tcBorders>
              <w:top w:val="single" w:sz="4" w:space="0" w:color="000000"/>
              <w:left w:val="single" w:sz="4" w:space="0" w:color="000000"/>
              <w:bottom w:val="single" w:sz="4" w:space="0" w:color="000000"/>
              <w:right w:val="single" w:sz="4" w:space="0" w:color="000000"/>
            </w:tcBorders>
            <w:shd w:val="clear" w:color="000000" w:fill="FFFFFF"/>
          </w:tcPr>
          <w:p w14:paraId="685B400F" w14:textId="77777777" w:rsidR="005B5991" w:rsidRPr="00B63299" w:rsidRDefault="005B5991" w:rsidP="00B27134">
            <w:pPr>
              <w:autoSpaceDE w:val="0"/>
              <w:autoSpaceDN w:val="0"/>
              <w:adjustRightInd w:val="0"/>
              <w:ind w:left="57"/>
              <w:jc w:val="both"/>
            </w:pPr>
            <w:r w:rsidRPr="00B63299">
              <w:t>Normatīvā akta projekta vienība neparedz stingrākas prasības.</w:t>
            </w:r>
          </w:p>
        </w:tc>
      </w:tr>
      <w:tr w:rsidR="005B5991" w:rsidRPr="00B63299" w14:paraId="4FDB699A" w14:textId="77777777" w:rsidTr="00AE2831">
        <w:trPr>
          <w:trHeight w:val="615"/>
        </w:trPr>
        <w:tc>
          <w:tcPr>
            <w:tcW w:w="2686" w:type="dxa"/>
            <w:tcBorders>
              <w:top w:val="single" w:sz="4" w:space="0" w:color="000000"/>
              <w:left w:val="single" w:sz="4" w:space="0" w:color="000000"/>
              <w:bottom w:val="single" w:sz="4" w:space="0" w:color="000000"/>
              <w:right w:val="single" w:sz="4" w:space="0" w:color="000000"/>
            </w:tcBorders>
            <w:shd w:val="clear" w:color="000000" w:fill="FFFFFF"/>
          </w:tcPr>
          <w:p w14:paraId="4092FF7B" w14:textId="77777777" w:rsidR="005B5991" w:rsidRPr="00B63299" w:rsidRDefault="005B5991" w:rsidP="00AC2EBB">
            <w:pPr>
              <w:autoSpaceDE w:val="0"/>
              <w:autoSpaceDN w:val="0"/>
              <w:adjustRightInd w:val="0"/>
              <w:ind w:left="57"/>
              <w:jc w:val="both"/>
            </w:pPr>
            <w:r w:rsidRPr="00B63299">
              <w:t>1.pielikums</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625FD57E" w14:textId="77777777" w:rsidR="005B5991" w:rsidRPr="00B63299" w:rsidRDefault="005B5991" w:rsidP="00AC2EBB">
            <w:pPr>
              <w:autoSpaceDE w:val="0"/>
              <w:autoSpaceDN w:val="0"/>
              <w:adjustRightInd w:val="0"/>
              <w:ind w:left="57"/>
            </w:pPr>
            <w:r w:rsidRPr="00B63299">
              <w:t>53., 54. un 101.punkts</w:t>
            </w:r>
          </w:p>
        </w:tc>
        <w:tc>
          <w:tcPr>
            <w:tcW w:w="2246" w:type="dxa"/>
            <w:tcBorders>
              <w:top w:val="single" w:sz="4" w:space="0" w:color="000000"/>
              <w:left w:val="single" w:sz="4" w:space="0" w:color="000000"/>
              <w:bottom w:val="single" w:sz="4" w:space="0" w:color="000000"/>
              <w:right w:val="single" w:sz="4" w:space="0" w:color="000000"/>
            </w:tcBorders>
            <w:shd w:val="clear" w:color="000000" w:fill="FFFFFF"/>
          </w:tcPr>
          <w:p w14:paraId="118E2B60" w14:textId="77777777" w:rsidR="005B5991" w:rsidRPr="00B63299" w:rsidRDefault="005B5991" w:rsidP="00AC2EBB">
            <w:pPr>
              <w:autoSpaceDE w:val="0"/>
              <w:autoSpaceDN w:val="0"/>
              <w:adjustRightInd w:val="0"/>
              <w:ind w:left="57"/>
            </w:pPr>
            <w:r w:rsidRPr="00B63299">
              <w:t>ES tiesību akta norma tiek īstenota pilnībā.</w:t>
            </w:r>
          </w:p>
        </w:tc>
        <w:tc>
          <w:tcPr>
            <w:tcW w:w="2857" w:type="dxa"/>
            <w:tcBorders>
              <w:top w:val="single" w:sz="4" w:space="0" w:color="000000"/>
              <w:left w:val="single" w:sz="4" w:space="0" w:color="000000"/>
              <w:bottom w:val="single" w:sz="4" w:space="0" w:color="000000"/>
              <w:right w:val="single" w:sz="4" w:space="0" w:color="000000"/>
            </w:tcBorders>
            <w:shd w:val="clear" w:color="000000" w:fill="FFFFFF"/>
          </w:tcPr>
          <w:p w14:paraId="1622CB3C" w14:textId="77777777" w:rsidR="005B5991" w:rsidRPr="00B63299" w:rsidRDefault="005B5991" w:rsidP="00AC2EBB">
            <w:pPr>
              <w:autoSpaceDE w:val="0"/>
              <w:autoSpaceDN w:val="0"/>
              <w:adjustRightInd w:val="0"/>
              <w:ind w:left="57"/>
            </w:pPr>
            <w:r w:rsidRPr="00B63299">
              <w:t>Normatīvā akta projekta vienība neparedz stingrākas prasības.</w:t>
            </w:r>
          </w:p>
        </w:tc>
      </w:tr>
      <w:tr w:rsidR="005B5991" w:rsidRPr="00B63299" w14:paraId="0A7C4202" w14:textId="77777777" w:rsidTr="00AE2831">
        <w:trPr>
          <w:trHeight w:val="281"/>
        </w:trPr>
        <w:tc>
          <w:tcPr>
            <w:tcW w:w="2686" w:type="dxa"/>
            <w:tcBorders>
              <w:top w:val="single" w:sz="4" w:space="0" w:color="000000"/>
              <w:left w:val="single" w:sz="4" w:space="0" w:color="000000"/>
              <w:bottom w:val="single" w:sz="4" w:space="0" w:color="000000"/>
              <w:right w:val="single" w:sz="4" w:space="0" w:color="000000"/>
            </w:tcBorders>
            <w:shd w:val="clear" w:color="000000" w:fill="FFFFFF"/>
          </w:tcPr>
          <w:p w14:paraId="2F6F2A9D" w14:textId="77777777" w:rsidR="005B5991" w:rsidRPr="00B63299" w:rsidRDefault="005B5991" w:rsidP="00AC2EBB">
            <w:pPr>
              <w:autoSpaceDE w:val="0"/>
              <w:autoSpaceDN w:val="0"/>
              <w:adjustRightInd w:val="0"/>
              <w:ind w:left="57"/>
              <w:rPr>
                <w:spacing w:val="-3"/>
              </w:rPr>
            </w:pPr>
            <w:r w:rsidRPr="00B63299">
              <w:rPr>
                <w:spacing w:val="-3"/>
              </w:rPr>
              <w:t>Kā ir izmantota ES tiesību aktā paredzētā rīcības brīvība dalībvalstij pārņemt vai ieviest noteiktas ES tiesību akta normas?</w:t>
            </w:r>
          </w:p>
          <w:p w14:paraId="56C29191" w14:textId="77777777" w:rsidR="005B5991" w:rsidRPr="00B63299" w:rsidRDefault="005B5991" w:rsidP="00AC2EBB">
            <w:pPr>
              <w:autoSpaceDE w:val="0"/>
              <w:autoSpaceDN w:val="0"/>
              <w:adjustRightInd w:val="0"/>
              <w:ind w:left="57"/>
            </w:pPr>
            <w:r w:rsidRPr="00B63299">
              <w:rPr>
                <w:spacing w:val="-3"/>
              </w:rPr>
              <w:t>Kādēļ?</w:t>
            </w:r>
          </w:p>
        </w:tc>
        <w:tc>
          <w:tcPr>
            <w:tcW w:w="6804" w:type="dxa"/>
            <w:gridSpan w:val="3"/>
            <w:tcBorders>
              <w:top w:val="single" w:sz="4" w:space="0" w:color="000000"/>
              <w:left w:val="single" w:sz="4" w:space="0" w:color="000000"/>
              <w:bottom w:val="single" w:sz="4" w:space="0" w:color="000000"/>
              <w:right w:val="single" w:sz="4" w:space="0" w:color="000000"/>
            </w:tcBorders>
            <w:shd w:val="clear" w:color="000000" w:fill="FFFFFF"/>
          </w:tcPr>
          <w:p w14:paraId="01573AED" w14:textId="77777777" w:rsidR="005B5991" w:rsidRPr="00B63299" w:rsidRDefault="005B5991" w:rsidP="00AC2EBB">
            <w:pPr>
              <w:autoSpaceDE w:val="0"/>
              <w:autoSpaceDN w:val="0"/>
              <w:adjustRightInd w:val="0"/>
              <w:ind w:left="57"/>
            </w:pPr>
            <w:r w:rsidRPr="00B63299">
              <w:t>Projekts šo jomu neskar.</w:t>
            </w:r>
          </w:p>
        </w:tc>
      </w:tr>
      <w:tr w:rsidR="005B5991" w:rsidRPr="00B63299" w14:paraId="60DC1B1A" w14:textId="77777777" w:rsidTr="00AE2831">
        <w:trPr>
          <w:trHeight w:val="913"/>
        </w:trPr>
        <w:tc>
          <w:tcPr>
            <w:tcW w:w="2686" w:type="dxa"/>
            <w:tcBorders>
              <w:top w:val="single" w:sz="4" w:space="0" w:color="000000"/>
              <w:left w:val="single" w:sz="4" w:space="0" w:color="000000"/>
              <w:bottom w:val="single" w:sz="4" w:space="0" w:color="000000"/>
              <w:right w:val="single" w:sz="4" w:space="0" w:color="000000"/>
            </w:tcBorders>
            <w:shd w:val="clear" w:color="000000" w:fill="FFFFFF"/>
          </w:tcPr>
          <w:p w14:paraId="5BFD0B23" w14:textId="77777777" w:rsidR="005B5991" w:rsidRPr="00B63299" w:rsidRDefault="005B5991" w:rsidP="00AC2EBB">
            <w:pPr>
              <w:autoSpaceDE w:val="0"/>
              <w:autoSpaceDN w:val="0"/>
              <w:adjustRightInd w:val="0"/>
              <w:ind w:left="57"/>
            </w:pPr>
            <w:r w:rsidRPr="00B63299">
              <w:rPr>
                <w:spacing w:val="-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804" w:type="dxa"/>
            <w:gridSpan w:val="3"/>
            <w:tcBorders>
              <w:top w:val="single" w:sz="4" w:space="0" w:color="000000"/>
              <w:left w:val="single" w:sz="4" w:space="0" w:color="000000"/>
              <w:bottom w:val="single" w:sz="4" w:space="0" w:color="000000"/>
              <w:right w:val="single" w:sz="4" w:space="0" w:color="000000"/>
            </w:tcBorders>
            <w:shd w:val="clear" w:color="000000" w:fill="FFFFFF"/>
          </w:tcPr>
          <w:p w14:paraId="15A11CD7" w14:textId="77777777" w:rsidR="005B5991" w:rsidRPr="00B63299" w:rsidRDefault="005B5991" w:rsidP="00AC2EBB">
            <w:pPr>
              <w:autoSpaceDE w:val="0"/>
              <w:autoSpaceDN w:val="0"/>
              <w:adjustRightInd w:val="0"/>
              <w:ind w:left="57"/>
            </w:pPr>
            <w:r w:rsidRPr="00B63299">
              <w:t>Projekts šo jomu neskar.</w:t>
            </w:r>
          </w:p>
        </w:tc>
      </w:tr>
      <w:tr w:rsidR="005B5991" w:rsidRPr="00B63299" w14:paraId="33B7D30B" w14:textId="77777777" w:rsidTr="00AE2831">
        <w:trPr>
          <w:trHeight w:val="579"/>
        </w:trPr>
        <w:tc>
          <w:tcPr>
            <w:tcW w:w="2686" w:type="dxa"/>
            <w:tcBorders>
              <w:top w:val="single" w:sz="4" w:space="0" w:color="000000"/>
              <w:left w:val="single" w:sz="4" w:space="0" w:color="000000"/>
              <w:bottom w:val="single" w:sz="4" w:space="0" w:color="000000"/>
              <w:right w:val="single" w:sz="4" w:space="0" w:color="000000"/>
            </w:tcBorders>
            <w:shd w:val="clear" w:color="000000" w:fill="FFFFFF"/>
          </w:tcPr>
          <w:p w14:paraId="77089AB8" w14:textId="77777777" w:rsidR="005B5991" w:rsidRPr="00B63299" w:rsidRDefault="005B5991" w:rsidP="00AC2EBB">
            <w:pPr>
              <w:autoSpaceDE w:val="0"/>
              <w:autoSpaceDN w:val="0"/>
              <w:adjustRightInd w:val="0"/>
              <w:ind w:left="57"/>
            </w:pPr>
            <w:r w:rsidRPr="00B63299">
              <w:t>Cita informācija</w:t>
            </w:r>
          </w:p>
        </w:tc>
        <w:tc>
          <w:tcPr>
            <w:tcW w:w="6804" w:type="dxa"/>
            <w:gridSpan w:val="3"/>
            <w:tcBorders>
              <w:top w:val="single" w:sz="4" w:space="0" w:color="000000"/>
              <w:left w:val="single" w:sz="4" w:space="0" w:color="000000"/>
              <w:bottom w:val="single" w:sz="4" w:space="0" w:color="000000"/>
              <w:right w:val="single" w:sz="4" w:space="0" w:color="000000"/>
            </w:tcBorders>
            <w:shd w:val="clear" w:color="000000" w:fill="FFFFFF"/>
          </w:tcPr>
          <w:p w14:paraId="202482BA" w14:textId="77777777" w:rsidR="005B5991" w:rsidRPr="00B63299" w:rsidRDefault="005B5991" w:rsidP="00AC2EBB">
            <w:pPr>
              <w:autoSpaceDE w:val="0"/>
              <w:autoSpaceDN w:val="0"/>
              <w:adjustRightInd w:val="0"/>
              <w:ind w:left="57"/>
              <w:jc w:val="both"/>
            </w:pPr>
            <w:r w:rsidRPr="00B63299">
              <w:t>Projekts šo jomu neskar.</w:t>
            </w:r>
          </w:p>
        </w:tc>
      </w:tr>
    </w:tbl>
    <w:p w14:paraId="2E280CB0" w14:textId="77777777" w:rsidR="005B5991" w:rsidRPr="00B63299" w:rsidRDefault="005B5991" w:rsidP="005B5991">
      <w:pPr>
        <w:autoSpaceDE w:val="0"/>
        <w:autoSpaceDN w:val="0"/>
        <w:adjustRightInd w:val="0"/>
      </w:pPr>
    </w:p>
    <w:p w14:paraId="517B7E8C" w14:textId="77777777" w:rsidR="005B5991" w:rsidRPr="00B63299" w:rsidRDefault="005B5991" w:rsidP="005B5991">
      <w:pPr>
        <w:autoSpaceDE w:val="0"/>
        <w:autoSpaceDN w:val="0"/>
        <w:adjustRightInd w:val="0"/>
      </w:pPr>
    </w:p>
    <w:tbl>
      <w:tblPr>
        <w:tblW w:w="0" w:type="auto"/>
        <w:tblInd w:w="-122" w:type="dxa"/>
        <w:tblLayout w:type="fixed"/>
        <w:tblCellMar>
          <w:left w:w="28" w:type="dxa"/>
          <w:right w:w="28" w:type="dxa"/>
        </w:tblCellMar>
        <w:tblLook w:val="0000" w:firstRow="0" w:lastRow="0" w:firstColumn="0" w:lastColumn="0" w:noHBand="0" w:noVBand="0"/>
      </w:tblPr>
      <w:tblGrid>
        <w:gridCol w:w="2694"/>
        <w:gridCol w:w="3118"/>
        <w:gridCol w:w="3544"/>
      </w:tblGrid>
      <w:tr w:rsidR="005B5991" w:rsidRPr="00B63299" w14:paraId="1D17DAC7" w14:textId="77777777" w:rsidTr="00AC2EBB">
        <w:trPr>
          <w:trHeight w:val="20"/>
        </w:trPr>
        <w:tc>
          <w:tcPr>
            <w:tcW w:w="9356"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14:paraId="09B2AD0F" w14:textId="77777777" w:rsidR="005B5991" w:rsidRPr="00B63299" w:rsidRDefault="005B5991" w:rsidP="00AC2EBB">
            <w:pPr>
              <w:autoSpaceDE w:val="0"/>
              <w:autoSpaceDN w:val="0"/>
              <w:adjustRightInd w:val="0"/>
              <w:ind w:left="57"/>
              <w:jc w:val="center"/>
              <w:rPr>
                <w:b/>
                <w:bCs/>
              </w:rPr>
            </w:pPr>
            <w:r w:rsidRPr="00B63299">
              <w:rPr>
                <w:b/>
                <w:bCs/>
              </w:rPr>
              <w:t>2.tabula</w:t>
            </w:r>
          </w:p>
          <w:p w14:paraId="26A5D704" w14:textId="77777777" w:rsidR="005B5991" w:rsidRPr="00B63299" w:rsidRDefault="005B5991" w:rsidP="00AC2EBB">
            <w:pPr>
              <w:autoSpaceDE w:val="0"/>
              <w:autoSpaceDN w:val="0"/>
              <w:adjustRightInd w:val="0"/>
              <w:ind w:left="57"/>
              <w:jc w:val="center"/>
              <w:rPr>
                <w:b/>
                <w:bCs/>
              </w:rPr>
            </w:pPr>
            <w:r w:rsidRPr="00B63299">
              <w:rPr>
                <w:b/>
                <w:bCs/>
              </w:rPr>
              <w:t>Ar tiesību akta projektu izpildītās vai uzņemtās saistības, kas izriet no starptautiskajiem tiesību aktiem vai starptautiskas institūcijas vai organizācijas dokumentiem.</w:t>
            </w:r>
          </w:p>
          <w:p w14:paraId="433681A1" w14:textId="77777777" w:rsidR="005B5991" w:rsidRPr="00B63299" w:rsidRDefault="005B5991" w:rsidP="00AC2EBB">
            <w:pPr>
              <w:autoSpaceDE w:val="0"/>
              <w:autoSpaceDN w:val="0"/>
              <w:adjustRightInd w:val="0"/>
              <w:ind w:left="57"/>
              <w:jc w:val="center"/>
            </w:pPr>
            <w:r w:rsidRPr="00B63299">
              <w:rPr>
                <w:b/>
                <w:bCs/>
              </w:rPr>
              <w:t>Pasākumi šo saistību izpildei</w:t>
            </w:r>
          </w:p>
        </w:tc>
      </w:tr>
      <w:tr w:rsidR="005B5991" w:rsidRPr="00B63299" w14:paraId="09D07992" w14:textId="77777777" w:rsidTr="00AC2EBB">
        <w:trPr>
          <w:trHeight w:val="20"/>
        </w:trPr>
        <w:tc>
          <w:tcPr>
            <w:tcW w:w="269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730BD3D" w14:textId="77777777" w:rsidR="005B5991" w:rsidRPr="00B63299" w:rsidRDefault="005B5991" w:rsidP="00AC2EBB">
            <w:pPr>
              <w:autoSpaceDE w:val="0"/>
              <w:autoSpaceDN w:val="0"/>
              <w:adjustRightInd w:val="0"/>
              <w:ind w:left="57"/>
            </w:pPr>
            <w:r w:rsidRPr="00B63299">
              <w:t>Attiecīgā starptautiskā tiesību akta vai starptautiskas institūcijas vai organizācijas dokumenta (turpmāk – starptautiskais dokuments) datums, numurs un nosaukums</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63D8A8CC" w14:textId="77777777" w:rsidR="005B5991" w:rsidRPr="00B63299" w:rsidRDefault="005B5991" w:rsidP="00AC2EBB">
            <w:pPr>
              <w:autoSpaceDE w:val="0"/>
              <w:autoSpaceDN w:val="0"/>
              <w:adjustRightInd w:val="0"/>
              <w:ind w:left="57"/>
            </w:pPr>
            <w:r w:rsidRPr="00B63299">
              <w:t>Projekts šo jomu neskar.</w:t>
            </w:r>
          </w:p>
        </w:tc>
      </w:tr>
      <w:tr w:rsidR="005B5991" w:rsidRPr="00B63299" w14:paraId="3328D5C3" w14:textId="77777777" w:rsidTr="00AC2EBB">
        <w:trPr>
          <w:trHeight w:val="20"/>
        </w:trPr>
        <w:tc>
          <w:tcPr>
            <w:tcW w:w="269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DD49941" w14:textId="77777777" w:rsidR="005B5991" w:rsidRPr="00B63299" w:rsidRDefault="005B5991" w:rsidP="00AC2EBB">
            <w:pPr>
              <w:autoSpaceDE w:val="0"/>
              <w:autoSpaceDN w:val="0"/>
              <w:adjustRightInd w:val="0"/>
              <w:ind w:left="57"/>
              <w:jc w:val="center"/>
            </w:pPr>
            <w:r w:rsidRPr="00B63299">
              <w:t>A</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0080379" w14:textId="77777777" w:rsidR="005B5991" w:rsidRPr="00B63299" w:rsidRDefault="005B5991" w:rsidP="00AC2EBB">
            <w:pPr>
              <w:autoSpaceDE w:val="0"/>
              <w:autoSpaceDN w:val="0"/>
              <w:adjustRightInd w:val="0"/>
              <w:ind w:left="57"/>
              <w:jc w:val="center"/>
            </w:pPr>
            <w:r w:rsidRPr="00B63299">
              <w:t>B</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E79D68E" w14:textId="77777777" w:rsidR="005B5991" w:rsidRPr="00B63299" w:rsidRDefault="005B5991" w:rsidP="00AC2EBB">
            <w:pPr>
              <w:autoSpaceDE w:val="0"/>
              <w:autoSpaceDN w:val="0"/>
              <w:adjustRightInd w:val="0"/>
              <w:ind w:left="57"/>
              <w:jc w:val="center"/>
            </w:pPr>
            <w:r w:rsidRPr="00B63299">
              <w:t>C</w:t>
            </w:r>
          </w:p>
        </w:tc>
      </w:tr>
      <w:tr w:rsidR="005B5991" w:rsidRPr="00B63299" w14:paraId="05E3ED96" w14:textId="77777777" w:rsidTr="00AC2EBB">
        <w:trPr>
          <w:trHeight w:val="20"/>
        </w:trPr>
        <w:tc>
          <w:tcPr>
            <w:tcW w:w="2694" w:type="dxa"/>
            <w:tcBorders>
              <w:top w:val="single" w:sz="4" w:space="0" w:color="000000"/>
              <w:left w:val="single" w:sz="4" w:space="0" w:color="000000"/>
              <w:bottom w:val="single" w:sz="4" w:space="0" w:color="000000"/>
              <w:right w:val="single" w:sz="4" w:space="0" w:color="000000"/>
            </w:tcBorders>
            <w:shd w:val="clear" w:color="000000" w:fill="FFFFFF"/>
          </w:tcPr>
          <w:p w14:paraId="409D6897" w14:textId="77777777" w:rsidR="005B5991" w:rsidRPr="00B63299" w:rsidRDefault="005B5991" w:rsidP="00AC2EBB">
            <w:pPr>
              <w:autoSpaceDE w:val="0"/>
              <w:autoSpaceDN w:val="0"/>
              <w:adjustRightInd w:val="0"/>
              <w:ind w:left="57"/>
            </w:pPr>
            <w:r w:rsidRPr="00B63299">
              <w:t>Starptautiskās saistības (pēc būtības), kas izriet no norādītā starptautiskā dokumenta.</w:t>
            </w:r>
          </w:p>
          <w:p w14:paraId="71C23F05" w14:textId="77777777" w:rsidR="005B5991" w:rsidRPr="00B63299" w:rsidRDefault="005B5991" w:rsidP="00AC2EBB">
            <w:pPr>
              <w:autoSpaceDE w:val="0"/>
              <w:autoSpaceDN w:val="0"/>
              <w:adjustRightInd w:val="0"/>
              <w:ind w:left="57"/>
            </w:pPr>
            <w:r w:rsidRPr="00B63299">
              <w:t>Konkrēti veicamie pasākumi vai uzdevumi, kas nepieciešami šo starptautisko saistību izpildei</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14:paraId="43F89EAC" w14:textId="77777777" w:rsidR="005B5991" w:rsidRPr="00B63299" w:rsidRDefault="005B5991" w:rsidP="00B27134">
            <w:pPr>
              <w:autoSpaceDE w:val="0"/>
              <w:autoSpaceDN w:val="0"/>
              <w:adjustRightInd w:val="0"/>
              <w:ind w:left="57"/>
              <w:jc w:val="both"/>
            </w:pPr>
            <w:r w:rsidRPr="00B63299">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14:paraId="33EC1011" w14:textId="77777777" w:rsidR="005B5991" w:rsidRPr="00B63299" w:rsidRDefault="005B5991" w:rsidP="00B27134">
            <w:pPr>
              <w:autoSpaceDE w:val="0"/>
              <w:autoSpaceDN w:val="0"/>
              <w:adjustRightInd w:val="0"/>
              <w:ind w:left="57"/>
              <w:jc w:val="both"/>
            </w:pPr>
            <w:r w:rsidRPr="00B63299">
              <w:t>Informācija par to, vai starptautiskās saistības, kas minētas šīs tabulas A ailē, tiek izpildītas pilnībā vai daļēji.</w:t>
            </w:r>
          </w:p>
          <w:p w14:paraId="02311F04" w14:textId="77777777" w:rsidR="005B5991" w:rsidRPr="00B63299" w:rsidRDefault="005B5991" w:rsidP="00B27134">
            <w:pPr>
              <w:autoSpaceDE w:val="0"/>
              <w:autoSpaceDN w:val="0"/>
              <w:adjustRightInd w:val="0"/>
              <w:ind w:left="57"/>
              <w:jc w:val="both"/>
            </w:pPr>
            <w:r w:rsidRPr="00B63299">
              <w:t>Ja attiecīgās starptautiskās saistības tiek izpildītas daļēji, sniedz attiecīgu skaidrojumu, kā arī precīzi norāda, kad un kādā veidā starptautiskās saistības tiks izpildītas pilnībā.</w:t>
            </w:r>
          </w:p>
          <w:p w14:paraId="317F90D4" w14:textId="77777777" w:rsidR="005B5991" w:rsidRPr="00B63299" w:rsidRDefault="005B5991" w:rsidP="00B27134">
            <w:pPr>
              <w:autoSpaceDE w:val="0"/>
              <w:autoSpaceDN w:val="0"/>
              <w:adjustRightInd w:val="0"/>
              <w:ind w:left="57" w:right="57"/>
              <w:jc w:val="both"/>
            </w:pPr>
            <w:r w:rsidRPr="00B63299">
              <w:t>Norāda institūciju, kas ir atbildīga par šo saistību izpildi pilnībā</w:t>
            </w:r>
          </w:p>
        </w:tc>
      </w:tr>
      <w:tr w:rsidR="005B5991" w:rsidRPr="00B63299" w14:paraId="793A4D77" w14:textId="77777777" w:rsidTr="00AC2EBB">
        <w:trPr>
          <w:trHeight w:val="20"/>
        </w:trPr>
        <w:tc>
          <w:tcPr>
            <w:tcW w:w="2694" w:type="dxa"/>
            <w:tcBorders>
              <w:top w:val="single" w:sz="4" w:space="0" w:color="000000"/>
              <w:left w:val="single" w:sz="4" w:space="0" w:color="000000"/>
              <w:bottom w:val="single" w:sz="4" w:space="0" w:color="000000"/>
              <w:right w:val="single" w:sz="4" w:space="0" w:color="000000"/>
            </w:tcBorders>
            <w:shd w:val="clear" w:color="000000" w:fill="FFFFFF"/>
          </w:tcPr>
          <w:p w14:paraId="141E526F" w14:textId="77777777" w:rsidR="005B5991" w:rsidRPr="00B63299" w:rsidRDefault="005B5991" w:rsidP="00AC2EBB">
            <w:pPr>
              <w:autoSpaceDE w:val="0"/>
              <w:autoSpaceDN w:val="0"/>
              <w:adjustRightInd w:val="0"/>
              <w:ind w:left="57"/>
            </w:pPr>
            <w:r w:rsidRPr="00B63299">
              <w:t>Projekts šo jomu neskar.</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14:paraId="6A4D35FA" w14:textId="77777777" w:rsidR="005B5991" w:rsidRPr="00B63299" w:rsidRDefault="005B5991" w:rsidP="00AC2EBB">
            <w:pPr>
              <w:autoSpaceDE w:val="0"/>
              <w:autoSpaceDN w:val="0"/>
              <w:adjustRightInd w:val="0"/>
              <w:ind w:left="57"/>
            </w:pPr>
            <w:r w:rsidRPr="00B63299">
              <w:t>Projekts šo jomu neskar.</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14:paraId="2F1CA6DE" w14:textId="77777777" w:rsidR="005B5991" w:rsidRPr="00B63299" w:rsidRDefault="005B5991" w:rsidP="00AC2EBB">
            <w:pPr>
              <w:autoSpaceDE w:val="0"/>
              <w:autoSpaceDN w:val="0"/>
              <w:adjustRightInd w:val="0"/>
              <w:ind w:left="57"/>
            </w:pPr>
            <w:r w:rsidRPr="00B63299">
              <w:t>Projekts šo jomu neskar.</w:t>
            </w:r>
          </w:p>
        </w:tc>
      </w:tr>
      <w:tr w:rsidR="005B5991" w:rsidRPr="00B63299" w14:paraId="4AB04E19" w14:textId="77777777" w:rsidTr="00AC2EBB">
        <w:trPr>
          <w:trHeight w:val="20"/>
        </w:trPr>
        <w:tc>
          <w:tcPr>
            <w:tcW w:w="2694" w:type="dxa"/>
            <w:tcBorders>
              <w:top w:val="single" w:sz="4" w:space="0" w:color="000000"/>
              <w:left w:val="single" w:sz="4" w:space="0" w:color="000000"/>
              <w:bottom w:val="single" w:sz="4" w:space="0" w:color="000000"/>
              <w:right w:val="single" w:sz="4" w:space="0" w:color="000000"/>
            </w:tcBorders>
            <w:shd w:val="clear" w:color="000000" w:fill="FFFFFF"/>
          </w:tcPr>
          <w:p w14:paraId="4CBABE9F" w14:textId="77777777" w:rsidR="005B5991" w:rsidRPr="00B63299" w:rsidRDefault="005B5991" w:rsidP="00AC2EBB">
            <w:pPr>
              <w:autoSpaceDE w:val="0"/>
              <w:autoSpaceDN w:val="0"/>
              <w:adjustRightInd w:val="0"/>
              <w:ind w:left="57"/>
            </w:pPr>
            <w:r w:rsidRPr="00B63299">
              <w:t>Vai starptautiskajā dokumentā paredzētās saistības nav pretrunā ar jau esošajām Latvijas Republikas starptautiskajām saistībām</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332FC549" w14:textId="77777777" w:rsidR="005B5991" w:rsidRPr="00B63299" w:rsidRDefault="005B5991" w:rsidP="00AC2EBB">
            <w:pPr>
              <w:autoSpaceDE w:val="0"/>
              <w:autoSpaceDN w:val="0"/>
              <w:adjustRightInd w:val="0"/>
              <w:ind w:left="57"/>
            </w:pPr>
            <w:r w:rsidRPr="00B63299">
              <w:t>Projekts šo jomu neskar.</w:t>
            </w:r>
          </w:p>
        </w:tc>
      </w:tr>
      <w:tr w:rsidR="005B5991" w:rsidRPr="00B63299" w14:paraId="680F7081" w14:textId="77777777" w:rsidTr="00AC2EBB">
        <w:trPr>
          <w:trHeight w:val="20"/>
        </w:trPr>
        <w:tc>
          <w:tcPr>
            <w:tcW w:w="2694" w:type="dxa"/>
            <w:tcBorders>
              <w:top w:val="single" w:sz="4" w:space="0" w:color="000000"/>
              <w:left w:val="single" w:sz="4" w:space="0" w:color="000000"/>
              <w:bottom w:val="single" w:sz="4" w:space="0" w:color="000000"/>
              <w:right w:val="single" w:sz="4" w:space="0" w:color="000000"/>
            </w:tcBorders>
            <w:shd w:val="clear" w:color="000000" w:fill="FFFFFF"/>
          </w:tcPr>
          <w:p w14:paraId="68B0E0FB" w14:textId="77777777" w:rsidR="005B5991" w:rsidRPr="00B63299" w:rsidRDefault="005B5991" w:rsidP="00AC2EBB">
            <w:pPr>
              <w:autoSpaceDE w:val="0"/>
              <w:autoSpaceDN w:val="0"/>
              <w:adjustRightInd w:val="0"/>
              <w:ind w:left="57"/>
            </w:pPr>
            <w:r w:rsidRPr="00B63299">
              <w:t>Cita informācija</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64B3FD75" w14:textId="77777777" w:rsidR="005B5991" w:rsidRPr="00B63299" w:rsidRDefault="005B5991" w:rsidP="00AC2EBB">
            <w:pPr>
              <w:autoSpaceDE w:val="0"/>
              <w:autoSpaceDN w:val="0"/>
              <w:adjustRightInd w:val="0"/>
              <w:ind w:left="57"/>
            </w:pPr>
            <w:r w:rsidRPr="00B63299">
              <w:t>Nav.</w:t>
            </w:r>
          </w:p>
        </w:tc>
      </w:tr>
    </w:tbl>
    <w:p w14:paraId="335C007F" w14:textId="77777777" w:rsidR="005B5991" w:rsidRDefault="005B5991" w:rsidP="005B5991"/>
    <w:p w14:paraId="2C9F9734" w14:textId="77777777" w:rsidR="00FC5EAD" w:rsidRDefault="00FC5EAD" w:rsidP="005B5991"/>
    <w:p w14:paraId="01787099" w14:textId="77777777" w:rsidR="00FC5EAD" w:rsidRDefault="00FC5EAD" w:rsidP="005B5991"/>
    <w:p w14:paraId="048454BC" w14:textId="77777777" w:rsidR="00FC5EAD" w:rsidRDefault="00FC5EAD" w:rsidP="005B5991"/>
    <w:p w14:paraId="63B357C9" w14:textId="77777777" w:rsidR="00FC5EAD" w:rsidRDefault="00FC5EAD" w:rsidP="005B5991"/>
    <w:p w14:paraId="1BE7B714" w14:textId="77777777" w:rsidR="005B5991" w:rsidRPr="00B63299" w:rsidRDefault="005B5991" w:rsidP="00265120"/>
    <w:tbl>
      <w:tblPr>
        <w:tblW w:w="949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3544"/>
        <w:gridCol w:w="5528"/>
      </w:tblGrid>
      <w:tr w:rsidR="00FC5EAD" w:rsidRPr="00B63299" w14:paraId="3A3809B3" w14:textId="77777777" w:rsidTr="00FC5EAD">
        <w:trPr>
          <w:trHeight w:val="421"/>
        </w:trPr>
        <w:tc>
          <w:tcPr>
            <w:tcW w:w="9498" w:type="dxa"/>
            <w:gridSpan w:val="3"/>
          </w:tcPr>
          <w:p w14:paraId="175530A6" w14:textId="31E5771B" w:rsidR="00FC5EAD" w:rsidRPr="00B63299" w:rsidRDefault="00FC5EAD" w:rsidP="00C3136D">
            <w:pPr>
              <w:pStyle w:val="naisnod"/>
              <w:spacing w:before="0" w:beforeAutospacing="0" w:after="0" w:afterAutospacing="0"/>
              <w:ind w:left="57" w:right="57"/>
              <w:jc w:val="center"/>
            </w:pPr>
            <w:r w:rsidRPr="00B63299">
              <w:rPr>
                <w:b/>
              </w:rPr>
              <w:t>VI. Sabiedrības līdzdalība un komunikācijas aktivitātes</w:t>
            </w:r>
          </w:p>
        </w:tc>
      </w:tr>
      <w:tr w:rsidR="00FC5EAD" w:rsidRPr="00B63299" w14:paraId="288CDA45" w14:textId="77777777" w:rsidTr="00FC5EAD">
        <w:trPr>
          <w:trHeight w:val="421"/>
        </w:trPr>
        <w:tc>
          <w:tcPr>
            <w:tcW w:w="426" w:type="dxa"/>
          </w:tcPr>
          <w:p w14:paraId="3FC57E98" w14:textId="111C395A" w:rsidR="00FC5EAD" w:rsidRPr="00B63299" w:rsidRDefault="00FC5EAD" w:rsidP="00B27134">
            <w:pPr>
              <w:jc w:val="both"/>
            </w:pPr>
            <w:r>
              <w:t>11</w:t>
            </w:r>
          </w:p>
        </w:tc>
        <w:tc>
          <w:tcPr>
            <w:tcW w:w="3544" w:type="dxa"/>
          </w:tcPr>
          <w:p w14:paraId="586B7639" w14:textId="51B1ECD2" w:rsidR="00FC5EAD" w:rsidRPr="00B63299" w:rsidRDefault="00FC5EAD" w:rsidP="00B27134">
            <w:pPr>
              <w:jc w:val="both"/>
            </w:pPr>
            <w:r>
              <w:t>Plānotās sabiedrības līdzdalības un komunikācijas aktivitātes saistībā ar projektu</w:t>
            </w:r>
          </w:p>
        </w:tc>
        <w:tc>
          <w:tcPr>
            <w:tcW w:w="5528" w:type="dxa"/>
            <w:vAlign w:val="center"/>
          </w:tcPr>
          <w:p w14:paraId="12D8F71D" w14:textId="232C7A51" w:rsidR="00FC5EAD" w:rsidRPr="00B63299" w:rsidRDefault="00FC5EAD" w:rsidP="00371EFE">
            <w:pPr>
              <w:jc w:val="both"/>
            </w:pPr>
            <w:r w:rsidRPr="00B63299">
              <w:t xml:space="preserve">Satiksmes ministrija, Autotransporta direkcija, Latvijas Pasažieru pārvadātāju asociācija  organizēja vairākas sanāksmes MK noteikumu projekta izstrādes gaitā, kas norisinājās 2014.gada 29.jūlijā; 28.augustā; 4.septembrī; 13.oktobrī. </w:t>
            </w:r>
          </w:p>
        </w:tc>
      </w:tr>
      <w:tr w:rsidR="00FC5EAD" w:rsidRPr="00B63299" w14:paraId="33C3449C" w14:textId="77777777" w:rsidTr="00FC5EAD">
        <w:trPr>
          <w:trHeight w:val="421"/>
        </w:trPr>
        <w:tc>
          <w:tcPr>
            <w:tcW w:w="426" w:type="dxa"/>
          </w:tcPr>
          <w:p w14:paraId="4AB199F2" w14:textId="258D33E6" w:rsidR="00FC5EAD" w:rsidRPr="00B63299" w:rsidRDefault="00FC5EAD" w:rsidP="00B27134">
            <w:pPr>
              <w:jc w:val="both"/>
            </w:pPr>
            <w:r>
              <w:t>2.</w:t>
            </w:r>
          </w:p>
        </w:tc>
        <w:tc>
          <w:tcPr>
            <w:tcW w:w="3544" w:type="dxa"/>
          </w:tcPr>
          <w:p w14:paraId="6FC0528A" w14:textId="104AF38F" w:rsidR="00FC5EAD" w:rsidRPr="00B63299" w:rsidRDefault="00FC5EAD" w:rsidP="00B27134">
            <w:pPr>
              <w:jc w:val="both"/>
            </w:pPr>
            <w:r>
              <w:t>Sabiedrības līdzdalība projekta izstrādē</w:t>
            </w:r>
          </w:p>
        </w:tc>
        <w:tc>
          <w:tcPr>
            <w:tcW w:w="5528" w:type="dxa"/>
            <w:vAlign w:val="center"/>
          </w:tcPr>
          <w:p w14:paraId="1A6BC723" w14:textId="27259773" w:rsidR="00FC5EAD" w:rsidRPr="00B63299" w:rsidRDefault="00371EFE" w:rsidP="00371EFE">
            <w:pPr>
              <w:jc w:val="both"/>
            </w:pPr>
            <w:r w:rsidRPr="00B63299">
              <w:t>Sarunā procesā Latvijas Pasažieru pārvadātāju asociācijas biedri varēja izteikt savus priekšlikumus un iebildumus, par kuriem</w:t>
            </w:r>
            <w:r>
              <w:t xml:space="preserve"> pamatā ir panākta vienošanās. </w:t>
            </w:r>
          </w:p>
        </w:tc>
      </w:tr>
      <w:tr w:rsidR="00FC5EAD" w:rsidRPr="00B63299" w14:paraId="23AC53BB" w14:textId="77777777" w:rsidTr="00FC5EAD">
        <w:trPr>
          <w:trHeight w:val="421"/>
        </w:trPr>
        <w:tc>
          <w:tcPr>
            <w:tcW w:w="426" w:type="dxa"/>
          </w:tcPr>
          <w:p w14:paraId="6E0B0479" w14:textId="25235D44" w:rsidR="00FC5EAD" w:rsidRDefault="00FC5EAD" w:rsidP="00B27134">
            <w:pPr>
              <w:jc w:val="both"/>
            </w:pPr>
            <w:r>
              <w:t>3.</w:t>
            </w:r>
          </w:p>
        </w:tc>
        <w:tc>
          <w:tcPr>
            <w:tcW w:w="3544" w:type="dxa"/>
          </w:tcPr>
          <w:p w14:paraId="37B79795" w14:textId="4EE3259C" w:rsidR="00FC5EAD" w:rsidRDefault="00FC5EAD" w:rsidP="00B27134">
            <w:pPr>
              <w:jc w:val="both"/>
            </w:pPr>
            <w:r>
              <w:t>Sabiedrības līdzdalības rezultāti</w:t>
            </w:r>
          </w:p>
        </w:tc>
        <w:tc>
          <w:tcPr>
            <w:tcW w:w="5528" w:type="dxa"/>
            <w:vAlign w:val="center"/>
          </w:tcPr>
          <w:p w14:paraId="193F1243" w14:textId="655585CA" w:rsidR="00FC5EAD" w:rsidRPr="00B63299" w:rsidRDefault="00FC5EAD" w:rsidP="00B27134">
            <w:pPr>
              <w:jc w:val="both"/>
            </w:pPr>
            <w:r>
              <w:t>Nav attiecināms</w:t>
            </w:r>
            <w:r w:rsidR="00371EFE">
              <w:t>.</w:t>
            </w:r>
          </w:p>
        </w:tc>
      </w:tr>
      <w:tr w:rsidR="00FC5EAD" w:rsidRPr="00B63299" w14:paraId="7177F752" w14:textId="77777777" w:rsidTr="00FC5EAD">
        <w:trPr>
          <w:trHeight w:val="421"/>
        </w:trPr>
        <w:tc>
          <w:tcPr>
            <w:tcW w:w="426" w:type="dxa"/>
          </w:tcPr>
          <w:p w14:paraId="2965CB00" w14:textId="18577231" w:rsidR="00FC5EAD" w:rsidRDefault="00FC5EAD" w:rsidP="00B27134">
            <w:pPr>
              <w:jc w:val="both"/>
            </w:pPr>
            <w:r>
              <w:t>4.</w:t>
            </w:r>
          </w:p>
        </w:tc>
        <w:tc>
          <w:tcPr>
            <w:tcW w:w="3544" w:type="dxa"/>
          </w:tcPr>
          <w:p w14:paraId="41297B9E" w14:textId="325B4760" w:rsidR="00FC5EAD" w:rsidRDefault="00FC5EAD" w:rsidP="00B27134">
            <w:pPr>
              <w:jc w:val="both"/>
            </w:pPr>
            <w:r>
              <w:t xml:space="preserve">Cita </w:t>
            </w:r>
            <w:r w:rsidR="00371EFE">
              <w:t>informācija</w:t>
            </w:r>
          </w:p>
        </w:tc>
        <w:tc>
          <w:tcPr>
            <w:tcW w:w="5528" w:type="dxa"/>
            <w:vAlign w:val="center"/>
          </w:tcPr>
          <w:p w14:paraId="6F783436" w14:textId="1CFA77B8" w:rsidR="00FC5EAD" w:rsidRPr="00B63299" w:rsidRDefault="00FC5EAD" w:rsidP="00B27134">
            <w:pPr>
              <w:jc w:val="both"/>
            </w:pPr>
            <w:r>
              <w:t>Nav</w:t>
            </w:r>
            <w:r w:rsidR="00371EFE">
              <w:t>.</w:t>
            </w:r>
          </w:p>
        </w:tc>
      </w:tr>
    </w:tbl>
    <w:p w14:paraId="3E9E4E86" w14:textId="77777777" w:rsidR="00265120" w:rsidRPr="00B63299" w:rsidRDefault="00265120" w:rsidP="00265120"/>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265120" w:rsidRPr="00B63299" w14:paraId="177CFAC6" w14:textId="77777777" w:rsidTr="00C3136D">
        <w:trPr>
          <w:trHeight w:val="381"/>
          <w:jc w:val="center"/>
        </w:trPr>
        <w:tc>
          <w:tcPr>
            <w:tcW w:w="9518" w:type="dxa"/>
            <w:gridSpan w:val="3"/>
            <w:vAlign w:val="center"/>
          </w:tcPr>
          <w:p w14:paraId="5A375321" w14:textId="77777777" w:rsidR="00265120" w:rsidRPr="00B63299" w:rsidRDefault="00265120" w:rsidP="00C3136D">
            <w:pPr>
              <w:pStyle w:val="naisnod"/>
              <w:spacing w:before="0" w:beforeAutospacing="0" w:after="0" w:afterAutospacing="0"/>
              <w:ind w:left="57" w:right="57"/>
              <w:jc w:val="center"/>
            </w:pPr>
            <w:r w:rsidRPr="00B63299">
              <w:rPr>
                <w:b/>
              </w:rPr>
              <w:t>VII. Tiesību akta projekta izpildes nodrošināšana un tās ietekme uz institūcijām</w:t>
            </w:r>
          </w:p>
        </w:tc>
      </w:tr>
      <w:tr w:rsidR="00265120" w:rsidRPr="00B63299" w14:paraId="76230709" w14:textId="77777777" w:rsidTr="00C3136D">
        <w:trPr>
          <w:trHeight w:val="427"/>
          <w:jc w:val="center"/>
        </w:trPr>
        <w:tc>
          <w:tcPr>
            <w:tcW w:w="437" w:type="dxa"/>
          </w:tcPr>
          <w:p w14:paraId="30AD32FB" w14:textId="77777777" w:rsidR="00265120" w:rsidRPr="00B63299" w:rsidRDefault="00265120" w:rsidP="00C3136D">
            <w:pPr>
              <w:pStyle w:val="naisnod"/>
              <w:spacing w:before="0" w:beforeAutospacing="0" w:after="0" w:afterAutospacing="0"/>
              <w:ind w:left="57" w:right="57"/>
              <w:jc w:val="both"/>
            </w:pPr>
            <w:r w:rsidRPr="00B63299">
              <w:t>1.</w:t>
            </w:r>
          </w:p>
        </w:tc>
        <w:tc>
          <w:tcPr>
            <w:tcW w:w="3615" w:type="dxa"/>
          </w:tcPr>
          <w:p w14:paraId="7F8991BC" w14:textId="77777777" w:rsidR="00265120" w:rsidRPr="00B63299" w:rsidRDefault="00265120" w:rsidP="00C3136D">
            <w:pPr>
              <w:pStyle w:val="naisf"/>
              <w:spacing w:before="0" w:after="0"/>
              <w:ind w:left="57" w:right="57" w:firstLine="0"/>
            </w:pPr>
            <w:r w:rsidRPr="00B63299">
              <w:t>Projekta izpildē iesaistītās institūcijas</w:t>
            </w:r>
          </w:p>
        </w:tc>
        <w:tc>
          <w:tcPr>
            <w:tcW w:w="5466" w:type="dxa"/>
          </w:tcPr>
          <w:p w14:paraId="5BA8CF3C" w14:textId="77777777" w:rsidR="00265120" w:rsidRPr="00B63299" w:rsidRDefault="002A46D9" w:rsidP="00C3136D">
            <w:pPr>
              <w:shd w:val="clear" w:color="auto" w:fill="FFFFFF"/>
              <w:jc w:val="both"/>
            </w:pPr>
            <w:bookmarkStart w:id="2" w:name="p66"/>
            <w:bookmarkStart w:id="3" w:name="p67"/>
            <w:bookmarkStart w:id="4" w:name="p68"/>
            <w:bookmarkStart w:id="5" w:name="p69"/>
            <w:bookmarkEnd w:id="2"/>
            <w:bookmarkEnd w:id="3"/>
            <w:bookmarkEnd w:id="4"/>
            <w:bookmarkEnd w:id="5"/>
            <w:r w:rsidRPr="00B63299">
              <w:rPr>
                <w:bCs/>
              </w:rPr>
              <w:t>Satiksmes ministrija, Sabiedriskā transporta padome, Autotransporta direkcija</w:t>
            </w:r>
            <w:r w:rsidR="0011613E" w:rsidRPr="00B63299">
              <w:rPr>
                <w:bCs/>
              </w:rPr>
              <w:t>, republikas pilsētu pašvaldības</w:t>
            </w:r>
            <w:r w:rsidRPr="00B63299">
              <w:rPr>
                <w:bCs/>
              </w:rPr>
              <w:t xml:space="preserve"> un 54 uzņēmumi, kas sniedz regulāros sabiedriskā transporta pakalpojumus.</w:t>
            </w:r>
          </w:p>
        </w:tc>
      </w:tr>
      <w:tr w:rsidR="00265120" w:rsidRPr="00B63299" w14:paraId="08D296CF" w14:textId="77777777" w:rsidTr="00C3136D">
        <w:trPr>
          <w:trHeight w:val="463"/>
          <w:jc w:val="center"/>
        </w:trPr>
        <w:tc>
          <w:tcPr>
            <w:tcW w:w="437" w:type="dxa"/>
          </w:tcPr>
          <w:p w14:paraId="38D1E718" w14:textId="77777777" w:rsidR="00265120" w:rsidRPr="00B63299" w:rsidRDefault="00265120" w:rsidP="00C3136D">
            <w:pPr>
              <w:pStyle w:val="naisnod"/>
              <w:spacing w:before="0" w:beforeAutospacing="0" w:after="0" w:afterAutospacing="0"/>
              <w:ind w:left="57" w:right="57"/>
              <w:jc w:val="both"/>
            </w:pPr>
            <w:r w:rsidRPr="00B63299">
              <w:t>2.</w:t>
            </w:r>
          </w:p>
        </w:tc>
        <w:tc>
          <w:tcPr>
            <w:tcW w:w="3615" w:type="dxa"/>
          </w:tcPr>
          <w:p w14:paraId="679B6340" w14:textId="77777777" w:rsidR="00265120" w:rsidRPr="00B63299" w:rsidRDefault="00265120" w:rsidP="00C3136D">
            <w:pPr>
              <w:pStyle w:val="naisf"/>
              <w:spacing w:before="0" w:after="0"/>
              <w:ind w:left="57" w:right="57" w:firstLine="0"/>
            </w:pPr>
            <w:r w:rsidRPr="00B63299">
              <w:t>Projekta izpildes ietekme uz pār</w:t>
            </w:r>
            <w:r w:rsidRPr="00B63299">
              <w:softHyphen/>
              <w:t>valdes funkcijām un institucionālo struktūru.</w:t>
            </w:r>
          </w:p>
          <w:p w14:paraId="4F3B7ECB" w14:textId="77777777" w:rsidR="00265120" w:rsidRPr="00B63299" w:rsidRDefault="00265120" w:rsidP="00C3136D">
            <w:pPr>
              <w:pStyle w:val="naisf"/>
              <w:spacing w:before="0" w:after="0"/>
              <w:ind w:left="57" w:right="57" w:firstLine="0"/>
            </w:pPr>
            <w:r w:rsidRPr="00B63299">
              <w:t>Jaunu institūciju izveide, esošu institūciju likvidācija vai reorga</w:t>
            </w:r>
            <w:r w:rsidRPr="00B63299">
              <w:softHyphen/>
              <w:t>nizācija, to ietekme uz institūcijas cilvēkresursiem</w:t>
            </w:r>
          </w:p>
        </w:tc>
        <w:tc>
          <w:tcPr>
            <w:tcW w:w="5466" w:type="dxa"/>
          </w:tcPr>
          <w:p w14:paraId="387C04D8" w14:textId="33E7BC16" w:rsidR="00265120" w:rsidRPr="00B63299" w:rsidRDefault="00B63299" w:rsidP="00C3136D">
            <w:pPr>
              <w:shd w:val="clear" w:color="auto" w:fill="FFFFFF"/>
              <w:jc w:val="both"/>
            </w:pPr>
            <w:r w:rsidRPr="00B63299">
              <w:t>Projekts šo jomu neskar.</w:t>
            </w:r>
          </w:p>
        </w:tc>
      </w:tr>
      <w:tr w:rsidR="00265120" w:rsidRPr="00B63299" w14:paraId="42B5514B" w14:textId="77777777" w:rsidTr="00C3136D">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11F0297E" w14:textId="77777777" w:rsidR="00265120" w:rsidRPr="00B63299" w:rsidRDefault="00265120" w:rsidP="00C3136D">
            <w:pPr>
              <w:pStyle w:val="naisnod"/>
              <w:spacing w:before="0" w:beforeAutospacing="0" w:after="0" w:afterAutospacing="0"/>
              <w:ind w:left="57" w:right="57"/>
              <w:jc w:val="both"/>
            </w:pPr>
            <w:r w:rsidRPr="00B63299">
              <w:t>3.</w:t>
            </w:r>
          </w:p>
        </w:tc>
        <w:tc>
          <w:tcPr>
            <w:tcW w:w="3615" w:type="dxa"/>
            <w:tcBorders>
              <w:top w:val="single" w:sz="4" w:space="0" w:color="auto"/>
              <w:left w:val="single" w:sz="4" w:space="0" w:color="auto"/>
              <w:bottom w:val="single" w:sz="4" w:space="0" w:color="auto"/>
              <w:right w:val="single" w:sz="4" w:space="0" w:color="auto"/>
            </w:tcBorders>
          </w:tcPr>
          <w:p w14:paraId="45747348" w14:textId="77777777" w:rsidR="00265120" w:rsidRPr="00B63299" w:rsidRDefault="00265120" w:rsidP="00C3136D">
            <w:pPr>
              <w:pStyle w:val="naisf"/>
              <w:spacing w:before="0" w:after="0"/>
              <w:ind w:right="57" w:firstLine="0"/>
            </w:pPr>
            <w:r w:rsidRPr="00B63299">
              <w:t>Cita informācija</w:t>
            </w:r>
          </w:p>
        </w:tc>
        <w:tc>
          <w:tcPr>
            <w:tcW w:w="5466" w:type="dxa"/>
            <w:tcBorders>
              <w:top w:val="single" w:sz="4" w:space="0" w:color="auto"/>
              <w:left w:val="single" w:sz="4" w:space="0" w:color="auto"/>
              <w:bottom w:val="single" w:sz="4" w:space="0" w:color="auto"/>
              <w:right w:val="single" w:sz="4" w:space="0" w:color="auto"/>
            </w:tcBorders>
          </w:tcPr>
          <w:p w14:paraId="1F7766F4" w14:textId="77777777" w:rsidR="00265120" w:rsidRPr="00B63299" w:rsidRDefault="00265120" w:rsidP="00C3136D">
            <w:pPr>
              <w:ind w:left="57" w:right="57"/>
              <w:jc w:val="both"/>
            </w:pPr>
            <w:r w:rsidRPr="00B63299">
              <w:t>Nav.</w:t>
            </w:r>
          </w:p>
        </w:tc>
      </w:tr>
    </w:tbl>
    <w:p w14:paraId="40FC7BFE" w14:textId="77777777" w:rsidR="00265120" w:rsidRPr="002A1C57" w:rsidRDefault="00265120" w:rsidP="00265120">
      <w:pPr>
        <w:rPr>
          <w:sz w:val="28"/>
          <w:szCs w:val="28"/>
        </w:rPr>
      </w:pPr>
    </w:p>
    <w:p w14:paraId="5D9EE048" w14:textId="2F19DCC5" w:rsidR="00B63299" w:rsidRPr="00B63299" w:rsidRDefault="00B63299" w:rsidP="00B63299">
      <w:r w:rsidRPr="00B63299">
        <w:t>Anotācijas IV sadaļa – projekts š</w:t>
      </w:r>
      <w:r w:rsidR="00371EFE">
        <w:t>o</w:t>
      </w:r>
      <w:r w:rsidRPr="00B63299">
        <w:t xml:space="preserve"> jom</w:t>
      </w:r>
      <w:r w:rsidR="00371EFE">
        <w:t>u</w:t>
      </w:r>
      <w:r w:rsidRPr="00B63299">
        <w:t xml:space="preserve"> neskar.</w:t>
      </w:r>
    </w:p>
    <w:p w14:paraId="312D9FA2" w14:textId="775E4B64" w:rsidR="00265120" w:rsidRPr="00B63299" w:rsidRDefault="00B63299" w:rsidP="00B63299">
      <w:pPr>
        <w:tabs>
          <w:tab w:val="left" w:pos="2865"/>
        </w:tabs>
        <w:suppressAutoHyphens/>
        <w:outlineLvl w:val="4"/>
        <w:rPr>
          <w:bCs/>
          <w:iCs/>
          <w:kern w:val="1"/>
          <w:lang w:eastAsia="ar-SA"/>
        </w:rPr>
      </w:pPr>
      <w:r w:rsidRPr="00B63299">
        <w:rPr>
          <w:bCs/>
          <w:iCs/>
          <w:kern w:val="1"/>
          <w:lang w:eastAsia="ar-SA"/>
        </w:rPr>
        <w:tab/>
      </w:r>
    </w:p>
    <w:p w14:paraId="74ACD6DC" w14:textId="77777777" w:rsidR="00B63299" w:rsidRPr="00B63299" w:rsidRDefault="00B63299" w:rsidP="00B63299">
      <w:pPr>
        <w:tabs>
          <w:tab w:val="left" w:pos="142"/>
          <w:tab w:val="left" w:pos="7200"/>
        </w:tabs>
        <w:suppressAutoHyphens/>
        <w:outlineLvl w:val="4"/>
        <w:rPr>
          <w:bCs/>
          <w:iCs/>
          <w:kern w:val="1"/>
          <w:lang w:eastAsia="ar-SA"/>
        </w:rPr>
      </w:pPr>
      <w:r w:rsidRPr="00B63299">
        <w:rPr>
          <w:bCs/>
          <w:iCs/>
          <w:kern w:val="1"/>
          <w:lang w:eastAsia="ar-SA"/>
        </w:rPr>
        <w:t>Satiksmes ministrs</w:t>
      </w:r>
      <w:r w:rsidRPr="00B63299">
        <w:rPr>
          <w:bCs/>
          <w:iCs/>
          <w:kern w:val="1"/>
          <w:lang w:eastAsia="ar-SA"/>
        </w:rPr>
        <w:tab/>
        <w:t>A.Matīss</w:t>
      </w:r>
    </w:p>
    <w:p w14:paraId="25BBBCA5" w14:textId="77777777" w:rsidR="00B63299" w:rsidRPr="00B63299" w:rsidRDefault="00B63299" w:rsidP="00B63299">
      <w:pPr>
        <w:spacing w:after="120"/>
      </w:pPr>
    </w:p>
    <w:p w14:paraId="2E40D032" w14:textId="4BA700A9" w:rsidR="00B63299" w:rsidRPr="00B63299" w:rsidRDefault="00B63299" w:rsidP="00425FD7">
      <w:pPr>
        <w:jc w:val="both"/>
      </w:pPr>
      <w:r w:rsidRPr="00B63299">
        <w:t>Vīza: Valsts sekretār</w:t>
      </w:r>
      <w:r w:rsidR="00425FD7">
        <w:t>s</w:t>
      </w:r>
      <w:r w:rsidRPr="00B63299">
        <w:tab/>
      </w:r>
      <w:r w:rsidRPr="00B63299">
        <w:tab/>
      </w:r>
      <w:r w:rsidRPr="00B63299">
        <w:tab/>
      </w:r>
      <w:r w:rsidRPr="00B63299">
        <w:tab/>
      </w:r>
      <w:r w:rsidRPr="00B63299">
        <w:tab/>
      </w:r>
      <w:r w:rsidRPr="00B63299">
        <w:tab/>
      </w:r>
      <w:r w:rsidR="003532E1">
        <w:tab/>
      </w:r>
      <w:r w:rsidR="00425FD7">
        <w:tab/>
        <w:t>K.Ozoliņš</w:t>
      </w:r>
    </w:p>
    <w:p w14:paraId="643D2A21" w14:textId="23EDCBB6" w:rsidR="00265120" w:rsidRPr="00B63299" w:rsidRDefault="00265120" w:rsidP="00265120">
      <w:pPr>
        <w:tabs>
          <w:tab w:val="left" w:pos="142"/>
          <w:tab w:val="left" w:pos="7200"/>
        </w:tabs>
        <w:suppressAutoHyphens/>
        <w:outlineLvl w:val="4"/>
        <w:rPr>
          <w:bCs/>
          <w:iCs/>
          <w:kern w:val="1"/>
          <w:lang w:eastAsia="ar-SA"/>
        </w:rPr>
      </w:pPr>
    </w:p>
    <w:p w14:paraId="4ACB5690" w14:textId="77777777" w:rsidR="00265120" w:rsidRPr="007849D3" w:rsidRDefault="00265120" w:rsidP="00265120">
      <w:bookmarkStart w:id="6" w:name="_GoBack"/>
      <w:bookmarkEnd w:id="6"/>
    </w:p>
    <w:p w14:paraId="75C4AA93" w14:textId="208AE04B" w:rsidR="00265120" w:rsidRPr="007849D3" w:rsidRDefault="00F24417" w:rsidP="00265120">
      <w:pPr>
        <w:rPr>
          <w:sz w:val="20"/>
          <w:szCs w:val="20"/>
        </w:rPr>
      </w:pPr>
      <w:r>
        <w:rPr>
          <w:sz w:val="20"/>
          <w:szCs w:val="20"/>
        </w:rPr>
        <w:t>1</w:t>
      </w:r>
      <w:r w:rsidR="00BB6CDF">
        <w:rPr>
          <w:sz w:val="20"/>
          <w:szCs w:val="20"/>
        </w:rPr>
        <w:t>5</w:t>
      </w:r>
      <w:r>
        <w:rPr>
          <w:sz w:val="20"/>
          <w:szCs w:val="20"/>
        </w:rPr>
        <w:t>.05</w:t>
      </w:r>
      <w:r w:rsidR="005B5991">
        <w:rPr>
          <w:sz w:val="20"/>
          <w:szCs w:val="20"/>
        </w:rPr>
        <w:t>.2015.</w:t>
      </w:r>
      <w:r w:rsidR="00BB6CDF">
        <w:rPr>
          <w:sz w:val="20"/>
          <w:szCs w:val="20"/>
        </w:rPr>
        <w:t xml:space="preserve"> 11</w:t>
      </w:r>
      <w:r w:rsidR="00265120" w:rsidRPr="007849D3">
        <w:rPr>
          <w:sz w:val="20"/>
          <w:szCs w:val="20"/>
        </w:rPr>
        <w:t>:05</w:t>
      </w:r>
    </w:p>
    <w:p w14:paraId="14D0C88F" w14:textId="25FE35AC" w:rsidR="00265120" w:rsidRPr="007849D3" w:rsidRDefault="005B5991" w:rsidP="00265120">
      <w:pPr>
        <w:rPr>
          <w:sz w:val="20"/>
          <w:szCs w:val="20"/>
        </w:rPr>
      </w:pPr>
      <w:r>
        <w:rPr>
          <w:sz w:val="20"/>
          <w:szCs w:val="20"/>
        </w:rPr>
        <w:t>3</w:t>
      </w:r>
      <w:r w:rsidR="00F24417">
        <w:rPr>
          <w:sz w:val="20"/>
          <w:szCs w:val="20"/>
        </w:rPr>
        <w:t xml:space="preserve"> </w:t>
      </w:r>
      <w:r w:rsidR="00A719E7">
        <w:rPr>
          <w:sz w:val="20"/>
          <w:szCs w:val="20"/>
        </w:rPr>
        <w:t>8</w:t>
      </w:r>
      <w:r w:rsidR="006F0639">
        <w:rPr>
          <w:sz w:val="20"/>
          <w:szCs w:val="20"/>
        </w:rPr>
        <w:t>28</w:t>
      </w:r>
    </w:p>
    <w:p w14:paraId="0209E922" w14:textId="77777777" w:rsidR="007849D3" w:rsidRPr="007849D3" w:rsidRDefault="007849D3" w:rsidP="007849D3">
      <w:pPr>
        <w:rPr>
          <w:sz w:val="20"/>
          <w:szCs w:val="20"/>
        </w:rPr>
      </w:pPr>
      <w:r w:rsidRPr="007849D3">
        <w:rPr>
          <w:sz w:val="20"/>
          <w:szCs w:val="20"/>
        </w:rPr>
        <w:t>K.Grīviņa, 67686486</w:t>
      </w:r>
    </w:p>
    <w:p w14:paraId="514169B5" w14:textId="77777777" w:rsidR="007849D3" w:rsidRPr="007849D3" w:rsidRDefault="0068406B" w:rsidP="007849D3">
      <w:pPr>
        <w:rPr>
          <w:sz w:val="20"/>
          <w:szCs w:val="20"/>
        </w:rPr>
      </w:pPr>
      <w:hyperlink r:id="rId10" w:history="1">
        <w:r w:rsidR="007849D3" w:rsidRPr="007849D3">
          <w:rPr>
            <w:rStyle w:val="Hyperlink"/>
            <w:sz w:val="20"/>
            <w:szCs w:val="20"/>
          </w:rPr>
          <w:t>Kristine.Grivina@atd.lv</w:t>
        </w:r>
      </w:hyperlink>
    </w:p>
    <w:p w14:paraId="28AAD2DE" w14:textId="77777777" w:rsidR="00265120" w:rsidRPr="007849D3" w:rsidRDefault="00265120" w:rsidP="00265120">
      <w:pPr>
        <w:rPr>
          <w:sz w:val="20"/>
          <w:szCs w:val="20"/>
        </w:rPr>
      </w:pPr>
      <w:proofErr w:type="spellStart"/>
      <w:r w:rsidRPr="007849D3">
        <w:rPr>
          <w:sz w:val="20"/>
          <w:szCs w:val="20"/>
        </w:rPr>
        <w:t>V.Ļeonova</w:t>
      </w:r>
      <w:proofErr w:type="spellEnd"/>
      <w:r w:rsidRPr="007849D3">
        <w:rPr>
          <w:sz w:val="20"/>
          <w:szCs w:val="20"/>
        </w:rPr>
        <w:t>, 67686488</w:t>
      </w:r>
    </w:p>
    <w:p w14:paraId="40CE66ED" w14:textId="57A445F7" w:rsidR="001E078F" w:rsidRDefault="0068406B">
      <w:pPr>
        <w:sectPr w:rsidR="001E078F" w:rsidSect="004C6E6A">
          <w:headerReference w:type="even" r:id="rId11"/>
          <w:headerReference w:type="default" r:id="rId12"/>
          <w:footerReference w:type="default" r:id="rId13"/>
          <w:footerReference w:type="first" r:id="rId14"/>
          <w:pgSz w:w="11906" w:h="16838"/>
          <w:pgMar w:top="1418" w:right="1134" w:bottom="1134" w:left="1701" w:header="709" w:footer="709" w:gutter="0"/>
          <w:cols w:space="708"/>
          <w:titlePg/>
          <w:docGrid w:linePitch="360"/>
        </w:sectPr>
      </w:pPr>
      <w:hyperlink r:id="rId15" w:history="1">
        <w:r w:rsidR="00265120" w:rsidRPr="007849D3">
          <w:rPr>
            <w:rStyle w:val="Hyperlink"/>
            <w:sz w:val="20"/>
            <w:szCs w:val="20"/>
          </w:rPr>
          <w:t>Vizma.Leonova@atd.lv</w:t>
        </w:r>
      </w:hyperlink>
    </w:p>
    <w:tbl>
      <w:tblPr>
        <w:tblW w:w="14317" w:type="dxa"/>
        <w:tblInd w:w="108" w:type="dxa"/>
        <w:tblLayout w:type="fixed"/>
        <w:tblLook w:val="04A0" w:firstRow="1" w:lastRow="0" w:firstColumn="1" w:lastColumn="0" w:noHBand="0" w:noVBand="1"/>
      </w:tblPr>
      <w:tblGrid>
        <w:gridCol w:w="1985"/>
        <w:gridCol w:w="2268"/>
        <w:gridCol w:w="1843"/>
        <w:gridCol w:w="1417"/>
        <w:gridCol w:w="1176"/>
        <w:gridCol w:w="1234"/>
        <w:gridCol w:w="1134"/>
        <w:gridCol w:w="1134"/>
        <w:gridCol w:w="1034"/>
        <w:gridCol w:w="1092"/>
      </w:tblGrid>
      <w:tr w:rsidR="001E078F" w14:paraId="0E0F8A06" w14:textId="77777777" w:rsidTr="004970AC">
        <w:trPr>
          <w:trHeight w:val="600"/>
        </w:trPr>
        <w:tc>
          <w:tcPr>
            <w:tcW w:w="14317" w:type="dxa"/>
            <w:gridSpan w:val="10"/>
            <w:tcBorders>
              <w:top w:val="nil"/>
              <w:left w:val="nil"/>
              <w:bottom w:val="nil"/>
              <w:right w:val="nil"/>
            </w:tcBorders>
            <w:shd w:val="clear" w:color="auto" w:fill="auto"/>
            <w:vAlign w:val="bottom"/>
            <w:hideMark/>
          </w:tcPr>
          <w:p w14:paraId="300BC8E0" w14:textId="76318F85" w:rsidR="001E078F" w:rsidRPr="00B63299" w:rsidRDefault="001E078F" w:rsidP="00B63299">
            <w:pPr>
              <w:jc w:val="right"/>
              <w:rPr>
                <w:bCs/>
                <w:color w:val="000000"/>
                <w:sz w:val="20"/>
                <w:szCs w:val="20"/>
              </w:rPr>
            </w:pPr>
            <w:r w:rsidRPr="00B63299">
              <w:rPr>
                <w:bCs/>
                <w:color w:val="000000"/>
                <w:sz w:val="20"/>
                <w:szCs w:val="20"/>
              </w:rPr>
              <w:lastRenderedPageBreak/>
              <w:t>Anotācijas 1.pielikums</w:t>
            </w:r>
          </w:p>
          <w:p w14:paraId="4F260F78" w14:textId="77777777" w:rsidR="001E078F" w:rsidRDefault="001E078F">
            <w:pPr>
              <w:jc w:val="center"/>
              <w:rPr>
                <w:b/>
                <w:bCs/>
                <w:color w:val="000000"/>
                <w:sz w:val="22"/>
                <w:szCs w:val="22"/>
              </w:rPr>
            </w:pPr>
          </w:p>
          <w:p w14:paraId="3F67D97E" w14:textId="77777777" w:rsidR="001E078F" w:rsidRDefault="001E078F">
            <w:pPr>
              <w:jc w:val="center"/>
              <w:rPr>
                <w:b/>
                <w:bCs/>
                <w:color w:val="000000"/>
                <w:sz w:val="22"/>
                <w:szCs w:val="22"/>
              </w:rPr>
            </w:pPr>
            <w:r>
              <w:rPr>
                <w:b/>
                <w:bCs/>
                <w:color w:val="000000"/>
                <w:sz w:val="22"/>
                <w:szCs w:val="22"/>
              </w:rPr>
              <w:t xml:space="preserve">Ministru kabineta noteikumu projekta  „Kārtība, kādā nosaka un kompensē ar sabiedriskā transporta pakalpojumu sniegšanu saistītos zaudējumus un izdevumus un nosaka sabiedriskā transporta pakalpojuma tarifu” Administratīvo izmaksu monetārs novērtējums </w:t>
            </w:r>
          </w:p>
        </w:tc>
      </w:tr>
      <w:tr w:rsidR="001E078F" w14:paraId="53B30703" w14:textId="77777777" w:rsidTr="004970AC">
        <w:trPr>
          <w:trHeight w:val="300"/>
        </w:trPr>
        <w:tc>
          <w:tcPr>
            <w:tcW w:w="1985" w:type="dxa"/>
            <w:tcBorders>
              <w:top w:val="nil"/>
              <w:left w:val="nil"/>
              <w:bottom w:val="nil"/>
              <w:right w:val="nil"/>
            </w:tcBorders>
            <w:shd w:val="clear" w:color="auto" w:fill="auto"/>
            <w:noWrap/>
            <w:vAlign w:val="bottom"/>
            <w:hideMark/>
          </w:tcPr>
          <w:p w14:paraId="052EB417" w14:textId="77777777" w:rsidR="001E078F" w:rsidRDefault="001E078F">
            <w:pPr>
              <w:jc w:val="center"/>
              <w:rPr>
                <w:b/>
                <w:bCs/>
                <w:color w:val="000000"/>
                <w:sz w:val="22"/>
                <w:szCs w:val="22"/>
              </w:rPr>
            </w:pPr>
          </w:p>
        </w:tc>
        <w:tc>
          <w:tcPr>
            <w:tcW w:w="2268" w:type="dxa"/>
            <w:tcBorders>
              <w:top w:val="nil"/>
              <w:left w:val="nil"/>
              <w:bottom w:val="nil"/>
              <w:right w:val="nil"/>
            </w:tcBorders>
            <w:shd w:val="clear" w:color="auto" w:fill="auto"/>
            <w:noWrap/>
            <w:vAlign w:val="bottom"/>
            <w:hideMark/>
          </w:tcPr>
          <w:p w14:paraId="6BBF9AC3" w14:textId="77777777" w:rsidR="001E078F" w:rsidRDefault="001E078F">
            <w:pPr>
              <w:rPr>
                <w:sz w:val="20"/>
                <w:szCs w:val="20"/>
              </w:rPr>
            </w:pPr>
          </w:p>
        </w:tc>
        <w:tc>
          <w:tcPr>
            <w:tcW w:w="1843" w:type="dxa"/>
            <w:tcBorders>
              <w:top w:val="nil"/>
              <w:left w:val="nil"/>
              <w:bottom w:val="nil"/>
              <w:right w:val="nil"/>
            </w:tcBorders>
            <w:shd w:val="clear" w:color="auto" w:fill="auto"/>
            <w:noWrap/>
            <w:vAlign w:val="bottom"/>
            <w:hideMark/>
          </w:tcPr>
          <w:p w14:paraId="30A124D3" w14:textId="77777777" w:rsidR="001E078F" w:rsidRDefault="001E078F">
            <w:pPr>
              <w:rPr>
                <w:sz w:val="20"/>
                <w:szCs w:val="20"/>
              </w:rPr>
            </w:pPr>
          </w:p>
        </w:tc>
        <w:tc>
          <w:tcPr>
            <w:tcW w:w="1417" w:type="dxa"/>
            <w:tcBorders>
              <w:top w:val="nil"/>
              <w:left w:val="nil"/>
              <w:bottom w:val="nil"/>
              <w:right w:val="nil"/>
            </w:tcBorders>
            <w:shd w:val="clear" w:color="auto" w:fill="auto"/>
            <w:noWrap/>
            <w:vAlign w:val="bottom"/>
            <w:hideMark/>
          </w:tcPr>
          <w:p w14:paraId="310E8167" w14:textId="77777777" w:rsidR="001E078F" w:rsidRDefault="001E078F">
            <w:pPr>
              <w:rPr>
                <w:sz w:val="20"/>
                <w:szCs w:val="20"/>
              </w:rPr>
            </w:pPr>
          </w:p>
        </w:tc>
        <w:tc>
          <w:tcPr>
            <w:tcW w:w="1176" w:type="dxa"/>
            <w:tcBorders>
              <w:top w:val="nil"/>
              <w:left w:val="nil"/>
              <w:bottom w:val="nil"/>
              <w:right w:val="nil"/>
            </w:tcBorders>
            <w:shd w:val="clear" w:color="auto" w:fill="auto"/>
            <w:noWrap/>
            <w:vAlign w:val="bottom"/>
            <w:hideMark/>
          </w:tcPr>
          <w:p w14:paraId="14872297" w14:textId="77777777" w:rsidR="001E078F" w:rsidRDefault="001E078F">
            <w:pPr>
              <w:rPr>
                <w:sz w:val="20"/>
                <w:szCs w:val="20"/>
              </w:rPr>
            </w:pPr>
          </w:p>
        </w:tc>
        <w:tc>
          <w:tcPr>
            <w:tcW w:w="1234" w:type="dxa"/>
            <w:tcBorders>
              <w:top w:val="nil"/>
              <w:left w:val="nil"/>
              <w:bottom w:val="nil"/>
              <w:right w:val="nil"/>
            </w:tcBorders>
            <w:shd w:val="clear" w:color="auto" w:fill="auto"/>
            <w:noWrap/>
            <w:vAlign w:val="bottom"/>
            <w:hideMark/>
          </w:tcPr>
          <w:p w14:paraId="1F46A9FD" w14:textId="77777777" w:rsidR="001E078F" w:rsidRDefault="001E078F">
            <w:pPr>
              <w:rPr>
                <w:sz w:val="20"/>
                <w:szCs w:val="20"/>
              </w:rPr>
            </w:pPr>
          </w:p>
        </w:tc>
        <w:tc>
          <w:tcPr>
            <w:tcW w:w="1134" w:type="dxa"/>
            <w:tcBorders>
              <w:top w:val="nil"/>
              <w:left w:val="nil"/>
              <w:bottom w:val="nil"/>
              <w:right w:val="nil"/>
            </w:tcBorders>
            <w:shd w:val="clear" w:color="auto" w:fill="auto"/>
            <w:noWrap/>
            <w:vAlign w:val="bottom"/>
            <w:hideMark/>
          </w:tcPr>
          <w:p w14:paraId="74F40C0C" w14:textId="77777777" w:rsidR="001E078F" w:rsidRDefault="001E078F">
            <w:pPr>
              <w:rPr>
                <w:sz w:val="20"/>
                <w:szCs w:val="20"/>
              </w:rPr>
            </w:pPr>
          </w:p>
        </w:tc>
        <w:tc>
          <w:tcPr>
            <w:tcW w:w="1134" w:type="dxa"/>
            <w:tcBorders>
              <w:top w:val="nil"/>
              <w:left w:val="nil"/>
              <w:bottom w:val="nil"/>
              <w:right w:val="nil"/>
            </w:tcBorders>
            <w:shd w:val="clear" w:color="auto" w:fill="auto"/>
            <w:noWrap/>
            <w:vAlign w:val="bottom"/>
            <w:hideMark/>
          </w:tcPr>
          <w:p w14:paraId="517F30F4" w14:textId="77777777" w:rsidR="001E078F" w:rsidRDefault="001E078F">
            <w:pPr>
              <w:rPr>
                <w:sz w:val="20"/>
                <w:szCs w:val="20"/>
              </w:rPr>
            </w:pPr>
          </w:p>
        </w:tc>
        <w:tc>
          <w:tcPr>
            <w:tcW w:w="1034" w:type="dxa"/>
            <w:tcBorders>
              <w:top w:val="nil"/>
              <w:left w:val="nil"/>
              <w:bottom w:val="nil"/>
              <w:right w:val="nil"/>
            </w:tcBorders>
            <w:shd w:val="clear" w:color="auto" w:fill="auto"/>
            <w:noWrap/>
            <w:vAlign w:val="bottom"/>
            <w:hideMark/>
          </w:tcPr>
          <w:p w14:paraId="1785DF94" w14:textId="77777777" w:rsidR="001E078F" w:rsidRDefault="001E078F">
            <w:pPr>
              <w:rPr>
                <w:sz w:val="20"/>
                <w:szCs w:val="20"/>
              </w:rPr>
            </w:pPr>
          </w:p>
        </w:tc>
        <w:tc>
          <w:tcPr>
            <w:tcW w:w="1092" w:type="dxa"/>
            <w:tcBorders>
              <w:top w:val="nil"/>
              <w:left w:val="nil"/>
              <w:bottom w:val="nil"/>
              <w:right w:val="nil"/>
            </w:tcBorders>
            <w:shd w:val="clear" w:color="auto" w:fill="auto"/>
            <w:noWrap/>
            <w:vAlign w:val="bottom"/>
            <w:hideMark/>
          </w:tcPr>
          <w:p w14:paraId="05DEE991" w14:textId="77777777" w:rsidR="001E078F" w:rsidRDefault="001E078F">
            <w:pPr>
              <w:rPr>
                <w:sz w:val="20"/>
                <w:szCs w:val="20"/>
              </w:rPr>
            </w:pPr>
          </w:p>
        </w:tc>
      </w:tr>
      <w:tr w:rsidR="001E078F" w14:paraId="526B3F3C" w14:textId="77777777" w:rsidTr="004970AC">
        <w:trPr>
          <w:trHeight w:val="9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0E5CB" w14:textId="77777777" w:rsidR="001E078F" w:rsidRDefault="001E078F">
            <w:pPr>
              <w:jc w:val="center"/>
              <w:rPr>
                <w:color w:val="000000"/>
                <w:sz w:val="16"/>
                <w:szCs w:val="16"/>
              </w:rPr>
            </w:pPr>
            <w:r>
              <w:rPr>
                <w:color w:val="000000"/>
                <w:sz w:val="16"/>
                <w:szCs w:val="16"/>
              </w:rPr>
              <w:t xml:space="preserve">Informācija par pārskatiem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71C5F36" w14:textId="77777777" w:rsidR="001E078F" w:rsidRDefault="001E078F">
            <w:pPr>
              <w:jc w:val="center"/>
              <w:rPr>
                <w:color w:val="000000"/>
                <w:sz w:val="16"/>
                <w:szCs w:val="16"/>
              </w:rPr>
            </w:pPr>
            <w:r>
              <w:rPr>
                <w:color w:val="000000"/>
                <w:sz w:val="16"/>
                <w:szCs w:val="16"/>
              </w:rPr>
              <w:t>Pārskatu iesniegšanas biežums (termiņš)</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67D5283" w14:textId="77777777" w:rsidR="001E078F" w:rsidRDefault="001E078F">
            <w:pPr>
              <w:jc w:val="center"/>
              <w:rPr>
                <w:color w:val="000000"/>
                <w:sz w:val="16"/>
                <w:szCs w:val="16"/>
              </w:rPr>
            </w:pPr>
            <w:r>
              <w:rPr>
                <w:color w:val="000000"/>
                <w:sz w:val="16"/>
                <w:szCs w:val="16"/>
              </w:rPr>
              <w:t>Respondenti</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0D358C2" w14:textId="77777777" w:rsidR="001E078F" w:rsidRDefault="001E078F">
            <w:pPr>
              <w:jc w:val="center"/>
              <w:rPr>
                <w:color w:val="000000"/>
                <w:sz w:val="16"/>
                <w:szCs w:val="16"/>
              </w:rPr>
            </w:pPr>
            <w:r>
              <w:rPr>
                <w:color w:val="000000"/>
                <w:sz w:val="16"/>
                <w:szCs w:val="16"/>
              </w:rPr>
              <w:t>Respondentu skaits</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7700FD43" w14:textId="77777777" w:rsidR="001E078F" w:rsidRDefault="001E078F">
            <w:pPr>
              <w:jc w:val="center"/>
              <w:rPr>
                <w:color w:val="000000"/>
                <w:sz w:val="16"/>
                <w:szCs w:val="16"/>
              </w:rPr>
            </w:pPr>
            <w:r>
              <w:rPr>
                <w:color w:val="000000"/>
                <w:sz w:val="16"/>
                <w:szCs w:val="16"/>
              </w:rPr>
              <w:t>Autotransporta direkcijas darbinieku skaits</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7C00FE07" w14:textId="77777777" w:rsidR="001E078F" w:rsidRDefault="001E078F">
            <w:pPr>
              <w:jc w:val="center"/>
              <w:rPr>
                <w:color w:val="000000"/>
                <w:sz w:val="16"/>
                <w:szCs w:val="16"/>
              </w:rPr>
            </w:pPr>
            <w:r>
              <w:rPr>
                <w:color w:val="000000"/>
                <w:sz w:val="16"/>
                <w:szCs w:val="16"/>
              </w:rPr>
              <w:t>Vidējās darba spēka izmaksas EUR/h</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1E5B23" w14:textId="77777777" w:rsidR="001E078F" w:rsidRDefault="001E078F">
            <w:pPr>
              <w:jc w:val="center"/>
              <w:rPr>
                <w:color w:val="000000"/>
                <w:sz w:val="16"/>
                <w:szCs w:val="16"/>
              </w:rPr>
            </w:pPr>
            <w:r>
              <w:rPr>
                <w:color w:val="000000"/>
                <w:sz w:val="16"/>
                <w:szCs w:val="16"/>
              </w:rPr>
              <w:t>Patērētais laiks pārskata apstrādei (min)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09B2CA7" w14:textId="77777777" w:rsidR="001E078F" w:rsidRDefault="001E078F">
            <w:pPr>
              <w:jc w:val="center"/>
              <w:rPr>
                <w:color w:val="000000"/>
                <w:sz w:val="16"/>
                <w:szCs w:val="16"/>
              </w:rPr>
            </w:pPr>
            <w:r>
              <w:rPr>
                <w:color w:val="000000"/>
                <w:sz w:val="16"/>
                <w:szCs w:val="16"/>
              </w:rPr>
              <w:t>Patērētais laiks pārskata apstrādei (h)</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14:paraId="7C0CBB76" w14:textId="77777777" w:rsidR="001E078F" w:rsidRDefault="001E078F">
            <w:pPr>
              <w:jc w:val="center"/>
              <w:rPr>
                <w:color w:val="000000"/>
                <w:sz w:val="16"/>
                <w:szCs w:val="16"/>
              </w:rPr>
            </w:pPr>
            <w:r>
              <w:rPr>
                <w:color w:val="000000"/>
                <w:sz w:val="16"/>
                <w:szCs w:val="16"/>
              </w:rPr>
              <w:t>Pārskatu apkopošanas biežums</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14:paraId="0F8091EF" w14:textId="77777777" w:rsidR="001E078F" w:rsidRDefault="001E078F">
            <w:pPr>
              <w:jc w:val="center"/>
              <w:rPr>
                <w:color w:val="000000"/>
                <w:sz w:val="16"/>
                <w:szCs w:val="16"/>
              </w:rPr>
            </w:pPr>
            <w:proofErr w:type="spellStart"/>
            <w:r>
              <w:rPr>
                <w:color w:val="000000"/>
                <w:sz w:val="16"/>
                <w:szCs w:val="16"/>
              </w:rPr>
              <w:t>C=(f</w:t>
            </w:r>
            <w:proofErr w:type="spellEnd"/>
            <w:r>
              <w:rPr>
                <w:color w:val="000000"/>
                <w:sz w:val="16"/>
                <w:szCs w:val="16"/>
              </w:rPr>
              <w:t xml:space="preserve"> x l) x (n x b)</w:t>
            </w:r>
          </w:p>
        </w:tc>
      </w:tr>
      <w:tr w:rsidR="001E078F" w14:paraId="316F554A" w14:textId="77777777" w:rsidTr="004970AC">
        <w:trPr>
          <w:trHeight w:val="18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765D096" w14:textId="77777777" w:rsidR="001E078F" w:rsidRDefault="001E078F">
            <w:pPr>
              <w:rPr>
                <w:sz w:val="20"/>
                <w:szCs w:val="20"/>
              </w:rPr>
            </w:pPr>
            <w:r>
              <w:rPr>
                <w:sz w:val="20"/>
                <w:szCs w:val="20"/>
              </w:rPr>
              <w:t>Pārskats par sabiedriskā transporta pakalpojumu peļņu vai zaudējumiem</w:t>
            </w:r>
          </w:p>
        </w:tc>
        <w:tc>
          <w:tcPr>
            <w:tcW w:w="2268" w:type="dxa"/>
            <w:tcBorders>
              <w:top w:val="nil"/>
              <w:left w:val="nil"/>
              <w:bottom w:val="single" w:sz="4" w:space="0" w:color="auto"/>
              <w:right w:val="single" w:sz="4" w:space="0" w:color="auto"/>
            </w:tcBorders>
            <w:shd w:val="clear" w:color="auto" w:fill="auto"/>
            <w:vAlign w:val="center"/>
            <w:hideMark/>
          </w:tcPr>
          <w:p w14:paraId="18000AFF" w14:textId="77777777" w:rsidR="001E078F" w:rsidRDefault="001E078F">
            <w:pPr>
              <w:jc w:val="center"/>
              <w:rPr>
                <w:sz w:val="20"/>
                <w:szCs w:val="20"/>
              </w:rPr>
            </w:pPr>
            <w:r>
              <w:rPr>
                <w:sz w:val="20"/>
                <w:szCs w:val="20"/>
              </w:rPr>
              <w:t>Katru mēnesi, 27 dienu laikā pēc pārskata perioda beigām un 1 reizi gadā (gada pārskats)  līdz 25 martam</w:t>
            </w:r>
          </w:p>
        </w:tc>
        <w:tc>
          <w:tcPr>
            <w:tcW w:w="1843" w:type="dxa"/>
            <w:tcBorders>
              <w:top w:val="nil"/>
              <w:left w:val="nil"/>
              <w:bottom w:val="single" w:sz="4" w:space="0" w:color="auto"/>
              <w:right w:val="single" w:sz="4" w:space="0" w:color="auto"/>
            </w:tcBorders>
            <w:shd w:val="clear" w:color="auto" w:fill="auto"/>
            <w:vAlign w:val="center"/>
            <w:hideMark/>
          </w:tcPr>
          <w:p w14:paraId="54B29FE5" w14:textId="77777777" w:rsidR="001E078F" w:rsidRDefault="001E078F">
            <w:pPr>
              <w:rPr>
                <w:sz w:val="20"/>
                <w:szCs w:val="20"/>
              </w:rPr>
            </w:pPr>
            <w:r>
              <w:rPr>
                <w:sz w:val="20"/>
                <w:szCs w:val="20"/>
              </w:rPr>
              <w:t>Pārvadātāji ar kuriem ir noslēgti līgumi par pasažieru pārvadājumiem reģionālajā starppilsētu un reģionālajā vietējā maršrutu tīklā</w:t>
            </w:r>
          </w:p>
        </w:tc>
        <w:tc>
          <w:tcPr>
            <w:tcW w:w="1417" w:type="dxa"/>
            <w:tcBorders>
              <w:top w:val="nil"/>
              <w:left w:val="nil"/>
              <w:bottom w:val="single" w:sz="4" w:space="0" w:color="auto"/>
              <w:right w:val="single" w:sz="4" w:space="0" w:color="auto"/>
            </w:tcBorders>
            <w:shd w:val="clear" w:color="auto" w:fill="auto"/>
            <w:vAlign w:val="center"/>
            <w:hideMark/>
          </w:tcPr>
          <w:p w14:paraId="63ACE410" w14:textId="77777777" w:rsidR="001E078F" w:rsidRDefault="001E078F">
            <w:pPr>
              <w:rPr>
                <w:sz w:val="20"/>
                <w:szCs w:val="20"/>
              </w:rPr>
            </w:pPr>
            <w:r>
              <w:rPr>
                <w:sz w:val="20"/>
                <w:szCs w:val="20"/>
              </w:rPr>
              <w:t xml:space="preserve">~45 pārvadātāji, no kuriem saņemts ~ 75 pārskats </w:t>
            </w:r>
          </w:p>
        </w:tc>
        <w:tc>
          <w:tcPr>
            <w:tcW w:w="1176" w:type="dxa"/>
            <w:tcBorders>
              <w:top w:val="nil"/>
              <w:left w:val="nil"/>
              <w:bottom w:val="single" w:sz="4" w:space="0" w:color="auto"/>
              <w:right w:val="single" w:sz="4" w:space="0" w:color="auto"/>
            </w:tcBorders>
            <w:shd w:val="clear" w:color="auto" w:fill="auto"/>
            <w:noWrap/>
            <w:vAlign w:val="center"/>
            <w:hideMark/>
          </w:tcPr>
          <w:p w14:paraId="7AB62BC6" w14:textId="77777777" w:rsidR="001E078F" w:rsidRDefault="001E078F">
            <w:pPr>
              <w:jc w:val="center"/>
              <w:rPr>
                <w:color w:val="000000"/>
                <w:sz w:val="22"/>
                <w:szCs w:val="22"/>
              </w:rPr>
            </w:pPr>
            <w:r>
              <w:rPr>
                <w:color w:val="000000"/>
                <w:sz w:val="22"/>
                <w:szCs w:val="22"/>
              </w:rPr>
              <w:t>2</w:t>
            </w:r>
          </w:p>
        </w:tc>
        <w:tc>
          <w:tcPr>
            <w:tcW w:w="1234" w:type="dxa"/>
            <w:tcBorders>
              <w:top w:val="nil"/>
              <w:left w:val="nil"/>
              <w:bottom w:val="single" w:sz="4" w:space="0" w:color="auto"/>
              <w:right w:val="single" w:sz="4" w:space="0" w:color="auto"/>
            </w:tcBorders>
            <w:shd w:val="clear" w:color="auto" w:fill="auto"/>
            <w:noWrap/>
            <w:vAlign w:val="center"/>
            <w:hideMark/>
          </w:tcPr>
          <w:p w14:paraId="39BA55B3" w14:textId="77777777" w:rsidR="001E078F" w:rsidRDefault="001E078F">
            <w:pPr>
              <w:jc w:val="center"/>
              <w:rPr>
                <w:color w:val="000000"/>
                <w:sz w:val="22"/>
                <w:szCs w:val="22"/>
              </w:rPr>
            </w:pPr>
            <w:r>
              <w:rPr>
                <w:color w:val="000000"/>
                <w:sz w:val="22"/>
                <w:szCs w:val="22"/>
              </w:rPr>
              <w:t>7.458</w:t>
            </w:r>
          </w:p>
        </w:tc>
        <w:tc>
          <w:tcPr>
            <w:tcW w:w="1134" w:type="dxa"/>
            <w:tcBorders>
              <w:top w:val="nil"/>
              <w:left w:val="nil"/>
              <w:bottom w:val="single" w:sz="4" w:space="0" w:color="auto"/>
              <w:right w:val="single" w:sz="4" w:space="0" w:color="auto"/>
            </w:tcBorders>
            <w:shd w:val="clear" w:color="auto" w:fill="auto"/>
            <w:noWrap/>
            <w:vAlign w:val="center"/>
            <w:hideMark/>
          </w:tcPr>
          <w:p w14:paraId="3C7676CA" w14:textId="77777777" w:rsidR="001E078F" w:rsidRDefault="001E078F">
            <w:pPr>
              <w:jc w:val="center"/>
              <w:rPr>
                <w:color w:val="000000"/>
                <w:sz w:val="22"/>
                <w:szCs w:val="22"/>
              </w:rPr>
            </w:pPr>
            <w:r>
              <w:rPr>
                <w:color w:val="000000"/>
                <w:sz w:val="22"/>
                <w:szCs w:val="22"/>
              </w:rPr>
              <w:t>10</w:t>
            </w:r>
          </w:p>
        </w:tc>
        <w:tc>
          <w:tcPr>
            <w:tcW w:w="1134" w:type="dxa"/>
            <w:tcBorders>
              <w:top w:val="nil"/>
              <w:left w:val="nil"/>
              <w:bottom w:val="single" w:sz="4" w:space="0" w:color="auto"/>
              <w:right w:val="single" w:sz="4" w:space="0" w:color="auto"/>
            </w:tcBorders>
            <w:shd w:val="clear" w:color="auto" w:fill="auto"/>
            <w:noWrap/>
            <w:vAlign w:val="center"/>
            <w:hideMark/>
          </w:tcPr>
          <w:p w14:paraId="27B7F728" w14:textId="77777777" w:rsidR="001E078F" w:rsidRDefault="001E078F">
            <w:pPr>
              <w:jc w:val="center"/>
              <w:rPr>
                <w:color w:val="000000"/>
                <w:sz w:val="22"/>
                <w:szCs w:val="22"/>
              </w:rPr>
            </w:pPr>
            <w:r>
              <w:rPr>
                <w:color w:val="000000"/>
                <w:sz w:val="22"/>
                <w:szCs w:val="22"/>
              </w:rPr>
              <w:t>0.17</w:t>
            </w:r>
          </w:p>
        </w:tc>
        <w:tc>
          <w:tcPr>
            <w:tcW w:w="1034" w:type="dxa"/>
            <w:tcBorders>
              <w:top w:val="nil"/>
              <w:left w:val="nil"/>
              <w:bottom w:val="single" w:sz="4" w:space="0" w:color="auto"/>
              <w:right w:val="single" w:sz="4" w:space="0" w:color="auto"/>
            </w:tcBorders>
            <w:shd w:val="clear" w:color="auto" w:fill="auto"/>
            <w:noWrap/>
            <w:vAlign w:val="center"/>
            <w:hideMark/>
          </w:tcPr>
          <w:p w14:paraId="57916FDA" w14:textId="77777777" w:rsidR="001E078F" w:rsidRDefault="001E078F">
            <w:pPr>
              <w:jc w:val="center"/>
              <w:rPr>
                <w:color w:val="000000"/>
                <w:sz w:val="22"/>
                <w:szCs w:val="22"/>
              </w:rPr>
            </w:pPr>
            <w:r>
              <w:rPr>
                <w:color w:val="000000"/>
                <w:sz w:val="22"/>
                <w:szCs w:val="22"/>
              </w:rPr>
              <w:t>14</w:t>
            </w:r>
          </w:p>
        </w:tc>
        <w:tc>
          <w:tcPr>
            <w:tcW w:w="1092" w:type="dxa"/>
            <w:tcBorders>
              <w:top w:val="nil"/>
              <w:left w:val="nil"/>
              <w:bottom w:val="single" w:sz="4" w:space="0" w:color="auto"/>
              <w:right w:val="single" w:sz="4" w:space="0" w:color="auto"/>
            </w:tcBorders>
            <w:shd w:val="clear" w:color="auto" w:fill="auto"/>
            <w:noWrap/>
            <w:vAlign w:val="center"/>
            <w:hideMark/>
          </w:tcPr>
          <w:p w14:paraId="017CF27D" w14:textId="77777777" w:rsidR="001E078F" w:rsidRDefault="001E078F">
            <w:pPr>
              <w:jc w:val="center"/>
              <w:rPr>
                <w:color w:val="000000"/>
                <w:sz w:val="22"/>
                <w:szCs w:val="22"/>
              </w:rPr>
            </w:pPr>
            <w:r>
              <w:rPr>
                <w:color w:val="000000"/>
                <w:sz w:val="22"/>
                <w:szCs w:val="22"/>
              </w:rPr>
              <w:t>2 610.42</w:t>
            </w:r>
          </w:p>
        </w:tc>
      </w:tr>
      <w:tr w:rsidR="001E078F" w14:paraId="6EBB075D" w14:textId="77777777" w:rsidTr="004970AC">
        <w:trPr>
          <w:trHeight w:val="16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727D459" w14:textId="77777777" w:rsidR="001E078F" w:rsidRDefault="001E078F">
            <w:pPr>
              <w:rPr>
                <w:sz w:val="20"/>
                <w:szCs w:val="20"/>
              </w:rPr>
            </w:pPr>
            <w:r>
              <w:rPr>
                <w:sz w:val="20"/>
                <w:szCs w:val="20"/>
              </w:rPr>
              <w:t>Informācija par pasažieru pārvadāšanu un braukšanas maksas atvieglojumiem</w:t>
            </w:r>
          </w:p>
        </w:tc>
        <w:tc>
          <w:tcPr>
            <w:tcW w:w="2268" w:type="dxa"/>
            <w:tcBorders>
              <w:top w:val="nil"/>
              <w:left w:val="nil"/>
              <w:bottom w:val="single" w:sz="4" w:space="0" w:color="auto"/>
              <w:right w:val="single" w:sz="4" w:space="0" w:color="auto"/>
            </w:tcBorders>
            <w:shd w:val="clear" w:color="auto" w:fill="auto"/>
            <w:vAlign w:val="center"/>
            <w:hideMark/>
          </w:tcPr>
          <w:p w14:paraId="6E0A1EDA" w14:textId="77777777" w:rsidR="001E078F" w:rsidRDefault="001E078F">
            <w:pPr>
              <w:jc w:val="center"/>
              <w:rPr>
                <w:sz w:val="20"/>
                <w:szCs w:val="20"/>
              </w:rPr>
            </w:pPr>
            <w:r>
              <w:rPr>
                <w:sz w:val="20"/>
                <w:szCs w:val="20"/>
              </w:rPr>
              <w:t>Katru mēnesi, 10 dienu laikā pēc pārskata perioda beigām</w:t>
            </w:r>
          </w:p>
        </w:tc>
        <w:tc>
          <w:tcPr>
            <w:tcW w:w="1843" w:type="dxa"/>
            <w:tcBorders>
              <w:top w:val="nil"/>
              <w:left w:val="nil"/>
              <w:bottom w:val="single" w:sz="4" w:space="0" w:color="auto"/>
              <w:right w:val="single" w:sz="4" w:space="0" w:color="auto"/>
            </w:tcBorders>
            <w:shd w:val="clear" w:color="auto" w:fill="auto"/>
            <w:vAlign w:val="center"/>
            <w:hideMark/>
          </w:tcPr>
          <w:p w14:paraId="154E8274" w14:textId="77777777" w:rsidR="001E078F" w:rsidRDefault="001E078F">
            <w:pPr>
              <w:rPr>
                <w:sz w:val="20"/>
                <w:szCs w:val="20"/>
              </w:rPr>
            </w:pPr>
            <w:r>
              <w:rPr>
                <w:sz w:val="20"/>
                <w:szCs w:val="20"/>
              </w:rPr>
              <w:t>Pārvadātāji ar kuriem ir noslēgti līgumi par pasažieru pārvadājumiem reģionālajā starppilsētu un reģionālajā vietējā maršrutu tīklā</w:t>
            </w:r>
          </w:p>
        </w:tc>
        <w:tc>
          <w:tcPr>
            <w:tcW w:w="1417" w:type="dxa"/>
            <w:tcBorders>
              <w:top w:val="nil"/>
              <w:left w:val="nil"/>
              <w:bottom w:val="single" w:sz="4" w:space="0" w:color="auto"/>
              <w:right w:val="single" w:sz="4" w:space="0" w:color="auto"/>
            </w:tcBorders>
            <w:shd w:val="clear" w:color="auto" w:fill="auto"/>
            <w:vAlign w:val="center"/>
            <w:hideMark/>
          </w:tcPr>
          <w:p w14:paraId="7FEF5190" w14:textId="77777777" w:rsidR="001E078F" w:rsidRDefault="001E078F">
            <w:pPr>
              <w:rPr>
                <w:sz w:val="20"/>
                <w:szCs w:val="20"/>
              </w:rPr>
            </w:pPr>
            <w:r>
              <w:rPr>
                <w:sz w:val="20"/>
                <w:szCs w:val="20"/>
              </w:rPr>
              <w:t>~45 pārvadātāji, no kuriem saņemts ~ 71 pārskats</w:t>
            </w:r>
          </w:p>
        </w:tc>
        <w:tc>
          <w:tcPr>
            <w:tcW w:w="1176" w:type="dxa"/>
            <w:tcBorders>
              <w:top w:val="nil"/>
              <w:left w:val="nil"/>
              <w:bottom w:val="single" w:sz="4" w:space="0" w:color="auto"/>
              <w:right w:val="single" w:sz="4" w:space="0" w:color="auto"/>
            </w:tcBorders>
            <w:shd w:val="clear" w:color="auto" w:fill="auto"/>
            <w:noWrap/>
            <w:vAlign w:val="center"/>
            <w:hideMark/>
          </w:tcPr>
          <w:p w14:paraId="1B18EEB6" w14:textId="77777777" w:rsidR="001E078F" w:rsidRDefault="001E078F">
            <w:pPr>
              <w:jc w:val="center"/>
              <w:rPr>
                <w:color w:val="000000"/>
                <w:sz w:val="22"/>
                <w:szCs w:val="22"/>
              </w:rPr>
            </w:pPr>
            <w:r>
              <w:rPr>
                <w:color w:val="000000"/>
                <w:sz w:val="22"/>
                <w:szCs w:val="22"/>
              </w:rPr>
              <w:t>2</w:t>
            </w:r>
          </w:p>
        </w:tc>
        <w:tc>
          <w:tcPr>
            <w:tcW w:w="1234" w:type="dxa"/>
            <w:tcBorders>
              <w:top w:val="nil"/>
              <w:left w:val="nil"/>
              <w:bottom w:val="single" w:sz="4" w:space="0" w:color="auto"/>
              <w:right w:val="single" w:sz="4" w:space="0" w:color="auto"/>
            </w:tcBorders>
            <w:shd w:val="clear" w:color="auto" w:fill="auto"/>
            <w:noWrap/>
            <w:vAlign w:val="center"/>
            <w:hideMark/>
          </w:tcPr>
          <w:p w14:paraId="268A7716" w14:textId="77777777" w:rsidR="001E078F" w:rsidRDefault="001E078F">
            <w:pPr>
              <w:jc w:val="center"/>
              <w:rPr>
                <w:color w:val="000000"/>
                <w:sz w:val="22"/>
                <w:szCs w:val="22"/>
              </w:rPr>
            </w:pPr>
            <w:r>
              <w:rPr>
                <w:color w:val="000000"/>
                <w:sz w:val="22"/>
                <w:szCs w:val="22"/>
              </w:rPr>
              <w:t>7.458</w:t>
            </w:r>
          </w:p>
        </w:tc>
        <w:tc>
          <w:tcPr>
            <w:tcW w:w="1134" w:type="dxa"/>
            <w:tcBorders>
              <w:top w:val="nil"/>
              <w:left w:val="nil"/>
              <w:bottom w:val="single" w:sz="4" w:space="0" w:color="auto"/>
              <w:right w:val="single" w:sz="4" w:space="0" w:color="auto"/>
            </w:tcBorders>
            <w:shd w:val="clear" w:color="auto" w:fill="auto"/>
            <w:noWrap/>
            <w:vAlign w:val="center"/>
            <w:hideMark/>
          </w:tcPr>
          <w:p w14:paraId="29075EF6" w14:textId="77777777" w:rsidR="001E078F" w:rsidRDefault="001E078F">
            <w:pPr>
              <w:jc w:val="center"/>
              <w:rPr>
                <w:color w:val="000000"/>
                <w:sz w:val="22"/>
                <w:szCs w:val="22"/>
              </w:rPr>
            </w:pPr>
            <w:r>
              <w:rPr>
                <w:color w:val="000000"/>
                <w:sz w:val="22"/>
                <w:szCs w:val="22"/>
              </w:rPr>
              <w:t>5</w:t>
            </w:r>
          </w:p>
        </w:tc>
        <w:tc>
          <w:tcPr>
            <w:tcW w:w="1134" w:type="dxa"/>
            <w:tcBorders>
              <w:top w:val="nil"/>
              <w:left w:val="nil"/>
              <w:bottom w:val="single" w:sz="4" w:space="0" w:color="auto"/>
              <w:right w:val="single" w:sz="4" w:space="0" w:color="auto"/>
            </w:tcBorders>
            <w:shd w:val="clear" w:color="auto" w:fill="auto"/>
            <w:noWrap/>
            <w:vAlign w:val="center"/>
            <w:hideMark/>
          </w:tcPr>
          <w:p w14:paraId="1AD2C049" w14:textId="77777777" w:rsidR="001E078F" w:rsidRDefault="001E078F">
            <w:pPr>
              <w:jc w:val="center"/>
              <w:rPr>
                <w:color w:val="000000"/>
                <w:sz w:val="22"/>
                <w:szCs w:val="22"/>
              </w:rPr>
            </w:pPr>
            <w:r>
              <w:rPr>
                <w:color w:val="000000"/>
                <w:sz w:val="22"/>
                <w:szCs w:val="22"/>
              </w:rPr>
              <w:t>0.08</w:t>
            </w:r>
          </w:p>
        </w:tc>
        <w:tc>
          <w:tcPr>
            <w:tcW w:w="1034" w:type="dxa"/>
            <w:tcBorders>
              <w:top w:val="nil"/>
              <w:left w:val="nil"/>
              <w:bottom w:val="single" w:sz="4" w:space="0" w:color="auto"/>
              <w:right w:val="single" w:sz="4" w:space="0" w:color="auto"/>
            </w:tcBorders>
            <w:shd w:val="clear" w:color="auto" w:fill="auto"/>
            <w:noWrap/>
            <w:vAlign w:val="center"/>
            <w:hideMark/>
          </w:tcPr>
          <w:p w14:paraId="22277DD9" w14:textId="77777777" w:rsidR="001E078F" w:rsidRDefault="001E078F">
            <w:pPr>
              <w:jc w:val="center"/>
              <w:rPr>
                <w:color w:val="000000"/>
                <w:sz w:val="22"/>
                <w:szCs w:val="22"/>
              </w:rPr>
            </w:pPr>
            <w:r>
              <w:rPr>
                <w:color w:val="000000"/>
                <w:sz w:val="22"/>
                <w:szCs w:val="22"/>
              </w:rPr>
              <w:t>12</w:t>
            </w:r>
          </w:p>
        </w:tc>
        <w:tc>
          <w:tcPr>
            <w:tcW w:w="1092" w:type="dxa"/>
            <w:tcBorders>
              <w:top w:val="nil"/>
              <w:left w:val="nil"/>
              <w:bottom w:val="single" w:sz="4" w:space="0" w:color="auto"/>
              <w:right w:val="single" w:sz="4" w:space="0" w:color="auto"/>
            </w:tcBorders>
            <w:shd w:val="clear" w:color="auto" w:fill="auto"/>
            <w:noWrap/>
            <w:vAlign w:val="center"/>
            <w:hideMark/>
          </w:tcPr>
          <w:p w14:paraId="6013B2B1" w14:textId="77777777" w:rsidR="001E078F" w:rsidRDefault="001E078F">
            <w:pPr>
              <w:jc w:val="center"/>
              <w:rPr>
                <w:color w:val="000000"/>
                <w:sz w:val="22"/>
                <w:szCs w:val="22"/>
              </w:rPr>
            </w:pPr>
            <w:r>
              <w:rPr>
                <w:color w:val="000000"/>
                <w:sz w:val="22"/>
                <w:szCs w:val="22"/>
              </w:rPr>
              <w:t>1 059.08</w:t>
            </w:r>
          </w:p>
        </w:tc>
      </w:tr>
      <w:tr w:rsidR="001E078F" w14:paraId="4D9271FE" w14:textId="77777777" w:rsidTr="004970AC">
        <w:trPr>
          <w:trHeight w:val="1395"/>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8167D8A" w14:textId="77777777" w:rsidR="001E078F" w:rsidRDefault="001E078F">
            <w:pPr>
              <w:rPr>
                <w:sz w:val="20"/>
                <w:szCs w:val="20"/>
              </w:rPr>
            </w:pPr>
            <w:r>
              <w:rPr>
                <w:sz w:val="20"/>
                <w:szCs w:val="20"/>
              </w:rPr>
              <w:t>Prognozēto izmaksu un tarifa (braukšanas maksas) aprēķins</w:t>
            </w:r>
          </w:p>
        </w:tc>
        <w:tc>
          <w:tcPr>
            <w:tcW w:w="2268" w:type="dxa"/>
            <w:tcBorders>
              <w:top w:val="nil"/>
              <w:left w:val="nil"/>
              <w:bottom w:val="single" w:sz="4" w:space="0" w:color="auto"/>
              <w:right w:val="single" w:sz="4" w:space="0" w:color="auto"/>
            </w:tcBorders>
            <w:shd w:val="clear" w:color="auto" w:fill="auto"/>
            <w:vAlign w:val="center"/>
            <w:hideMark/>
          </w:tcPr>
          <w:p w14:paraId="31DAC943" w14:textId="77777777" w:rsidR="001E078F" w:rsidRDefault="001E078F">
            <w:pPr>
              <w:jc w:val="center"/>
              <w:rPr>
                <w:sz w:val="20"/>
                <w:szCs w:val="20"/>
              </w:rPr>
            </w:pPr>
            <w:r>
              <w:rPr>
                <w:sz w:val="20"/>
                <w:szCs w:val="20"/>
              </w:rPr>
              <w:t>Pēc pieprasījuma, prognozējot pārvadātāju zaudējumu apmēru nākamajam gadam.</w:t>
            </w:r>
          </w:p>
        </w:tc>
        <w:tc>
          <w:tcPr>
            <w:tcW w:w="1843" w:type="dxa"/>
            <w:tcBorders>
              <w:top w:val="nil"/>
              <w:left w:val="nil"/>
              <w:bottom w:val="single" w:sz="4" w:space="0" w:color="auto"/>
              <w:right w:val="single" w:sz="4" w:space="0" w:color="auto"/>
            </w:tcBorders>
            <w:shd w:val="clear" w:color="auto" w:fill="auto"/>
            <w:vAlign w:val="center"/>
            <w:hideMark/>
          </w:tcPr>
          <w:p w14:paraId="3167D6AC" w14:textId="77777777" w:rsidR="001E078F" w:rsidRDefault="001E078F">
            <w:pPr>
              <w:rPr>
                <w:sz w:val="20"/>
                <w:szCs w:val="20"/>
              </w:rPr>
            </w:pPr>
            <w:r>
              <w:rPr>
                <w:sz w:val="20"/>
                <w:szCs w:val="20"/>
              </w:rPr>
              <w:t>Pārvadātāji ar kuriem ir noslēgti līgumi par pasažieru pārvadājumiem reģionālajā starppilsētu un reģionālajā vietējā maršrutu tīklā, republikas pilsētas</w:t>
            </w:r>
          </w:p>
        </w:tc>
        <w:tc>
          <w:tcPr>
            <w:tcW w:w="1417" w:type="dxa"/>
            <w:tcBorders>
              <w:top w:val="nil"/>
              <w:left w:val="nil"/>
              <w:bottom w:val="single" w:sz="4" w:space="0" w:color="auto"/>
              <w:right w:val="single" w:sz="4" w:space="0" w:color="auto"/>
            </w:tcBorders>
            <w:shd w:val="clear" w:color="auto" w:fill="auto"/>
            <w:vAlign w:val="center"/>
            <w:hideMark/>
          </w:tcPr>
          <w:p w14:paraId="77A35B53" w14:textId="77777777" w:rsidR="001E078F" w:rsidRDefault="001E078F">
            <w:pPr>
              <w:rPr>
                <w:sz w:val="20"/>
                <w:szCs w:val="20"/>
              </w:rPr>
            </w:pPr>
            <w:r>
              <w:rPr>
                <w:sz w:val="20"/>
                <w:szCs w:val="20"/>
              </w:rPr>
              <w:t>~45 pārvadātāji, 9 republikas pilsētas</w:t>
            </w:r>
          </w:p>
        </w:tc>
        <w:tc>
          <w:tcPr>
            <w:tcW w:w="1176" w:type="dxa"/>
            <w:tcBorders>
              <w:top w:val="nil"/>
              <w:left w:val="nil"/>
              <w:bottom w:val="single" w:sz="4" w:space="0" w:color="auto"/>
              <w:right w:val="single" w:sz="4" w:space="0" w:color="auto"/>
            </w:tcBorders>
            <w:shd w:val="clear" w:color="auto" w:fill="auto"/>
            <w:noWrap/>
            <w:vAlign w:val="center"/>
            <w:hideMark/>
          </w:tcPr>
          <w:p w14:paraId="50F36CFF" w14:textId="77777777" w:rsidR="001E078F" w:rsidRDefault="001E078F">
            <w:pPr>
              <w:jc w:val="center"/>
              <w:rPr>
                <w:color w:val="000000"/>
                <w:sz w:val="22"/>
                <w:szCs w:val="22"/>
              </w:rPr>
            </w:pPr>
            <w:r>
              <w:rPr>
                <w:color w:val="000000"/>
                <w:sz w:val="22"/>
                <w:szCs w:val="22"/>
              </w:rPr>
              <w:t>2</w:t>
            </w:r>
          </w:p>
        </w:tc>
        <w:tc>
          <w:tcPr>
            <w:tcW w:w="1234" w:type="dxa"/>
            <w:tcBorders>
              <w:top w:val="nil"/>
              <w:left w:val="nil"/>
              <w:bottom w:val="single" w:sz="4" w:space="0" w:color="auto"/>
              <w:right w:val="single" w:sz="4" w:space="0" w:color="auto"/>
            </w:tcBorders>
            <w:shd w:val="clear" w:color="auto" w:fill="auto"/>
            <w:noWrap/>
            <w:vAlign w:val="center"/>
            <w:hideMark/>
          </w:tcPr>
          <w:p w14:paraId="25A95791" w14:textId="77777777" w:rsidR="001E078F" w:rsidRDefault="001E078F">
            <w:pPr>
              <w:jc w:val="center"/>
              <w:rPr>
                <w:color w:val="000000"/>
                <w:sz w:val="22"/>
                <w:szCs w:val="22"/>
              </w:rPr>
            </w:pPr>
            <w:r>
              <w:rPr>
                <w:color w:val="000000"/>
                <w:sz w:val="22"/>
                <w:szCs w:val="22"/>
              </w:rPr>
              <w:t>7.458</w:t>
            </w:r>
          </w:p>
        </w:tc>
        <w:tc>
          <w:tcPr>
            <w:tcW w:w="1134" w:type="dxa"/>
            <w:tcBorders>
              <w:top w:val="nil"/>
              <w:left w:val="nil"/>
              <w:bottom w:val="single" w:sz="4" w:space="0" w:color="auto"/>
              <w:right w:val="single" w:sz="4" w:space="0" w:color="auto"/>
            </w:tcBorders>
            <w:shd w:val="clear" w:color="auto" w:fill="auto"/>
            <w:noWrap/>
            <w:vAlign w:val="center"/>
            <w:hideMark/>
          </w:tcPr>
          <w:p w14:paraId="6C9122D9" w14:textId="77777777" w:rsidR="001E078F" w:rsidRDefault="001E078F">
            <w:pPr>
              <w:jc w:val="center"/>
              <w:rPr>
                <w:color w:val="000000"/>
                <w:sz w:val="22"/>
                <w:szCs w:val="22"/>
              </w:rPr>
            </w:pPr>
            <w:r>
              <w:rPr>
                <w:color w:val="000000"/>
                <w:sz w:val="22"/>
                <w:szCs w:val="22"/>
              </w:rPr>
              <w:t>15</w:t>
            </w:r>
          </w:p>
        </w:tc>
        <w:tc>
          <w:tcPr>
            <w:tcW w:w="1134" w:type="dxa"/>
            <w:tcBorders>
              <w:top w:val="nil"/>
              <w:left w:val="nil"/>
              <w:bottom w:val="single" w:sz="4" w:space="0" w:color="auto"/>
              <w:right w:val="single" w:sz="4" w:space="0" w:color="auto"/>
            </w:tcBorders>
            <w:shd w:val="clear" w:color="auto" w:fill="auto"/>
            <w:noWrap/>
            <w:vAlign w:val="center"/>
            <w:hideMark/>
          </w:tcPr>
          <w:p w14:paraId="16F2E27C" w14:textId="77777777" w:rsidR="001E078F" w:rsidRDefault="001E078F">
            <w:pPr>
              <w:jc w:val="center"/>
              <w:rPr>
                <w:color w:val="000000"/>
                <w:sz w:val="22"/>
                <w:szCs w:val="22"/>
              </w:rPr>
            </w:pPr>
            <w:r>
              <w:rPr>
                <w:color w:val="000000"/>
                <w:sz w:val="22"/>
                <w:szCs w:val="22"/>
              </w:rPr>
              <w:t>0.25</w:t>
            </w:r>
          </w:p>
        </w:tc>
        <w:tc>
          <w:tcPr>
            <w:tcW w:w="1034" w:type="dxa"/>
            <w:tcBorders>
              <w:top w:val="nil"/>
              <w:left w:val="nil"/>
              <w:bottom w:val="single" w:sz="4" w:space="0" w:color="auto"/>
              <w:right w:val="single" w:sz="4" w:space="0" w:color="auto"/>
            </w:tcBorders>
            <w:shd w:val="clear" w:color="auto" w:fill="auto"/>
            <w:noWrap/>
            <w:vAlign w:val="center"/>
            <w:hideMark/>
          </w:tcPr>
          <w:p w14:paraId="7EE76810" w14:textId="77777777" w:rsidR="001E078F" w:rsidRDefault="001E078F">
            <w:pPr>
              <w:jc w:val="center"/>
              <w:rPr>
                <w:color w:val="000000"/>
                <w:sz w:val="22"/>
                <w:szCs w:val="22"/>
              </w:rPr>
            </w:pPr>
            <w:r>
              <w:rPr>
                <w:color w:val="000000"/>
                <w:sz w:val="22"/>
                <w:szCs w:val="22"/>
              </w:rPr>
              <w:t>2</w:t>
            </w:r>
          </w:p>
        </w:tc>
        <w:tc>
          <w:tcPr>
            <w:tcW w:w="1092" w:type="dxa"/>
            <w:tcBorders>
              <w:top w:val="nil"/>
              <w:left w:val="nil"/>
              <w:bottom w:val="single" w:sz="4" w:space="0" w:color="auto"/>
              <w:right w:val="single" w:sz="4" w:space="0" w:color="auto"/>
            </w:tcBorders>
            <w:shd w:val="clear" w:color="auto" w:fill="auto"/>
            <w:noWrap/>
            <w:vAlign w:val="center"/>
            <w:hideMark/>
          </w:tcPr>
          <w:p w14:paraId="0E9036C9" w14:textId="77777777" w:rsidR="001E078F" w:rsidRDefault="001E078F">
            <w:pPr>
              <w:jc w:val="center"/>
              <w:rPr>
                <w:color w:val="000000"/>
                <w:sz w:val="22"/>
                <w:szCs w:val="22"/>
              </w:rPr>
            </w:pPr>
            <w:r>
              <w:rPr>
                <w:color w:val="000000"/>
                <w:sz w:val="22"/>
                <w:szCs w:val="22"/>
              </w:rPr>
              <w:t>626.50</w:t>
            </w:r>
          </w:p>
        </w:tc>
      </w:tr>
      <w:tr w:rsidR="001E078F" w14:paraId="0093ED0E" w14:textId="77777777" w:rsidTr="004970AC">
        <w:trPr>
          <w:trHeight w:val="153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62C073A" w14:textId="77777777" w:rsidR="001E078F" w:rsidRDefault="001E078F">
            <w:pPr>
              <w:rPr>
                <w:sz w:val="20"/>
                <w:szCs w:val="20"/>
              </w:rPr>
            </w:pPr>
            <w:r>
              <w:rPr>
                <w:sz w:val="20"/>
                <w:szCs w:val="20"/>
              </w:rPr>
              <w:lastRenderedPageBreak/>
              <w:t>Informācija par zaudējumiem maršrutos, kuriem vairāk nekā 30 % no kopējā maršruta garuma ir ārpus pilsētas administratīvās teritorijas</w:t>
            </w:r>
          </w:p>
        </w:tc>
        <w:tc>
          <w:tcPr>
            <w:tcW w:w="2268" w:type="dxa"/>
            <w:tcBorders>
              <w:top w:val="nil"/>
              <w:left w:val="nil"/>
              <w:bottom w:val="single" w:sz="4" w:space="0" w:color="auto"/>
              <w:right w:val="single" w:sz="4" w:space="0" w:color="auto"/>
            </w:tcBorders>
            <w:shd w:val="clear" w:color="auto" w:fill="auto"/>
            <w:vAlign w:val="center"/>
            <w:hideMark/>
          </w:tcPr>
          <w:p w14:paraId="621DE966" w14:textId="77777777" w:rsidR="001E078F" w:rsidRDefault="001E078F">
            <w:pPr>
              <w:jc w:val="center"/>
              <w:rPr>
                <w:sz w:val="20"/>
                <w:szCs w:val="20"/>
              </w:rPr>
            </w:pPr>
            <w:r>
              <w:rPr>
                <w:sz w:val="20"/>
                <w:szCs w:val="20"/>
              </w:rPr>
              <w:t xml:space="preserve">10 dienu laikā pēc pārskata saņemšanas no pārvadātāja (reizi mēnesī) </w:t>
            </w:r>
          </w:p>
        </w:tc>
        <w:tc>
          <w:tcPr>
            <w:tcW w:w="1843" w:type="dxa"/>
            <w:tcBorders>
              <w:top w:val="nil"/>
              <w:left w:val="nil"/>
              <w:bottom w:val="single" w:sz="4" w:space="0" w:color="auto"/>
              <w:right w:val="single" w:sz="4" w:space="0" w:color="auto"/>
            </w:tcBorders>
            <w:shd w:val="clear" w:color="auto" w:fill="auto"/>
            <w:vAlign w:val="center"/>
            <w:hideMark/>
          </w:tcPr>
          <w:p w14:paraId="308FEA23" w14:textId="77777777" w:rsidR="001E078F" w:rsidRDefault="001E078F">
            <w:pPr>
              <w:rPr>
                <w:sz w:val="20"/>
                <w:szCs w:val="20"/>
              </w:rPr>
            </w:pPr>
            <w:r>
              <w:rPr>
                <w:sz w:val="20"/>
                <w:szCs w:val="20"/>
              </w:rPr>
              <w:t>Republikas pilsētas pašvaldība</w:t>
            </w:r>
          </w:p>
        </w:tc>
        <w:tc>
          <w:tcPr>
            <w:tcW w:w="1417" w:type="dxa"/>
            <w:tcBorders>
              <w:top w:val="nil"/>
              <w:left w:val="nil"/>
              <w:bottom w:val="single" w:sz="4" w:space="0" w:color="auto"/>
              <w:right w:val="single" w:sz="4" w:space="0" w:color="auto"/>
            </w:tcBorders>
            <w:shd w:val="clear" w:color="auto" w:fill="auto"/>
            <w:vAlign w:val="center"/>
            <w:hideMark/>
          </w:tcPr>
          <w:p w14:paraId="1C1612C4" w14:textId="77777777" w:rsidR="001E078F" w:rsidRDefault="001E078F">
            <w:pPr>
              <w:rPr>
                <w:sz w:val="20"/>
                <w:szCs w:val="20"/>
              </w:rPr>
            </w:pPr>
            <w:r>
              <w:rPr>
                <w:sz w:val="20"/>
                <w:szCs w:val="20"/>
              </w:rPr>
              <w:t>9 republikas pilsētas; 9 pārvadātāji, kas sniedz pakalpojumus republikas pilsētās</w:t>
            </w:r>
          </w:p>
        </w:tc>
        <w:tc>
          <w:tcPr>
            <w:tcW w:w="1176" w:type="dxa"/>
            <w:tcBorders>
              <w:top w:val="nil"/>
              <w:left w:val="nil"/>
              <w:bottom w:val="single" w:sz="4" w:space="0" w:color="auto"/>
              <w:right w:val="single" w:sz="4" w:space="0" w:color="auto"/>
            </w:tcBorders>
            <w:shd w:val="clear" w:color="auto" w:fill="auto"/>
            <w:noWrap/>
            <w:vAlign w:val="center"/>
            <w:hideMark/>
          </w:tcPr>
          <w:p w14:paraId="15DA98B6" w14:textId="77777777" w:rsidR="001E078F" w:rsidRDefault="001E078F">
            <w:pPr>
              <w:jc w:val="center"/>
              <w:rPr>
                <w:sz w:val="22"/>
                <w:szCs w:val="22"/>
              </w:rPr>
            </w:pPr>
            <w:r>
              <w:rPr>
                <w:sz w:val="22"/>
                <w:szCs w:val="22"/>
              </w:rPr>
              <w:t>1</w:t>
            </w:r>
          </w:p>
        </w:tc>
        <w:tc>
          <w:tcPr>
            <w:tcW w:w="1234" w:type="dxa"/>
            <w:tcBorders>
              <w:top w:val="nil"/>
              <w:left w:val="nil"/>
              <w:bottom w:val="single" w:sz="4" w:space="0" w:color="auto"/>
              <w:right w:val="single" w:sz="4" w:space="0" w:color="auto"/>
            </w:tcBorders>
            <w:shd w:val="clear" w:color="auto" w:fill="auto"/>
            <w:noWrap/>
            <w:vAlign w:val="center"/>
            <w:hideMark/>
          </w:tcPr>
          <w:p w14:paraId="7E2137BC" w14:textId="77777777" w:rsidR="001E078F" w:rsidRDefault="001E078F">
            <w:pPr>
              <w:jc w:val="center"/>
              <w:rPr>
                <w:color w:val="000000"/>
                <w:sz w:val="22"/>
                <w:szCs w:val="22"/>
              </w:rPr>
            </w:pPr>
            <w:r>
              <w:rPr>
                <w:color w:val="000000"/>
                <w:sz w:val="22"/>
                <w:szCs w:val="22"/>
              </w:rPr>
              <w:t>7.458</w:t>
            </w:r>
          </w:p>
        </w:tc>
        <w:tc>
          <w:tcPr>
            <w:tcW w:w="1134" w:type="dxa"/>
            <w:tcBorders>
              <w:top w:val="nil"/>
              <w:left w:val="nil"/>
              <w:bottom w:val="single" w:sz="4" w:space="0" w:color="auto"/>
              <w:right w:val="single" w:sz="4" w:space="0" w:color="auto"/>
            </w:tcBorders>
            <w:shd w:val="clear" w:color="auto" w:fill="auto"/>
            <w:noWrap/>
            <w:vAlign w:val="center"/>
            <w:hideMark/>
          </w:tcPr>
          <w:p w14:paraId="5B641B49" w14:textId="77777777" w:rsidR="001E078F" w:rsidRDefault="001E078F">
            <w:pPr>
              <w:jc w:val="center"/>
              <w:rPr>
                <w:color w:val="000000"/>
                <w:sz w:val="22"/>
                <w:szCs w:val="22"/>
              </w:rPr>
            </w:pPr>
            <w:r>
              <w:rPr>
                <w:color w:val="000000"/>
                <w:sz w:val="22"/>
                <w:szCs w:val="22"/>
              </w:rPr>
              <w:t>10</w:t>
            </w:r>
          </w:p>
        </w:tc>
        <w:tc>
          <w:tcPr>
            <w:tcW w:w="1134" w:type="dxa"/>
            <w:tcBorders>
              <w:top w:val="nil"/>
              <w:left w:val="nil"/>
              <w:bottom w:val="single" w:sz="4" w:space="0" w:color="auto"/>
              <w:right w:val="single" w:sz="4" w:space="0" w:color="auto"/>
            </w:tcBorders>
            <w:shd w:val="clear" w:color="auto" w:fill="auto"/>
            <w:noWrap/>
            <w:vAlign w:val="center"/>
            <w:hideMark/>
          </w:tcPr>
          <w:p w14:paraId="2A77A041" w14:textId="77777777" w:rsidR="001E078F" w:rsidRDefault="001E078F">
            <w:pPr>
              <w:jc w:val="center"/>
              <w:rPr>
                <w:color w:val="000000"/>
                <w:sz w:val="22"/>
                <w:szCs w:val="22"/>
              </w:rPr>
            </w:pPr>
            <w:r>
              <w:rPr>
                <w:color w:val="000000"/>
                <w:sz w:val="22"/>
                <w:szCs w:val="22"/>
              </w:rPr>
              <w:t>0.17</w:t>
            </w:r>
          </w:p>
        </w:tc>
        <w:tc>
          <w:tcPr>
            <w:tcW w:w="1034" w:type="dxa"/>
            <w:tcBorders>
              <w:top w:val="nil"/>
              <w:left w:val="nil"/>
              <w:bottom w:val="single" w:sz="4" w:space="0" w:color="auto"/>
              <w:right w:val="single" w:sz="4" w:space="0" w:color="auto"/>
            </w:tcBorders>
            <w:shd w:val="clear" w:color="auto" w:fill="auto"/>
            <w:noWrap/>
            <w:vAlign w:val="center"/>
            <w:hideMark/>
          </w:tcPr>
          <w:p w14:paraId="4A4BA432" w14:textId="77777777" w:rsidR="001E078F" w:rsidRDefault="001E078F">
            <w:pPr>
              <w:jc w:val="center"/>
              <w:rPr>
                <w:color w:val="000000"/>
                <w:sz w:val="22"/>
                <w:szCs w:val="22"/>
              </w:rPr>
            </w:pPr>
            <w:r>
              <w:rPr>
                <w:color w:val="000000"/>
                <w:sz w:val="22"/>
                <w:szCs w:val="22"/>
              </w:rPr>
              <w:t>12</w:t>
            </w:r>
          </w:p>
        </w:tc>
        <w:tc>
          <w:tcPr>
            <w:tcW w:w="1092" w:type="dxa"/>
            <w:tcBorders>
              <w:top w:val="nil"/>
              <w:left w:val="nil"/>
              <w:bottom w:val="single" w:sz="4" w:space="0" w:color="auto"/>
              <w:right w:val="single" w:sz="4" w:space="0" w:color="auto"/>
            </w:tcBorders>
            <w:shd w:val="clear" w:color="auto" w:fill="auto"/>
            <w:noWrap/>
            <w:vAlign w:val="center"/>
            <w:hideMark/>
          </w:tcPr>
          <w:p w14:paraId="52E6F00C" w14:textId="77777777" w:rsidR="001E078F" w:rsidRDefault="001E078F">
            <w:pPr>
              <w:jc w:val="center"/>
              <w:rPr>
                <w:color w:val="000000"/>
                <w:sz w:val="22"/>
                <w:szCs w:val="22"/>
              </w:rPr>
            </w:pPr>
            <w:r>
              <w:rPr>
                <w:color w:val="000000"/>
                <w:sz w:val="22"/>
                <w:szCs w:val="22"/>
              </w:rPr>
              <w:t>134.25</w:t>
            </w:r>
          </w:p>
        </w:tc>
      </w:tr>
      <w:tr w:rsidR="001E078F" w14:paraId="4550DA8E" w14:textId="77777777" w:rsidTr="004970AC">
        <w:trPr>
          <w:trHeight w:val="2145"/>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5F9ECC1" w14:textId="77777777" w:rsidR="001E078F" w:rsidRDefault="001E078F">
            <w:pPr>
              <w:rPr>
                <w:sz w:val="20"/>
                <w:szCs w:val="20"/>
              </w:rPr>
            </w:pPr>
            <w:r>
              <w:rPr>
                <w:sz w:val="20"/>
                <w:szCs w:val="20"/>
              </w:rPr>
              <w:t>Pārskats par sabiedriskā transporta pakalpojumu peļņu vai zaudējumiem</w:t>
            </w:r>
          </w:p>
        </w:tc>
        <w:tc>
          <w:tcPr>
            <w:tcW w:w="2268" w:type="dxa"/>
            <w:tcBorders>
              <w:top w:val="nil"/>
              <w:left w:val="nil"/>
              <w:bottom w:val="single" w:sz="4" w:space="0" w:color="auto"/>
              <w:right w:val="single" w:sz="4" w:space="0" w:color="auto"/>
            </w:tcBorders>
            <w:shd w:val="clear" w:color="auto" w:fill="auto"/>
            <w:vAlign w:val="center"/>
            <w:hideMark/>
          </w:tcPr>
          <w:p w14:paraId="1FFC8A93" w14:textId="77777777" w:rsidR="001E078F" w:rsidRDefault="001E078F">
            <w:pPr>
              <w:jc w:val="center"/>
              <w:rPr>
                <w:sz w:val="20"/>
                <w:szCs w:val="20"/>
              </w:rPr>
            </w:pPr>
            <w:r>
              <w:rPr>
                <w:sz w:val="20"/>
                <w:szCs w:val="20"/>
              </w:rPr>
              <w:t xml:space="preserve">10 dienu laikā pēc pārskatu saņemšanas no pārvadātāja (reizi mēnesī) </w:t>
            </w:r>
          </w:p>
        </w:tc>
        <w:tc>
          <w:tcPr>
            <w:tcW w:w="1843" w:type="dxa"/>
            <w:tcBorders>
              <w:top w:val="nil"/>
              <w:left w:val="nil"/>
              <w:bottom w:val="single" w:sz="4" w:space="0" w:color="auto"/>
              <w:right w:val="single" w:sz="4" w:space="0" w:color="auto"/>
            </w:tcBorders>
            <w:shd w:val="clear" w:color="auto" w:fill="auto"/>
            <w:vAlign w:val="center"/>
            <w:hideMark/>
          </w:tcPr>
          <w:p w14:paraId="365CDBE8" w14:textId="77777777" w:rsidR="001E078F" w:rsidRDefault="001E078F">
            <w:pPr>
              <w:rPr>
                <w:sz w:val="20"/>
                <w:szCs w:val="20"/>
              </w:rPr>
            </w:pPr>
            <w:r>
              <w:rPr>
                <w:sz w:val="20"/>
                <w:szCs w:val="20"/>
              </w:rPr>
              <w:t>Republikas pilsētas pašvaldība</w:t>
            </w:r>
          </w:p>
        </w:tc>
        <w:tc>
          <w:tcPr>
            <w:tcW w:w="1417" w:type="dxa"/>
            <w:tcBorders>
              <w:top w:val="nil"/>
              <w:left w:val="nil"/>
              <w:bottom w:val="single" w:sz="4" w:space="0" w:color="auto"/>
              <w:right w:val="single" w:sz="4" w:space="0" w:color="auto"/>
            </w:tcBorders>
            <w:shd w:val="clear" w:color="auto" w:fill="auto"/>
            <w:vAlign w:val="center"/>
            <w:hideMark/>
          </w:tcPr>
          <w:p w14:paraId="236D1718" w14:textId="77777777" w:rsidR="001E078F" w:rsidRDefault="001E078F">
            <w:pPr>
              <w:rPr>
                <w:sz w:val="20"/>
                <w:szCs w:val="20"/>
              </w:rPr>
            </w:pPr>
            <w:r>
              <w:rPr>
                <w:sz w:val="20"/>
                <w:szCs w:val="20"/>
              </w:rPr>
              <w:t>9 republikas pilsētas; 9 pārvadātāji, kas sniedz pakalpojumus republikas pilsētās</w:t>
            </w:r>
          </w:p>
        </w:tc>
        <w:tc>
          <w:tcPr>
            <w:tcW w:w="1176" w:type="dxa"/>
            <w:tcBorders>
              <w:top w:val="nil"/>
              <w:left w:val="nil"/>
              <w:bottom w:val="single" w:sz="4" w:space="0" w:color="auto"/>
              <w:right w:val="single" w:sz="4" w:space="0" w:color="auto"/>
            </w:tcBorders>
            <w:shd w:val="clear" w:color="auto" w:fill="auto"/>
            <w:noWrap/>
            <w:vAlign w:val="center"/>
            <w:hideMark/>
          </w:tcPr>
          <w:p w14:paraId="2B1BB5F5" w14:textId="77777777" w:rsidR="001E078F" w:rsidRDefault="001E078F">
            <w:pPr>
              <w:jc w:val="center"/>
              <w:rPr>
                <w:sz w:val="22"/>
                <w:szCs w:val="22"/>
              </w:rPr>
            </w:pPr>
            <w:r>
              <w:rPr>
                <w:sz w:val="22"/>
                <w:szCs w:val="22"/>
              </w:rPr>
              <w:t>1</w:t>
            </w:r>
          </w:p>
        </w:tc>
        <w:tc>
          <w:tcPr>
            <w:tcW w:w="1234" w:type="dxa"/>
            <w:tcBorders>
              <w:top w:val="nil"/>
              <w:left w:val="nil"/>
              <w:bottom w:val="single" w:sz="4" w:space="0" w:color="auto"/>
              <w:right w:val="single" w:sz="4" w:space="0" w:color="auto"/>
            </w:tcBorders>
            <w:shd w:val="clear" w:color="auto" w:fill="auto"/>
            <w:noWrap/>
            <w:vAlign w:val="center"/>
            <w:hideMark/>
          </w:tcPr>
          <w:p w14:paraId="6120415B" w14:textId="77777777" w:rsidR="001E078F" w:rsidRDefault="001E078F">
            <w:pPr>
              <w:jc w:val="center"/>
              <w:rPr>
                <w:color w:val="000000"/>
                <w:sz w:val="22"/>
                <w:szCs w:val="22"/>
              </w:rPr>
            </w:pPr>
            <w:r>
              <w:rPr>
                <w:color w:val="000000"/>
                <w:sz w:val="22"/>
                <w:szCs w:val="22"/>
              </w:rPr>
              <w:t>7.458</w:t>
            </w:r>
          </w:p>
        </w:tc>
        <w:tc>
          <w:tcPr>
            <w:tcW w:w="1134" w:type="dxa"/>
            <w:tcBorders>
              <w:top w:val="nil"/>
              <w:left w:val="nil"/>
              <w:bottom w:val="single" w:sz="4" w:space="0" w:color="auto"/>
              <w:right w:val="single" w:sz="4" w:space="0" w:color="auto"/>
            </w:tcBorders>
            <w:shd w:val="clear" w:color="auto" w:fill="auto"/>
            <w:noWrap/>
            <w:vAlign w:val="center"/>
            <w:hideMark/>
          </w:tcPr>
          <w:p w14:paraId="2D783998" w14:textId="77777777" w:rsidR="001E078F" w:rsidRDefault="001E078F">
            <w:pPr>
              <w:jc w:val="center"/>
              <w:rPr>
                <w:color w:val="000000"/>
                <w:sz w:val="22"/>
                <w:szCs w:val="22"/>
              </w:rPr>
            </w:pPr>
            <w:r>
              <w:rPr>
                <w:color w:val="000000"/>
                <w:sz w:val="22"/>
                <w:szCs w:val="22"/>
              </w:rPr>
              <w:t>10</w:t>
            </w:r>
          </w:p>
        </w:tc>
        <w:tc>
          <w:tcPr>
            <w:tcW w:w="1134" w:type="dxa"/>
            <w:tcBorders>
              <w:top w:val="nil"/>
              <w:left w:val="nil"/>
              <w:bottom w:val="single" w:sz="4" w:space="0" w:color="auto"/>
              <w:right w:val="single" w:sz="4" w:space="0" w:color="auto"/>
            </w:tcBorders>
            <w:shd w:val="clear" w:color="auto" w:fill="auto"/>
            <w:noWrap/>
            <w:vAlign w:val="center"/>
            <w:hideMark/>
          </w:tcPr>
          <w:p w14:paraId="78464785" w14:textId="77777777" w:rsidR="001E078F" w:rsidRDefault="001E078F">
            <w:pPr>
              <w:jc w:val="center"/>
              <w:rPr>
                <w:color w:val="000000"/>
                <w:sz w:val="22"/>
                <w:szCs w:val="22"/>
              </w:rPr>
            </w:pPr>
            <w:r>
              <w:rPr>
                <w:color w:val="000000"/>
                <w:sz w:val="22"/>
                <w:szCs w:val="22"/>
              </w:rPr>
              <w:t>0.17</w:t>
            </w:r>
          </w:p>
        </w:tc>
        <w:tc>
          <w:tcPr>
            <w:tcW w:w="1034" w:type="dxa"/>
            <w:tcBorders>
              <w:top w:val="nil"/>
              <w:left w:val="nil"/>
              <w:bottom w:val="single" w:sz="4" w:space="0" w:color="auto"/>
              <w:right w:val="single" w:sz="4" w:space="0" w:color="auto"/>
            </w:tcBorders>
            <w:shd w:val="clear" w:color="auto" w:fill="auto"/>
            <w:noWrap/>
            <w:vAlign w:val="center"/>
            <w:hideMark/>
          </w:tcPr>
          <w:p w14:paraId="3B32A836" w14:textId="77777777" w:rsidR="001E078F" w:rsidRDefault="001E078F">
            <w:pPr>
              <w:jc w:val="center"/>
              <w:rPr>
                <w:color w:val="000000"/>
                <w:sz w:val="22"/>
                <w:szCs w:val="22"/>
              </w:rPr>
            </w:pPr>
            <w:r>
              <w:rPr>
                <w:color w:val="000000"/>
                <w:sz w:val="22"/>
                <w:szCs w:val="22"/>
              </w:rPr>
              <w:t>13</w:t>
            </w:r>
          </w:p>
        </w:tc>
        <w:tc>
          <w:tcPr>
            <w:tcW w:w="1092" w:type="dxa"/>
            <w:tcBorders>
              <w:top w:val="nil"/>
              <w:left w:val="nil"/>
              <w:bottom w:val="single" w:sz="4" w:space="0" w:color="auto"/>
              <w:right w:val="single" w:sz="4" w:space="0" w:color="auto"/>
            </w:tcBorders>
            <w:shd w:val="clear" w:color="auto" w:fill="auto"/>
            <w:noWrap/>
            <w:vAlign w:val="center"/>
            <w:hideMark/>
          </w:tcPr>
          <w:p w14:paraId="216BF2DD" w14:textId="77777777" w:rsidR="001E078F" w:rsidRDefault="001E078F">
            <w:pPr>
              <w:jc w:val="center"/>
              <w:rPr>
                <w:color w:val="000000"/>
                <w:sz w:val="22"/>
                <w:szCs w:val="22"/>
              </w:rPr>
            </w:pPr>
            <w:r>
              <w:rPr>
                <w:color w:val="000000"/>
                <w:sz w:val="22"/>
                <w:szCs w:val="22"/>
              </w:rPr>
              <w:t>145.44</w:t>
            </w:r>
          </w:p>
        </w:tc>
      </w:tr>
      <w:tr w:rsidR="001E078F" w14:paraId="7A7DBA09" w14:textId="77777777" w:rsidTr="004970AC">
        <w:trPr>
          <w:trHeight w:val="1725"/>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9DD645C" w14:textId="77777777" w:rsidR="001E078F" w:rsidRDefault="001E078F">
            <w:pPr>
              <w:rPr>
                <w:sz w:val="20"/>
                <w:szCs w:val="20"/>
              </w:rPr>
            </w:pPr>
            <w:r>
              <w:rPr>
                <w:sz w:val="20"/>
                <w:szCs w:val="20"/>
              </w:rPr>
              <w:t>Informācija par pasažieru pārvadāšanu un braukšanas maksas atvieglojumiem</w:t>
            </w:r>
          </w:p>
        </w:tc>
        <w:tc>
          <w:tcPr>
            <w:tcW w:w="2268" w:type="dxa"/>
            <w:tcBorders>
              <w:top w:val="nil"/>
              <w:left w:val="nil"/>
              <w:bottom w:val="single" w:sz="4" w:space="0" w:color="auto"/>
              <w:right w:val="single" w:sz="4" w:space="0" w:color="auto"/>
            </w:tcBorders>
            <w:shd w:val="clear" w:color="auto" w:fill="auto"/>
            <w:vAlign w:val="center"/>
            <w:hideMark/>
          </w:tcPr>
          <w:p w14:paraId="4D5FF10B" w14:textId="77777777" w:rsidR="001E078F" w:rsidRDefault="001E078F">
            <w:pPr>
              <w:jc w:val="center"/>
              <w:rPr>
                <w:sz w:val="20"/>
                <w:szCs w:val="20"/>
              </w:rPr>
            </w:pPr>
            <w:r>
              <w:rPr>
                <w:sz w:val="20"/>
                <w:szCs w:val="20"/>
              </w:rPr>
              <w:t xml:space="preserve">15 dienu laikā pēc pārskata perioda beigām no pārvadātāja (reizi mēnesī) </w:t>
            </w:r>
          </w:p>
        </w:tc>
        <w:tc>
          <w:tcPr>
            <w:tcW w:w="1843" w:type="dxa"/>
            <w:tcBorders>
              <w:top w:val="nil"/>
              <w:left w:val="nil"/>
              <w:bottom w:val="single" w:sz="4" w:space="0" w:color="auto"/>
              <w:right w:val="single" w:sz="4" w:space="0" w:color="auto"/>
            </w:tcBorders>
            <w:shd w:val="clear" w:color="auto" w:fill="auto"/>
            <w:vAlign w:val="center"/>
            <w:hideMark/>
          </w:tcPr>
          <w:p w14:paraId="74AF01BE" w14:textId="77777777" w:rsidR="001E078F" w:rsidRDefault="001E078F">
            <w:pPr>
              <w:rPr>
                <w:sz w:val="20"/>
                <w:szCs w:val="20"/>
              </w:rPr>
            </w:pPr>
            <w:r>
              <w:rPr>
                <w:sz w:val="20"/>
                <w:szCs w:val="20"/>
              </w:rPr>
              <w:t>Republikas pilsētas pašvaldība</w:t>
            </w:r>
          </w:p>
        </w:tc>
        <w:tc>
          <w:tcPr>
            <w:tcW w:w="1417" w:type="dxa"/>
            <w:tcBorders>
              <w:top w:val="nil"/>
              <w:left w:val="nil"/>
              <w:bottom w:val="single" w:sz="4" w:space="0" w:color="auto"/>
              <w:right w:val="single" w:sz="4" w:space="0" w:color="auto"/>
            </w:tcBorders>
            <w:shd w:val="clear" w:color="auto" w:fill="auto"/>
            <w:vAlign w:val="center"/>
            <w:hideMark/>
          </w:tcPr>
          <w:p w14:paraId="78E2D28D" w14:textId="77777777" w:rsidR="001E078F" w:rsidRDefault="001E078F">
            <w:pPr>
              <w:rPr>
                <w:sz w:val="20"/>
                <w:szCs w:val="20"/>
              </w:rPr>
            </w:pPr>
            <w:r>
              <w:rPr>
                <w:sz w:val="20"/>
                <w:szCs w:val="20"/>
              </w:rPr>
              <w:t>9 republikas pilsētas; 9 pārvadātāji, kas sniedz pakalpojumus republikas pilsētās</w:t>
            </w:r>
          </w:p>
        </w:tc>
        <w:tc>
          <w:tcPr>
            <w:tcW w:w="1176" w:type="dxa"/>
            <w:tcBorders>
              <w:top w:val="nil"/>
              <w:left w:val="nil"/>
              <w:bottom w:val="single" w:sz="4" w:space="0" w:color="auto"/>
              <w:right w:val="single" w:sz="4" w:space="0" w:color="auto"/>
            </w:tcBorders>
            <w:shd w:val="clear" w:color="auto" w:fill="auto"/>
            <w:noWrap/>
            <w:vAlign w:val="center"/>
            <w:hideMark/>
          </w:tcPr>
          <w:p w14:paraId="30B4673B" w14:textId="77777777" w:rsidR="001E078F" w:rsidRDefault="001E078F">
            <w:pPr>
              <w:jc w:val="center"/>
              <w:rPr>
                <w:sz w:val="22"/>
                <w:szCs w:val="22"/>
              </w:rPr>
            </w:pPr>
            <w:r>
              <w:rPr>
                <w:sz w:val="22"/>
                <w:szCs w:val="22"/>
              </w:rPr>
              <w:t>1</w:t>
            </w:r>
          </w:p>
        </w:tc>
        <w:tc>
          <w:tcPr>
            <w:tcW w:w="1234" w:type="dxa"/>
            <w:tcBorders>
              <w:top w:val="nil"/>
              <w:left w:val="nil"/>
              <w:bottom w:val="single" w:sz="4" w:space="0" w:color="auto"/>
              <w:right w:val="single" w:sz="4" w:space="0" w:color="auto"/>
            </w:tcBorders>
            <w:shd w:val="clear" w:color="auto" w:fill="auto"/>
            <w:noWrap/>
            <w:vAlign w:val="center"/>
            <w:hideMark/>
          </w:tcPr>
          <w:p w14:paraId="13E90D97" w14:textId="77777777" w:rsidR="001E078F" w:rsidRDefault="001E078F">
            <w:pPr>
              <w:jc w:val="center"/>
              <w:rPr>
                <w:color w:val="000000"/>
                <w:sz w:val="22"/>
                <w:szCs w:val="22"/>
              </w:rPr>
            </w:pPr>
            <w:r>
              <w:rPr>
                <w:color w:val="000000"/>
                <w:sz w:val="22"/>
                <w:szCs w:val="22"/>
              </w:rPr>
              <w:t>7.458</w:t>
            </w:r>
          </w:p>
        </w:tc>
        <w:tc>
          <w:tcPr>
            <w:tcW w:w="1134" w:type="dxa"/>
            <w:tcBorders>
              <w:top w:val="nil"/>
              <w:left w:val="nil"/>
              <w:bottom w:val="single" w:sz="4" w:space="0" w:color="auto"/>
              <w:right w:val="single" w:sz="4" w:space="0" w:color="auto"/>
            </w:tcBorders>
            <w:shd w:val="clear" w:color="auto" w:fill="auto"/>
            <w:noWrap/>
            <w:vAlign w:val="center"/>
            <w:hideMark/>
          </w:tcPr>
          <w:p w14:paraId="6EBB1472" w14:textId="77777777" w:rsidR="001E078F" w:rsidRDefault="001E078F">
            <w:pPr>
              <w:jc w:val="center"/>
              <w:rPr>
                <w:color w:val="000000"/>
                <w:sz w:val="22"/>
                <w:szCs w:val="22"/>
              </w:rPr>
            </w:pPr>
            <w:r>
              <w:rPr>
                <w:color w:val="000000"/>
                <w:sz w:val="22"/>
                <w:szCs w:val="22"/>
              </w:rPr>
              <w:t>5</w:t>
            </w:r>
          </w:p>
        </w:tc>
        <w:tc>
          <w:tcPr>
            <w:tcW w:w="1134" w:type="dxa"/>
            <w:tcBorders>
              <w:top w:val="nil"/>
              <w:left w:val="nil"/>
              <w:bottom w:val="single" w:sz="4" w:space="0" w:color="auto"/>
              <w:right w:val="single" w:sz="4" w:space="0" w:color="auto"/>
            </w:tcBorders>
            <w:shd w:val="clear" w:color="auto" w:fill="auto"/>
            <w:noWrap/>
            <w:vAlign w:val="center"/>
            <w:hideMark/>
          </w:tcPr>
          <w:p w14:paraId="1A0C5B44" w14:textId="77777777" w:rsidR="001E078F" w:rsidRDefault="001E078F">
            <w:pPr>
              <w:jc w:val="center"/>
              <w:rPr>
                <w:color w:val="000000"/>
                <w:sz w:val="22"/>
                <w:szCs w:val="22"/>
              </w:rPr>
            </w:pPr>
            <w:r>
              <w:rPr>
                <w:color w:val="000000"/>
                <w:sz w:val="22"/>
                <w:szCs w:val="22"/>
              </w:rPr>
              <w:t>0.08</w:t>
            </w:r>
          </w:p>
        </w:tc>
        <w:tc>
          <w:tcPr>
            <w:tcW w:w="1034" w:type="dxa"/>
            <w:tcBorders>
              <w:top w:val="nil"/>
              <w:left w:val="nil"/>
              <w:bottom w:val="single" w:sz="4" w:space="0" w:color="auto"/>
              <w:right w:val="single" w:sz="4" w:space="0" w:color="auto"/>
            </w:tcBorders>
            <w:shd w:val="clear" w:color="auto" w:fill="auto"/>
            <w:noWrap/>
            <w:vAlign w:val="center"/>
            <w:hideMark/>
          </w:tcPr>
          <w:p w14:paraId="6716114C" w14:textId="77777777" w:rsidR="001E078F" w:rsidRDefault="001E078F">
            <w:pPr>
              <w:jc w:val="center"/>
              <w:rPr>
                <w:color w:val="000000"/>
                <w:sz w:val="22"/>
                <w:szCs w:val="22"/>
              </w:rPr>
            </w:pPr>
            <w:r>
              <w:rPr>
                <w:color w:val="000000"/>
                <w:sz w:val="22"/>
                <w:szCs w:val="22"/>
              </w:rPr>
              <w:t>12</w:t>
            </w:r>
          </w:p>
        </w:tc>
        <w:tc>
          <w:tcPr>
            <w:tcW w:w="1092" w:type="dxa"/>
            <w:tcBorders>
              <w:top w:val="nil"/>
              <w:left w:val="nil"/>
              <w:bottom w:val="single" w:sz="4" w:space="0" w:color="auto"/>
              <w:right w:val="single" w:sz="4" w:space="0" w:color="auto"/>
            </w:tcBorders>
            <w:shd w:val="clear" w:color="auto" w:fill="auto"/>
            <w:noWrap/>
            <w:vAlign w:val="center"/>
            <w:hideMark/>
          </w:tcPr>
          <w:p w14:paraId="54A28965" w14:textId="77777777" w:rsidR="001E078F" w:rsidRDefault="001E078F">
            <w:pPr>
              <w:jc w:val="center"/>
              <w:rPr>
                <w:color w:val="000000"/>
                <w:sz w:val="22"/>
                <w:szCs w:val="22"/>
              </w:rPr>
            </w:pPr>
            <w:r>
              <w:rPr>
                <w:color w:val="000000"/>
                <w:sz w:val="22"/>
                <w:szCs w:val="22"/>
              </w:rPr>
              <w:t>67.13</w:t>
            </w:r>
          </w:p>
        </w:tc>
      </w:tr>
      <w:tr w:rsidR="001E078F" w14:paraId="51D4E461" w14:textId="77777777" w:rsidTr="004970AC">
        <w:trPr>
          <w:trHeight w:val="300"/>
        </w:trPr>
        <w:tc>
          <w:tcPr>
            <w:tcW w:w="1985" w:type="dxa"/>
            <w:tcBorders>
              <w:top w:val="nil"/>
              <w:left w:val="nil"/>
              <w:bottom w:val="nil"/>
              <w:right w:val="nil"/>
            </w:tcBorders>
            <w:shd w:val="clear" w:color="auto" w:fill="auto"/>
            <w:noWrap/>
            <w:vAlign w:val="bottom"/>
            <w:hideMark/>
          </w:tcPr>
          <w:p w14:paraId="4456DD03" w14:textId="77777777" w:rsidR="001E078F" w:rsidRDefault="001E078F">
            <w:pPr>
              <w:jc w:val="center"/>
              <w:rPr>
                <w:color w:val="000000"/>
                <w:sz w:val="22"/>
                <w:szCs w:val="22"/>
              </w:rPr>
            </w:pPr>
          </w:p>
        </w:tc>
        <w:tc>
          <w:tcPr>
            <w:tcW w:w="2268" w:type="dxa"/>
            <w:tcBorders>
              <w:top w:val="nil"/>
              <w:left w:val="nil"/>
              <w:bottom w:val="nil"/>
              <w:right w:val="nil"/>
            </w:tcBorders>
            <w:shd w:val="clear" w:color="auto" w:fill="auto"/>
            <w:noWrap/>
            <w:vAlign w:val="bottom"/>
            <w:hideMark/>
          </w:tcPr>
          <w:p w14:paraId="53698BBD" w14:textId="77777777" w:rsidR="001E078F" w:rsidRDefault="001E078F">
            <w:pPr>
              <w:rPr>
                <w:sz w:val="20"/>
                <w:szCs w:val="20"/>
              </w:rPr>
            </w:pPr>
          </w:p>
        </w:tc>
        <w:tc>
          <w:tcPr>
            <w:tcW w:w="1843" w:type="dxa"/>
            <w:tcBorders>
              <w:top w:val="nil"/>
              <w:left w:val="nil"/>
              <w:bottom w:val="nil"/>
              <w:right w:val="nil"/>
            </w:tcBorders>
            <w:shd w:val="clear" w:color="auto" w:fill="auto"/>
            <w:noWrap/>
            <w:vAlign w:val="bottom"/>
            <w:hideMark/>
          </w:tcPr>
          <w:p w14:paraId="1322AEB9" w14:textId="77777777" w:rsidR="001E078F" w:rsidRDefault="001E078F">
            <w:pPr>
              <w:rPr>
                <w:sz w:val="20"/>
                <w:szCs w:val="20"/>
              </w:rPr>
            </w:pPr>
          </w:p>
        </w:tc>
        <w:tc>
          <w:tcPr>
            <w:tcW w:w="1417" w:type="dxa"/>
            <w:tcBorders>
              <w:top w:val="nil"/>
              <w:left w:val="nil"/>
              <w:bottom w:val="nil"/>
              <w:right w:val="nil"/>
            </w:tcBorders>
            <w:shd w:val="clear" w:color="auto" w:fill="auto"/>
            <w:noWrap/>
            <w:vAlign w:val="bottom"/>
            <w:hideMark/>
          </w:tcPr>
          <w:p w14:paraId="3495B99D" w14:textId="77777777" w:rsidR="001E078F" w:rsidRDefault="001E078F">
            <w:pPr>
              <w:rPr>
                <w:sz w:val="20"/>
                <w:szCs w:val="20"/>
              </w:rPr>
            </w:pPr>
          </w:p>
        </w:tc>
        <w:tc>
          <w:tcPr>
            <w:tcW w:w="1176" w:type="dxa"/>
            <w:tcBorders>
              <w:top w:val="nil"/>
              <w:left w:val="nil"/>
              <w:bottom w:val="nil"/>
              <w:right w:val="nil"/>
            </w:tcBorders>
            <w:shd w:val="clear" w:color="auto" w:fill="auto"/>
            <w:noWrap/>
            <w:vAlign w:val="bottom"/>
            <w:hideMark/>
          </w:tcPr>
          <w:p w14:paraId="6EFE7DAB" w14:textId="77777777" w:rsidR="001E078F" w:rsidRDefault="001E078F">
            <w:pPr>
              <w:rPr>
                <w:sz w:val="20"/>
                <w:szCs w:val="20"/>
              </w:rPr>
            </w:pPr>
          </w:p>
        </w:tc>
        <w:tc>
          <w:tcPr>
            <w:tcW w:w="1234" w:type="dxa"/>
            <w:tcBorders>
              <w:top w:val="nil"/>
              <w:left w:val="nil"/>
              <w:bottom w:val="nil"/>
              <w:right w:val="nil"/>
            </w:tcBorders>
            <w:shd w:val="clear" w:color="auto" w:fill="auto"/>
            <w:noWrap/>
            <w:vAlign w:val="bottom"/>
            <w:hideMark/>
          </w:tcPr>
          <w:p w14:paraId="34280DD2" w14:textId="77777777" w:rsidR="001E078F" w:rsidRDefault="001E078F">
            <w:pPr>
              <w:rPr>
                <w:sz w:val="20"/>
                <w:szCs w:val="20"/>
              </w:rPr>
            </w:pPr>
          </w:p>
        </w:tc>
        <w:tc>
          <w:tcPr>
            <w:tcW w:w="1134" w:type="dxa"/>
            <w:tcBorders>
              <w:top w:val="nil"/>
              <w:left w:val="nil"/>
              <w:bottom w:val="nil"/>
              <w:right w:val="nil"/>
            </w:tcBorders>
            <w:shd w:val="clear" w:color="auto" w:fill="auto"/>
            <w:noWrap/>
            <w:vAlign w:val="bottom"/>
            <w:hideMark/>
          </w:tcPr>
          <w:p w14:paraId="7FA6FF23" w14:textId="77777777" w:rsidR="001E078F" w:rsidRDefault="001E078F">
            <w:pPr>
              <w:rPr>
                <w:sz w:val="20"/>
                <w:szCs w:val="20"/>
              </w:rPr>
            </w:pPr>
          </w:p>
        </w:tc>
        <w:tc>
          <w:tcPr>
            <w:tcW w:w="1134" w:type="dxa"/>
            <w:tcBorders>
              <w:top w:val="nil"/>
              <w:left w:val="nil"/>
              <w:bottom w:val="nil"/>
              <w:right w:val="nil"/>
            </w:tcBorders>
            <w:shd w:val="clear" w:color="auto" w:fill="auto"/>
            <w:noWrap/>
            <w:vAlign w:val="bottom"/>
            <w:hideMark/>
          </w:tcPr>
          <w:p w14:paraId="4496D75A" w14:textId="77777777" w:rsidR="001E078F" w:rsidRDefault="001E078F">
            <w:pPr>
              <w:rPr>
                <w:sz w:val="20"/>
                <w:szCs w:val="20"/>
              </w:rPr>
            </w:pPr>
          </w:p>
        </w:tc>
        <w:tc>
          <w:tcPr>
            <w:tcW w:w="1034" w:type="dxa"/>
            <w:tcBorders>
              <w:top w:val="nil"/>
              <w:left w:val="nil"/>
              <w:bottom w:val="nil"/>
              <w:right w:val="nil"/>
            </w:tcBorders>
            <w:shd w:val="clear" w:color="auto" w:fill="auto"/>
            <w:noWrap/>
            <w:vAlign w:val="bottom"/>
            <w:hideMark/>
          </w:tcPr>
          <w:p w14:paraId="69D0786D" w14:textId="77777777" w:rsidR="001E078F" w:rsidRDefault="001E078F">
            <w:pPr>
              <w:rPr>
                <w:sz w:val="20"/>
                <w:szCs w:val="20"/>
              </w:rPr>
            </w:pPr>
          </w:p>
        </w:tc>
        <w:tc>
          <w:tcPr>
            <w:tcW w:w="1092" w:type="dxa"/>
            <w:tcBorders>
              <w:top w:val="nil"/>
              <w:left w:val="single" w:sz="4" w:space="0" w:color="auto"/>
              <w:bottom w:val="single" w:sz="4" w:space="0" w:color="auto"/>
              <w:right w:val="single" w:sz="4" w:space="0" w:color="auto"/>
            </w:tcBorders>
            <w:shd w:val="clear" w:color="000000" w:fill="A9D08E"/>
            <w:noWrap/>
            <w:vAlign w:val="bottom"/>
            <w:hideMark/>
          </w:tcPr>
          <w:p w14:paraId="7DA8DA8A" w14:textId="77777777" w:rsidR="001E078F" w:rsidRDefault="001E078F">
            <w:pPr>
              <w:jc w:val="center"/>
              <w:rPr>
                <w:b/>
                <w:bCs/>
                <w:color w:val="000000"/>
                <w:sz w:val="22"/>
                <w:szCs w:val="22"/>
              </w:rPr>
            </w:pPr>
            <w:r>
              <w:rPr>
                <w:b/>
                <w:bCs/>
                <w:color w:val="000000"/>
                <w:sz w:val="22"/>
                <w:szCs w:val="22"/>
              </w:rPr>
              <w:t>4 642.81</w:t>
            </w:r>
          </w:p>
        </w:tc>
      </w:tr>
    </w:tbl>
    <w:p w14:paraId="44F60447" w14:textId="3410463A" w:rsidR="00335E1A" w:rsidRDefault="00335E1A"/>
    <w:p w14:paraId="50070E7F" w14:textId="77777777" w:rsidR="001E078F" w:rsidRDefault="001E078F"/>
    <w:p w14:paraId="0CCE3D77" w14:textId="77777777" w:rsidR="001E078F" w:rsidRDefault="001E078F"/>
    <w:p w14:paraId="5F18C796" w14:textId="77777777" w:rsidR="001E078F" w:rsidRDefault="001E078F"/>
    <w:p w14:paraId="54ADA42A" w14:textId="77777777" w:rsidR="001E078F" w:rsidRDefault="001E078F"/>
    <w:p w14:paraId="247FB92C" w14:textId="77777777" w:rsidR="001E078F" w:rsidRDefault="001E078F"/>
    <w:p w14:paraId="52EFA5A0" w14:textId="77777777" w:rsidR="001E078F" w:rsidRDefault="001E078F"/>
    <w:p w14:paraId="4EB1C065" w14:textId="77777777" w:rsidR="001E078F" w:rsidRDefault="001E078F"/>
    <w:p w14:paraId="142EB14B" w14:textId="77777777" w:rsidR="001E078F" w:rsidRDefault="001E078F"/>
    <w:tbl>
      <w:tblPr>
        <w:tblW w:w="15451" w:type="dxa"/>
        <w:tblInd w:w="108" w:type="dxa"/>
        <w:tblLayout w:type="fixed"/>
        <w:tblLook w:val="04A0" w:firstRow="1" w:lastRow="0" w:firstColumn="1" w:lastColumn="0" w:noHBand="0" w:noVBand="1"/>
      </w:tblPr>
      <w:tblGrid>
        <w:gridCol w:w="1985"/>
        <w:gridCol w:w="1417"/>
        <w:gridCol w:w="1418"/>
        <w:gridCol w:w="992"/>
        <w:gridCol w:w="1134"/>
        <w:gridCol w:w="1559"/>
        <w:gridCol w:w="1276"/>
        <w:gridCol w:w="1134"/>
        <w:gridCol w:w="1276"/>
        <w:gridCol w:w="1417"/>
        <w:gridCol w:w="1276"/>
        <w:gridCol w:w="142"/>
        <w:gridCol w:w="425"/>
      </w:tblGrid>
      <w:tr w:rsidR="001E078F" w:rsidRPr="00335E1A" w14:paraId="40347C9C" w14:textId="77777777" w:rsidTr="004970AC">
        <w:trPr>
          <w:trHeight w:val="300"/>
        </w:trPr>
        <w:tc>
          <w:tcPr>
            <w:tcW w:w="15026" w:type="dxa"/>
            <w:gridSpan w:val="12"/>
            <w:tcBorders>
              <w:top w:val="nil"/>
              <w:left w:val="nil"/>
              <w:bottom w:val="nil"/>
              <w:right w:val="nil"/>
            </w:tcBorders>
            <w:shd w:val="clear" w:color="auto" w:fill="auto"/>
            <w:noWrap/>
            <w:vAlign w:val="bottom"/>
            <w:hideMark/>
          </w:tcPr>
          <w:p w14:paraId="2E8E5DAD" w14:textId="77777777" w:rsidR="001E078F" w:rsidRPr="00335E1A" w:rsidRDefault="001E078F" w:rsidP="00AC2EBB">
            <w:pPr>
              <w:jc w:val="right"/>
              <w:rPr>
                <w:sz w:val="20"/>
                <w:szCs w:val="20"/>
              </w:rPr>
            </w:pPr>
            <w:r>
              <w:rPr>
                <w:sz w:val="20"/>
                <w:szCs w:val="20"/>
              </w:rPr>
              <w:lastRenderedPageBreak/>
              <w:t>Anotācijas 2.pielikums</w:t>
            </w:r>
          </w:p>
        </w:tc>
        <w:tc>
          <w:tcPr>
            <w:tcW w:w="425" w:type="dxa"/>
            <w:tcBorders>
              <w:top w:val="nil"/>
              <w:left w:val="nil"/>
              <w:bottom w:val="nil"/>
              <w:right w:val="nil"/>
            </w:tcBorders>
            <w:shd w:val="clear" w:color="auto" w:fill="auto"/>
            <w:noWrap/>
            <w:vAlign w:val="bottom"/>
            <w:hideMark/>
          </w:tcPr>
          <w:p w14:paraId="26AC6F3F" w14:textId="77777777" w:rsidR="001E078F" w:rsidRPr="00335E1A" w:rsidRDefault="001E078F" w:rsidP="00AC2EBB">
            <w:pPr>
              <w:rPr>
                <w:sz w:val="20"/>
                <w:szCs w:val="20"/>
              </w:rPr>
            </w:pPr>
          </w:p>
        </w:tc>
      </w:tr>
      <w:tr w:rsidR="001E078F" w:rsidRPr="00335E1A" w14:paraId="01C9E23E" w14:textId="77777777" w:rsidTr="004970AC">
        <w:trPr>
          <w:gridAfter w:val="2"/>
          <w:wAfter w:w="567" w:type="dxa"/>
          <w:trHeight w:val="930"/>
        </w:trPr>
        <w:tc>
          <w:tcPr>
            <w:tcW w:w="14884" w:type="dxa"/>
            <w:gridSpan w:val="11"/>
            <w:tcBorders>
              <w:top w:val="nil"/>
              <w:left w:val="nil"/>
              <w:bottom w:val="nil"/>
              <w:right w:val="nil"/>
            </w:tcBorders>
            <w:shd w:val="clear" w:color="auto" w:fill="auto"/>
            <w:vAlign w:val="center"/>
            <w:hideMark/>
          </w:tcPr>
          <w:p w14:paraId="389D3368" w14:textId="77777777" w:rsidR="001E078F" w:rsidRPr="00335E1A" w:rsidRDefault="001E078F" w:rsidP="00AC2EBB">
            <w:pPr>
              <w:jc w:val="center"/>
              <w:rPr>
                <w:b/>
                <w:bCs/>
                <w:color w:val="000000"/>
                <w:sz w:val="22"/>
                <w:szCs w:val="22"/>
              </w:rPr>
            </w:pPr>
            <w:r w:rsidRPr="00335E1A">
              <w:rPr>
                <w:b/>
                <w:bCs/>
                <w:color w:val="000000"/>
                <w:sz w:val="22"/>
                <w:szCs w:val="22"/>
              </w:rPr>
              <w:t xml:space="preserve">Ministru kabineta noteikumu projekta  „Kārtība, kādā nosaka un kompensē ar sabiedriskā transporta pakalpojumu sniegšanu saistītos zaudējumus un izdevumus un nosaka sabiedriskā transporta pakalpojuma tarifu” Finansiālās ietekmes aprēķins </w:t>
            </w:r>
          </w:p>
        </w:tc>
      </w:tr>
      <w:tr w:rsidR="001E078F" w:rsidRPr="00335E1A" w14:paraId="307E96AA" w14:textId="77777777" w:rsidTr="004970AC">
        <w:trPr>
          <w:gridAfter w:val="2"/>
          <w:wAfter w:w="567" w:type="dxa"/>
          <w:trHeight w:val="1035"/>
        </w:trPr>
        <w:tc>
          <w:tcPr>
            <w:tcW w:w="19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8F9269C" w14:textId="77777777" w:rsidR="001E078F" w:rsidRPr="00335E1A" w:rsidRDefault="001E078F" w:rsidP="00AC2EBB">
            <w:pPr>
              <w:jc w:val="center"/>
              <w:rPr>
                <w:color w:val="000000"/>
                <w:sz w:val="22"/>
                <w:szCs w:val="22"/>
              </w:rPr>
            </w:pPr>
            <w:r w:rsidRPr="00335E1A">
              <w:rPr>
                <w:color w:val="000000"/>
                <w:sz w:val="22"/>
                <w:szCs w:val="22"/>
              </w:rPr>
              <w:t>Pārvadājumu veids</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4B1075" w14:textId="77777777" w:rsidR="001E078F" w:rsidRPr="00335E1A" w:rsidRDefault="001E078F" w:rsidP="00AC2EBB">
            <w:pPr>
              <w:jc w:val="center"/>
              <w:rPr>
                <w:color w:val="000000"/>
                <w:sz w:val="20"/>
                <w:szCs w:val="20"/>
              </w:rPr>
            </w:pPr>
            <w:r w:rsidRPr="00335E1A">
              <w:rPr>
                <w:color w:val="000000"/>
                <w:sz w:val="20"/>
                <w:szCs w:val="20"/>
              </w:rPr>
              <w:t>Biļešu ieņēmumi 2014.gads</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C3248E" w14:textId="77777777" w:rsidR="001E078F" w:rsidRPr="00335E1A" w:rsidRDefault="001E078F" w:rsidP="00AC2EBB">
            <w:pPr>
              <w:jc w:val="center"/>
              <w:rPr>
                <w:color w:val="000000"/>
                <w:sz w:val="20"/>
                <w:szCs w:val="20"/>
              </w:rPr>
            </w:pPr>
            <w:r w:rsidRPr="00335E1A">
              <w:rPr>
                <w:color w:val="000000"/>
                <w:sz w:val="20"/>
                <w:szCs w:val="20"/>
              </w:rPr>
              <w:t xml:space="preserve">Nobraukums </w:t>
            </w:r>
            <w:r w:rsidRPr="00335E1A">
              <w:rPr>
                <w:color w:val="000000"/>
                <w:sz w:val="16"/>
                <w:szCs w:val="16"/>
                <w:vertAlign w:val="superscript"/>
              </w:rPr>
              <w:t>1</w:t>
            </w:r>
            <w:r w:rsidRPr="00335E1A">
              <w:rPr>
                <w:color w:val="000000"/>
                <w:sz w:val="20"/>
                <w:szCs w:val="20"/>
              </w:rPr>
              <w:t xml:space="preserve"> 2014.gads</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5C5E436F" w14:textId="77777777" w:rsidR="001E078F" w:rsidRPr="00335E1A" w:rsidRDefault="001E078F" w:rsidP="00AC2EBB">
            <w:pPr>
              <w:jc w:val="center"/>
              <w:rPr>
                <w:color w:val="000000"/>
                <w:sz w:val="16"/>
                <w:szCs w:val="16"/>
              </w:rPr>
            </w:pPr>
            <w:r w:rsidRPr="00335E1A">
              <w:rPr>
                <w:color w:val="000000"/>
                <w:sz w:val="16"/>
                <w:szCs w:val="16"/>
              </w:rPr>
              <w:t xml:space="preserve">Situācija pirms MK noteikumu projektā normu pieņemšanas </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14:paraId="274DF016" w14:textId="77777777" w:rsidR="001E078F" w:rsidRPr="00335E1A" w:rsidRDefault="001E078F" w:rsidP="00AC2EBB">
            <w:pPr>
              <w:jc w:val="center"/>
              <w:rPr>
                <w:color w:val="000000"/>
                <w:sz w:val="16"/>
                <w:szCs w:val="16"/>
              </w:rPr>
            </w:pPr>
            <w:r w:rsidRPr="00335E1A">
              <w:rPr>
                <w:color w:val="000000"/>
                <w:sz w:val="16"/>
                <w:szCs w:val="16"/>
              </w:rPr>
              <w:t xml:space="preserve">Situācija pēc MK noteikumu projektā normu pieņemšanas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4005202" w14:textId="77777777" w:rsidR="001E078F" w:rsidRPr="00335E1A" w:rsidRDefault="001E078F" w:rsidP="00AC2EBB">
            <w:pPr>
              <w:jc w:val="center"/>
              <w:rPr>
                <w:color w:val="000000"/>
                <w:sz w:val="16"/>
                <w:szCs w:val="16"/>
              </w:rPr>
            </w:pPr>
            <w:r w:rsidRPr="00335E1A">
              <w:rPr>
                <w:color w:val="000000"/>
                <w:sz w:val="16"/>
                <w:szCs w:val="16"/>
              </w:rPr>
              <w:t xml:space="preserve">Biļešu ieņēmumi x (12 </w:t>
            </w:r>
            <w:proofErr w:type="spellStart"/>
            <w:r w:rsidRPr="00335E1A">
              <w:rPr>
                <w:color w:val="000000"/>
                <w:sz w:val="16"/>
                <w:szCs w:val="16"/>
              </w:rPr>
              <w:t>mēn</w:t>
            </w:r>
            <w:proofErr w:type="spellEnd"/>
            <w:r w:rsidRPr="00335E1A">
              <w:rPr>
                <w:color w:val="000000"/>
                <w:sz w:val="16"/>
                <w:szCs w:val="16"/>
              </w:rPr>
              <w:t xml:space="preserve"> EURIBOR + 2.5%)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B5704A5" w14:textId="77777777" w:rsidR="001E078F" w:rsidRPr="00335E1A" w:rsidRDefault="001E078F" w:rsidP="00AC2EBB">
            <w:pPr>
              <w:jc w:val="center"/>
              <w:rPr>
                <w:color w:val="000000"/>
                <w:sz w:val="16"/>
                <w:szCs w:val="16"/>
              </w:rPr>
            </w:pPr>
            <w:r w:rsidRPr="00335E1A">
              <w:rPr>
                <w:color w:val="000000"/>
                <w:sz w:val="16"/>
                <w:szCs w:val="16"/>
              </w:rPr>
              <w:t xml:space="preserve">(Biļešu </w:t>
            </w:r>
            <w:proofErr w:type="spellStart"/>
            <w:r w:rsidRPr="00335E1A">
              <w:rPr>
                <w:color w:val="000000"/>
                <w:sz w:val="16"/>
                <w:szCs w:val="16"/>
              </w:rPr>
              <w:t>ieņēm</w:t>
            </w:r>
            <w:proofErr w:type="spellEnd"/>
            <w:r w:rsidRPr="00335E1A">
              <w:rPr>
                <w:color w:val="000000"/>
                <w:sz w:val="16"/>
                <w:szCs w:val="16"/>
              </w:rPr>
              <w:t>./2 x 4%) + (nobraukums x 0.01)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45A19C3" w14:textId="77777777" w:rsidR="001E078F" w:rsidRPr="00335E1A" w:rsidRDefault="001E078F" w:rsidP="00AC2EBB">
            <w:pPr>
              <w:jc w:val="center"/>
              <w:rPr>
                <w:color w:val="000000"/>
                <w:sz w:val="16"/>
                <w:szCs w:val="16"/>
              </w:rPr>
            </w:pPr>
            <w:r w:rsidRPr="00335E1A">
              <w:rPr>
                <w:color w:val="000000"/>
                <w:sz w:val="16"/>
                <w:szCs w:val="16"/>
              </w:rPr>
              <w:t xml:space="preserve">(Biļešu </w:t>
            </w:r>
            <w:proofErr w:type="spellStart"/>
            <w:r w:rsidRPr="00335E1A">
              <w:rPr>
                <w:color w:val="000000"/>
                <w:sz w:val="16"/>
                <w:szCs w:val="16"/>
              </w:rPr>
              <w:t>ieņēm</w:t>
            </w:r>
            <w:proofErr w:type="spellEnd"/>
            <w:r w:rsidRPr="00335E1A">
              <w:rPr>
                <w:color w:val="000000"/>
                <w:sz w:val="16"/>
                <w:szCs w:val="16"/>
              </w:rPr>
              <w:t>./2 x 4%) + (nobraukums x 0.02)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F9B364A" w14:textId="77777777" w:rsidR="001E078F" w:rsidRPr="00335E1A" w:rsidRDefault="001E078F" w:rsidP="00AC2EBB">
            <w:pPr>
              <w:jc w:val="center"/>
              <w:rPr>
                <w:color w:val="000000"/>
                <w:sz w:val="16"/>
                <w:szCs w:val="16"/>
              </w:rPr>
            </w:pPr>
            <w:r w:rsidRPr="00335E1A">
              <w:rPr>
                <w:color w:val="000000"/>
                <w:sz w:val="16"/>
                <w:szCs w:val="16"/>
              </w:rPr>
              <w:t xml:space="preserve">(Biļešu </w:t>
            </w:r>
            <w:proofErr w:type="spellStart"/>
            <w:r w:rsidRPr="00335E1A">
              <w:rPr>
                <w:color w:val="000000"/>
                <w:sz w:val="16"/>
                <w:szCs w:val="16"/>
              </w:rPr>
              <w:t>ieņēm</w:t>
            </w:r>
            <w:proofErr w:type="spellEnd"/>
            <w:r w:rsidRPr="00335E1A">
              <w:rPr>
                <w:color w:val="000000"/>
                <w:sz w:val="16"/>
                <w:szCs w:val="16"/>
              </w:rPr>
              <w:t>./2 x 4%) + (nobraukums x 0.03)</w:t>
            </w:r>
          </w:p>
        </w:tc>
      </w:tr>
      <w:tr w:rsidR="001E078F" w:rsidRPr="00335E1A" w14:paraId="5D9976CD" w14:textId="77777777" w:rsidTr="004970AC">
        <w:trPr>
          <w:gridAfter w:val="2"/>
          <w:wAfter w:w="567" w:type="dxa"/>
          <w:trHeight w:val="2235"/>
        </w:trPr>
        <w:tc>
          <w:tcPr>
            <w:tcW w:w="1985" w:type="dxa"/>
            <w:vMerge/>
            <w:tcBorders>
              <w:top w:val="single" w:sz="4" w:space="0" w:color="auto"/>
              <w:left w:val="single" w:sz="4" w:space="0" w:color="auto"/>
              <w:bottom w:val="single" w:sz="4" w:space="0" w:color="000000"/>
              <w:right w:val="single" w:sz="4" w:space="0" w:color="auto"/>
            </w:tcBorders>
            <w:vAlign w:val="center"/>
            <w:hideMark/>
          </w:tcPr>
          <w:p w14:paraId="0366D340" w14:textId="77777777" w:rsidR="001E078F" w:rsidRPr="00335E1A" w:rsidRDefault="001E078F" w:rsidP="00AC2EBB">
            <w:pPr>
              <w:rPr>
                <w:color w:val="000000"/>
                <w:sz w:val="22"/>
                <w:szCs w:val="22"/>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1AC2E969" w14:textId="77777777" w:rsidR="001E078F" w:rsidRPr="00335E1A" w:rsidRDefault="001E078F" w:rsidP="00AC2EBB">
            <w:pPr>
              <w:rPr>
                <w:color w:val="000000"/>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42812C99" w14:textId="77777777" w:rsidR="001E078F" w:rsidRPr="00335E1A" w:rsidRDefault="001E078F" w:rsidP="00AC2EBB">
            <w:pP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14:paraId="7098C00C" w14:textId="77777777" w:rsidR="001E078F" w:rsidRPr="00335E1A" w:rsidRDefault="001E078F" w:rsidP="00AC2EBB">
            <w:pPr>
              <w:jc w:val="center"/>
              <w:rPr>
                <w:color w:val="000000"/>
                <w:sz w:val="16"/>
                <w:szCs w:val="16"/>
              </w:rPr>
            </w:pPr>
            <w:r w:rsidRPr="00335E1A">
              <w:rPr>
                <w:color w:val="000000"/>
                <w:sz w:val="16"/>
                <w:szCs w:val="16"/>
              </w:rPr>
              <w:t>Sabiedriskā transporta pakalpojumu sniegšanā radušos ieņēmumu īpatsvars kopējos ieņēmumos (pamatojoties uz 2013.gada datiem)</w:t>
            </w:r>
          </w:p>
        </w:tc>
        <w:tc>
          <w:tcPr>
            <w:tcW w:w="1134" w:type="dxa"/>
            <w:tcBorders>
              <w:top w:val="nil"/>
              <w:left w:val="nil"/>
              <w:bottom w:val="single" w:sz="4" w:space="0" w:color="auto"/>
              <w:right w:val="single" w:sz="4" w:space="0" w:color="auto"/>
            </w:tcBorders>
            <w:shd w:val="clear" w:color="auto" w:fill="auto"/>
            <w:vAlign w:val="center"/>
            <w:hideMark/>
          </w:tcPr>
          <w:p w14:paraId="2F0C7DBA" w14:textId="77777777" w:rsidR="001E078F" w:rsidRPr="00335E1A" w:rsidRDefault="001E078F" w:rsidP="00AC2EBB">
            <w:pPr>
              <w:jc w:val="center"/>
              <w:rPr>
                <w:color w:val="000000"/>
                <w:sz w:val="20"/>
                <w:szCs w:val="20"/>
              </w:rPr>
            </w:pPr>
            <w:r w:rsidRPr="00335E1A">
              <w:rPr>
                <w:color w:val="000000"/>
                <w:sz w:val="20"/>
                <w:szCs w:val="20"/>
              </w:rPr>
              <w:t xml:space="preserve">Aprēķinātais netiešo izmaksu apmērs </w:t>
            </w:r>
          </w:p>
        </w:tc>
        <w:tc>
          <w:tcPr>
            <w:tcW w:w="1559" w:type="dxa"/>
            <w:tcBorders>
              <w:top w:val="nil"/>
              <w:left w:val="nil"/>
              <w:bottom w:val="single" w:sz="4" w:space="0" w:color="auto"/>
              <w:right w:val="single" w:sz="4" w:space="0" w:color="auto"/>
            </w:tcBorders>
            <w:shd w:val="clear" w:color="auto" w:fill="auto"/>
            <w:vAlign w:val="center"/>
            <w:hideMark/>
          </w:tcPr>
          <w:p w14:paraId="0D401BAB" w14:textId="77777777" w:rsidR="001E078F" w:rsidRPr="00335E1A" w:rsidRDefault="001E078F" w:rsidP="00AC2EBB">
            <w:pPr>
              <w:jc w:val="center"/>
              <w:rPr>
                <w:color w:val="000000"/>
                <w:sz w:val="16"/>
                <w:szCs w:val="16"/>
              </w:rPr>
            </w:pPr>
            <w:r w:rsidRPr="00335E1A">
              <w:rPr>
                <w:color w:val="000000"/>
                <w:sz w:val="16"/>
                <w:szCs w:val="16"/>
              </w:rPr>
              <w:t>Sabiedriskā transporta pakalpojumu sniegšanā radušos ieņēmumu un zaudējumu par personu ar braukšanas maksas atvieglojumiem īpatsvars kopējos uzņēmumu ieņēmumos (pamatojoties uz 2013.gada datiem)</w:t>
            </w:r>
          </w:p>
        </w:tc>
        <w:tc>
          <w:tcPr>
            <w:tcW w:w="1276" w:type="dxa"/>
            <w:tcBorders>
              <w:top w:val="nil"/>
              <w:left w:val="nil"/>
              <w:bottom w:val="single" w:sz="4" w:space="0" w:color="auto"/>
              <w:right w:val="single" w:sz="4" w:space="0" w:color="auto"/>
            </w:tcBorders>
            <w:shd w:val="clear" w:color="auto" w:fill="auto"/>
            <w:vAlign w:val="center"/>
            <w:hideMark/>
          </w:tcPr>
          <w:p w14:paraId="6F723374" w14:textId="77777777" w:rsidR="001E078F" w:rsidRPr="00335E1A" w:rsidRDefault="001E078F" w:rsidP="00AC2EBB">
            <w:pPr>
              <w:jc w:val="center"/>
              <w:rPr>
                <w:color w:val="000000"/>
                <w:sz w:val="20"/>
                <w:szCs w:val="20"/>
              </w:rPr>
            </w:pPr>
            <w:r w:rsidRPr="00335E1A">
              <w:rPr>
                <w:color w:val="000000"/>
                <w:sz w:val="20"/>
                <w:szCs w:val="20"/>
              </w:rPr>
              <w:t xml:space="preserve">Aprēķinātais netiešo izmaksu apmērs </w:t>
            </w:r>
          </w:p>
        </w:tc>
        <w:tc>
          <w:tcPr>
            <w:tcW w:w="1134" w:type="dxa"/>
            <w:tcBorders>
              <w:top w:val="nil"/>
              <w:left w:val="nil"/>
              <w:bottom w:val="single" w:sz="4" w:space="0" w:color="auto"/>
              <w:right w:val="single" w:sz="4" w:space="0" w:color="auto"/>
            </w:tcBorders>
            <w:shd w:val="clear" w:color="auto" w:fill="auto"/>
            <w:vAlign w:val="center"/>
            <w:hideMark/>
          </w:tcPr>
          <w:p w14:paraId="0B2CDC29" w14:textId="77777777" w:rsidR="001E078F" w:rsidRPr="00335E1A" w:rsidRDefault="001E078F" w:rsidP="00AC2EBB">
            <w:pPr>
              <w:jc w:val="center"/>
              <w:rPr>
                <w:color w:val="000000"/>
                <w:sz w:val="22"/>
                <w:szCs w:val="22"/>
              </w:rPr>
            </w:pPr>
            <w:r w:rsidRPr="00335E1A">
              <w:rPr>
                <w:color w:val="000000"/>
                <w:sz w:val="22"/>
                <w:szCs w:val="22"/>
              </w:rPr>
              <w:t>Aprēķinātā peļņa 2014.gads</w:t>
            </w:r>
          </w:p>
        </w:tc>
        <w:tc>
          <w:tcPr>
            <w:tcW w:w="1276" w:type="dxa"/>
            <w:tcBorders>
              <w:top w:val="nil"/>
              <w:left w:val="nil"/>
              <w:bottom w:val="single" w:sz="4" w:space="0" w:color="auto"/>
              <w:right w:val="single" w:sz="4" w:space="0" w:color="auto"/>
            </w:tcBorders>
            <w:shd w:val="clear" w:color="auto" w:fill="auto"/>
            <w:vAlign w:val="center"/>
            <w:hideMark/>
          </w:tcPr>
          <w:p w14:paraId="5306BD7A" w14:textId="77777777" w:rsidR="001E078F" w:rsidRPr="00335E1A" w:rsidRDefault="001E078F" w:rsidP="00AC2EBB">
            <w:pPr>
              <w:jc w:val="center"/>
              <w:rPr>
                <w:color w:val="000000"/>
                <w:sz w:val="22"/>
                <w:szCs w:val="22"/>
              </w:rPr>
            </w:pPr>
            <w:r w:rsidRPr="00335E1A">
              <w:rPr>
                <w:color w:val="000000"/>
                <w:sz w:val="22"/>
                <w:szCs w:val="22"/>
              </w:rPr>
              <w:t>Aprēķinātā peļņa 2015.gads</w:t>
            </w:r>
          </w:p>
        </w:tc>
        <w:tc>
          <w:tcPr>
            <w:tcW w:w="1417" w:type="dxa"/>
            <w:tcBorders>
              <w:top w:val="nil"/>
              <w:left w:val="nil"/>
              <w:bottom w:val="single" w:sz="4" w:space="0" w:color="auto"/>
              <w:right w:val="single" w:sz="4" w:space="0" w:color="auto"/>
            </w:tcBorders>
            <w:shd w:val="clear" w:color="auto" w:fill="auto"/>
            <w:vAlign w:val="center"/>
            <w:hideMark/>
          </w:tcPr>
          <w:p w14:paraId="449FCE15" w14:textId="77777777" w:rsidR="001E078F" w:rsidRPr="00335E1A" w:rsidRDefault="001E078F" w:rsidP="00AC2EBB">
            <w:pPr>
              <w:jc w:val="center"/>
              <w:rPr>
                <w:color w:val="000000"/>
                <w:sz w:val="22"/>
                <w:szCs w:val="22"/>
              </w:rPr>
            </w:pPr>
            <w:r w:rsidRPr="00335E1A">
              <w:rPr>
                <w:color w:val="000000"/>
                <w:sz w:val="22"/>
                <w:szCs w:val="22"/>
              </w:rPr>
              <w:t>Aprēķinātā peļņa 2016.gads</w:t>
            </w:r>
          </w:p>
        </w:tc>
        <w:tc>
          <w:tcPr>
            <w:tcW w:w="1276" w:type="dxa"/>
            <w:tcBorders>
              <w:top w:val="nil"/>
              <w:left w:val="nil"/>
              <w:bottom w:val="single" w:sz="4" w:space="0" w:color="auto"/>
              <w:right w:val="single" w:sz="4" w:space="0" w:color="auto"/>
            </w:tcBorders>
            <w:shd w:val="clear" w:color="auto" w:fill="auto"/>
            <w:vAlign w:val="center"/>
            <w:hideMark/>
          </w:tcPr>
          <w:p w14:paraId="41B1D086" w14:textId="77777777" w:rsidR="001E078F" w:rsidRPr="00335E1A" w:rsidRDefault="001E078F" w:rsidP="00AC2EBB">
            <w:pPr>
              <w:jc w:val="center"/>
              <w:rPr>
                <w:color w:val="000000"/>
                <w:sz w:val="22"/>
                <w:szCs w:val="22"/>
              </w:rPr>
            </w:pPr>
            <w:r w:rsidRPr="00335E1A">
              <w:rPr>
                <w:color w:val="000000"/>
                <w:sz w:val="22"/>
                <w:szCs w:val="22"/>
              </w:rPr>
              <w:t>Aprēķinātā peļņa 2017.gads</w:t>
            </w:r>
          </w:p>
        </w:tc>
      </w:tr>
      <w:tr w:rsidR="001E078F" w:rsidRPr="00335E1A" w14:paraId="2725B39B" w14:textId="77777777" w:rsidTr="004970AC">
        <w:trPr>
          <w:gridAfter w:val="2"/>
          <w:wAfter w:w="567" w:type="dxa"/>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36F734F" w14:textId="77777777" w:rsidR="001E078F" w:rsidRPr="00335E1A" w:rsidRDefault="001E078F" w:rsidP="00AC2EBB">
            <w:pPr>
              <w:rPr>
                <w:color w:val="000000"/>
                <w:sz w:val="22"/>
                <w:szCs w:val="22"/>
              </w:rPr>
            </w:pPr>
            <w:r w:rsidRPr="00335E1A">
              <w:rPr>
                <w:color w:val="000000"/>
                <w:sz w:val="22"/>
                <w:szCs w:val="22"/>
              </w:rPr>
              <w:t>Reģionālās nozīmes pārvadājumi</w:t>
            </w:r>
          </w:p>
        </w:tc>
        <w:tc>
          <w:tcPr>
            <w:tcW w:w="1417" w:type="dxa"/>
            <w:tcBorders>
              <w:top w:val="nil"/>
              <w:left w:val="nil"/>
              <w:bottom w:val="single" w:sz="4" w:space="0" w:color="auto"/>
              <w:right w:val="single" w:sz="4" w:space="0" w:color="auto"/>
            </w:tcBorders>
            <w:shd w:val="clear" w:color="auto" w:fill="auto"/>
            <w:noWrap/>
            <w:vAlign w:val="bottom"/>
            <w:hideMark/>
          </w:tcPr>
          <w:p w14:paraId="45A77990" w14:textId="77777777" w:rsidR="001E078F" w:rsidRPr="00335E1A" w:rsidRDefault="001E078F" w:rsidP="00AC2EBB">
            <w:pPr>
              <w:jc w:val="right"/>
              <w:rPr>
                <w:color w:val="000000"/>
                <w:sz w:val="22"/>
                <w:szCs w:val="22"/>
              </w:rPr>
            </w:pPr>
            <w:r w:rsidRPr="00335E1A">
              <w:rPr>
                <w:color w:val="000000"/>
                <w:sz w:val="22"/>
                <w:szCs w:val="22"/>
              </w:rPr>
              <w:t>59 080 970</w:t>
            </w:r>
          </w:p>
        </w:tc>
        <w:tc>
          <w:tcPr>
            <w:tcW w:w="1418" w:type="dxa"/>
            <w:tcBorders>
              <w:top w:val="nil"/>
              <w:left w:val="nil"/>
              <w:bottom w:val="single" w:sz="4" w:space="0" w:color="auto"/>
              <w:right w:val="single" w:sz="4" w:space="0" w:color="auto"/>
            </w:tcBorders>
            <w:shd w:val="clear" w:color="auto" w:fill="auto"/>
            <w:noWrap/>
            <w:vAlign w:val="bottom"/>
            <w:hideMark/>
          </w:tcPr>
          <w:p w14:paraId="44EF5750" w14:textId="77777777" w:rsidR="001E078F" w:rsidRPr="00335E1A" w:rsidRDefault="001E078F" w:rsidP="00AC2EBB">
            <w:pPr>
              <w:jc w:val="right"/>
              <w:rPr>
                <w:color w:val="000000"/>
                <w:sz w:val="22"/>
                <w:szCs w:val="22"/>
              </w:rPr>
            </w:pPr>
            <w:r w:rsidRPr="00335E1A">
              <w:rPr>
                <w:color w:val="000000"/>
                <w:sz w:val="22"/>
                <w:szCs w:val="22"/>
              </w:rPr>
              <w:t>104 066 008</w:t>
            </w:r>
          </w:p>
        </w:tc>
        <w:tc>
          <w:tcPr>
            <w:tcW w:w="992" w:type="dxa"/>
            <w:tcBorders>
              <w:top w:val="nil"/>
              <w:left w:val="nil"/>
              <w:bottom w:val="single" w:sz="4" w:space="0" w:color="auto"/>
              <w:right w:val="single" w:sz="4" w:space="0" w:color="auto"/>
            </w:tcBorders>
            <w:shd w:val="clear" w:color="auto" w:fill="auto"/>
            <w:noWrap/>
            <w:vAlign w:val="bottom"/>
            <w:hideMark/>
          </w:tcPr>
          <w:p w14:paraId="2CF57546" w14:textId="77777777" w:rsidR="001E078F" w:rsidRPr="00335E1A" w:rsidRDefault="001E078F" w:rsidP="00AC2EBB">
            <w:pPr>
              <w:jc w:val="right"/>
              <w:rPr>
                <w:color w:val="000000"/>
                <w:sz w:val="22"/>
                <w:szCs w:val="22"/>
              </w:rPr>
            </w:pPr>
            <w:r w:rsidRPr="00335E1A">
              <w:rPr>
                <w:color w:val="000000"/>
                <w:sz w:val="22"/>
                <w:szCs w:val="22"/>
              </w:rPr>
              <w:t>69.96%</w:t>
            </w:r>
          </w:p>
        </w:tc>
        <w:tc>
          <w:tcPr>
            <w:tcW w:w="1134" w:type="dxa"/>
            <w:tcBorders>
              <w:top w:val="nil"/>
              <w:left w:val="nil"/>
              <w:bottom w:val="single" w:sz="4" w:space="0" w:color="auto"/>
              <w:right w:val="single" w:sz="4" w:space="0" w:color="auto"/>
            </w:tcBorders>
            <w:shd w:val="clear" w:color="auto" w:fill="auto"/>
            <w:noWrap/>
            <w:vAlign w:val="bottom"/>
            <w:hideMark/>
          </w:tcPr>
          <w:p w14:paraId="5FA0D6C5" w14:textId="77777777" w:rsidR="001E078F" w:rsidRPr="00335E1A" w:rsidRDefault="001E078F" w:rsidP="00AC2EBB">
            <w:pPr>
              <w:jc w:val="right"/>
              <w:rPr>
                <w:color w:val="000000"/>
                <w:sz w:val="22"/>
                <w:szCs w:val="22"/>
              </w:rPr>
            </w:pPr>
            <w:r w:rsidRPr="00335E1A">
              <w:rPr>
                <w:color w:val="000000"/>
                <w:sz w:val="22"/>
                <w:szCs w:val="22"/>
              </w:rPr>
              <w:t>6 104 444</w:t>
            </w:r>
          </w:p>
        </w:tc>
        <w:tc>
          <w:tcPr>
            <w:tcW w:w="1559" w:type="dxa"/>
            <w:tcBorders>
              <w:top w:val="nil"/>
              <w:left w:val="nil"/>
              <w:bottom w:val="single" w:sz="4" w:space="0" w:color="auto"/>
              <w:right w:val="single" w:sz="4" w:space="0" w:color="auto"/>
            </w:tcBorders>
            <w:shd w:val="clear" w:color="auto" w:fill="auto"/>
            <w:noWrap/>
            <w:vAlign w:val="bottom"/>
            <w:hideMark/>
          </w:tcPr>
          <w:p w14:paraId="385C2353" w14:textId="77777777" w:rsidR="001E078F" w:rsidRPr="00335E1A" w:rsidRDefault="001E078F" w:rsidP="00AC2EBB">
            <w:pPr>
              <w:jc w:val="right"/>
              <w:rPr>
                <w:color w:val="000000"/>
                <w:sz w:val="22"/>
                <w:szCs w:val="22"/>
              </w:rPr>
            </w:pPr>
            <w:r w:rsidRPr="00335E1A">
              <w:rPr>
                <w:color w:val="000000"/>
                <w:sz w:val="22"/>
                <w:szCs w:val="22"/>
              </w:rPr>
              <w:t>72.04%</w:t>
            </w:r>
          </w:p>
        </w:tc>
        <w:tc>
          <w:tcPr>
            <w:tcW w:w="1276" w:type="dxa"/>
            <w:tcBorders>
              <w:top w:val="nil"/>
              <w:left w:val="nil"/>
              <w:bottom w:val="single" w:sz="4" w:space="0" w:color="auto"/>
              <w:right w:val="single" w:sz="4" w:space="0" w:color="auto"/>
            </w:tcBorders>
            <w:shd w:val="clear" w:color="auto" w:fill="auto"/>
            <w:noWrap/>
            <w:vAlign w:val="bottom"/>
            <w:hideMark/>
          </w:tcPr>
          <w:p w14:paraId="41C4063D" w14:textId="77777777" w:rsidR="001E078F" w:rsidRPr="00335E1A" w:rsidRDefault="001E078F" w:rsidP="00AC2EBB">
            <w:pPr>
              <w:jc w:val="right"/>
              <w:rPr>
                <w:color w:val="000000"/>
                <w:sz w:val="22"/>
                <w:szCs w:val="22"/>
              </w:rPr>
            </w:pPr>
            <w:r w:rsidRPr="00335E1A">
              <w:rPr>
                <w:color w:val="000000"/>
                <w:sz w:val="22"/>
                <w:szCs w:val="22"/>
              </w:rPr>
              <w:t>6 252 799</w:t>
            </w:r>
          </w:p>
        </w:tc>
        <w:tc>
          <w:tcPr>
            <w:tcW w:w="1134" w:type="dxa"/>
            <w:tcBorders>
              <w:top w:val="nil"/>
              <w:left w:val="nil"/>
              <w:bottom w:val="single" w:sz="4" w:space="0" w:color="auto"/>
              <w:right w:val="single" w:sz="4" w:space="0" w:color="auto"/>
            </w:tcBorders>
            <w:shd w:val="clear" w:color="auto" w:fill="auto"/>
            <w:noWrap/>
            <w:vAlign w:val="bottom"/>
            <w:hideMark/>
          </w:tcPr>
          <w:p w14:paraId="183018E5" w14:textId="77777777" w:rsidR="001E078F" w:rsidRPr="00335E1A" w:rsidRDefault="001E078F" w:rsidP="00AC2EBB">
            <w:pPr>
              <w:jc w:val="right"/>
              <w:rPr>
                <w:color w:val="000000"/>
                <w:sz w:val="22"/>
                <w:szCs w:val="22"/>
              </w:rPr>
            </w:pPr>
            <w:r w:rsidRPr="00335E1A">
              <w:rPr>
                <w:color w:val="000000"/>
                <w:sz w:val="22"/>
                <w:szCs w:val="22"/>
              </w:rPr>
              <w:t>1 757 659</w:t>
            </w:r>
          </w:p>
        </w:tc>
        <w:tc>
          <w:tcPr>
            <w:tcW w:w="1276" w:type="dxa"/>
            <w:tcBorders>
              <w:top w:val="nil"/>
              <w:left w:val="nil"/>
              <w:bottom w:val="single" w:sz="4" w:space="0" w:color="auto"/>
              <w:right w:val="single" w:sz="4" w:space="0" w:color="auto"/>
            </w:tcBorders>
            <w:shd w:val="clear" w:color="auto" w:fill="auto"/>
            <w:noWrap/>
            <w:vAlign w:val="bottom"/>
            <w:hideMark/>
          </w:tcPr>
          <w:p w14:paraId="0837CEA7" w14:textId="77777777" w:rsidR="001E078F" w:rsidRPr="00335E1A" w:rsidRDefault="001E078F" w:rsidP="00AC2EBB">
            <w:pPr>
              <w:jc w:val="right"/>
              <w:rPr>
                <w:color w:val="000000"/>
                <w:sz w:val="22"/>
                <w:szCs w:val="22"/>
              </w:rPr>
            </w:pPr>
            <w:r w:rsidRPr="00335E1A">
              <w:rPr>
                <w:color w:val="000000"/>
                <w:sz w:val="22"/>
                <w:szCs w:val="22"/>
              </w:rPr>
              <w:t>2 222 279</w:t>
            </w:r>
          </w:p>
        </w:tc>
        <w:tc>
          <w:tcPr>
            <w:tcW w:w="1417" w:type="dxa"/>
            <w:tcBorders>
              <w:top w:val="nil"/>
              <w:left w:val="nil"/>
              <w:bottom w:val="single" w:sz="4" w:space="0" w:color="auto"/>
              <w:right w:val="single" w:sz="4" w:space="0" w:color="auto"/>
            </w:tcBorders>
            <w:shd w:val="clear" w:color="auto" w:fill="auto"/>
            <w:noWrap/>
            <w:vAlign w:val="bottom"/>
            <w:hideMark/>
          </w:tcPr>
          <w:p w14:paraId="5FFF9EC1" w14:textId="77777777" w:rsidR="001E078F" w:rsidRPr="00335E1A" w:rsidRDefault="001E078F" w:rsidP="00AC2EBB">
            <w:pPr>
              <w:jc w:val="right"/>
              <w:rPr>
                <w:color w:val="000000"/>
                <w:sz w:val="22"/>
                <w:szCs w:val="22"/>
              </w:rPr>
            </w:pPr>
            <w:r w:rsidRPr="00335E1A">
              <w:rPr>
                <w:color w:val="000000"/>
                <w:sz w:val="22"/>
                <w:szCs w:val="22"/>
              </w:rPr>
              <w:t>3 262 940</w:t>
            </w:r>
          </w:p>
        </w:tc>
        <w:tc>
          <w:tcPr>
            <w:tcW w:w="1276" w:type="dxa"/>
            <w:tcBorders>
              <w:top w:val="nil"/>
              <w:left w:val="nil"/>
              <w:bottom w:val="single" w:sz="4" w:space="0" w:color="auto"/>
              <w:right w:val="single" w:sz="4" w:space="0" w:color="auto"/>
            </w:tcBorders>
            <w:shd w:val="clear" w:color="auto" w:fill="auto"/>
            <w:noWrap/>
            <w:vAlign w:val="bottom"/>
            <w:hideMark/>
          </w:tcPr>
          <w:p w14:paraId="6C7A33E4" w14:textId="77777777" w:rsidR="001E078F" w:rsidRPr="00335E1A" w:rsidRDefault="001E078F" w:rsidP="00AC2EBB">
            <w:pPr>
              <w:jc w:val="right"/>
              <w:rPr>
                <w:color w:val="000000"/>
                <w:sz w:val="22"/>
                <w:szCs w:val="22"/>
              </w:rPr>
            </w:pPr>
            <w:r w:rsidRPr="00335E1A">
              <w:rPr>
                <w:color w:val="000000"/>
                <w:sz w:val="22"/>
                <w:szCs w:val="22"/>
              </w:rPr>
              <w:t>4 303 600</w:t>
            </w:r>
          </w:p>
        </w:tc>
      </w:tr>
      <w:tr w:rsidR="001E078F" w:rsidRPr="00335E1A" w14:paraId="11D890CC" w14:textId="77777777" w:rsidTr="004970AC">
        <w:trPr>
          <w:gridAfter w:val="2"/>
          <w:wAfter w:w="567" w:type="dxa"/>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C680BDC" w14:textId="77777777" w:rsidR="001E078F" w:rsidRPr="00335E1A" w:rsidRDefault="001E078F" w:rsidP="00AC2EBB">
            <w:pPr>
              <w:rPr>
                <w:color w:val="000000"/>
                <w:sz w:val="22"/>
                <w:szCs w:val="22"/>
              </w:rPr>
            </w:pPr>
            <w:r w:rsidRPr="00335E1A">
              <w:rPr>
                <w:color w:val="000000"/>
                <w:sz w:val="22"/>
                <w:szCs w:val="22"/>
              </w:rPr>
              <w:t>Pilsētas nozīmes pārvadājumi</w:t>
            </w:r>
          </w:p>
        </w:tc>
        <w:tc>
          <w:tcPr>
            <w:tcW w:w="1417" w:type="dxa"/>
            <w:tcBorders>
              <w:top w:val="nil"/>
              <w:left w:val="nil"/>
              <w:bottom w:val="single" w:sz="4" w:space="0" w:color="auto"/>
              <w:right w:val="single" w:sz="4" w:space="0" w:color="auto"/>
            </w:tcBorders>
            <w:shd w:val="clear" w:color="auto" w:fill="auto"/>
            <w:noWrap/>
            <w:vAlign w:val="bottom"/>
            <w:hideMark/>
          </w:tcPr>
          <w:p w14:paraId="6E9BECDB" w14:textId="77777777" w:rsidR="001E078F" w:rsidRPr="00335E1A" w:rsidRDefault="001E078F" w:rsidP="00AC2EBB">
            <w:pPr>
              <w:jc w:val="right"/>
              <w:rPr>
                <w:color w:val="000000"/>
                <w:sz w:val="22"/>
                <w:szCs w:val="22"/>
              </w:rPr>
            </w:pPr>
            <w:r w:rsidRPr="00335E1A">
              <w:rPr>
                <w:color w:val="000000"/>
                <w:sz w:val="22"/>
                <w:szCs w:val="22"/>
              </w:rPr>
              <w:t>50 906 374</w:t>
            </w:r>
          </w:p>
        </w:tc>
        <w:tc>
          <w:tcPr>
            <w:tcW w:w="1418" w:type="dxa"/>
            <w:tcBorders>
              <w:top w:val="nil"/>
              <w:left w:val="nil"/>
              <w:bottom w:val="single" w:sz="4" w:space="0" w:color="auto"/>
              <w:right w:val="single" w:sz="4" w:space="0" w:color="auto"/>
            </w:tcBorders>
            <w:shd w:val="clear" w:color="auto" w:fill="auto"/>
            <w:noWrap/>
            <w:vAlign w:val="bottom"/>
            <w:hideMark/>
          </w:tcPr>
          <w:p w14:paraId="6EDA8A29" w14:textId="77777777" w:rsidR="001E078F" w:rsidRPr="00335E1A" w:rsidRDefault="001E078F" w:rsidP="00AC2EBB">
            <w:pPr>
              <w:jc w:val="right"/>
              <w:rPr>
                <w:color w:val="000000"/>
                <w:sz w:val="22"/>
                <w:szCs w:val="22"/>
              </w:rPr>
            </w:pPr>
            <w:r w:rsidRPr="00335E1A">
              <w:rPr>
                <w:color w:val="000000"/>
                <w:sz w:val="22"/>
                <w:szCs w:val="22"/>
              </w:rPr>
              <w:t>57 971 772</w:t>
            </w:r>
          </w:p>
        </w:tc>
        <w:tc>
          <w:tcPr>
            <w:tcW w:w="992" w:type="dxa"/>
            <w:tcBorders>
              <w:top w:val="nil"/>
              <w:left w:val="nil"/>
              <w:bottom w:val="single" w:sz="4" w:space="0" w:color="auto"/>
              <w:right w:val="single" w:sz="4" w:space="0" w:color="auto"/>
            </w:tcBorders>
            <w:shd w:val="clear" w:color="auto" w:fill="auto"/>
            <w:noWrap/>
            <w:vAlign w:val="bottom"/>
            <w:hideMark/>
          </w:tcPr>
          <w:p w14:paraId="50F349CB" w14:textId="77777777" w:rsidR="001E078F" w:rsidRPr="00335E1A" w:rsidRDefault="001E078F" w:rsidP="00AC2EBB">
            <w:pPr>
              <w:jc w:val="right"/>
              <w:rPr>
                <w:color w:val="000000"/>
                <w:sz w:val="22"/>
                <w:szCs w:val="22"/>
              </w:rPr>
            </w:pPr>
            <w:r w:rsidRPr="00335E1A">
              <w:rPr>
                <w:color w:val="000000"/>
                <w:sz w:val="22"/>
                <w:szCs w:val="22"/>
              </w:rPr>
              <w:t>70.02%</w:t>
            </w:r>
          </w:p>
        </w:tc>
        <w:tc>
          <w:tcPr>
            <w:tcW w:w="1134" w:type="dxa"/>
            <w:tcBorders>
              <w:top w:val="nil"/>
              <w:left w:val="nil"/>
              <w:bottom w:val="single" w:sz="4" w:space="0" w:color="auto"/>
              <w:right w:val="single" w:sz="4" w:space="0" w:color="auto"/>
            </w:tcBorders>
            <w:shd w:val="clear" w:color="auto" w:fill="auto"/>
            <w:noWrap/>
            <w:vAlign w:val="bottom"/>
            <w:hideMark/>
          </w:tcPr>
          <w:p w14:paraId="2062D72D" w14:textId="77777777" w:rsidR="001E078F" w:rsidRPr="00335E1A" w:rsidRDefault="001E078F" w:rsidP="00AC2EBB">
            <w:pPr>
              <w:jc w:val="right"/>
              <w:rPr>
                <w:color w:val="000000"/>
                <w:sz w:val="22"/>
                <w:szCs w:val="22"/>
              </w:rPr>
            </w:pPr>
            <w:r w:rsidRPr="00335E1A">
              <w:rPr>
                <w:color w:val="000000"/>
                <w:sz w:val="22"/>
                <w:szCs w:val="22"/>
              </w:rPr>
              <w:t>2 237 553</w:t>
            </w:r>
          </w:p>
        </w:tc>
        <w:tc>
          <w:tcPr>
            <w:tcW w:w="1559" w:type="dxa"/>
            <w:tcBorders>
              <w:top w:val="nil"/>
              <w:left w:val="nil"/>
              <w:bottom w:val="single" w:sz="4" w:space="0" w:color="auto"/>
              <w:right w:val="single" w:sz="4" w:space="0" w:color="auto"/>
            </w:tcBorders>
            <w:shd w:val="clear" w:color="auto" w:fill="auto"/>
            <w:noWrap/>
            <w:vAlign w:val="bottom"/>
            <w:hideMark/>
          </w:tcPr>
          <w:p w14:paraId="0AE59871" w14:textId="77777777" w:rsidR="001E078F" w:rsidRPr="00335E1A" w:rsidRDefault="001E078F" w:rsidP="00AC2EBB">
            <w:pPr>
              <w:jc w:val="right"/>
              <w:rPr>
                <w:color w:val="000000"/>
                <w:sz w:val="22"/>
                <w:szCs w:val="22"/>
              </w:rPr>
            </w:pPr>
            <w:r w:rsidRPr="00335E1A">
              <w:rPr>
                <w:color w:val="000000"/>
                <w:sz w:val="22"/>
                <w:szCs w:val="22"/>
              </w:rPr>
              <w:t>72.34%</w:t>
            </w:r>
          </w:p>
        </w:tc>
        <w:tc>
          <w:tcPr>
            <w:tcW w:w="1276" w:type="dxa"/>
            <w:tcBorders>
              <w:top w:val="nil"/>
              <w:left w:val="nil"/>
              <w:bottom w:val="single" w:sz="4" w:space="0" w:color="auto"/>
              <w:right w:val="single" w:sz="4" w:space="0" w:color="auto"/>
            </w:tcBorders>
            <w:shd w:val="clear" w:color="auto" w:fill="auto"/>
            <w:noWrap/>
            <w:vAlign w:val="bottom"/>
            <w:hideMark/>
          </w:tcPr>
          <w:p w14:paraId="2515D848" w14:textId="77777777" w:rsidR="001E078F" w:rsidRPr="00335E1A" w:rsidRDefault="001E078F" w:rsidP="00AC2EBB">
            <w:pPr>
              <w:jc w:val="right"/>
              <w:rPr>
                <w:color w:val="000000"/>
                <w:sz w:val="22"/>
                <w:szCs w:val="22"/>
              </w:rPr>
            </w:pPr>
            <w:r w:rsidRPr="00335E1A">
              <w:rPr>
                <w:color w:val="000000"/>
                <w:sz w:val="22"/>
                <w:szCs w:val="22"/>
              </w:rPr>
              <w:t>2 630 614</w:t>
            </w:r>
          </w:p>
        </w:tc>
        <w:tc>
          <w:tcPr>
            <w:tcW w:w="1134" w:type="dxa"/>
            <w:tcBorders>
              <w:top w:val="nil"/>
              <w:left w:val="nil"/>
              <w:bottom w:val="single" w:sz="4" w:space="0" w:color="auto"/>
              <w:right w:val="single" w:sz="4" w:space="0" w:color="auto"/>
            </w:tcBorders>
            <w:shd w:val="clear" w:color="auto" w:fill="auto"/>
            <w:noWrap/>
            <w:vAlign w:val="bottom"/>
            <w:hideMark/>
          </w:tcPr>
          <w:p w14:paraId="52170298" w14:textId="77777777" w:rsidR="001E078F" w:rsidRPr="00335E1A" w:rsidRDefault="001E078F" w:rsidP="00AC2EBB">
            <w:pPr>
              <w:jc w:val="right"/>
              <w:rPr>
                <w:color w:val="000000"/>
                <w:sz w:val="22"/>
                <w:szCs w:val="22"/>
              </w:rPr>
            </w:pPr>
            <w:r w:rsidRPr="00335E1A">
              <w:rPr>
                <w:color w:val="000000"/>
                <w:sz w:val="22"/>
                <w:szCs w:val="22"/>
              </w:rPr>
              <w:t>1 514 465</w:t>
            </w:r>
          </w:p>
        </w:tc>
        <w:tc>
          <w:tcPr>
            <w:tcW w:w="1276" w:type="dxa"/>
            <w:tcBorders>
              <w:top w:val="nil"/>
              <w:left w:val="nil"/>
              <w:bottom w:val="single" w:sz="4" w:space="0" w:color="auto"/>
              <w:right w:val="single" w:sz="4" w:space="0" w:color="auto"/>
            </w:tcBorders>
            <w:shd w:val="clear" w:color="auto" w:fill="auto"/>
            <w:noWrap/>
            <w:vAlign w:val="bottom"/>
            <w:hideMark/>
          </w:tcPr>
          <w:p w14:paraId="57CB6326" w14:textId="77777777" w:rsidR="001E078F" w:rsidRPr="00335E1A" w:rsidRDefault="001E078F" w:rsidP="00AC2EBB">
            <w:pPr>
              <w:jc w:val="right"/>
              <w:rPr>
                <w:color w:val="000000"/>
                <w:sz w:val="22"/>
                <w:szCs w:val="22"/>
              </w:rPr>
            </w:pPr>
            <w:r w:rsidRPr="00335E1A">
              <w:rPr>
                <w:color w:val="000000"/>
                <w:sz w:val="22"/>
                <w:szCs w:val="22"/>
              </w:rPr>
              <w:t>1 597 845</w:t>
            </w:r>
          </w:p>
        </w:tc>
        <w:tc>
          <w:tcPr>
            <w:tcW w:w="1417" w:type="dxa"/>
            <w:tcBorders>
              <w:top w:val="nil"/>
              <w:left w:val="nil"/>
              <w:bottom w:val="single" w:sz="4" w:space="0" w:color="auto"/>
              <w:right w:val="single" w:sz="4" w:space="0" w:color="auto"/>
            </w:tcBorders>
            <w:shd w:val="clear" w:color="auto" w:fill="auto"/>
            <w:noWrap/>
            <w:vAlign w:val="bottom"/>
            <w:hideMark/>
          </w:tcPr>
          <w:p w14:paraId="30A79228" w14:textId="77777777" w:rsidR="001E078F" w:rsidRPr="00335E1A" w:rsidRDefault="001E078F" w:rsidP="00AC2EBB">
            <w:pPr>
              <w:jc w:val="right"/>
              <w:rPr>
                <w:color w:val="000000"/>
                <w:sz w:val="22"/>
                <w:szCs w:val="22"/>
              </w:rPr>
            </w:pPr>
            <w:r w:rsidRPr="00335E1A">
              <w:rPr>
                <w:color w:val="000000"/>
                <w:sz w:val="22"/>
                <w:szCs w:val="22"/>
              </w:rPr>
              <w:t>2 177 563</w:t>
            </w:r>
          </w:p>
        </w:tc>
        <w:tc>
          <w:tcPr>
            <w:tcW w:w="1276" w:type="dxa"/>
            <w:tcBorders>
              <w:top w:val="nil"/>
              <w:left w:val="nil"/>
              <w:bottom w:val="single" w:sz="4" w:space="0" w:color="auto"/>
              <w:right w:val="single" w:sz="4" w:space="0" w:color="auto"/>
            </w:tcBorders>
            <w:shd w:val="clear" w:color="auto" w:fill="auto"/>
            <w:noWrap/>
            <w:vAlign w:val="bottom"/>
            <w:hideMark/>
          </w:tcPr>
          <w:p w14:paraId="279ECAD8" w14:textId="77777777" w:rsidR="001E078F" w:rsidRPr="00335E1A" w:rsidRDefault="001E078F" w:rsidP="00AC2EBB">
            <w:pPr>
              <w:jc w:val="right"/>
              <w:rPr>
                <w:color w:val="000000"/>
                <w:sz w:val="22"/>
                <w:szCs w:val="22"/>
              </w:rPr>
            </w:pPr>
            <w:r w:rsidRPr="00335E1A">
              <w:rPr>
                <w:color w:val="000000"/>
                <w:sz w:val="22"/>
                <w:szCs w:val="22"/>
              </w:rPr>
              <w:t>2 757 281</w:t>
            </w:r>
          </w:p>
        </w:tc>
      </w:tr>
      <w:tr w:rsidR="001E078F" w:rsidRPr="00335E1A" w14:paraId="7B5BD386" w14:textId="77777777" w:rsidTr="004970AC">
        <w:trPr>
          <w:gridAfter w:val="2"/>
          <w:wAfter w:w="567" w:type="dxa"/>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C378ACC" w14:textId="77777777" w:rsidR="001E078F" w:rsidRPr="00335E1A" w:rsidRDefault="001E078F" w:rsidP="00AC2EBB">
            <w:pPr>
              <w:rPr>
                <w:color w:val="000000"/>
                <w:sz w:val="22"/>
                <w:szCs w:val="22"/>
              </w:rPr>
            </w:pPr>
            <w:r w:rsidRPr="00335E1A">
              <w:rPr>
                <w:color w:val="000000"/>
                <w:sz w:val="22"/>
                <w:szCs w:val="22"/>
              </w:rPr>
              <w:t>Kopā summas:</w:t>
            </w:r>
          </w:p>
        </w:tc>
        <w:tc>
          <w:tcPr>
            <w:tcW w:w="1417" w:type="dxa"/>
            <w:tcBorders>
              <w:top w:val="nil"/>
              <w:left w:val="nil"/>
              <w:bottom w:val="single" w:sz="4" w:space="0" w:color="auto"/>
              <w:right w:val="single" w:sz="4" w:space="0" w:color="auto"/>
            </w:tcBorders>
            <w:shd w:val="clear" w:color="auto" w:fill="auto"/>
            <w:noWrap/>
            <w:vAlign w:val="bottom"/>
            <w:hideMark/>
          </w:tcPr>
          <w:p w14:paraId="39D47FCA" w14:textId="77777777" w:rsidR="001E078F" w:rsidRPr="00335E1A" w:rsidRDefault="001E078F" w:rsidP="00AC2EBB">
            <w:pPr>
              <w:jc w:val="right"/>
              <w:rPr>
                <w:color w:val="000000"/>
                <w:sz w:val="22"/>
                <w:szCs w:val="22"/>
              </w:rPr>
            </w:pPr>
            <w:r w:rsidRPr="00335E1A">
              <w:rPr>
                <w:color w:val="000000"/>
                <w:sz w:val="22"/>
                <w:szCs w:val="22"/>
              </w:rPr>
              <w:t>109 987 344</w:t>
            </w:r>
          </w:p>
        </w:tc>
        <w:tc>
          <w:tcPr>
            <w:tcW w:w="1418" w:type="dxa"/>
            <w:tcBorders>
              <w:top w:val="nil"/>
              <w:left w:val="nil"/>
              <w:bottom w:val="single" w:sz="4" w:space="0" w:color="auto"/>
              <w:right w:val="single" w:sz="4" w:space="0" w:color="auto"/>
            </w:tcBorders>
            <w:shd w:val="clear" w:color="auto" w:fill="auto"/>
            <w:noWrap/>
            <w:vAlign w:val="bottom"/>
            <w:hideMark/>
          </w:tcPr>
          <w:p w14:paraId="28372D65" w14:textId="77777777" w:rsidR="001E078F" w:rsidRPr="00335E1A" w:rsidRDefault="001E078F" w:rsidP="00AC2EBB">
            <w:pPr>
              <w:jc w:val="right"/>
              <w:rPr>
                <w:color w:val="000000"/>
                <w:sz w:val="22"/>
                <w:szCs w:val="22"/>
              </w:rPr>
            </w:pPr>
            <w:r w:rsidRPr="00335E1A">
              <w:rPr>
                <w:color w:val="000000"/>
                <w:sz w:val="22"/>
                <w:szCs w:val="22"/>
              </w:rPr>
              <w:t>162 037 780</w:t>
            </w:r>
          </w:p>
        </w:tc>
        <w:tc>
          <w:tcPr>
            <w:tcW w:w="992" w:type="dxa"/>
            <w:tcBorders>
              <w:top w:val="nil"/>
              <w:left w:val="nil"/>
              <w:bottom w:val="single" w:sz="4" w:space="0" w:color="auto"/>
              <w:right w:val="single" w:sz="4" w:space="0" w:color="auto"/>
            </w:tcBorders>
            <w:shd w:val="clear" w:color="auto" w:fill="auto"/>
            <w:noWrap/>
            <w:vAlign w:val="bottom"/>
            <w:hideMark/>
          </w:tcPr>
          <w:p w14:paraId="67D53A54" w14:textId="77777777" w:rsidR="001E078F" w:rsidRPr="00335E1A" w:rsidRDefault="001E078F" w:rsidP="00AC2EBB">
            <w:pPr>
              <w:rPr>
                <w:color w:val="000000"/>
                <w:sz w:val="22"/>
                <w:szCs w:val="22"/>
              </w:rPr>
            </w:pPr>
            <w:r w:rsidRPr="00335E1A">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A2BA305" w14:textId="77777777" w:rsidR="001E078F" w:rsidRPr="00335E1A" w:rsidRDefault="001E078F" w:rsidP="00AC2EBB">
            <w:pPr>
              <w:jc w:val="right"/>
              <w:rPr>
                <w:color w:val="000000"/>
                <w:sz w:val="22"/>
                <w:szCs w:val="22"/>
              </w:rPr>
            </w:pPr>
            <w:r w:rsidRPr="00335E1A">
              <w:rPr>
                <w:color w:val="000000"/>
                <w:sz w:val="22"/>
                <w:szCs w:val="22"/>
              </w:rPr>
              <w:t>8 341 997</w:t>
            </w:r>
          </w:p>
        </w:tc>
        <w:tc>
          <w:tcPr>
            <w:tcW w:w="1559" w:type="dxa"/>
            <w:tcBorders>
              <w:top w:val="nil"/>
              <w:left w:val="nil"/>
              <w:bottom w:val="single" w:sz="4" w:space="0" w:color="auto"/>
              <w:right w:val="single" w:sz="4" w:space="0" w:color="auto"/>
            </w:tcBorders>
            <w:shd w:val="clear" w:color="auto" w:fill="auto"/>
            <w:noWrap/>
            <w:vAlign w:val="bottom"/>
            <w:hideMark/>
          </w:tcPr>
          <w:p w14:paraId="7719F657" w14:textId="77777777" w:rsidR="001E078F" w:rsidRPr="00335E1A" w:rsidRDefault="001E078F" w:rsidP="00AC2EBB">
            <w:pPr>
              <w:rPr>
                <w:color w:val="000000"/>
                <w:sz w:val="22"/>
                <w:szCs w:val="22"/>
              </w:rPr>
            </w:pPr>
            <w:r w:rsidRPr="00335E1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3A0C6DCD" w14:textId="77777777" w:rsidR="001E078F" w:rsidRPr="00335E1A" w:rsidRDefault="001E078F" w:rsidP="00AC2EBB">
            <w:pPr>
              <w:jc w:val="right"/>
              <w:rPr>
                <w:color w:val="000000"/>
                <w:sz w:val="22"/>
                <w:szCs w:val="22"/>
              </w:rPr>
            </w:pPr>
            <w:r w:rsidRPr="00335E1A">
              <w:rPr>
                <w:color w:val="000000"/>
                <w:sz w:val="22"/>
                <w:szCs w:val="22"/>
              </w:rPr>
              <w:t>8 883 413</w:t>
            </w:r>
          </w:p>
        </w:tc>
        <w:tc>
          <w:tcPr>
            <w:tcW w:w="1134" w:type="dxa"/>
            <w:tcBorders>
              <w:top w:val="nil"/>
              <w:left w:val="nil"/>
              <w:bottom w:val="single" w:sz="4" w:space="0" w:color="auto"/>
              <w:right w:val="single" w:sz="4" w:space="0" w:color="auto"/>
            </w:tcBorders>
            <w:shd w:val="clear" w:color="auto" w:fill="auto"/>
            <w:noWrap/>
            <w:vAlign w:val="bottom"/>
            <w:hideMark/>
          </w:tcPr>
          <w:p w14:paraId="09DD379B" w14:textId="77777777" w:rsidR="001E078F" w:rsidRPr="00335E1A" w:rsidRDefault="001E078F" w:rsidP="00AC2EBB">
            <w:pPr>
              <w:jc w:val="right"/>
              <w:rPr>
                <w:color w:val="000000"/>
                <w:sz w:val="22"/>
                <w:szCs w:val="22"/>
              </w:rPr>
            </w:pPr>
            <w:r w:rsidRPr="00335E1A">
              <w:rPr>
                <w:color w:val="000000"/>
                <w:sz w:val="22"/>
                <w:szCs w:val="22"/>
              </w:rPr>
              <w:t>3 272 123</w:t>
            </w:r>
          </w:p>
        </w:tc>
        <w:tc>
          <w:tcPr>
            <w:tcW w:w="1276" w:type="dxa"/>
            <w:tcBorders>
              <w:top w:val="nil"/>
              <w:left w:val="nil"/>
              <w:bottom w:val="single" w:sz="4" w:space="0" w:color="auto"/>
              <w:right w:val="single" w:sz="4" w:space="0" w:color="auto"/>
            </w:tcBorders>
            <w:shd w:val="clear" w:color="auto" w:fill="auto"/>
            <w:noWrap/>
            <w:vAlign w:val="bottom"/>
            <w:hideMark/>
          </w:tcPr>
          <w:p w14:paraId="06AAD887" w14:textId="77777777" w:rsidR="001E078F" w:rsidRPr="00335E1A" w:rsidRDefault="001E078F" w:rsidP="00AC2EBB">
            <w:pPr>
              <w:jc w:val="right"/>
              <w:rPr>
                <w:color w:val="000000"/>
                <w:sz w:val="22"/>
                <w:szCs w:val="22"/>
              </w:rPr>
            </w:pPr>
            <w:r w:rsidRPr="00335E1A">
              <w:rPr>
                <w:color w:val="000000"/>
                <w:sz w:val="22"/>
                <w:szCs w:val="22"/>
              </w:rPr>
              <w:t>3 820 124</w:t>
            </w:r>
          </w:p>
        </w:tc>
        <w:tc>
          <w:tcPr>
            <w:tcW w:w="1417" w:type="dxa"/>
            <w:tcBorders>
              <w:top w:val="nil"/>
              <w:left w:val="nil"/>
              <w:bottom w:val="single" w:sz="4" w:space="0" w:color="auto"/>
              <w:right w:val="single" w:sz="4" w:space="0" w:color="auto"/>
            </w:tcBorders>
            <w:shd w:val="clear" w:color="auto" w:fill="auto"/>
            <w:noWrap/>
            <w:vAlign w:val="bottom"/>
            <w:hideMark/>
          </w:tcPr>
          <w:p w14:paraId="634174C1" w14:textId="77777777" w:rsidR="001E078F" w:rsidRPr="00335E1A" w:rsidRDefault="001E078F" w:rsidP="00AC2EBB">
            <w:pPr>
              <w:jc w:val="right"/>
              <w:rPr>
                <w:color w:val="000000"/>
                <w:sz w:val="22"/>
                <w:szCs w:val="22"/>
              </w:rPr>
            </w:pPr>
            <w:r w:rsidRPr="00335E1A">
              <w:rPr>
                <w:color w:val="000000"/>
                <w:sz w:val="22"/>
                <w:szCs w:val="22"/>
              </w:rPr>
              <w:t>5 440 503</w:t>
            </w:r>
          </w:p>
        </w:tc>
        <w:tc>
          <w:tcPr>
            <w:tcW w:w="1276" w:type="dxa"/>
            <w:tcBorders>
              <w:top w:val="nil"/>
              <w:left w:val="nil"/>
              <w:bottom w:val="single" w:sz="4" w:space="0" w:color="auto"/>
              <w:right w:val="single" w:sz="4" w:space="0" w:color="auto"/>
            </w:tcBorders>
            <w:shd w:val="clear" w:color="auto" w:fill="auto"/>
            <w:noWrap/>
            <w:vAlign w:val="bottom"/>
            <w:hideMark/>
          </w:tcPr>
          <w:p w14:paraId="6128F56A" w14:textId="77777777" w:rsidR="001E078F" w:rsidRPr="00335E1A" w:rsidRDefault="001E078F" w:rsidP="00AC2EBB">
            <w:pPr>
              <w:jc w:val="right"/>
              <w:rPr>
                <w:color w:val="000000"/>
                <w:sz w:val="22"/>
                <w:szCs w:val="22"/>
              </w:rPr>
            </w:pPr>
            <w:r w:rsidRPr="00335E1A">
              <w:rPr>
                <w:color w:val="000000"/>
                <w:sz w:val="22"/>
                <w:szCs w:val="22"/>
              </w:rPr>
              <w:t>7 060 881</w:t>
            </w:r>
          </w:p>
        </w:tc>
      </w:tr>
      <w:tr w:rsidR="001E078F" w:rsidRPr="00335E1A" w14:paraId="702BD0F3" w14:textId="77777777" w:rsidTr="004970AC">
        <w:trPr>
          <w:gridAfter w:val="2"/>
          <w:wAfter w:w="567" w:type="dxa"/>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0CCEAABA" w14:textId="77777777" w:rsidR="001E078F" w:rsidRPr="00335E1A" w:rsidRDefault="001E078F" w:rsidP="00AC2EBB">
            <w:pPr>
              <w:rPr>
                <w:color w:val="000000"/>
                <w:sz w:val="22"/>
                <w:szCs w:val="22"/>
              </w:rPr>
            </w:pPr>
            <w:r w:rsidRPr="00335E1A">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6F785C89" w14:textId="77777777" w:rsidR="001E078F" w:rsidRPr="00335E1A" w:rsidRDefault="001E078F" w:rsidP="00AC2EBB">
            <w:pPr>
              <w:rPr>
                <w:color w:val="000000"/>
                <w:sz w:val="22"/>
                <w:szCs w:val="22"/>
              </w:rPr>
            </w:pPr>
            <w:r w:rsidRPr="00335E1A">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14:paraId="7782F218" w14:textId="77777777" w:rsidR="001E078F" w:rsidRPr="00335E1A" w:rsidRDefault="001E078F" w:rsidP="00AC2EBB">
            <w:pPr>
              <w:rPr>
                <w:color w:val="000000"/>
                <w:sz w:val="22"/>
                <w:szCs w:val="22"/>
              </w:rPr>
            </w:pPr>
            <w:r w:rsidRPr="00335E1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758E8C82" w14:textId="77777777" w:rsidR="001E078F" w:rsidRPr="00335E1A" w:rsidRDefault="001E078F" w:rsidP="00AC2EBB">
            <w:pPr>
              <w:rPr>
                <w:color w:val="000000"/>
                <w:sz w:val="22"/>
                <w:szCs w:val="22"/>
              </w:rPr>
            </w:pPr>
            <w:r w:rsidRPr="00335E1A">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8B158ED" w14:textId="77777777" w:rsidR="001E078F" w:rsidRPr="00335E1A" w:rsidRDefault="001E078F" w:rsidP="00AC2EBB">
            <w:pPr>
              <w:rPr>
                <w:color w:val="000000"/>
                <w:sz w:val="22"/>
                <w:szCs w:val="22"/>
              </w:rPr>
            </w:pPr>
            <w:r w:rsidRPr="00335E1A">
              <w:rPr>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46AD661F" w14:textId="77777777" w:rsidR="001E078F" w:rsidRPr="00335E1A" w:rsidRDefault="001E078F" w:rsidP="00AC2EBB">
            <w:pPr>
              <w:rPr>
                <w:color w:val="000000"/>
                <w:sz w:val="22"/>
                <w:szCs w:val="22"/>
              </w:rPr>
            </w:pPr>
            <w:r w:rsidRPr="00335E1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05338E01" w14:textId="77777777" w:rsidR="001E078F" w:rsidRPr="00335E1A" w:rsidRDefault="001E078F" w:rsidP="00AC2EBB">
            <w:pPr>
              <w:rPr>
                <w:color w:val="000000"/>
                <w:sz w:val="16"/>
                <w:szCs w:val="16"/>
              </w:rPr>
            </w:pPr>
            <w:r w:rsidRPr="00335E1A">
              <w:rPr>
                <w:color w:val="000000"/>
                <w:sz w:val="16"/>
                <w:szCs w:val="16"/>
              </w:rPr>
              <w:t>ik gadu</w:t>
            </w:r>
          </w:p>
        </w:tc>
        <w:tc>
          <w:tcPr>
            <w:tcW w:w="1134" w:type="dxa"/>
            <w:tcBorders>
              <w:top w:val="nil"/>
              <w:left w:val="nil"/>
              <w:bottom w:val="single" w:sz="4" w:space="0" w:color="auto"/>
              <w:right w:val="single" w:sz="4" w:space="0" w:color="auto"/>
            </w:tcBorders>
            <w:shd w:val="clear" w:color="auto" w:fill="auto"/>
            <w:noWrap/>
            <w:vAlign w:val="bottom"/>
            <w:hideMark/>
          </w:tcPr>
          <w:p w14:paraId="25DB6E91" w14:textId="77777777" w:rsidR="001E078F" w:rsidRPr="00335E1A" w:rsidRDefault="001E078F" w:rsidP="00AC2EBB">
            <w:pPr>
              <w:rPr>
                <w:color w:val="000000"/>
                <w:sz w:val="22"/>
                <w:szCs w:val="22"/>
              </w:rPr>
            </w:pPr>
            <w:r w:rsidRPr="00335E1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6E2D7EF9" w14:textId="77777777" w:rsidR="001E078F" w:rsidRPr="00335E1A" w:rsidRDefault="001E078F" w:rsidP="00AC2EBB">
            <w:pPr>
              <w:rPr>
                <w:color w:val="000000"/>
                <w:sz w:val="16"/>
                <w:szCs w:val="16"/>
              </w:rPr>
            </w:pPr>
            <w:r w:rsidRPr="00335E1A">
              <w:rPr>
                <w:color w:val="000000"/>
                <w:sz w:val="16"/>
                <w:szCs w:val="16"/>
              </w:rPr>
              <w:t>2015/2014</w:t>
            </w:r>
          </w:p>
        </w:tc>
        <w:tc>
          <w:tcPr>
            <w:tcW w:w="1417" w:type="dxa"/>
            <w:tcBorders>
              <w:top w:val="nil"/>
              <w:left w:val="nil"/>
              <w:bottom w:val="single" w:sz="4" w:space="0" w:color="auto"/>
              <w:right w:val="single" w:sz="4" w:space="0" w:color="auto"/>
            </w:tcBorders>
            <w:shd w:val="clear" w:color="auto" w:fill="auto"/>
            <w:noWrap/>
            <w:vAlign w:val="bottom"/>
            <w:hideMark/>
          </w:tcPr>
          <w:p w14:paraId="626D0F8A" w14:textId="77777777" w:rsidR="001E078F" w:rsidRPr="00335E1A" w:rsidRDefault="001E078F" w:rsidP="00AC2EBB">
            <w:pPr>
              <w:rPr>
                <w:color w:val="000000"/>
                <w:sz w:val="16"/>
                <w:szCs w:val="16"/>
              </w:rPr>
            </w:pPr>
            <w:r w:rsidRPr="00335E1A">
              <w:rPr>
                <w:color w:val="000000"/>
                <w:sz w:val="16"/>
                <w:szCs w:val="16"/>
              </w:rPr>
              <w:t>2016/2015</w:t>
            </w:r>
          </w:p>
        </w:tc>
        <w:tc>
          <w:tcPr>
            <w:tcW w:w="1276" w:type="dxa"/>
            <w:tcBorders>
              <w:top w:val="nil"/>
              <w:left w:val="nil"/>
              <w:bottom w:val="single" w:sz="4" w:space="0" w:color="auto"/>
              <w:right w:val="single" w:sz="4" w:space="0" w:color="auto"/>
            </w:tcBorders>
            <w:shd w:val="clear" w:color="auto" w:fill="auto"/>
            <w:noWrap/>
            <w:vAlign w:val="bottom"/>
            <w:hideMark/>
          </w:tcPr>
          <w:p w14:paraId="0CFA0F5B" w14:textId="77777777" w:rsidR="001E078F" w:rsidRPr="00335E1A" w:rsidRDefault="001E078F" w:rsidP="00AC2EBB">
            <w:pPr>
              <w:rPr>
                <w:color w:val="000000"/>
                <w:sz w:val="16"/>
                <w:szCs w:val="16"/>
              </w:rPr>
            </w:pPr>
            <w:r w:rsidRPr="00335E1A">
              <w:rPr>
                <w:color w:val="000000"/>
                <w:sz w:val="16"/>
                <w:szCs w:val="16"/>
              </w:rPr>
              <w:t>2017/2015</w:t>
            </w:r>
          </w:p>
        </w:tc>
      </w:tr>
      <w:tr w:rsidR="001E078F" w:rsidRPr="00335E1A" w14:paraId="7A42B9B9" w14:textId="77777777" w:rsidTr="004970AC">
        <w:trPr>
          <w:gridAfter w:val="2"/>
          <w:wAfter w:w="567" w:type="dxa"/>
          <w:trHeight w:val="345"/>
        </w:trPr>
        <w:tc>
          <w:tcPr>
            <w:tcW w:w="5812"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BFBF1A3" w14:textId="77777777" w:rsidR="001E078F" w:rsidRPr="00335E1A" w:rsidRDefault="001E078F" w:rsidP="00AC2EBB">
            <w:pPr>
              <w:jc w:val="right"/>
              <w:rPr>
                <w:color w:val="000000"/>
                <w:sz w:val="22"/>
                <w:szCs w:val="22"/>
              </w:rPr>
            </w:pPr>
            <w:r w:rsidRPr="00335E1A">
              <w:rPr>
                <w:color w:val="000000"/>
                <w:sz w:val="22"/>
                <w:szCs w:val="22"/>
              </w:rPr>
              <w:t xml:space="preserve">Izmaiņas pret 2015.gada budžetu </w:t>
            </w:r>
          </w:p>
        </w:tc>
        <w:tc>
          <w:tcPr>
            <w:tcW w:w="269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B71E1B0" w14:textId="77777777" w:rsidR="001E078F" w:rsidRPr="00335E1A" w:rsidRDefault="001E078F" w:rsidP="00AC2EBB">
            <w:pPr>
              <w:jc w:val="center"/>
              <w:rPr>
                <w:b/>
                <w:bCs/>
                <w:color w:val="000000"/>
                <w:sz w:val="22"/>
                <w:szCs w:val="22"/>
              </w:rPr>
            </w:pPr>
            <w:r w:rsidRPr="00335E1A">
              <w:rPr>
                <w:b/>
                <w:bCs/>
                <w:color w:val="000000"/>
                <w:sz w:val="22"/>
                <w:szCs w:val="22"/>
              </w:rPr>
              <w:t>Valsts budžets</w:t>
            </w:r>
            <w:r w:rsidRPr="00335E1A">
              <w:rPr>
                <w:b/>
                <w:bCs/>
                <w:color w:val="000000"/>
                <w:sz w:val="22"/>
                <w:szCs w:val="22"/>
                <w:vertAlign w:val="superscript"/>
              </w:rPr>
              <w:t xml:space="preserve"> 2</w:t>
            </w:r>
          </w:p>
        </w:tc>
        <w:tc>
          <w:tcPr>
            <w:tcW w:w="1276" w:type="dxa"/>
            <w:tcBorders>
              <w:top w:val="nil"/>
              <w:left w:val="nil"/>
              <w:bottom w:val="single" w:sz="4" w:space="0" w:color="auto"/>
              <w:right w:val="single" w:sz="4" w:space="0" w:color="auto"/>
            </w:tcBorders>
            <w:shd w:val="clear" w:color="auto" w:fill="auto"/>
            <w:noWrap/>
            <w:vAlign w:val="bottom"/>
            <w:hideMark/>
          </w:tcPr>
          <w:p w14:paraId="0AEC1739" w14:textId="77777777" w:rsidR="001E078F" w:rsidRPr="00335E1A" w:rsidRDefault="001E078F" w:rsidP="00AC2EBB">
            <w:pPr>
              <w:jc w:val="right"/>
              <w:rPr>
                <w:b/>
                <w:bCs/>
                <w:color w:val="000000"/>
                <w:sz w:val="22"/>
                <w:szCs w:val="22"/>
              </w:rPr>
            </w:pPr>
            <w:r w:rsidRPr="00335E1A">
              <w:rPr>
                <w:b/>
                <w:bCs/>
                <w:color w:val="000000"/>
                <w:sz w:val="22"/>
                <w:szCs w:val="22"/>
              </w:rPr>
              <w:t>148 355</w:t>
            </w:r>
          </w:p>
        </w:tc>
        <w:tc>
          <w:tcPr>
            <w:tcW w:w="1134" w:type="dxa"/>
            <w:tcBorders>
              <w:top w:val="nil"/>
              <w:left w:val="nil"/>
              <w:bottom w:val="single" w:sz="4" w:space="0" w:color="auto"/>
              <w:right w:val="single" w:sz="4" w:space="0" w:color="auto"/>
            </w:tcBorders>
            <w:shd w:val="clear" w:color="auto" w:fill="auto"/>
            <w:noWrap/>
            <w:vAlign w:val="bottom"/>
            <w:hideMark/>
          </w:tcPr>
          <w:p w14:paraId="1E43A9F8" w14:textId="77777777" w:rsidR="001E078F" w:rsidRPr="00335E1A" w:rsidRDefault="001E078F" w:rsidP="00AC2EBB">
            <w:pPr>
              <w:rPr>
                <w:b/>
                <w:bCs/>
                <w:color w:val="000000"/>
                <w:sz w:val="22"/>
                <w:szCs w:val="22"/>
              </w:rPr>
            </w:pPr>
            <w:r w:rsidRPr="00335E1A">
              <w:rPr>
                <w:b/>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24DC54C7" w14:textId="77777777" w:rsidR="001E078F" w:rsidRPr="00335E1A" w:rsidRDefault="001E078F" w:rsidP="00AC2EBB">
            <w:pPr>
              <w:jc w:val="right"/>
              <w:rPr>
                <w:b/>
                <w:bCs/>
                <w:color w:val="000000"/>
                <w:sz w:val="22"/>
                <w:szCs w:val="22"/>
              </w:rPr>
            </w:pPr>
            <w:r w:rsidRPr="00335E1A">
              <w:rPr>
                <w:b/>
                <w:bCs/>
                <w:color w:val="000000"/>
                <w:sz w:val="22"/>
                <w:szCs w:val="22"/>
              </w:rPr>
              <w:t>464 621</w:t>
            </w:r>
          </w:p>
        </w:tc>
        <w:tc>
          <w:tcPr>
            <w:tcW w:w="1417" w:type="dxa"/>
            <w:tcBorders>
              <w:top w:val="nil"/>
              <w:left w:val="nil"/>
              <w:bottom w:val="single" w:sz="4" w:space="0" w:color="auto"/>
              <w:right w:val="single" w:sz="4" w:space="0" w:color="auto"/>
            </w:tcBorders>
            <w:shd w:val="clear" w:color="auto" w:fill="auto"/>
            <w:noWrap/>
            <w:vAlign w:val="bottom"/>
            <w:hideMark/>
          </w:tcPr>
          <w:p w14:paraId="33AD2D49" w14:textId="77777777" w:rsidR="001E078F" w:rsidRPr="00335E1A" w:rsidRDefault="001E078F" w:rsidP="00AC2EBB">
            <w:pPr>
              <w:jc w:val="right"/>
              <w:rPr>
                <w:b/>
                <w:bCs/>
                <w:color w:val="000000"/>
                <w:sz w:val="22"/>
                <w:szCs w:val="22"/>
              </w:rPr>
            </w:pPr>
            <w:r w:rsidRPr="00335E1A">
              <w:rPr>
                <w:b/>
                <w:bCs/>
                <w:color w:val="000000"/>
                <w:sz w:val="22"/>
                <w:szCs w:val="22"/>
              </w:rPr>
              <w:t>1 040 660</w:t>
            </w:r>
          </w:p>
        </w:tc>
        <w:tc>
          <w:tcPr>
            <w:tcW w:w="1276" w:type="dxa"/>
            <w:tcBorders>
              <w:top w:val="nil"/>
              <w:left w:val="nil"/>
              <w:bottom w:val="single" w:sz="4" w:space="0" w:color="auto"/>
              <w:right w:val="single" w:sz="4" w:space="0" w:color="auto"/>
            </w:tcBorders>
            <w:shd w:val="clear" w:color="auto" w:fill="auto"/>
            <w:noWrap/>
            <w:vAlign w:val="bottom"/>
            <w:hideMark/>
          </w:tcPr>
          <w:p w14:paraId="15AF1EF1" w14:textId="77777777" w:rsidR="001E078F" w:rsidRPr="00335E1A" w:rsidRDefault="001E078F" w:rsidP="00AC2EBB">
            <w:pPr>
              <w:jc w:val="right"/>
              <w:rPr>
                <w:b/>
                <w:bCs/>
                <w:color w:val="000000"/>
                <w:sz w:val="22"/>
                <w:szCs w:val="22"/>
              </w:rPr>
            </w:pPr>
            <w:r w:rsidRPr="00335E1A">
              <w:rPr>
                <w:b/>
                <w:bCs/>
                <w:color w:val="000000"/>
                <w:sz w:val="22"/>
                <w:szCs w:val="22"/>
              </w:rPr>
              <w:t>2 081 320</w:t>
            </w:r>
          </w:p>
        </w:tc>
      </w:tr>
      <w:tr w:rsidR="001E078F" w:rsidRPr="00335E1A" w14:paraId="49157C2B" w14:textId="77777777" w:rsidTr="004970AC">
        <w:trPr>
          <w:gridAfter w:val="2"/>
          <w:wAfter w:w="567" w:type="dxa"/>
          <w:trHeight w:val="300"/>
        </w:trPr>
        <w:tc>
          <w:tcPr>
            <w:tcW w:w="5812" w:type="dxa"/>
            <w:gridSpan w:val="4"/>
            <w:vMerge/>
            <w:tcBorders>
              <w:top w:val="single" w:sz="4" w:space="0" w:color="auto"/>
              <w:left w:val="single" w:sz="4" w:space="0" w:color="auto"/>
              <w:bottom w:val="single" w:sz="4" w:space="0" w:color="000000"/>
              <w:right w:val="single" w:sz="4" w:space="0" w:color="000000"/>
            </w:tcBorders>
            <w:vAlign w:val="center"/>
            <w:hideMark/>
          </w:tcPr>
          <w:p w14:paraId="6CDBD48F" w14:textId="77777777" w:rsidR="001E078F" w:rsidRPr="00335E1A" w:rsidRDefault="001E078F" w:rsidP="00AC2EBB">
            <w:pPr>
              <w:rPr>
                <w:color w:val="000000"/>
                <w:sz w:val="22"/>
                <w:szCs w:val="22"/>
              </w:rPr>
            </w:pPr>
          </w:p>
        </w:tc>
        <w:tc>
          <w:tcPr>
            <w:tcW w:w="269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8765095" w14:textId="77777777" w:rsidR="001E078F" w:rsidRPr="00335E1A" w:rsidRDefault="001E078F" w:rsidP="00AC2EBB">
            <w:pPr>
              <w:jc w:val="center"/>
              <w:rPr>
                <w:b/>
                <w:bCs/>
                <w:color w:val="000000"/>
                <w:sz w:val="22"/>
                <w:szCs w:val="22"/>
              </w:rPr>
            </w:pPr>
            <w:r w:rsidRPr="00335E1A">
              <w:rPr>
                <w:b/>
                <w:bCs/>
                <w:color w:val="000000"/>
                <w:sz w:val="22"/>
                <w:szCs w:val="22"/>
              </w:rPr>
              <w:t>Pašvaldību budžets</w:t>
            </w:r>
          </w:p>
        </w:tc>
        <w:tc>
          <w:tcPr>
            <w:tcW w:w="1276" w:type="dxa"/>
            <w:tcBorders>
              <w:top w:val="nil"/>
              <w:left w:val="nil"/>
              <w:bottom w:val="single" w:sz="4" w:space="0" w:color="auto"/>
              <w:right w:val="single" w:sz="4" w:space="0" w:color="auto"/>
            </w:tcBorders>
            <w:shd w:val="clear" w:color="auto" w:fill="auto"/>
            <w:noWrap/>
            <w:vAlign w:val="bottom"/>
            <w:hideMark/>
          </w:tcPr>
          <w:p w14:paraId="7DFE4DD9" w14:textId="77777777" w:rsidR="001E078F" w:rsidRPr="00335E1A" w:rsidRDefault="001E078F" w:rsidP="00AC2EBB">
            <w:pPr>
              <w:jc w:val="right"/>
              <w:rPr>
                <w:b/>
                <w:bCs/>
                <w:color w:val="000000"/>
                <w:sz w:val="22"/>
                <w:szCs w:val="22"/>
              </w:rPr>
            </w:pPr>
            <w:r w:rsidRPr="00335E1A">
              <w:rPr>
                <w:b/>
                <w:bCs/>
                <w:color w:val="000000"/>
                <w:sz w:val="22"/>
                <w:szCs w:val="22"/>
              </w:rPr>
              <w:t>393 061</w:t>
            </w:r>
          </w:p>
        </w:tc>
        <w:tc>
          <w:tcPr>
            <w:tcW w:w="1134" w:type="dxa"/>
            <w:tcBorders>
              <w:top w:val="nil"/>
              <w:left w:val="nil"/>
              <w:bottom w:val="single" w:sz="4" w:space="0" w:color="auto"/>
              <w:right w:val="single" w:sz="4" w:space="0" w:color="auto"/>
            </w:tcBorders>
            <w:shd w:val="clear" w:color="auto" w:fill="auto"/>
            <w:noWrap/>
            <w:vAlign w:val="bottom"/>
            <w:hideMark/>
          </w:tcPr>
          <w:p w14:paraId="1FFD895A" w14:textId="77777777" w:rsidR="001E078F" w:rsidRPr="00335E1A" w:rsidRDefault="001E078F" w:rsidP="00AC2EBB">
            <w:pPr>
              <w:rPr>
                <w:b/>
                <w:bCs/>
                <w:color w:val="000000"/>
                <w:sz w:val="22"/>
                <w:szCs w:val="22"/>
              </w:rPr>
            </w:pPr>
            <w:r w:rsidRPr="00335E1A">
              <w:rPr>
                <w:b/>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5C8AFD90" w14:textId="77777777" w:rsidR="001E078F" w:rsidRPr="00335E1A" w:rsidRDefault="001E078F" w:rsidP="00AC2EBB">
            <w:pPr>
              <w:jc w:val="right"/>
              <w:rPr>
                <w:b/>
                <w:bCs/>
                <w:color w:val="000000"/>
                <w:sz w:val="22"/>
                <w:szCs w:val="22"/>
              </w:rPr>
            </w:pPr>
            <w:r w:rsidRPr="00335E1A">
              <w:rPr>
                <w:b/>
                <w:bCs/>
                <w:color w:val="000000"/>
                <w:sz w:val="22"/>
                <w:szCs w:val="22"/>
              </w:rPr>
              <w:t>83 380</w:t>
            </w:r>
          </w:p>
        </w:tc>
        <w:tc>
          <w:tcPr>
            <w:tcW w:w="1417" w:type="dxa"/>
            <w:tcBorders>
              <w:top w:val="nil"/>
              <w:left w:val="nil"/>
              <w:bottom w:val="single" w:sz="4" w:space="0" w:color="auto"/>
              <w:right w:val="single" w:sz="4" w:space="0" w:color="auto"/>
            </w:tcBorders>
            <w:shd w:val="clear" w:color="auto" w:fill="auto"/>
            <w:noWrap/>
            <w:vAlign w:val="bottom"/>
            <w:hideMark/>
          </w:tcPr>
          <w:p w14:paraId="5B2E5C2C" w14:textId="77777777" w:rsidR="001E078F" w:rsidRPr="00335E1A" w:rsidRDefault="001E078F" w:rsidP="00AC2EBB">
            <w:pPr>
              <w:jc w:val="right"/>
              <w:rPr>
                <w:b/>
                <w:bCs/>
                <w:color w:val="000000"/>
                <w:sz w:val="22"/>
                <w:szCs w:val="22"/>
              </w:rPr>
            </w:pPr>
            <w:r w:rsidRPr="00335E1A">
              <w:rPr>
                <w:b/>
                <w:bCs/>
                <w:color w:val="000000"/>
                <w:sz w:val="22"/>
                <w:szCs w:val="22"/>
              </w:rPr>
              <w:t>579 718</w:t>
            </w:r>
          </w:p>
        </w:tc>
        <w:tc>
          <w:tcPr>
            <w:tcW w:w="1276" w:type="dxa"/>
            <w:tcBorders>
              <w:top w:val="nil"/>
              <w:left w:val="nil"/>
              <w:bottom w:val="single" w:sz="4" w:space="0" w:color="auto"/>
              <w:right w:val="single" w:sz="4" w:space="0" w:color="auto"/>
            </w:tcBorders>
            <w:shd w:val="clear" w:color="auto" w:fill="auto"/>
            <w:noWrap/>
            <w:vAlign w:val="bottom"/>
            <w:hideMark/>
          </w:tcPr>
          <w:p w14:paraId="1C92DC2D" w14:textId="77777777" w:rsidR="001E078F" w:rsidRPr="00335E1A" w:rsidRDefault="001E078F" w:rsidP="00AC2EBB">
            <w:pPr>
              <w:jc w:val="right"/>
              <w:rPr>
                <w:b/>
                <w:bCs/>
                <w:color w:val="000000"/>
                <w:sz w:val="22"/>
                <w:szCs w:val="22"/>
              </w:rPr>
            </w:pPr>
            <w:r w:rsidRPr="00335E1A">
              <w:rPr>
                <w:b/>
                <w:bCs/>
                <w:color w:val="000000"/>
                <w:sz w:val="22"/>
                <w:szCs w:val="22"/>
              </w:rPr>
              <w:t>1 159 436</w:t>
            </w:r>
          </w:p>
        </w:tc>
      </w:tr>
      <w:tr w:rsidR="001E078F" w:rsidRPr="00335E1A" w14:paraId="3DF10684" w14:textId="77777777" w:rsidTr="004970AC">
        <w:trPr>
          <w:gridAfter w:val="2"/>
          <w:wAfter w:w="567" w:type="dxa"/>
          <w:trHeight w:val="300"/>
        </w:trPr>
        <w:tc>
          <w:tcPr>
            <w:tcW w:w="1985" w:type="dxa"/>
            <w:tcBorders>
              <w:top w:val="nil"/>
              <w:left w:val="nil"/>
              <w:bottom w:val="nil"/>
              <w:right w:val="nil"/>
            </w:tcBorders>
            <w:shd w:val="clear" w:color="auto" w:fill="auto"/>
            <w:noWrap/>
            <w:vAlign w:val="bottom"/>
            <w:hideMark/>
          </w:tcPr>
          <w:p w14:paraId="584964F2" w14:textId="77777777" w:rsidR="001E078F" w:rsidRPr="00335E1A" w:rsidRDefault="001E078F" w:rsidP="00AC2EBB">
            <w:pPr>
              <w:jc w:val="right"/>
              <w:rPr>
                <w:b/>
                <w:bCs/>
                <w:color w:val="000000"/>
                <w:sz w:val="22"/>
                <w:szCs w:val="22"/>
              </w:rPr>
            </w:pPr>
          </w:p>
        </w:tc>
        <w:tc>
          <w:tcPr>
            <w:tcW w:w="1417" w:type="dxa"/>
            <w:tcBorders>
              <w:top w:val="nil"/>
              <w:left w:val="nil"/>
              <w:bottom w:val="nil"/>
              <w:right w:val="nil"/>
            </w:tcBorders>
            <w:shd w:val="clear" w:color="auto" w:fill="auto"/>
            <w:noWrap/>
            <w:vAlign w:val="bottom"/>
            <w:hideMark/>
          </w:tcPr>
          <w:p w14:paraId="12B28443" w14:textId="77777777" w:rsidR="001E078F" w:rsidRPr="00335E1A" w:rsidRDefault="001E078F" w:rsidP="00AC2EBB">
            <w:pPr>
              <w:rPr>
                <w:sz w:val="20"/>
                <w:szCs w:val="20"/>
              </w:rPr>
            </w:pPr>
          </w:p>
        </w:tc>
        <w:tc>
          <w:tcPr>
            <w:tcW w:w="1418" w:type="dxa"/>
            <w:tcBorders>
              <w:top w:val="nil"/>
              <w:left w:val="nil"/>
              <w:bottom w:val="nil"/>
              <w:right w:val="nil"/>
            </w:tcBorders>
            <w:shd w:val="clear" w:color="auto" w:fill="auto"/>
            <w:noWrap/>
            <w:vAlign w:val="bottom"/>
            <w:hideMark/>
          </w:tcPr>
          <w:p w14:paraId="6588CAD7" w14:textId="77777777" w:rsidR="001E078F" w:rsidRPr="00335E1A" w:rsidRDefault="001E078F" w:rsidP="00AC2EBB">
            <w:pPr>
              <w:rPr>
                <w:sz w:val="20"/>
                <w:szCs w:val="20"/>
              </w:rPr>
            </w:pPr>
          </w:p>
        </w:tc>
        <w:tc>
          <w:tcPr>
            <w:tcW w:w="992" w:type="dxa"/>
            <w:tcBorders>
              <w:top w:val="nil"/>
              <w:left w:val="nil"/>
              <w:bottom w:val="nil"/>
              <w:right w:val="nil"/>
            </w:tcBorders>
            <w:shd w:val="clear" w:color="auto" w:fill="auto"/>
            <w:noWrap/>
            <w:vAlign w:val="bottom"/>
            <w:hideMark/>
          </w:tcPr>
          <w:p w14:paraId="4BDA8567" w14:textId="77777777" w:rsidR="001E078F" w:rsidRPr="00335E1A" w:rsidRDefault="001E078F" w:rsidP="00AC2EBB">
            <w:pPr>
              <w:rPr>
                <w:sz w:val="20"/>
                <w:szCs w:val="20"/>
              </w:rPr>
            </w:pPr>
          </w:p>
        </w:tc>
        <w:tc>
          <w:tcPr>
            <w:tcW w:w="1134" w:type="dxa"/>
            <w:tcBorders>
              <w:top w:val="nil"/>
              <w:left w:val="nil"/>
              <w:bottom w:val="nil"/>
              <w:right w:val="nil"/>
            </w:tcBorders>
            <w:shd w:val="clear" w:color="auto" w:fill="auto"/>
            <w:noWrap/>
            <w:vAlign w:val="bottom"/>
            <w:hideMark/>
          </w:tcPr>
          <w:p w14:paraId="193C9E75" w14:textId="77777777" w:rsidR="001E078F" w:rsidRPr="00335E1A" w:rsidRDefault="001E078F" w:rsidP="00AC2EBB">
            <w:pPr>
              <w:rPr>
                <w:sz w:val="20"/>
                <w:szCs w:val="20"/>
              </w:rPr>
            </w:pPr>
          </w:p>
        </w:tc>
        <w:tc>
          <w:tcPr>
            <w:tcW w:w="1559" w:type="dxa"/>
            <w:tcBorders>
              <w:top w:val="nil"/>
              <w:left w:val="nil"/>
              <w:bottom w:val="nil"/>
              <w:right w:val="nil"/>
            </w:tcBorders>
            <w:shd w:val="clear" w:color="auto" w:fill="auto"/>
            <w:noWrap/>
            <w:vAlign w:val="bottom"/>
            <w:hideMark/>
          </w:tcPr>
          <w:p w14:paraId="4597A068" w14:textId="77777777" w:rsidR="001E078F" w:rsidRPr="00335E1A" w:rsidRDefault="001E078F" w:rsidP="00AC2EBB">
            <w:pPr>
              <w:rPr>
                <w:sz w:val="20"/>
                <w:szCs w:val="20"/>
              </w:rPr>
            </w:pPr>
          </w:p>
        </w:tc>
        <w:tc>
          <w:tcPr>
            <w:tcW w:w="1276" w:type="dxa"/>
            <w:tcBorders>
              <w:top w:val="nil"/>
              <w:left w:val="nil"/>
              <w:bottom w:val="nil"/>
              <w:right w:val="nil"/>
            </w:tcBorders>
            <w:shd w:val="clear" w:color="auto" w:fill="auto"/>
            <w:noWrap/>
            <w:vAlign w:val="bottom"/>
            <w:hideMark/>
          </w:tcPr>
          <w:p w14:paraId="64F18E92" w14:textId="77777777" w:rsidR="001E078F" w:rsidRPr="00335E1A" w:rsidRDefault="001E078F" w:rsidP="00AC2EBB">
            <w:pPr>
              <w:rPr>
                <w:sz w:val="20"/>
                <w:szCs w:val="20"/>
              </w:rPr>
            </w:pPr>
          </w:p>
        </w:tc>
        <w:tc>
          <w:tcPr>
            <w:tcW w:w="1134" w:type="dxa"/>
            <w:tcBorders>
              <w:top w:val="nil"/>
              <w:left w:val="nil"/>
              <w:bottom w:val="nil"/>
              <w:right w:val="nil"/>
            </w:tcBorders>
            <w:shd w:val="clear" w:color="auto" w:fill="auto"/>
            <w:noWrap/>
            <w:vAlign w:val="bottom"/>
            <w:hideMark/>
          </w:tcPr>
          <w:p w14:paraId="21F75A3F" w14:textId="77777777" w:rsidR="001E078F" w:rsidRPr="00335E1A" w:rsidRDefault="001E078F" w:rsidP="00AC2EBB">
            <w:pPr>
              <w:rPr>
                <w:sz w:val="20"/>
                <w:szCs w:val="20"/>
              </w:rPr>
            </w:pPr>
          </w:p>
        </w:tc>
        <w:tc>
          <w:tcPr>
            <w:tcW w:w="1276" w:type="dxa"/>
            <w:tcBorders>
              <w:top w:val="nil"/>
              <w:left w:val="nil"/>
              <w:bottom w:val="nil"/>
              <w:right w:val="nil"/>
            </w:tcBorders>
            <w:shd w:val="clear" w:color="auto" w:fill="auto"/>
            <w:noWrap/>
            <w:vAlign w:val="bottom"/>
            <w:hideMark/>
          </w:tcPr>
          <w:p w14:paraId="294DE93F" w14:textId="77777777" w:rsidR="001E078F" w:rsidRPr="00335E1A" w:rsidRDefault="001E078F" w:rsidP="00AC2EBB">
            <w:pPr>
              <w:rPr>
                <w:sz w:val="20"/>
                <w:szCs w:val="20"/>
              </w:rPr>
            </w:pPr>
          </w:p>
        </w:tc>
        <w:tc>
          <w:tcPr>
            <w:tcW w:w="1417" w:type="dxa"/>
            <w:tcBorders>
              <w:top w:val="nil"/>
              <w:left w:val="nil"/>
              <w:bottom w:val="nil"/>
              <w:right w:val="nil"/>
            </w:tcBorders>
            <w:shd w:val="clear" w:color="auto" w:fill="auto"/>
            <w:noWrap/>
            <w:vAlign w:val="bottom"/>
            <w:hideMark/>
          </w:tcPr>
          <w:p w14:paraId="2CF9DEDE" w14:textId="77777777" w:rsidR="001E078F" w:rsidRPr="00335E1A" w:rsidRDefault="001E078F" w:rsidP="00AC2EBB">
            <w:pPr>
              <w:rPr>
                <w:sz w:val="20"/>
                <w:szCs w:val="20"/>
              </w:rPr>
            </w:pPr>
          </w:p>
        </w:tc>
        <w:tc>
          <w:tcPr>
            <w:tcW w:w="1276" w:type="dxa"/>
            <w:tcBorders>
              <w:top w:val="nil"/>
              <w:left w:val="nil"/>
              <w:bottom w:val="nil"/>
              <w:right w:val="nil"/>
            </w:tcBorders>
            <w:shd w:val="clear" w:color="auto" w:fill="auto"/>
            <w:noWrap/>
            <w:vAlign w:val="bottom"/>
            <w:hideMark/>
          </w:tcPr>
          <w:p w14:paraId="08E7C158" w14:textId="77777777" w:rsidR="001E078F" w:rsidRPr="00335E1A" w:rsidRDefault="001E078F" w:rsidP="00AC2EBB">
            <w:pPr>
              <w:rPr>
                <w:sz w:val="20"/>
                <w:szCs w:val="20"/>
              </w:rPr>
            </w:pPr>
          </w:p>
        </w:tc>
      </w:tr>
      <w:tr w:rsidR="001E078F" w:rsidRPr="00335E1A" w14:paraId="08CE1B88" w14:textId="77777777" w:rsidTr="004970AC">
        <w:trPr>
          <w:gridAfter w:val="2"/>
          <w:wAfter w:w="567" w:type="dxa"/>
          <w:trHeight w:val="360"/>
        </w:trPr>
        <w:tc>
          <w:tcPr>
            <w:tcW w:w="8505" w:type="dxa"/>
            <w:gridSpan w:val="6"/>
            <w:tcBorders>
              <w:top w:val="nil"/>
              <w:left w:val="nil"/>
              <w:bottom w:val="nil"/>
              <w:right w:val="nil"/>
            </w:tcBorders>
            <w:shd w:val="clear" w:color="auto" w:fill="auto"/>
            <w:noWrap/>
            <w:vAlign w:val="bottom"/>
            <w:hideMark/>
          </w:tcPr>
          <w:p w14:paraId="6293BC9C" w14:textId="77777777" w:rsidR="001E078F" w:rsidRPr="00335E1A" w:rsidRDefault="001E078F" w:rsidP="00AC2EBB">
            <w:pPr>
              <w:rPr>
                <w:color w:val="000000"/>
                <w:sz w:val="22"/>
                <w:szCs w:val="22"/>
              </w:rPr>
            </w:pPr>
            <w:r w:rsidRPr="00335E1A">
              <w:rPr>
                <w:color w:val="000000"/>
                <w:sz w:val="22"/>
                <w:szCs w:val="22"/>
                <w:vertAlign w:val="superscript"/>
              </w:rPr>
              <w:t xml:space="preserve"> 1</w:t>
            </w:r>
            <w:r w:rsidRPr="00335E1A">
              <w:rPr>
                <w:color w:val="000000"/>
                <w:sz w:val="22"/>
                <w:szCs w:val="22"/>
              </w:rPr>
              <w:t xml:space="preserve"> Nobraukums autobusiem un trolejbusiem - veiktie kilometri; sliežu transportam (tramvaji; vilcieni) - veiktie vagonkilometri</w:t>
            </w:r>
          </w:p>
        </w:tc>
        <w:tc>
          <w:tcPr>
            <w:tcW w:w="1276" w:type="dxa"/>
            <w:tcBorders>
              <w:top w:val="nil"/>
              <w:left w:val="nil"/>
              <w:bottom w:val="nil"/>
              <w:right w:val="nil"/>
            </w:tcBorders>
            <w:shd w:val="clear" w:color="auto" w:fill="auto"/>
            <w:noWrap/>
            <w:vAlign w:val="bottom"/>
            <w:hideMark/>
          </w:tcPr>
          <w:p w14:paraId="58B79186" w14:textId="77777777" w:rsidR="001E078F" w:rsidRPr="00335E1A" w:rsidRDefault="001E078F" w:rsidP="00AC2EBB">
            <w:pPr>
              <w:rPr>
                <w:color w:val="000000"/>
                <w:sz w:val="22"/>
                <w:szCs w:val="22"/>
              </w:rPr>
            </w:pPr>
          </w:p>
        </w:tc>
        <w:tc>
          <w:tcPr>
            <w:tcW w:w="1134" w:type="dxa"/>
            <w:tcBorders>
              <w:top w:val="nil"/>
              <w:left w:val="nil"/>
              <w:bottom w:val="nil"/>
              <w:right w:val="nil"/>
            </w:tcBorders>
            <w:shd w:val="clear" w:color="auto" w:fill="auto"/>
            <w:noWrap/>
            <w:vAlign w:val="bottom"/>
            <w:hideMark/>
          </w:tcPr>
          <w:p w14:paraId="1556AE41" w14:textId="77777777" w:rsidR="001E078F" w:rsidRPr="00335E1A" w:rsidRDefault="001E078F" w:rsidP="00AC2EBB">
            <w:pPr>
              <w:rPr>
                <w:sz w:val="20"/>
                <w:szCs w:val="20"/>
              </w:rPr>
            </w:pPr>
          </w:p>
        </w:tc>
        <w:tc>
          <w:tcPr>
            <w:tcW w:w="1276" w:type="dxa"/>
            <w:tcBorders>
              <w:top w:val="nil"/>
              <w:left w:val="nil"/>
              <w:bottom w:val="nil"/>
              <w:right w:val="nil"/>
            </w:tcBorders>
            <w:shd w:val="clear" w:color="auto" w:fill="auto"/>
            <w:noWrap/>
            <w:vAlign w:val="bottom"/>
            <w:hideMark/>
          </w:tcPr>
          <w:p w14:paraId="3967AEA8" w14:textId="77777777" w:rsidR="001E078F" w:rsidRPr="00335E1A" w:rsidRDefault="001E078F" w:rsidP="00AC2EBB">
            <w:pPr>
              <w:rPr>
                <w:sz w:val="20"/>
                <w:szCs w:val="20"/>
              </w:rPr>
            </w:pPr>
          </w:p>
        </w:tc>
        <w:tc>
          <w:tcPr>
            <w:tcW w:w="1417" w:type="dxa"/>
            <w:tcBorders>
              <w:top w:val="nil"/>
              <w:left w:val="nil"/>
              <w:bottom w:val="nil"/>
              <w:right w:val="nil"/>
            </w:tcBorders>
            <w:shd w:val="clear" w:color="auto" w:fill="auto"/>
            <w:noWrap/>
            <w:vAlign w:val="bottom"/>
            <w:hideMark/>
          </w:tcPr>
          <w:p w14:paraId="59A441F7" w14:textId="77777777" w:rsidR="001E078F" w:rsidRPr="00335E1A" w:rsidRDefault="001E078F" w:rsidP="00AC2EBB">
            <w:pPr>
              <w:rPr>
                <w:sz w:val="20"/>
                <w:szCs w:val="20"/>
              </w:rPr>
            </w:pPr>
          </w:p>
        </w:tc>
        <w:tc>
          <w:tcPr>
            <w:tcW w:w="1276" w:type="dxa"/>
            <w:tcBorders>
              <w:top w:val="nil"/>
              <w:left w:val="nil"/>
              <w:bottom w:val="nil"/>
              <w:right w:val="nil"/>
            </w:tcBorders>
            <w:shd w:val="clear" w:color="auto" w:fill="auto"/>
            <w:noWrap/>
            <w:vAlign w:val="bottom"/>
            <w:hideMark/>
          </w:tcPr>
          <w:p w14:paraId="0D837FE5" w14:textId="77777777" w:rsidR="001E078F" w:rsidRPr="00335E1A" w:rsidRDefault="001E078F" w:rsidP="00AC2EBB">
            <w:pPr>
              <w:rPr>
                <w:sz w:val="20"/>
                <w:szCs w:val="20"/>
              </w:rPr>
            </w:pPr>
          </w:p>
        </w:tc>
      </w:tr>
      <w:tr w:rsidR="001E078F" w:rsidRPr="00335E1A" w14:paraId="30D7D918" w14:textId="77777777" w:rsidTr="004970AC">
        <w:trPr>
          <w:gridAfter w:val="2"/>
          <w:wAfter w:w="567" w:type="dxa"/>
          <w:trHeight w:val="360"/>
        </w:trPr>
        <w:tc>
          <w:tcPr>
            <w:tcW w:w="13608" w:type="dxa"/>
            <w:gridSpan w:val="10"/>
            <w:tcBorders>
              <w:top w:val="nil"/>
              <w:left w:val="nil"/>
              <w:bottom w:val="nil"/>
              <w:right w:val="nil"/>
            </w:tcBorders>
            <w:shd w:val="clear" w:color="auto" w:fill="auto"/>
            <w:noWrap/>
            <w:vAlign w:val="bottom"/>
            <w:hideMark/>
          </w:tcPr>
          <w:p w14:paraId="6602F1BE" w14:textId="77777777" w:rsidR="001E078F" w:rsidRPr="00335E1A" w:rsidRDefault="001E078F" w:rsidP="00AC2EBB">
            <w:pPr>
              <w:rPr>
                <w:color w:val="000000"/>
                <w:sz w:val="22"/>
                <w:szCs w:val="22"/>
              </w:rPr>
            </w:pPr>
            <w:r w:rsidRPr="00335E1A">
              <w:rPr>
                <w:color w:val="000000"/>
                <w:sz w:val="22"/>
                <w:szCs w:val="22"/>
                <w:vertAlign w:val="superscript"/>
              </w:rPr>
              <w:t xml:space="preserve"> 2</w:t>
            </w:r>
            <w:r w:rsidRPr="00335E1A">
              <w:rPr>
                <w:color w:val="000000"/>
                <w:sz w:val="22"/>
                <w:szCs w:val="22"/>
              </w:rPr>
              <w:t xml:space="preserve"> Valsts budžeta izdevumos nav aprēķināta ietekme no zaudējumiem, kas radušies par pilsētas nozīmes maršrutiem, kas iziet ārpus pilsētas administratīvās teritorijas vairāk kā 30%. </w:t>
            </w:r>
          </w:p>
        </w:tc>
        <w:tc>
          <w:tcPr>
            <w:tcW w:w="1276" w:type="dxa"/>
            <w:tcBorders>
              <w:top w:val="nil"/>
              <w:left w:val="nil"/>
              <w:bottom w:val="nil"/>
              <w:right w:val="nil"/>
            </w:tcBorders>
            <w:shd w:val="clear" w:color="auto" w:fill="auto"/>
            <w:noWrap/>
            <w:vAlign w:val="bottom"/>
            <w:hideMark/>
          </w:tcPr>
          <w:p w14:paraId="1A00EEDA" w14:textId="77777777" w:rsidR="001E078F" w:rsidRPr="00335E1A" w:rsidRDefault="001E078F" w:rsidP="00AC2EBB">
            <w:pPr>
              <w:rPr>
                <w:color w:val="000000"/>
                <w:sz w:val="22"/>
                <w:szCs w:val="22"/>
              </w:rPr>
            </w:pPr>
          </w:p>
        </w:tc>
      </w:tr>
    </w:tbl>
    <w:p w14:paraId="4BE8E60D" w14:textId="77777777" w:rsidR="001E078F" w:rsidRDefault="001E078F"/>
    <w:sectPr w:rsidR="001E078F" w:rsidSect="00B63299">
      <w:pgSz w:w="16838" w:h="11906" w:orient="landscape"/>
      <w:pgMar w:top="1134" w:right="1134"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723A5" w14:textId="77777777" w:rsidR="00280367" w:rsidRDefault="00280367" w:rsidP="00265120">
      <w:r>
        <w:separator/>
      </w:r>
    </w:p>
  </w:endnote>
  <w:endnote w:type="continuationSeparator" w:id="0">
    <w:p w14:paraId="61C9585B" w14:textId="77777777" w:rsidR="00280367" w:rsidRDefault="00280367" w:rsidP="00265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A1ED8" w14:textId="24D14951" w:rsidR="00FC5EAD" w:rsidRPr="004C6E6A" w:rsidRDefault="00FC5EAD" w:rsidP="00265120">
    <w:pPr>
      <w:pStyle w:val="Footer"/>
      <w:tabs>
        <w:tab w:val="clear" w:pos="4153"/>
        <w:tab w:val="clear" w:pos="8306"/>
      </w:tabs>
      <w:jc w:val="both"/>
      <w:rPr>
        <w:sz w:val="18"/>
        <w:szCs w:val="18"/>
      </w:rPr>
    </w:pPr>
    <w:r w:rsidRPr="004C6E6A">
      <w:rPr>
        <w:sz w:val="18"/>
        <w:szCs w:val="18"/>
      </w:rPr>
      <w:t>SAMAnot_</w:t>
    </w:r>
    <w:r w:rsidR="00752A17">
      <w:rPr>
        <w:sz w:val="18"/>
        <w:szCs w:val="18"/>
      </w:rPr>
      <w:t>26</w:t>
    </w:r>
    <w:r>
      <w:rPr>
        <w:sz w:val="18"/>
        <w:szCs w:val="18"/>
      </w:rPr>
      <w:t>0</w:t>
    </w:r>
    <w:r w:rsidR="00752A17">
      <w:rPr>
        <w:sz w:val="18"/>
        <w:szCs w:val="18"/>
      </w:rPr>
      <w:t>6</w:t>
    </w:r>
    <w:r>
      <w:rPr>
        <w:sz w:val="18"/>
        <w:szCs w:val="18"/>
      </w:rPr>
      <w:t>15</w:t>
    </w:r>
    <w:r w:rsidRPr="004C6E6A">
      <w:rPr>
        <w:sz w:val="18"/>
        <w:szCs w:val="18"/>
      </w:rPr>
      <w:t>_zaud; Ministru kabineta noteikumu projekta „Kārtība, kādā nosaka un kompensē ar sabiedriskā transporta pakalpojumu sniegšanu saistītos zaudējumus un izdevumus un nosaka sabiedriskā transporta pakalpojuma tarifu” sākotnējās ietekmes novērtējuma ziņojums (anotācija)</w:t>
    </w:r>
  </w:p>
  <w:p w14:paraId="4ACE02F5" w14:textId="77777777" w:rsidR="00FC5EAD" w:rsidRPr="00EA741A" w:rsidRDefault="00FC5EAD" w:rsidP="00C3136D">
    <w:pPr>
      <w:pStyle w:val="BodyText"/>
      <w:rPr>
        <w:b/>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6B1D0" w14:textId="7EEF0F70" w:rsidR="00FC5EAD" w:rsidRPr="004C6E6A" w:rsidRDefault="00FC5EAD" w:rsidP="00265120">
    <w:pPr>
      <w:pStyle w:val="Footer"/>
      <w:tabs>
        <w:tab w:val="clear" w:pos="4153"/>
        <w:tab w:val="clear" w:pos="8306"/>
      </w:tabs>
      <w:jc w:val="both"/>
      <w:rPr>
        <w:sz w:val="18"/>
        <w:szCs w:val="18"/>
      </w:rPr>
    </w:pPr>
    <w:r w:rsidRPr="004C6E6A">
      <w:rPr>
        <w:sz w:val="18"/>
        <w:szCs w:val="18"/>
      </w:rPr>
      <w:t>SAMAnot_</w:t>
    </w:r>
    <w:r w:rsidR="00752A17">
      <w:rPr>
        <w:sz w:val="18"/>
        <w:szCs w:val="18"/>
      </w:rPr>
      <w:t>26</w:t>
    </w:r>
    <w:r>
      <w:rPr>
        <w:sz w:val="18"/>
        <w:szCs w:val="18"/>
      </w:rPr>
      <w:t>0</w:t>
    </w:r>
    <w:r w:rsidR="00752A17">
      <w:rPr>
        <w:sz w:val="18"/>
        <w:szCs w:val="18"/>
      </w:rPr>
      <w:t>6</w:t>
    </w:r>
    <w:r>
      <w:rPr>
        <w:sz w:val="18"/>
        <w:szCs w:val="18"/>
      </w:rPr>
      <w:t>15</w:t>
    </w:r>
    <w:r w:rsidRPr="004C6E6A">
      <w:rPr>
        <w:sz w:val="18"/>
        <w:szCs w:val="18"/>
      </w:rPr>
      <w:t>_zaud; Ministru kabineta noteikumu projekta „Kārtība, kādā nosaka un kompensē ar sabiedriskā transporta pakalpojumu sniegšanu saistītos zaudējumus un izdevumus un nosaka sabiedriskā transporta pakalpojuma tarifu”” sākotnējās ietekmes novērtējuma ziņojums (anotācija)</w:t>
    </w:r>
  </w:p>
  <w:p w14:paraId="4F303122" w14:textId="77777777" w:rsidR="00FC5EAD" w:rsidRDefault="00FC5EAD" w:rsidP="00C3136D">
    <w:pPr>
      <w:pStyle w:val="BodyText"/>
      <w:rPr>
        <w:sz w:val="22"/>
        <w:szCs w:val="22"/>
      </w:rPr>
    </w:pPr>
  </w:p>
  <w:p w14:paraId="06D9C484" w14:textId="77777777" w:rsidR="00FC5EAD" w:rsidRDefault="00FC5EAD" w:rsidP="00C3136D">
    <w:pPr>
      <w:pStyle w:val="BodyText"/>
      <w:jc w:val="center"/>
      <w:rPr>
        <w:sz w:val="22"/>
        <w:szCs w:val="22"/>
      </w:rPr>
    </w:pPr>
  </w:p>
  <w:p w14:paraId="6B54A34A" w14:textId="77777777" w:rsidR="00FC5EAD" w:rsidRPr="00EA741A" w:rsidRDefault="00FC5EAD" w:rsidP="00C3136D">
    <w:pPr>
      <w:pStyle w:val="BodyText"/>
      <w:rPr>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FECE9" w14:textId="77777777" w:rsidR="00280367" w:rsidRDefault="00280367" w:rsidP="00265120">
      <w:r>
        <w:separator/>
      </w:r>
    </w:p>
  </w:footnote>
  <w:footnote w:type="continuationSeparator" w:id="0">
    <w:p w14:paraId="13C521C0" w14:textId="77777777" w:rsidR="00280367" w:rsidRDefault="00280367" w:rsidP="00265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2FBEB" w14:textId="77777777" w:rsidR="00FC5EAD" w:rsidRDefault="00FC5EAD" w:rsidP="00C313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173904" w14:textId="77777777" w:rsidR="00FC5EAD" w:rsidRDefault="00FC5E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01FC6" w14:textId="77777777" w:rsidR="00FC5EAD" w:rsidRDefault="00FC5EAD" w:rsidP="00C313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406B">
      <w:rPr>
        <w:rStyle w:val="PageNumber"/>
        <w:noProof/>
      </w:rPr>
      <w:t>11</w:t>
    </w:r>
    <w:r>
      <w:rPr>
        <w:rStyle w:val="PageNumber"/>
      </w:rPr>
      <w:fldChar w:fldCharType="end"/>
    </w:r>
  </w:p>
  <w:p w14:paraId="2FAF9931" w14:textId="77777777" w:rsidR="00FC5EAD" w:rsidRDefault="00FC5EAD" w:rsidP="00C3136D">
    <w:pPr>
      <w:pStyle w:val="BodyText"/>
      <w:jc w:val="center"/>
      <w:rPr>
        <w:sz w:val="22"/>
        <w:szCs w:val="22"/>
      </w:rPr>
    </w:pPr>
  </w:p>
  <w:p w14:paraId="7E94B15B" w14:textId="77777777" w:rsidR="00FC5EAD" w:rsidRDefault="00FC5E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6EFA"/>
    <w:multiLevelType w:val="hybridMultilevel"/>
    <w:tmpl w:val="B9D01A32"/>
    <w:lvl w:ilvl="0" w:tplc="74FA095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4D47B71"/>
    <w:multiLevelType w:val="hybridMultilevel"/>
    <w:tmpl w:val="D466FF82"/>
    <w:lvl w:ilvl="0" w:tplc="D3502DB0">
      <w:start w:val="1"/>
      <w:numFmt w:val="bullet"/>
      <w:lvlText w:val="-"/>
      <w:lvlJc w:val="left"/>
      <w:pPr>
        <w:tabs>
          <w:tab w:val="num" w:pos="720"/>
        </w:tabs>
        <w:ind w:left="720" w:hanging="360"/>
      </w:pPr>
      <w:rPr>
        <w:rFonts w:ascii="Times New Roman" w:hAnsi="Times New Roman" w:hint="default"/>
      </w:rPr>
    </w:lvl>
    <w:lvl w:ilvl="1" w:tplc="3E2ED7C8" w:tentative="1">
      <w:start w:val="1"/>
      <w:numFmt w:val="bullet"/>
      <w:lvlText w:val="-"/>
      <w:lvlJc w:val="left"/>
      <w:pPr>
        <w:tabs>
          <w:tab w:val="num" w:pos="1440"/>
        </w:tabs>
        <w:ind w:left="1440" w:hanging="360"/>
      </w:pPr>
      <w:rPr>
        <w:rFonts w:ascii="Times New Roman" w:hAnsi="Times New Roman" w:hint="default"/>
      </w:rPr>
    </w:lvl>
    <w:lvl w:ilvl="2" w:tplc="A36A889A" w:tentative="1">
      <w:start w:val="1"/>
      <w:numFmt w:val="bullet"/>
      <w:lvlText w:val="-"/>
      <w:lvlJc w:val="left"/>
      <w:pPr>
        <w:tabs>
          <w:tab w:val="num" w:pos="2160"/>
        </w:tabs>
        <w:ind w:left="2160" w:hanging="360"/>
      </w:pPr>
      <w:rPr>
        <w:rFonts w:ascii="Times New Roman" w:hAnsi="Times New Roman" w:hint="default"/>
      </w:rPr>
    </w:lvl>
    <w:lvl w:ilvl="3" w:tplc="E67A6FF6" w:tentative="1">
      <w:start w:val="1"/>
      <w:numFmt w:val="bullet"/>
      <w:lvlText w:val="-"/>
      <w:lvlJc w:val="left"/>
      <w:pPr>
        <w:tabs>
          <w:tab w:val="num" w:pos="2880"/>
        </w:tabs>
        <w:ind w:left="2880" w:hanging="360"/>
      </w:pPr>
      <w:rPr>
        <w:rFonts w:ascii="Times New Roman" w:hAnsi="Times New Roman" w:hint="default"/>
      </w:rPr>
    </w:lvl>
    <w:lvl w:ilvl="4" w:tplc="A738922C" w:tentative="1">
      <w:start w:val="1"/>
      <w:numFmt w:val="bullet"/>
      <w:lvlText w:val="-"/>
      <w:lvlJc w:val="left"/>
      <w:pPr>
        <w:tabs>
          <w:tab w:val="num" w:pos="3600"/>
        </w:tabs>
        <w:ind w:left="3600" w:hanging="360"/>
      </w:pPr>
      <w:rPr>
        <w:rFonts w:ascii="Times New Roman" w:hAnsi="Times New Roman" w:hint="default"/>
      </w:rPr>
    </w:lvl>
    <w:lvl w:ilvl="5" w:tplc="2B8618A4" w:tentative="1">
      <w:start w:val="1"/>
      <w:numFmt w:val="bullet"/>
      <w:lvlText w:val="-"/>
      <w:lvlJc w:val="left"/>
      <w:pPr>
        <w:tabs>
          <w:tab w:val="num" w:pos="4320"/>
        </w:tabs>
        <w:ind w:left="4320" w:hanging="360"/>
      </w:pPr>
      <w:rPr>
        <w:rFonts w:ascii="Times New Roman" w:hAnsi="Times New Roman" w:hint="default"/>
      </w:rPr>
    </w:lvl>
    <w:lvl w:ilvl="6" w:tplc="C8EC9164" w:tentative="1">
      <w:start w:val="1"/>
      <w:numFmt w:val="bullet"/>
      <w:lvlText w:val="-"/>
      <w:lvlJc w:val="left"/>
      <w:pPr>
        <w:tabs>
          <w:tab w:val="num" w:pos="5040"/>
        </w:tabs>
        <w:ind w:left="5040" w:hanging="360"/>
      </w:pPr>
      <w:rPr>
        <w:rFonts w:ascii="Times New Roman" w:hAnsi="Times New Roman" w:hint="default"/>
      </w:rPr>
    </w:lvl>
    <w:lvl w:ilvl="7" w:tplc="32D0C43A" w:tentative="1">
      <w:start w:val="1"/>
      <w:numFmt w:val="bullet"/>
      <w:lvlText w:val="-"/>
      <w:lvlJc w:val="left"/>
      <w:pPr>
        <w:tabs>
          <w:tab w:val="num" w:pos="5760"/>
        </w:tabs>
        <w:ind w:left="5760" w:hanging="360"/>
      </w:pPr>
      <w:rPr>
        <w:rFonts w:ascii="Times New Roman" w:hAnsi="Times New Roman" w:hint="default"/>
      </w:rPr>
    </w:lvl>
    <w:lvl w:ilvl="8" w:tplc="7E505D02" w:tentative="1">
      <w:start w:val="1"/>
      <w:numFmt w:val="bullet"/>
      <w:lvlText w:val="-"/>
      <w:lvlJc w:val="left"/>
      <w:pPr>
        <w:tabs>
          <w:tab w:val="num" w:pos="6480"/>
        </w:tabs>
        <w:ind w:left="6480" w:hanging="360"/>
      </w:pPr>
      <w:rPr>
        <w:rFonts w:ascii="Times New Roman" w:hAnsi="Times New Roman" w:hint="default"/>
      </w:rPr>
    </w:lvl>
  </w:abstractNum>
  <w:abstractNum w:abstractNumId="2">
    <w:nsid w:val="1D823648"/>
    <w:multiLevelType w:val="hybridMultilevel"/>
    <w:tmpl w:val="A4E43324"/>
    <w:lvl w:ilvl="0" w:tplc="9E8846CE">
      <w:start w:val="7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594357C"/>
    <w:multiLevelType w:val="hybridMultilevel"/>
    <w:tmpl w:val="4CDE3E60"/>
    <w:lvl w:ilvl="0" w:tplc="020E3400">
      <w:start w:val="7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DA77AEC"/>
    <w:multiLevelType w:val="hybridMultilevel"/>
    <w:tmpl w:val="73C240C8"/>
    <w:lvl w:ilvl="0" w:tplc="107E12B8">
      <w:start w:val="7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3490CF6"/>
    <w:multiLevelType w:val="hybridMultilevel"/>
    <w:tmpl w:val="05F2654C"/>
    <w:lvl w:ilvl="0" w:tplc="3F82EA02">
      <w:start w:val="7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6BB602A5"/>
    <w:multiLevelType w:val="hybridMultilevel"/>
    <w:tmpl w:val="6330B078"/>
    <w:lvl w:ilvl="0" w:tplc="8D58E396">
      <w:start w:val="1"/>
      <w:numFmt w:val="bullet"/>
      <w:lvlText w:val="-"/>
      <w:lvlJc w:val="left"/>
      <w:pPr>
        <w:tabs>
          <w:tab w:val="num" w:pos="720"/>
        </w:tabs>
        <w:ind w:left="720" w:hanging="360"/>
      </w:pPr>
      <w:rPr>
        <w:rFonts w:ascii="Times New Roman" w:hAnsi="Times New Roman" w:hint="default"/>
      </w:rPr>
    </w:lvl>
    <w:lvl w:ilvl="1" w:tplc="975E7D22" w:tentative="1">
      <w:start w:val="1"/>
      <w:numFmt w:val="bullet"/>
      <w:lvlText w:val="-"/>
      <w:lvlJc w:val="left"/>
      <w:pPr>
        <w:tabs>
          <w:tab w:val="num" w:pos="1440"/>
        </w:tabs>
        <w:ind w:left="1440" w:hanging="360"/>
      </w:pPr>
      <w:rPr>
        <w:rFonts w:ascii="Times New Roman" w:hAnsi="Times New Roman" w:hint="default"/>
      </w:rPr>
    </w:lvl>
    <w:lvl w:ilvl="2" w:tplc="DD269C2C" w:tentative="1">
      <w:start w:val="1"/>
      <w:numFmt w:val="bullet"/>
      <w:lvlText w:val="-"/>
      <w:lvlJc w:val="left"/>
      <w:pPr>
        <w:tabs>
          <w:tab w:val="num" w:pos="2160"/>
        </w:tabs>
        <w:ind w:left="2160" w:hanging="360"/>
      </w:pPr>
      <w:rPr>
        <w:rFonts w:ascii="Times New Roman" w:hAnsi="Times New Roman" w:hint="default"/>
      </w:rPr>
    </w:lvl>
    <w:lvl w:ilvl="3" w:tplc="E548A716" w:tentative="1">
      <w:start w:val="1"/>
      <w:numFmt w:val="bullet"/>
      <w:lvlText w:val="-"/>
      <w:lvlJc w:val="left"/>
      <w:pPr>
        <w:tabs>
          <w:tab w:val="num" w:pos="2880"/>
        </w:tabs>
        <w:ind w:left="2880" w:hanging="360"/>
      </w:pPr>
      <w:rPr>
        <w:rFonts w:ascii="Times New Roman" w:hAnsi="Times New Roman" w:hint="default"/>
      </w:rPr>
    </w:lvl>
    <w:lvl w:ilvl="4" w:tplc="9328FA06" w:tentative="1">
      <w:start w:val="1"/>
      <w:numFmt w:val="bullet"/>
      <w:lvlText w:val="-"/>
      <w:lvlJc w:val="left"/>
      <w:pPr>
        <w:tabs>
          <w:tab w:val="num" w:pos="3600"/>
        </w:tabs>
        <w:ind w:left="3600" w:hanging="360"/>
      </w:pPr>
      <w:rPr>
        <w:rFonts w:ascii="Times New Roman" w:hAnsi="Times New Roman" w:hint="default"/>
      </w:rPr>
    </w:lvl>
    <w:lvl w:ilvl="5" w:tplc="68002652" w:tentative="1">
      <w:start w:val="1"/>
      <w:numFmt w:val="bullet"/>
      <w:lvlText w:val="-"/>
      <w:lvlJc w:val="left"/>
      <w:pPr>
        <w:tabs>
          <w:tab w:val="num" w:pos="4320"/>
        </w:tabs>
        <w:ind w:left="4320" w:hanging="360"/>
      </w:pPr>
      <w:rPr>
        <w:rFonts w:ascii="Times New Roman" w:hAnsi="Times New Roman" w:hint="default"/>
      </w:rPr>
    </w:lvl>
    <w:lvl w:ilvl="6" w:tplc="96DE5C44" w:tentative="1">
      <w:start w:val="1"/>
      <w:numFmt w:val="bullet"/>
      <w:lvlText w:val="-"/>
      <w:lvlJc w:val="left"/>
      <w:pPr>
        <w:tabs>
          <w:tab w:val="num" w:pos="5040"/>
        </w:tabs>
        <w:ind w:left="5040" w:hanging="360"/>
      </w:pPr>
      <w:rPr>
        <w:rFonts w:ascii="Times New Roman" w:hAnsi="Times New Roman" w:hint="default"/>
      </w:rPr>
    </w:lvl>
    <w:lvl w:ilvl="7" w:tplc="30EE650E" w:tentative="1">
      <w:start w:val="1"/>
      <w:numFmt w:val="bullet"/>
      <w:lvlText w:val="-"/>
      <w:lvlJc w:val="left"/>
      <w:pPr>
        <w:tabs>
          <w:tab w:val="num" w:pos="5760"/>
        </w:tabs>
        <w:ind w:left="5760" w:hanging="360"/>
      </w:pPr>
      <w:rPr>
        <w:rFonts w:ascii="Times New Roman" w:hAnsi="Times New Roman" w:hint="default"/>
      </w:rPr>
    </w:lvl>
    <w:lvl w:ilvl="8" w:tplc="256AC25A" w:tentative="1">
      <w:start w:val="1"/>
      <w:numFmt w:val="bullet"/>
      <w:lvlText w:val="-"/>
      <w:lvlJc w:val="left"/>
      <w:pPr>
        <w:tabs>
          <w:tab w:val="num" w:pos="6480"/>
        </w:tabs>
        <w:ind w:left="6480" w:hanging="360"/>
      </w:pPr>
      <w:rPr>
        <w:rFonts w:ascii="Times New Roman" w:hAnsi="Times New Roman" w:hint="default"/>
      </w:rPr>
    </w:lvl>
  </w:abstractNum>
  <w:abstractNum w:abstractNumId="7">
    <w:nsid w:val="6D5058C9"/>
    <w:multiLevelType w:val="hybridMultilevel"/>
    <w:tmpl w:val="2FC639B4"/>
    <w:lvl w:ilvl="0" w:tplc="9B26971A">
      <w:start w:val="7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F0A226E"/>
    <w:multiLevelType w:val="hybridMultilevel"/>
    <w:tmpl w:val="8BD270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0"/>
  </w:num>
  <w:num w:numId="5">
    <w:abstractNumId w:val="2"/>
  </w:num>
  <w:num w:numId="6">
    <w:abstractNumId w:val="3"/>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120"/>
    <w:rsid w:val="00017794"/>
    <w:rsid w:val="00034569"/>
    <w:rsid w:val="00040801"/>
    <w:rsid w:val="000B00D9"/>
    <w:rsid w:val="000C0785"/>
    <w:rsid w:val="000C3F6F"/>
    <w:rsid w:val="000F742C"/>
    <w:rsid w:val="0011613E"/>
    <w:rsid w:val="001B3953"/>
    <w:rsid w:val="001E078F"/>
    <w:rsid w:val="0022477C"/>
    <w:rsid w:val="00265120"/>
    <w:rsid w:val="00274BD1"/>
    <w:rsid w:val="00280367"/>
    <w:rsid w:val="002A46D9"/>
    <w:rsid w:val="002A6716"/>
    <w:rsid w:val="00335E1A"/>
    <w:rsid w:val="003532E1"/>
    <w:rsid w:val="00371EFE"/>
    <w:rsid w:val="00396D8B"/>
    <w:rsid w:val="003B55D7"/>
    <w:rsid w:val="003C1701"/>
    <w:rsid w:val="003C6826"/>
    <w:rsid w:val="003F3C4F"/>
    <w:rsid w:val="004055A4"/>
    <w:rsid w:val="0042028F"/>
    <w:rsid w:val="0042211A"/>
    <w:rsid w:val="00425FD7"/>
    <w:rsid w:val="00475D32"/>
    <w:rsid w:val="004970AC"/>
    <w:rsid w:val="004B0E5B"/>
    <w:rsid w:val="004C6E6A"/>
    <w:rsid w:val="004D78BD"/>
    <w:rsid w:val="004F0A07"/>
    <w:rsid w:val="005006E5"/>
    <w:rsid w:val="00522DB3"/>
    <w:rsid w:val="005315E0"/>
    <w:rsid w:val="0057714C"/>
    <w:rsid w:val="005B5991"/>
    <w:rsid w:val="005C022F"/>
    <w:rsid w:val="005E2A42"/>
    <w:rsid w:val="005F4685"/>
    <w:rsid w:val="006238F0"/>
    <w:rsid w:val="00624F15"/>
    <w:rsid w:val="00647E2E"/>
    <w:rsid w:val="0068406B"/>
    <w:rsid w:val="006940B4"/>
    <w:rsid w:val="006E2835"/>
    <w:rsid w:val="006F0639"/>
    <w:rsid w:val="006F704E"/>
    <w:rsid w:val="0073434F"/>
    <w:rsid w:val="00747B72"/>
    <w:rsid w:val="00752A17"/>
    <w:rsid w:val="00754424"/>
    <w:rsid w:val="007653BE"/>
    <w:rsid w:val="0076761F"/>
    <w:rsid w:val="00771A35"/>
    <w:rsid w:val="007849D3"/>
    <w:rsid w:val="007949C0"/>
    <w:rsid w:val="00795482"/>
    <w:rsid w:val="007B0EE8"/>
    <w:rsid w:val="00802E52"/>
    <w:rsid w:val="00830D1F"/>
    <w:rsid w:val="008A5F68"/>
    <w:rsid w:val="008B15E1"/>
    <w:rsid w:val="008B17FF"/>
    <w:rsid w:val="00940A86"/>
    <w:rsid w:val="0094412D"/>
    <w:rsid w:val="00950A21"/>
    <w:rsid w:val="0095732A"/>
    <w:rsid w:val="0098676A"/>
    <w:rsid w:val="009A0E53"/>
    <w:rsid w:val="009D41DD"/>
    <w:rsid w:val="00A67DDD"/>
    <w:rsid w:val="00A719E7"/>
    <w:rsid w:val="00A96861"/>
    <w:rsid w:val="00AC2EBB"/>
    <w:rsid w:val="00AC54E0"/>
    <w:rsid w:val="00AD28A9"/>
    <w:rsid w:val="00AE2831"/>
    <w:rsid w:val="00B12ABC"/>
    <w:rsid w:val="00B27134"/>
    <w:rsid w:val="00B44121"/>
    <w:rsid w:val="00B63299"/>
    <w:rsid w:val="00BA53AC"/>
    <w:rsid w:val="00BB617D"/>
    <w:rsid w:val="00BB6CDF"/>
    <w:rsid w:val="00BC4591"/>
    <w:rsid w:val="00C1333E"/>
    <w:rsid w:val="00C3136D"/>
    <w:rsid w:val="00C5514D"/>
    <w:rsid w:val="00CC2834"/>
    <w:rsid w:val="00D41141"/>
    <w:rsid w:val="00D76565"/>
    <w:rsid w:val="00DC28F7"/>
    <w:rsid w:val="00DC3DD0"/>
    <w:rsid w:val="00DF33D1"/>
    <w:rsid w:val="00E1621E"/>
    <w:rsid w:val="00E20931"/>
    <w:rsid w:val="00E50429"/>
    <w:rsid w:val="00E60EAE"/>
    <w:rsid w:val="00F24417"/>
    <w:rsid w:val="00F30B84"/>
    <w:rsid w:val="00F51678"/>
    <w:rsid w:val="00F555C7"/>
    <w:rsid w:val="00F86056"/>
    <w:rsid w:val="00F939EB"/>
    <w:rsid w:val="00FC5E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4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78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265120"/>
    <w:pPr>
      <w:spacing w:before="75" w:after="75"/>
    </w:pPr>
  </w:style>
  <w:style w:type="paragraph" w:styleId="Header">
    <w:name w:val="header"/>
    <w:basedOn w:val="Normal"/>
    <w:link w:val="HeaderChar"/>
    <w:rsid w:val="00265120"/>
    <w:pPr>
      <w:tabs>
        <w:tab w:val="center" w:pos="4153"/>
        <w:tab w:val="right" w:pos="8306"/>
      </w:tabs>
    </w:pPr>
  </w:style>
  <w:style w:type="character" w:customStyle="1" w:styleId="HeaderChar">
    <w:name w:val="Header Char"/>
    <w:basedOn w:val="DefaultParagraphFont"/>
    <w:link w:val="Header"/>
    <w:rsid w:val="00265120"/>
    <w:rPr>
      <w:rFonts w:ascii="Times New Roman" w:eastAsia="Times New Roman" w:hAnsi="Times New Roman" w:cs="Times New Roman"/>
      <w:sz w:val="24"/>
      <w:szCs w:val="24"/>
      <w:lang w:eastAsia="lv-LV"/>
    </w:rPr>
  </w:style>
  <w:style w:type="character" w:styleId="PageNumber">
    <w:name w:val="page number"/>
    <w:rsid w:val="00265120"/>
    <w:rPr>
      <w:rFonts w:cs="Times New Roman"/>
    </w:rPr>
  </w:style>
  <w:style w:type="paragraph" w:customStyle="1" w:styleId="naisf">
    <w:name w:val="naisf"/>
    <w:basedOn w:val="Normal"/>
    <w:link w:val="naisfChar"/>
    <w:rsid w:val="00265120"/>
    <w:pPr>
      <w:spacing w:before="75" w:after="75"/>
      <w:ind w:firstLine="375"/>
      <w:jc w:val="both"/>
    </w:pPr>
  </w:style>
  <w:style w:type="paragraph" w:styleId="BodyText">
    <w:name w:val="Body Text"/>
    <w:basedOn w:val="Normal"/>
    <w:link w:val="BodyTextChar"/>
    <w:rsid w:val="00265120"/>
    <w:pPr>
      <w:jc w:val="both"/>
    </w:pPr>
    <w:rPr>
      <w:sz w:val="28"/>
      <w:szCs w:val="20"/>
    </w:rPr>
  </w:style>
  <w:style w:type="character" w:customStyle="1" w:styleId="BodyTextChar">
    <w:name w:val="Body Text Char"/>
    <w:basedOn w:val="DefaultParagraphFont"/>
    <w:link w:val="BodyText"/>
    <w:rsid w:val="00265120"/>
    <w:rPr>
      <w:rFonts w:ascii="Times New Roman" w:eastAsia="Times New Roman" w:hAnsi="Times New Roman" w:cs="Times New Roman"/>
      <w:sz w:val="28"/>
      <w:szCs w:val="20"/>
      <w:lang w:eastAsia="lv-LV"/>
    </w:rPr>
  </w:style>
  <w:style w:type="character" w:styleId="Hyperlink">
    <w:name w:val="Hyperlink"/>
    <w:rsid w:val="00265120"/>
    <w:rPr>
      <w:color w:val="0000FF"/>
      <w:u w:val="single"/>
    </w:rPr>
  </w:style>
  <w:style w:type="character" w:customStyle="1" w:styleId="naisfChar">
    <w:name w:val="naisf Char"/>
    <w:link w:val="naisf"/>
    <w:locked/>
    <w:rsid w:val="00265120"/>
    <w:rPr>
      <w:rFonts w:ascii="Times New Roman" w:eastAsia="Times New Roman" w:hAnsi="Times New Roman" w:cs="Times New Roman"/>
      <w:sz w:val="24"/>
      <w:szCs w:val="24"/>
      <w:lang w:eastAsia="lv-LV"/>
    </w:rPr>
  </w:style>
  <w:style w:type="paragraph" w:customStyle="1" w:styleId="naisnod">
    <w:name w:val="naisnod"/>
    <w:basedOn w:val="Normal"/>
    <w:rsid w:val="00265120"/>
    <w:pPr>
      <w:spacing w:before="100" w:beforeAutospacing="1" w:after="100" w:afterAutospacing="1"/>
    </w:pPr>
  </w:style>
  <w:style w:type="paragraph" w:customStyle="1" w:styleId="tv2121">
    <w:name w:val="tv2121"/>
    <w:basedOn w:val="Normal"/>
    <w:rsid w:val="00265120"/>
    <w:pPr>
      <w:spacing w:before="400" w:line="360" w:lineRule="auto"/>
      <w:jc w:val="center"/>
    </w:pPr>
    <w:rPr>
      <w:rFonts w:ascii="Verdana" w:hAnsi="Verdana"/>
      <w:b/>
      <w:bCs/>
      <w:sz w:val="20"/>
      <w:szCs w:val="20"/>
    </w:rPr>
  </w:style>
  <w:style w:type="paragraph" w:customStyle="1" w:styleId="naisc">
    <w:name w:val="naisc"/>
    <w:basedOn w:val="Normal"/>
    <w:rsid w:val="00265120"/>
    <w:pPr>
      <w:spacing w:before="75" w:after="75"/>
      <w:jc w:val="center"/>
    </w:pPr>
    <w:rPr>
      <w:rFonts w:eastAsia="Calibri"/>
    </w:rPr>
  </w:style>
  <w:style w:type="paragraph" w:styleId="Footer">
    <w:name w:val="footer"/>
    <w:basedOn w:val="Normal"/>
    <w:link w:val="FooterChar"/>
    <w:uiPriority w:val="99"/>
    <w:unhideWhenUsed/>
    <w:rsid w:val="00265120"/>
    <w:pPr>
      <w:tabs>
        <w:tab w:val="center" w:pos="4153"/>
        <w:tab w:val="right" w:pos="8306"/>
      </w:tabs>
    </w:pPr>
  </w:style>
  <w:style w:type="character" w:customStyle="1" w:styleId="FooterChar">
    <w:name w:val="Footer Char"/>
    <w:basedOn w:val="DefaultParagraphFont"/>
    <w:link w:val="Footer"/>
    <w:uiPriority w:val="99"/>
    <w:rsid w:val="00265120"/>
    <w:rPr>
      <w:rFonts w:ascii="Times New Roman" w:eastAsia="Times New Roman" w:hAnsi="Times New Roman" w:cs="Times New Roman"/>
      <w:sz w:val="24"/>
      <w:szCs w:val="24"/>
      <w:lang w:eastAsia="lv-LV"/>
    </w:rPr>
  </w:style>
  <w:style w:type="character" w:styleId="Strong">
    <w:name w:val="Strong"/>
    <w:basedOn w:val="DefaultParagraphFont"/>
    <w:qFormat/>
    <w:rsid w:val="002A46D9"/>
    <w:rPr>
      <w:b/>
      <w:bCs/>
    </w:rPr>
  </w:style>
  <w:style w:type="paragraph" w:styleId="ListParagraph">
    <w:name w:val="List Paragraph"/>
    <w:basedOn w:val="Normal"/>
    <w:uiPriority w:val="34"/>
    <w:qFormat/>
    <w:rsid w:val="002A46D9"/>
    <w:pPr>
      <w:ind w:left="720"/>
      <w:contextualSpacing/>
    </w:pPr>
  </w:style>
  <w:style w:type="paragraph" w:styleId="BalloonText">
    <w:name w:val="Balloon Text"/>
    <w:basedOn w:val="Normal"/>
    <w:link w:val="BalloonTextChar"/>
    <w:uiPriority w:val="99"/>
    <w:semiHidden/>
    <w:unhideWhenUsed/>
    <w:rsid w:val="00BA53AC"/>
    <w:rPr>
      <w:rFonts w:ascii="Arial" w:hAnsi="Arial" w:cs="Arial"/>
      <w:sz w:val="18"/>
      <w:szCs w:val="18"/>
    </w:rPr>
  </w:style>
  <w:style w:type="character" w:customStyle="1" w:styleId="BalloonTextChar">
    <w:name w:val="Balloon Text Char"/>
    <w:basedOn w:val="DefaultParagraphFont"/>
    <w:link w:val="BalloonText"/>
    <w:uiPriority w:val="99"/>
    <w:semiHidden/>
    <w:rsid w:val="00BA53AC"/>
    <w:rPr>
      <w:rFonts w:ascii="Arial" w:eastAsia="Times New Roman" w:hAnsi="Arial" w:cs="Arial"/>
      <w:sz w:val="18"/>
      <w:szCs w:val="18"/>
      <w:lang w:eastAsia="lv-LV"/>
    </w:rPr>
  </w:style>
  <w:style w:type="character" w:styleId="CommentReference">
    <w:name w:val="annotation reference"/>
    <w:basedOn w:val="DefaultParagraphFont"/>
    <w:uiPriority w:val="99"/>
    <w:semiHidden/>
    <w:unhideWhenUsed/>
    <w:rsid w:val="00F939EB"/>
    <w:rPr>
      <w:sz w:val="16"/>
      <w:szCs w:val="16"/>
    </w:rPr>
  </w:style>
  <w:style w:type="paragraph" w:styleId="CommentText">
    <w:name w:val="annotation text"/>
    <w:basedOn w:val="Normal"/>
    <w:link w:val="CommentTextChar"/>
    <w:uiPriority w:val="99"/>
    <w:semiHidden/>
    <w:unhideWhenUsed/>
    <w:rsid w:val="00F939EB"/>
    <w:rPr>
      <w:sz w:val="20"/>
      <w:szCs w:val="20"/>
    </w:rPr>
  </w:style>
  <w:style w:type="character" w:customStyle="1" w:styleId="CommentTextChar">
    <w:name w:val="Comment Text Char"/>
    <w:basedOn w:val="DefaultParagraphFont"/>
    <w:link w:val="CommentText"/>
    <w:uiPriority w:val="99"/>
    <w:semiHidden/>
    <w:rsid w:val="00F939EB"/>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939EB"/>
    <w:rPr>
      <w:b/>
      <w:bCs/>
    </w:rPr>
  </w:style>
  <w:style w:type="character" w:customStyle="1" w:styleId="CommentSubjectChar">
    <w:name w:val="Comment Subject Char"/>
    <w:basedOn w:val="CommentTextChar"/>
    <w:link w:val="CommentSubject"/>
    <w:uiPriority w:val="99"/>
    <w:semiHidden/>
    <w:rsid w:val="00F939EB"/>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78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265120"/>
    <w:pPr>
      <w:spacing w:before="75" w:after="75"/>
    </w:pPr>
  </w:style>
  <w:style w:type="paragraph" w:styleId="Header">
    <w:name w:val="header"/>
    <w:basedOn w:val="Normal"/>
    <w:link w:val="HeaderChar"/>
    <w:rsid w:val="00265120"/>
    <w:pPr>
      <w:tabs>
        <w:tab w:val="center" w:pos="4153"/>
        <w:tab w:val="right" w:pos="8306"/>
      </w:tabs>
    </w:pPr>
  </w:style>
  <w:style w:type="character" w:customStyle="1" w:styleId="HeaderChar">
    <w:name w:val="Header Char"/>
    <w:basedOn w:val="DefaultParagraphFont"/>
    <w:link w:val="Header"/>
    <w:rsid w:val="00265120"/>
    <w:rPr>
      <w:rFonts w:ascii="Times New Roman" w:eastAsia="Times New Roman" w:hAnsi="Times New Roman" w:cs="Times New Roman"/>
      <w:sz w:val="24"/>
      <w:szCs w:val="24"/>
      <w:lang w:eastAsia="lv-LV"/>
    </w:rPr>
  </w:style>
  <w:style w:type="character" w:styleId="PageNumber">
    <w:name w:val="page number"/>
    <w:rsid w:val="00265120"/>
    <w:rPr>
      <w:rFonts w:cs="Times New Roman"/>
    </w:rPr>
  </w:style>
  <w:style w:type="paragraph" w:customStyle="1" w:styleId="naisf">
    <w:name w:val="naisf"/>
    <w:basedOn w:val="Normal"/>
    <w:link w:val="naisfChar"/>
    <w:rsid w:val="00265120"/>
    <w:pPr>
      <w:spacing w:before="75" w:after="75"/>
      <w:ind w:firstLine="375"/>
      <w:jc w:val="both"/>
    </w:pPr>
  </w:style>
  <w:style w:type="paragraph" w:styleId="BodyText">
    <w:name w:val="Body Text"/>
    <w:basedOn w:val="Normal"/>
    <w:link w:val="BodyTextChar"/>
    <w:rsid w:val="00265120"/>
    <w:pPr>
      <w:jc w:val="both"/>
    </w:pPr>
    <w:rPr>
      <w:sz w:val="28"/>
      <w:szCs w:val="20"/>
    </w:rPr>
  </w:style>
  <w:style w:type="character" w:customStyle="1" w:styleId="BodyTextChar">
    <w:name w:val="Body Text Char"/>
    <w:basedOn w:val="DefaultParagraphFont"/>
    <w:link w:val="BodyText"/>
    <w:rsid w:val="00265120"/>
    <w:rPr>
      <w:rFonts w:ascii="Times New Roman" w:eastAsia="Times New Roman" w:hAnsi="Times New Roman" w:cs="Times New Roman"/>
      <w:sz w:val="28"/>
      <w:szCs w:val="20"/>
      <w:lang w:eastAsia="lv-LV"/>
    </w:rPr>
  </w:style>
  <w:style w:type="character" w:styleId="Hyperlink">
    <w:name w:val="Hyperlink"/>
    <w:rsid w:val="00265120"/>
    <w:rPr>
      <w:color w:val="0000FF"/>
      <w:u w:val="single"/>
    </w:rPr>
  </w:style>
  <w:style w:type="character" w:customStyle="1" w:styleId="naisfChar">
    <w:name w:val="naisf Char"/>
    <w:link w:val="naisf"/>
    <w:locked/>
    <w:rsid w:val="00265120"/>
    <w:rPr>
      <w:rFonts w:ascii="Times New Roman" w:eastAsia="Times New Roman" w:hAnsi="Times New Roman" w:cs="Times New Roman"/>
      <w:sz w:val="24"/>
      <w:szCs w:val="24"/>
      <w:lang w:eastAsia="lv-LV"/>
    </w:rPr>
  </w:style>
  <w:style w:type="paragraph" w:customStyle="1" w:styleId="naisnod">
    <w:name w:val="naisnod"/>
    <w:basedOn w:val="Normal"/>
    <w:rsid w:val="00265120"/>
    <w:pPr>
      <w:spacing w:before="100" w:beforeAutospacing="1" w:after="100" w:afterAutospacing="1"/>
    </w:pPr>
  </w:style>
  <w:style w:type="paragraph" w:customStyle="1" w:styleId="tv2121">
    <w:name w:val="tv2121"/>
    <w:basedOn w:val="Normal"/>
    <w:rsid w:val="00265120"/>
    <w:pPr>
      <w:spacing w:before="400" w:line="360" w:lineRule="auto"/>
      <w:jc w:val="center"/>
    </w:pPr>
    <w:rPr>
      <w:rFonts w:ascii="Verdana" w:hAnsi="Verdana"/>
      <w:b/>
      <w:bCs/>
      <w:sz w:val="20"/>
      <w:szCs w:val="20"/>
    </w:rPr>
  </w:style>
  <w:style w:type="paragraph" w:customStyle="1" w:styleId="naisc">
    <w:name w:val="naisc"/>
    <w:basedOn w:val="Normal"/>
    <w:rsid w:val="00265120"/>
    <w:pPr>
      <w:spacing w:before="75" w:after="75"/>
      <w:jc w:val="center"/>
    </w:pPr>
    <w:rPr>
      <w:rFonts w:eastAsia="Calibri"/>
    </w:rPr>
  </w:style>
  <w:style w:type="paragraph" w:styleId="Footer">
    <w:name w:val="footer"/>
    <w:basedOn w:val="Normal"/>
    <w:link w:val="FooterChar"/>
    <w:uiPriority w:val="99"/>
    <w:unhideWhenUsed/>
    <w:rsid w:val="00265120"/>
    <w:pPr>
      <w:tabs>
        <w:tab w:val="center" w:pos="4153"/>
        <w:tab w:val="right" w:pos="8306"/>
      </w:tabs>
    </w:pPr>
  </w:style>
  <w:style w:type="character" w:customStyle="1" w:styleId="FooterChar">
    <w:name w:val="Footer Char"/>
    <w:basedOn w:val="DefaultParagraphFont"/>
    <w:link w:val="Footer"/>
    <w:uiPriority w:val="99"/>
    <w:rsid w:val="00265120"/>
    <w:rPr>
      <w:rFonts w:ascii="Times New Roman" w:eastAsia="Times New Roman" w:hAnsi="Times New Roman" w:cs="Times New Roman"/>
      <w:sz w:val="24"/>
      <w:szCs w:val="24"/>
      <w:lang w:eastAsia="lv-LV"/>
    </w:rPr>
  </w:style>
  <w:style w:type="character" w:styleId="Strong">
    <w:name w:val="Strong"/>
    <w:basedOn w:val="DefaultParagraphFont"/>
    <w:qFormat/>
    <w:rsid w:val="002A46D9"/>
    <w:rPr>
      <w:b/>
      <w:bCs/>
    </w:rPr>
  </w:style>
  <w:style w:type="paragraph" w:styleId="ListParagraph">
    <w:name w:val="List Paragraph"/>
    <w:basedOn w:val="Normal"/>
    <w:uiPriority w:val="34"/>
    <w:qFormat/>
    <w:rsid w:val="002A46D9"/>
    <w:pPr>
      <w:ind w:left="720"/>
      <w:contextualSpacing/>
    </w:pPr>
  </w:style>
  <w:style w:type="paragraph" w:styleId="BalloonText">
    <w:name w:val="Balloon Text"/>
    <w:basedOn w:val="Normal"/>
    <w:link w:val="BalloonTextChar"/>
    <w:uiPriority w:val="99"/>
    <w:semiHidden/>
    <w:unhideWhenUsed/>
    <w:rsid w:val="00BA53AC"/>
    <w:rPr>
      <w:rFonts w:ascii="Arial" w:hAnsi="Arial" w:cs="Arial"/>
      <w:sz w:val="18"/>
      <w:szCs w:val="18"/>
    </w:rPr>
  </w:style>
  <w:style w:type="character" w:customStyle="1" w:styleId="BalloonTextChar">
    <w:name w:val="Balloon Text Char"/>
    <w:basedOn w:val="DefaultParagraphFont"/>
    <w:link w:val="BalloonText"/>
    <w:uiPriority w:val="99"/>
    <w:semiHidden/>
    <w:rsid w:val="00BA53AC"/>
    <w:rPr>
      <w:rFonts w:ascii="Arial" w:eastAsia="Times New Roman" w:hAnsi="Arial" w:cs="Arial"/>
      <w:sz w:val="18"/>
      <w:szCs w:val="18"/>
      <w:lang w:eastAsia="lv-LV"/>
    </w:rPr>
  </w:style>
  <w:style w:type="character" w:styleId="CommentReference">
    <w:name w:val="annotation reference"/>
    <w:basedOn w:val="DefaultParagraphFont"/>
    <w:uiPriority w:val="99"/>
    <w:semiHidden/>
    <w:unhideWhenUsed/>
    <w:rsid w:val="00F939EB"/>
    <w:rPr>
      <w:sz w:val="16"/>
      <w:szCs w:val="16"/>
    </w:rPr>
  </w:style>
  <w:style w:type="paragraph" w:styleId="CommentText">
    <w:name w:val="annotation text"/>
    <w:basedOn w:val="Normal"/>
    <w:link w:val="CommentTextChar"/>
    <w:uiPriority w:val="99"/>
    <w:semiHidden/>
    <w:unhideWhenUsed/>
    <w:rsid w:val="00F939EB"/>
    <w:rPr>
      <w:sz w:val="20"/>
      <w:szCs w:val="20"/>
    </w:rPr>
  </w:style>
  <w:style w:type="character" w:customStyle="1" w:styleId="CommentTextChar">
    <w:name w:val="Comment Text Char"/>
    <w:basedOn w:val="DefaultParagraphFont"/>
    <w:link w:val="CommentText"/>
    <w:uiPriority w:val="99"/>
    <w:semiHidden/>
    <w:rsid w:val="00F939EB"/>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939EB"/>
    <w:rPr>
      <w:b/>
      <w:bCs/>
    </w:rPr>
  </w:style>
  <w:style w:type="character" w:customStyle="1" w:styleId="CommentSubjectChar">
    <w:name w:val="Comment Subject Char"/>
    <w:basedOn w:val="CommentTextChar"/>
    <w:link w:val="CommentSubject"/>
    <w:uiPriority w:val="99"/>
    <w:semiHidden/>
    <w:rsid w:val="00F939EB"/>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09550">
      <w:bodyDiv w:val="1"/>
      <w:marLeft w:val="0"/>
      <w:marRight w:val="0"/>
      <w:marTop w:val="0"/>
      <w:marBottom w:val="0"/>
      <w:divBdr>
        <w:top w:val="none" w:sz="0" w:space="0" w:color="auto"/>
        <w:left w:val="none" w:sz="0" w:space="0" w:color="auto"/>
        <w:bottom w:val="none" w:sz="0" w:space="0" w:color="auto"/>
        <w:right w:val="none" w:sz="0" w:space="0" w:color="auto"/>
      </w:divBdr>
    </w:div>
    <w:div w:id="836381882">
      <w:bodyDiv w:val="1"/>
      <w:marLeft w:val="0"/>
      <w:marRight w:val="0"/>
      <w:marTop w:val="0"/>
      <w:marBottom w:val="0"/>
      <w:divBdr>
        <w:top w:val="none" w:sz="0" w:space="0" w:color="auto"/>
        <w:left w:val="none" w:sz="0" w:space="0" w:color="auto"/>
        <w:bottom w:val="none" w:sz="0" w:space="0" w:color="auto"/>
        <w:right w:val="none" w:sz="0" w:space="0" w:color="auto"/>
      </w:divBdr>
    </w:div>
    <w:div w:id="1117486039">
      <w:bodyDiv w:val="1"/>
      <w:marLeft w:val="0"/>
      <w:marRight w:val="0"/>
      <w:marTop w:val="0"/>
      <w:marBottom w:val="0"/>
      <w:divBdr>
        <w:top w:val="none" w:sz="0" w:space="0" w:color="auto"/>
        <w:left w:val="none" w:sz="0" w:space="0" w:color="auto"/>
        <w:bottom w:val="none" w:sz="0" w:space="0" w:color="auto"/>
        <w:right w:val="none" w:sz="0" w:space="0" w:color="auto"/>
      </w:divBdr>
      <w:divsChild>
        <w:div w:id="1519731150">
          <w:marLeft w:val="547"/>
          <w:marRight w:val="0"/>
          <w:marTop w:val="106"/>
          <w:marBottom w:val="0"/>
          <w:divBdr>
            <w:top w:val="none" w:sz="0" w:space="0" w:color="auto"/>
            <w:left w:val="none" w:sz="0" w:space="0" w:color="auto"/>
            <w:bottom w:val="none" w:sz="0" w:space="0" w:color="auto"/>
            <w:right w:val="none" w:sz="0" w:space="0" w:color="auto"/>
          </w:divBdr>
        </w:div>
        <w:div w:id="513421441">
          <w:marLeft w:val="547"/>
          <w:marRight w:val="0"/>
          <w:marTop w:val="106"/>
          <w:marBottom w:val="0"/>
          <w:divBdr>
            <w:top w:val="none" w:sz="0" w:space="0" w:color="auto"/>
            <w:left w:val="none" w:sz="0" w:space="0" w:color="auto"/>
            <w:bottom w:val="none" w:sz="0" w:space="0" w:color="auto"/>
            <w:right w:val="none" w:sz="0" w:space="0" w:color="auto"/>
          </w:divBdr>
        </w:div>
        <w:div w:id="1194003882">
          <w:marLeft w:val="547"/>
          <w:marRight w:val="0"/>
          <w:marTop w:val="106"/>
          <w:marBottom w:val="0"/>
          <w:divBdr>
            <w:top w:val="none" w:sz="0" w:space="0" w:color="auto"/>
            <w:left w:val="none" w:sz="0" w:space="0" w:color="auto"/>
            <w:bottom w:val="none" w:sz="0" w:space="0" w:color="auto"/>
            <w:right w:val="none" w:sz="0" w:space="0" w:color="auto"/>
          </w:divBdr>
        </w:div>
      </w:divsChild>
    </w:div>
    <w:div w:id="1984431222">
      <w:bodyDiv w:val="1"/>
      <w:marLeft w:val="0"/>
      <w:marRight w:val="0"/>
      <w:marTop w:val="0"/>
      <w:marBottom w:val="0"/>
      <w:divBdr>
        <w:top w:val="none" w:sz="0" w:space="0" w:color="auto"/>
        <w:left w:val="none" w:sz="0" w:space="0" w:color="auto"/>
        <w:bottom w:val="none" w:sz="0" w:space="0" w:color="auto"/>
        <w:right w:val="none" w:sz="0" w:space="0" w:color="auto"/>
      </w:divBdr>
      <w:divsChild>
        <w:div w:id="1570916204">
          <w:marLeft w:val="547"/>
          <w:marRight w:val="0"/>
          <w:marTop w:val="106"/>
          <w:marBottom w:val="0"/>
          <w:divBdr>
            <w:top w:val="none" w:sz="0" w:space="0" w:color="auto"/>
            <w:left w:val="none" w:sz="0" w:space="0" w:color="auto"/>
            <w:bottom w:val="none" w:sz="0" w:space="0" w:color="auto"/>
            <w:right w:val="none" w:sz="0" w:space="0" w:color="auto"/>
          </w:divBdr>
        </w:div>
        <w:div w:id="278538770">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Vizma.Leonova@atd.lv" TargetMode="External"/><Relationship Id="rId10" Type="http://schemas.openxmlformats.org/officeDocument/2006/relationships/hyperlink" Target="mailto:Kristine.Grivina@atd.lv" TargetMode="External"/><Relationship Id="rId4" Type="http://schemas.microsoft.com/office/2007/relationships/stylesWithEffects" Target="stylesWithEffects.xml"/><Relationship Id="rId9" Type="http://schemas.openxmlformats.org/officeDocument/2006/relationships/hyperlink" Target="http://likumi.lv/doc.php?id=20079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554BB-5CF6-4266-BF23-445BA5B89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14</Pages>
  <Words>3828</Words>
  <Characters>26839</Characters>
  <Application>Microsoft Office Word</Application>
  <DocSecurity>0</DocSecurity>
  <Lines>1198</Lines>
  <Paragraphs>349</Paragraphs>
  <ScaleCrop>false</ScaleCrop>
  <HeadingPairs>
    <vt:vector size="2" baseType="variant">
      <vt:variant>
        <vt:lpstr>Title</vt:lpstr>
      </vt:variant>
      <vt:variant>
        <vt:i4>1</vt:i4>
      </vt:variant>
    </vt:vector>
  </HeadingPairs>
  <TitlesOfParts>
    <vt:vector size="1" baseType="lpstr">
      <vt:lpstr>Kārtība, kādā nosaka un kompensē ar sabiedriskā transporta pakalpojumu sniegšanu saistītos zaudējumus un izdevumus un nosaka sabiedriskā transporta pakalpojuma tarifu</vt:lpstr>
    </vt:vector>
  </TitlesOfParts>
  <Manager>Autotransporta direkcija</Manager>
  <Company>Satiksmes ministrija</Company>
  <LinksUpToDate>false</LinksUpToDate>
  <CharactersWithSpaces>30383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nosaka un kompensē ar sabiedriskā transporta pakalpojumu sniegšanu saistītos zaudējumus un izdevumus un nosaka sabiedriskā transporta pakalpojuma tarifu</dc:title>
  <dc:subject>Anotācija</dc:subject>
  <dc:creator>Vizma Ļeonova</dc:creator>
  <dc:description>vizma.leonova@atd.lv_x000d_
67686488</dc:description>
  <cp:lastModifiedBy>Iveta Girucka</cp:lastModifiedBy>
  <cp:revision>7</cp:revision>
  <cp:lastPrinted>2015-06-29T06:47:00Z</cp:lastPrinted>
  <dcterms:created xsi:type="dcterms:W3CDTF">2015-06-27T10:42:00Z</dcterms:created>
  <dcterms:modified xsi:type="dcterms:W3CDTF">2015-06-30T07:21:00Z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