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0" w:rsidRPr="00B63240" w:rsidRDefault="00B63240" w:rsidP="00B632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240">
        <w:rPr>
          <w:b/>
          <w:sz w:val="28"/>
          <w:szCs w:val="28"/>
        </w:rPr>
        <w:t>Ministru kabineta noteikumu projekta</w:t>
      </w:r>
    </w:p>
    <w:p w:rsidR="00B63240" w:rsidRPr="00B63240" w:rsidRDefault="00B63240" w:rsidP="00B63240">
      <w:pPr>
        <w:jc w:val="center"/>
        <w:rPr>
          <w:b/>
          <w:bCs/>
          <w:sz w:val="28"/>
          <w:szCs w:val="28"/>
        </w:rPr>
      </w:pPr>
      <w:r w:rsidRPr="00B63240">
        <w:rPr>
          <w:b/>
          <w:sz w:val="28"/>
          <w:szCs w:val="28"/>
        </w:rPr>
        <w:t>„</w:t>
      </w:r>
      <w:bookmarkStart w:id="1" w:name="OLE_LINK5"/>
      <w:bookmarkStart w:id="2" w:name="OLE_LINK6"/>
      <w:r w:rsidRPr="00B63240">
        <w:rPr>
          <w:b/>
          <w:bCs/>
          <w:sz w:val="28"/>
          <w:szCs w:val="28"/>
        </w:rPr>
        <w:t>Grozījumi Ministru kabineta 2010. gada 28.decembra noteikumos Nr.1211 „Noteikumi par ritošā sastāva būvi, modernizāciju, atjaunošanas remontu, atbilstības novērtēšanu un pieņemšanu ekspluatācijā”</w:t>
      </w:r>
      <w:bookmarkEnd w:id="1"/>
      <w:bookmarkEnd w:id="2"/>
      <w:r w:rsidRPr="00B63240">
        <w:rPr>
          <w:b/>
          <w:bCs/>
          <w:kern w:val="36"/>
          <w:sz w:val="28"/>
          <w:szCs w:val="28"/>
        </w:rPr>
        <w:t>”</w:t>
      </w:r>
    </w:p>
    <w:p w:rsidR="003769DA" w:rsidRPr="003330B4" w:rsidRDefault="00B63240" w:rsidP="003330B4">
      <w:pPr>
        <w:jc w:val="center"/>
        <w:rPr>
          <w:b/>
          <w:sz w:val="28"/>
          <w:szCs w:val="28"/>
        </w:rPr>
      </w:pPr>
      <w:r w:rsidRPr="00B63240">
        <w:rPr>
          <w:b/>
          <w:sz w:val="28"/>
          <w:szCs w:val="28"/>
        </w:rPr>
        <w:t>sākotnējās ietekmes novērtējuma ziņojums (anotācija)</w:t>
      </w:r>
    </w:p>
    <w:p w:rsidR="00CF641D" w:rsidRPr="00186618" w:rsidRDefault="00CF641D" w:rsidP="00B01462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26"/>
        <w:gridCol w:w="5579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E45816" w:rsidP="00E45816">
            <w:pPr>
              <w:jc w:val="both"/>
              <w:rPr>
                <w:bCs/>
              </w:rPr>
            </w:pPr>
            <w:r w:rsidRPr="00C05C1E">
              <w:rPr>
                <w:bCs/>
              </w:rPr>
              <w:t>Ministru kabineta noteikumu projekts „</w:t>
            </w:r>
            <w:r w:rsidR="00C05C1E" w:rsidRPr="00C05C1E">
              <w:rPr>
                <w:bCs/>
              </w:rPr>
              <w:t>Gr</w:t>
            </w:r>
            <w:r w:rsidR="00C823AF">
              <w:rPr>
                <w:bCs/>
              </w:rPr>
              <w:t>ozījumi Ministru kabineta 2010.</w:t>
            </w:r>
            <w:r w:rsidR="00C05C1E" w:rsidRPr="00C05C1E">
              <w:rPr>
                <w:bCs/>
              </w:rPr>
              <w:t>gada 28.decembra noteikumos Nr.1211 „Noteikumi par ritošā sastāva būvi, modernizāciju, atjaunošanas remontu, atbilstības novērtēšanu un pieņemšanu ekspluatācijā”</w:t>
            </w:r>
            <w:r w:rsidRPr="00C05C1E">
              <w:rPr>
                <w:bCs/>
                <w:kern w:val="36"/>
              </w:rPr>
              <w:t>”</w:t>
            </w:r>
            <w:r w:rsidR="00C823AF">
              <w:rPr>
                <w:bCs/>
                <w:color w:val="000000"/>
              </w:rPr>
              <w:t xml:space="preserve"> (turpmāk – Projekts)</w:t>
            </w:r>
            <w:r w:rsidR="00C05C1E" w:rsidRPr="00936E65">
              <w:rPr>
                <w:bCs/>
                <w:color w:val="000000"/>
              </w:rPr>
              <w:t xml:space="preserve"> ir izstrādāts saskaņā </w:t>
            </w:r>
            <w:r w:rsidR="00C05C1E">
              <w:rPr>
                <w:bCs/>
                <w:color w:val="000000"/>
              </w:rPr>
              <w:t>ar D</w:t>
            </w:r>
            <w:r w:rsidR="00C05C1E" w:rsidRPr="00936E65">
              <w:rPr>
                <w:bCs/>
                <w:color w:val="000000"/>
              </w:rPr>
              <w:t xml:space="preserve">zelzceļa likuma </w:t>
            </w:r>
            <w:r w:rsidR="00C05C1E" w:rsidRPr="00936E65">
              <w:rPr>
                <w:bCs/>
              </w:rPr>
              <w:t>36.</w:t>
            </w:r>
            <w:r w:rsidR="00C05C1E" w:rsidRPr="00936E65">
              <w:rPr>
                <w:bCs/>
                <w:vertAlign w:val="superscript"/>
              </w:rPr>
              <w:t xml:space="preserve">1 </w:t>
            </w:r>
            <w:r w:rsidR="00C05C1E" w:rsidRPr="00936E65">
              <w:rPr>
                <w:bCs/>
              </w:rPr>
              <w:t xml:space="preserve">panta </w:t>
            </w:r>
            <w:r w:rsidR="00C05C1E" w:rsidRPr="00936E65">
              <w:t>o</w:t>
            </w:r>
            <w:r w:rsidR="00C05C1E">
              <w:t>tro</w:t>
            </w:r>
            <w:r w:rsidR="008277F2">
              <w:t xml:space="preserve"> daļu un likuma „Par atbilstības novērtēšanu”</w:t>
            </w:r>
            <w:r w:rsidR="00C05C1E" w:rsidRPr="00936E65">
              <w:t xml:space="preserve"> 7.panta pirmo daļu</w:t>
            </w:r>
            <w:r w:rsidR="00C05C1E">
              <w:t>.</w:t>
            </w:r>
          </w:p>
        </w:tc>
      </w:tr>
      <w:tr w:rsidR="00186618" w:rsidRPr="00186618" w:rsidTr="00371A30">
        <w:trPr>
          <w:trHeight w:val="699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C05C1E" w:rsidRPr="003B24B2" w:rsidRDefault="00C05C1E" w:rsidP="003B24B2">
            <w:pPr>
              <w:pStyle w:val="NormalWeb"/>
              <w:tabs>
                <w:tab w:val="left" w:pos="360"/>
              </w:tabs>
              <w:spacing w:before="0" w:after="0"/>
              <w:jc w:val="both"/>
              <w:rPr>
                <w:bCs/>
              </w:rPr>
            </w:pPr>
            <w:r w:rsidRPr="00577992">
              <w:t>Ministru kabinet</w:t>
            </w:r>
            <w:r>
              <w:t>a</w:t>
            </w:r>
            <w:r w:rsidR="00C823AF">
              <w:t xml:space="preserve"> 2010.</w:t>
            </w:r>
            <w:r w:rsidRPr="00577992">
              <w:t>gada 28.decembr</w:t>
            </w:r>
            <w:r>
              <w:t>a</w:t>
            </w:r>
            <w:r w:rsidRPr="00577992">
              <w:t xml:space="preserve"> noteikum</w:t>
            </w:r>
            <w:r>
              <w:t>i</w:t>
            </w:r>
            <w:r w:rsidR="00C823AF">
              <w:t xml:space="preserve"> Nr.1211 </w:t>
            </w:r>
            <w:r w:rsidRPr="00577992">
              <w:t>„Noteikumi par ritošā sastāva būvi, modernizāciju, atjaunošanas remontu, atbilstības novērtēšanu un pieņemšanu ekspluatācijā”</w:t>
            </w:r>
            <w:r w:rsidRPr="00577992">
              <w:rPr>
                <w:kern w:val="36"/>
              </w:rPr>
              <w:t xml:space="preserve"> (turpmāk – MK noteikumi Nr.1211) tika pieņemti, </w:t>
            </w:r>
            <w:r w:rsidRPr="00577992">
              <w:t xml:space="preserve">lai ieviestu Eiropas Parlamenta un Padomes </w:t>
            </w:r>
            <w:smartTag w:uri="urn:schemas-microsoft-com:office:smarttags" w:element="date">
              <w:smartTagPr>
                <w:attr w:name="Year" w:val="2008"/>
                <w:attr w:name="Month" w:val="6"/>
                <w:attr w:name="Day" w:val="17"/>
              </w:smartTagPr>
              <w:smartTag w:uri="schemas-tilde-lv/tildestengine" w:element="date">
                <w:smartTagPr>
                  <w:attr w:name="Year" w:val="2008"/>
                  <w:attr w:name="Month" w:val="6"/>
                  <w:attr w:name="Day" w:val="17"/>
                </w:smartTagPr>
                <w:r w:rsidRPr="00577992">
                  <w:t>2008.gada 17.jūnija</w:t>
                </w:r>
              </w:smartTag>
            </w:smartTag>
            <w:r w:rsidRPr="00577992">
              <w:t xml:space="preserve"> Direktīvas 2008/57/EK par dzelzceļa sistēmas savstarpēju izmantojamību Kopienā (turpmāk – Direktīva 2008/57/EK) tiesību normas attiecībā uz ritošā sastāva būvi, modernizāciju, atjaunošanas remontu, atbilstības novērtēšanu un pieņemšanu ekspluatācijā. </w:t>
            </w:r>
            <w:r w:rsidRPr="00577992">
              <w:rPr>
                <w:kern w:val="36"/>
              </w:rPr>
              <w:t xml:space="preserve">MK noteikumi Nr.1211 </w:t>
            </w:r>
            <w:r w:rsidRPr="00577992">
              <w:rPr>
                <w:bCs/>
              </w:rPr>
              <w:t xml:space="preserve">paredz, ka ritošā sastāva būvei, modernizācijai, atjaunošanas remontam un atbilstības novērtēšanai piemēro procedūras, kas noteiktas normatīvajos aktos par Eiropas dzelzceļu sistēmu savstarpējo izmantojamību, </w:t>
            </w:r>
            <w:r>
              <w:rPr>
                <w:bCs/>
              </w:rPr>
              <w:t xml:space="preserve">un </w:t>
            </w:r>
            <w:r w:rsidRPr="00577992">
              <w:rPr>
                <w:bCs/>
              </w:rPr>
              <w:t xml:space="preserve">nosaka savstarpējās izmantojamības tehnisko specifikāciju (tostarp pamatprasību, izņēmumu, atklātās pieejas, pārejas noteikumu) izmantošanas kārtību. </w:t>
            </w:r>
            <w:r w:rsidRPr="00577992">
              <w:rPr>
                <w:kern w:val="36"/>
              </w:rPr>
              <w:t>MK noteikumos Nr.121</w:t>
            </w:r>
            <w:r w:rsidR="00C823AF">
              <w:rPr>
                <w:kern w:val="36"/>
              </w:rPr>
              <w:t>1</w:t>
            </w:r>
            <w:r w:rsidRPr="00577992">
              <w:t xml:space="preserve"> </w:t>
            </w:r>
            <w:r w:rsidRPr="00577992">
              <w:rPr>
                <w:bCs/>
              </w:rPr>
              <w:t>ir ņemts vērā tas, ka apstiprinot savstarpējās izmantojamības tehniskās specifikācijas Eiropas Komisija ir pieņēmusi lēmumu Latvijā izmantojamajam 1520 mm platuma sliežu ceļa platuma ritošajam sastāvam piešķirt Direktīvas 2008/57/EK 9.panta 5.punktā minēto izņēmumu attiecībā uz ritošo sastāvu, kas kursē no dalībvalsts uz trešo</w:t>
            </w:r>
            <w:r w:rsidR="00C823AF">
              <w:rPr>
                <w:bCs/>
              </w:rPr>
              <w:t xml:space="preserve"> valsti vai no dalībvalsts tīkla</w:t>
            </w:r>
            <w:r w:rsidRPr="00577992">
              <w:rPr>
                <w:bCs/>
              </w:rPr>
              <w:t xml:space="preserve">, kura sliežu attālums atšķiras no Eiropas Savienības galvenā (1435 mm platuma) dzelzceļa tīkla. </w:t>
            </w:r>
            <w:r w:rsidR="003F7409" w:rsidRPr="00577992">
              <w:rPr>
                <w:kern w:val="36"/>
              </w:rPr>
              <w:t>MK noteikum</w:t>
            </w:r>
            <w:r w:rsidR="003F7409">
              <w:rPr>
                <w:kern w:val="36"/>
              </w:rPr>
              <w:t>i</w:t>
            </w:r>
            <w:r w:rsidR="003F7409" w:rsidRPr="00577992">
              <w:rPr>
                <w:kern w:val="36"/>
              </w:rPr>
              <w:t xml:space="preserve"> Nr.1211</w:t>
            </w:r>
            <w:r w:rsidR="003F7409" w:rsidRPr="00577992">
              <w:t xml:space="preserve"> </w:t>
            </w:r>
            <w:r w:rsidR="003F7409">
              <w:t>paredz</w:t>
            </w:r>
            <w:r w:rsidR="003F7409" w:rsidRPr="00577992">
              <w:t xml:space="preserve">, ka trešajās valstīs ražotā ritošā sastāva atbilstību Latvijas normatīvo aktu prasībām un atbilstību izmantojamajai infrastruktūrai apliecina paziņotā institūcija. </w:t>
            </w:r>
            <w:r w:rsidR="008277F2">
              <w:rPr>
                <w:bCs/>
              </w:rPr>
              <w:t>Paziņotā institūcija novēr</w:t>
            </w:r>
            <w:r w:rsidR="003F7409" w:rsidRPr="00577992">
              <w:rPr>
                <w:bCs/>
              </w:rPr>
              <w:t>tējumu vei</w:t>
            </w:r>
            <w:r w:rsidR="003F7409">
              <w:rPr>
                <w:bCs/>
              </w:rPr>
              <w:t>c</w:t>
            </w:r>
            <w:r w:rsidR="003F7409" w:rsidRPr="00577992">
              <w:rPr>
                <w:bCs/>
              </w:rPr>
              <w:t>, pamatojoties uz tai pieejamo dokumentāciju.</w:t>
            </w:r>
            <w:r w:rsidR="003F7409" w:rsidRPr="00577992">
              <w:rPr>
                <w:sz w:val="28"/>
                <w:szCs w:val="28"/>
              </w:rPr>
              <w:t xml:space="preserve"> </w:t>
            </w:r>
            <w:r w:rsidR="003F7409" w:rsidRPr="00577992">
              <w:rPr>
                <w:bCs/>
              </w:rPr>
              <w:t xml:space="preserve">Ja dokumentācijas apjoms </w:t>
            </w:r>
            <w:r w:rsidR="003B24B2">
              <w:rPr>
                <w:bCs/>
              </w:rPr>
              <w:t>nav</w:t>
            </w:r>
            <w:r w:rsidR="003F7409" w:rsidRPr="00577992">
              <w:rPr>
                <w:bCs/>
              </w:rPr>
              <w:t xml:space="preserve"> pietiekams apliecinājuma </w:t>
            </w:r>
            <w:r w:rsidR="003F7409" w:rsidRPr="00577992">
              <w:rPr>
                <w:bCs/>
              </w:rPr>
              <w:lastRenderedPageBreak/>
              <w:t xml:space="preserve">izsniegšanai, paziņotā institūcija </w:t>
            </w:r>
            <w:r w:rsidR="003F7409">
              <w:rPr>
                <w:bCs/>
              </w:rPr>
              <w:t>veic</w:t>
            </w:r>
            <w:r w:rsidR="003F7409" w:rsidRPr="00577992">
              <w:rPr>
                <w:bCs/>
              </w:rPr>
              <w:t xml:space="preserve"> tehniskas pārbaudes un izmēģinājumus.</w:t>
            </w:r>
            <w:r w:rsidR="003F7409" w:rsidRPr="00577992">
              <w:t xml:space="preserve"> </w:t>
            </w:r>
            <w:r w:rsidR="003F7409">
              <w:t>Taču ņ</w:t>
            </w:r>
            <w:r w:rsidR="003F7409" w:rsidRPr="00577992">
              <w:t>emot vērā to, ka paziņotās institūcijas piekļuve pie trešajās valstīs ražoto kravas vagonu dokumentācijas ir apgrūtināta trešo valstu tiesību sistēmas dēļ, lai samazi</w:t>
            </w:r>
            <w:r w:rsidR="003F7409">
              <w:t xml:space="preserve">nātu tehnisko pārbaužu apjomus, </w:t>
            </w:r>
            <w:r w:rsidR="003F7409" w:rsidRPr="00577992">
              <w:rPr>
                <w:kern w:val="36"/>
              </w:rPr>
              <w:t>MK noteikum</w:t>
            </w:r>
            <w:r w:rsidR="003F7409">
              <w:rPr>
                <w:kern w:val="36"/>
              </w:rPr>
              <w:t xml:space="preserve">u </w:t>
            </w:r>
            <w:r w:rsidR="00024B42">
              <w:rPr>
                <w:kern w:val="36"/>
              </w:rPr>
              <w:t>Nr</w:t>
            </w:r>
            <w:r w:rsidR="008277F2">
              <w:rPr>
                <w:kern w:val="36"/>
              </w:rPr>
              <w:t>.</w:t>
            </w:r>
            <w:r w:rsidR="00024B42">
              <w:rPr>
                <w:kern w:val="36"/>
              </w:rPr>
              <w:t xml:space="preserve">1211 </w:t>
            </w:r>
            <w:r w:rsidR="00C823AF">
              <w:rPr>
                <w:kern w:val="36"/>
              </w:rPr>
              <w:t>Noslēguma jautājumos ir</w:t>
            </w:r>
            <w:r w:rsidR="003F7409" w:rsidRPr="00577992">
              <w:rPr>
                <w:kern w:val="36"/>
              </w:rPr>
              <w:t xml:space="preserve"> </w:t>
            </w:r>
            <w:r w:rsidR="003F7409" w:rsidRPr="00577992">
              <w:t>paredz</w:t>
            </w:r>
            <w:r w:rsidR="008277F2">
              <w:t xml:space="preserve">ēts pārējas </w:t>
            </w:r>
            <w:r w:rsidR="007D6EDD">
              <w:t>periods</w:t>
            </w:r>
            <w:r w:rsidR="008277F2">
              <w:t xml:space="preserve"> līdz 2015.gada </w:t>
            </w:r>
            <w:r w:rsidR="003F7409" w:rsidRPr="00577992">
              <w:t>1.janvārim</w:t>
            </w:r>
            <w:r w:rsidR="003F7409">
              <w:t>, k</w:t>
            </w:r>
            <w:r w:rsidR="003B24B2">
              <w:t>urā</w:t>
            </w:r>
            <w:r w:rsidR="003F7409" w:rsidRPr="00577992">
              <w:t xml:space="preserve"> šādas </w:t>
            </w:r>
            <w:r w:rsidR="003B24B2">
              <w:t xml:space="preserve">ritošā sastāva atbilstības </w:t>
            </w:r>
            <w:r w:rsidR="003F7409" w:rsidRPr="00577992">
              <w:t xml:space="preserve">apliecināšanas tiesības </w:t>
            </w:r>
            <w:r w:rsidR="003F7409">
              <w:t xml:space="preserve">ir </w:t>
            </w:r>
            <w:r w:rsidR="003F7409" w:rsidRPr="00577992">
              <w:t>piešķirt</w:t>
            </w:r>
            <w:r w:rsidR="003F7409">
              <w:t>as</w:t>
            </w:r>
            <w:r w:rsidR="003F7409" w:rsidRPr="00577992">
              <w:t xml:space="preserve"> </w:t>
            </w:r>
            <w:r w:rsidR="003F7409" w:rsidRPr="00577992">
              <w:rPr>
                <w:bCs/>
                <w:color w:val="000000"/>
              </w:rPr>
              <w:t>valsts akciju sabiedrībai, kas pārvalda valsts publiskās lietošanas dzelzceļa infrastruktūru, kurai piekļuve tās infrastruktūrā izmantojamo kravas vagonu dokumentācijai tiek nodrošināta atbilstoši D</w:t>
            </w:r>
            <w:r w:rsidR="008277F2">
              <w:rPr>
                <w:bCs/>
                <w:color w:val="000000"/>
              </w:rPr>
              <w:t xml:space="preserve">zelzceļa likuma 42.pantā minēto </w:t>
            </w:r>
            <w:r w:rsidR="003F7409" w:rsidRPr="00577992">
              <w:rPr>
                <w:bCs/>
                <w:color w:val="000000"/>
              </w:rPr>
              <w:t>starptautisko līgumu nosacījumiem.</w:t>
            </w:r>
            <w:r w:rsidR="008277F2">
              <w:rPr>
                <w:bCs/>
                <w:color w:val="000000"/>
              </w:rPr>
              <w:t xml:space="preserve"> </w:t>
            </w:r>
            <w:r w:rsidR="002C2A58">
              <w:t>Šobrīd Eiropas parlaments skata ceturto  dzelzceļa tiesību aktu paketi, kuru ir paredzēts pieņemt 201</w:t>
            </w:r>
            <w:r w:rsidR="002E7C2C">
              <w:t>5</w:t>
            </w:r>
            <w:r w:rsidR="00C823AF">
              <w:t>.</w:t>
            </w:r>
            <w:r w:rsidR="002C2A58">
              <w:t>gada rudenī. Š</w:t>
            </w:r>
            <w:r w:rsidR="003B24B2">
              <w:t>ajos</w:t>
            </w:r>
            <w:r w:rsidR="002C2A58">
              <w:t xml:space="preserve"> tiesību aktos</w:t>
            </w:r>
            <w:r w:rsidR="008F2846">
              <w:t>, kurus Latvi</w:t>
            </w:r>
            <w:r w:rsidR="00C823AF">
              <w:t>jai būs jāsāk piemērot no 2019.gada 1.</w:t>
            </w:r>
            <w:r w:rsidR="008F2846">
              <w:t>janvāra,</w:t>
            </w:r>
            <w:r w:rsidR="002C2A58">
              <w:t xml:space="preserve"> ir paredzēts </w:t>
            </w:r>
            <w:r w:rsidR="00CB0945">
              <w:t>būtiski</w:t>
            </w:r>
            <w:r w:rsidR="002C2A58">
              <w:t xml:space="preserve"> mainīt Direktīvā</w:t>
            </w:r>
            <w:r w:rsidR="002C2A58" w:rsidRPr="00577992">
              <w:t xml:space="preserve"> 2008/57/EK</w:t>
            </w:r>
            <w:r w:rsidR="00024B42">
              <w:t xml:space="preserve"> </w:t>
            </w:r>
            <w:r w:rsidR="002C2A58">
              <w:t>noteiktās ritošā sastāva atbilstības novērtēšan</w:t>
            </w:r>
            <w:r w:rsidR="00B12D38">
              <w:t>as procedū</w:t>
            </w:r>
            <w:r w:rsidR="00C823AF">
              <w:t>ra</w:t>
            </w:r>
            <w:r w:rsidR="00024B42">
              <w:t xml:space="preserve">s (minētā direktīva </w:t>
            </w:r>
            <w:r w:rsidR="00024B42" w:rsidRPr="00CB0945">
              <w:t>tik</w:t>
            </w:r>
            <w:r w:rsidR="001E7C07" w:rsidRPr="00CB0945">
              <w:t>s</w:t>
            </w:r>
            <w:r w:rsidR="00024B42" w:rsidRPr="00CB0945">
              <w:t xml:space="preserve"> atcelta),</w:t>
            </w:r>
            <w:r w:rsidR="00CB0945" w:rsidRPr="00CB0945">
              <w:t xml:space="preserve"> kā rezultātā</w:t>
            </w:r>
            <w:r w:rsidR="00024B42" w:rsidRPr="00CB0945">
              <w:t xml:space="preserve"> </w:t>
            </w:r>
            <w:r w:rsidR="00CB0945" w:rsidRPr="00CB0945">
              <w:rPr>
                <w:kern w:val="36"/>
              </w:rPr>
              <w:t>būs nepieciešams izdot</w:t>
            </w:r>
            <w:r w:rsidR="00024B42" w:rsidRPr="00CB0945">
              <w:rPr>
                <w:kern w:val="36"/>
              </w:rPr>
              <w:t xml:space="preserve"> </w:t>
            </w:r>
            <w:r w:rsidR="00CB0945" w:rsidRPr="00CB0945">
              <w:rPr>
                <w:kern w:val="36"/>
              </w:rPr>
              <w:t xml:space="preserve">jaunus </w:t>
            </w:r>
            <w:r w:rsidR="00024B42" w:rsidRPr="00CB0945">
              <w:rPr>
                <w:kern w:val="36"/>
              </w:rPr>
              <w:t>noteikum</w:t>
            </w:r>
            <w:r w:rsidR="00CB0945" w:rsidRPr="00CB0945">
              <w:rPr>
                <w:kern w:val="36"/>
              </w:rPr>
              <w:t>us.</w:t>
            </w:r>
            <w:r w:rsidR="00024B42" w:rsidRPr="00CB0945">
              <w:rPr>
                <w:kern w:val="36"/>
              </w:rPr>
              <w:t xml:space="preserve"> </w:t>
            </w:r>
            <w:r w:rsidR="00024B42">
              <w:rPr>
                <w:kern w:val="36"/>
              </w:rPr>
              <w:t>Projektā ir paredzēts saglabāt minēto pārejas laiku</w:t>
            </w:r>
            <w:r w:rsidR="003B24B2">
              <w:rPr>
                <w:kern w:val="36"/>
              </w:rPr>
              <w:t xml:space="preserve"> </w:t>
            </w:r>
            <w:r w:rsidR="00024B42">
              <w:t>līdz ceturtās dzelzceļa tiesību aktu paketes piemērošanas uzsākšanai</w:t>
            </w:r>
            <w:r w:rsidR="008277F2">
              <w:t xml:space="preserve"> (2019.gada 1.</w:t>
            </w:r>
            <w:r w:rsidR="00C823AF">
              <w:t>javāris</w:t>
            </w:r>
            <w:r w:rsidR="008F2846">
              <w:t>)</w:t>
            </w:r>
            <w:r w:rsidR="00024B42">
              <w:t>.</w:t>
            </w:r>
          </w:p>
          <w:p w:rsidR="00A142D2" w:rsidRDefault="00C823AF" w:rsidP="00A142D2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Komisijas 2013.gada 30.</w:t>
            </w:r>
            <w:r w:rsidR="00603C7B" w:rsidRPr="00BC5D2A">
              <w:rPr>
                <w:bCs/>
                <w:kern w:val="36"/>
              </w:rPr>
              <w:t>aprīļa Īstenošanas regulu (ES) Nr. 402/2013 par kopīgo drošības metodi riska noteikšanai un novērtēšanai un par Regulas (EK) Nr. 352/2009 atcelšanu piemēro a</w:t>
            </w:r>
            <w:r w:rsidR="00603C7B" w:rsidRPr="00BC5D2A">
              <w:t>r 2015.gada 21.maiju, kad tiek atcelta Komisijas 2009</w:t>
            </w:r>
            <w:r>
              <w:t>.gada 24.aprīļa Regula (EK) Nr.</w:t>
            </w:r>
            <w:r w:rsidR="00603C7B" w:rsidRPr="00603C7B">
              <w:t>352/2009</w:t>
            </w:r>
            <w:r w:rsidR="00603C7B" w:rsidRPr="00BC5D2A">
              <w:t xml:space="preserve"> par kopīgas drošības metodes ieviešanu riska noteikšanai un novērtēšanai atbilstoši Eiropas Parlamenta un Padomes Direktīvas </w:t>
            </w:r>
            <w:r w:rsidR="00603C7B" w:rsidRPr="00603C7B">
              <w:t>2004/49/EK</w:t>
            </w:r>
            <w:r w:rsidR="00603C7B" w:rsidRPr="00BC5D2A">
              <w:t xml:space="preserve"> 6.panta 3.punkta "a" apakšpunktam. </w:t>
            </w:r>
            <w:r w:rsidR="00603C7B">
              <w:t>A</w:t>
            </w:r>
            <w:r w:rsidR="00603C7B" w:rsidRPr="00267539">
              <w:t>tsauci</w:t>
            </w:r>
            <w:r w:rsidR="00603C7B">
              <w:t xml:space="preserve"> u</w:t>
            </w:r>
            <w:r w:rsidR="00603C7B" w:rsidRPr="00267539">
              <w:t xml:space="preserve">z </w:t>
            </w:r>
            <w:r w:rsidR="00A142D2" w:rsidRPr="00577992">
              <w:rPr>
                <w:kern w:val="36"/>
              </w:rPr>
              <w:t>MK noteikum</w:t>
            </w:r>
            <w:r>
              <w:rPr>
                <w:kern w:val="36"/>
              </w:rPr>
              <w:t>iem</w:t>
            </w:r>
            <w:r w:rsidR="00A142D2" w:rsidRPr="00577992">
              <w:rPr>
                <w:kern w:val="36"/>
              </w:rPr>
              <w:t xml:space="preserve"> Nr.1211</w:t>
            </w:r>
            <w:r w:rsidR="00A142D2" w:rsidRPr="00577992">
              <w:t xml:space="preserve"> </w:t>
            </w:r>
            <w:r w:rsidR="00603C7B">
              <w:t>i</w:t>
            </w:r>
            <w:r w:rsidR="00603C7B" w:rsidRPr="00267539">
              <w:t xml:space="preserve">r nepieciešams aizstāt ar atsauci uz jauno regulu, </w:t>
            </w:r>
            <w:r w:rsidR="00603C7B" w:rsidRPr="00267539">
              <w:rPr>
                <w:bCs/>
                <w:kern w:val="36"/>
              </w:rPr>
              <w:t>nosakot, ka attiecīgā norma, kurā ietverta atsauc</w:t>
            </w:r>
            <w:r w:rsidR="00603C7B">
              <w:rPr>
                <w:bCs/>
                <w:kern w:val="36"/>
              </w:rPr>
              <w:t>e</w:t>
            </w:r>
            <w:r w:rsidR="00603C7B" w:rsidRPr="00267539">
              <w:rPr>
                <w:bCs/>
                <w:kern w:val="36"/>
              </w:rPr>
              <w:t xml:space="preserve">, </w:t>
            </w:r>
            <w:r w:rsidRPr="00267539">
              <w:rPr>
                <w:bCs/>
                <w:kern w:val="36"/>
              </w:rPr>
              <w:t xml:space="preserve"> stājas </w:t>
            </w:r>
            <w:r w:rsidR="00603C7B" w:rsidRPr="00267539">
              <w:rPr>
                <w:bCs/>
                <w:kern w:val="36"/>
              </w:rPr>
              <w:t>spēkā 2015.gada 21.maijā.</w:t>
            </w:r>
          </w:p>
          <w:p w:rsidR="00805251" w:rsidRPr="003E47E7" w:rsidRDefault="00805251" w:rsidP="00805251">
            <w:pPr>
              <w:jc w:val="both"/>
            </w:pPr>
            <w:r w:rsidRPr="003E47E7">
              <w:rPr>
                <w:szCs w:val="26"/>
              </w:rPr>
              <w:t>Tā kā akreditācijas principi ir noteikti Ministru kabineta 2008.gada 16.decembra noteikumos Nr.1059 „Noteikumi par atbilstības novērtēšanas institūciju novērtēšanu, akreditāciju un uzraudzību” specifiskos normatīvajos aktos nav nepieciešams izdarīt tiešas atsauces uz akreditācijas standa</w:t>
            </w:r>
            <w:r w:rsidR="00A60865">
              <w:rPr>
                <w:szCs w:val="26"/>
              </w:rPr>
              <w:t>rtiem. Tādēļ atbilstoši tam ar P</w:t>
            </w:r>
            <w:r w:rsidRPr="003E47E7">
              <w:rPr>
                <w:szCs w:val="26"/>
              </w:rPr>
              <w:t xml:space="preserve">rojektu  </w:t>
            </w:r>
            <w:r w:rsidRPr="003E47E7">
              <w:t xml:space="preserve">tiek precizēta  </w:t>
            </w:r>
            <w:r w:rsidR="00A60865">
              <w:t xml:space="preserve">MK </w:t>
            </w:r>
            <w:r w:rsidRPr="003E47E7">
              <w:t>noteikumu Nr.1211 86. punkta redakcija.</w:t>
            </w:r>
          </w:p>
          <w:p w:rsidR="003B00E3" w:rsidRPr="003B00E3" w:rsidRDefault="003B00E3" w:rsidP="00805251">
            <w:pPr>
              <w:jc w:val="both"/>
              <w:rPr>
                <w:b/>
                <w:i/>
              </w:rPr>
            </w:pPr>
            <w:r w:rsidRPr="003E47E7">
              <w:rPr>
                <w:color w:val="000000"/>
              </w:rPr>
              <w:t xml:space="preserve">Atbildot uz „EU Pilot” sistēmā ievietoto Eiropas Komisijas  </w:t>
            </w:r>
            <w:r w:rsidR="00A60865">
              <w:rPr>
                <w:color w:val="000000"/>
              </w:rPr>
              <w:t>2014.gada 23.</w:t>
            </w:r>
            <w:r w:rsidRPr="003E47E7">
              <w:rPr>
                <w:color w:val="000000"/>
              </w:rPr>
              <w:t xml:space="preserve">oktobra informācijas pieprasījumu lietā </w:t>
            </w:r>
            <w:r w:rsidRPr="003E47E7">
              <w:t>Nr.</w:t>
            </w:r>
            <w:r w:rsidRPr="003E47E7">
              <w:rPr>
                <w:iCs/>
              </w:rPr>
              <w:t> 6658</w:t>
            </w:r>
            <w:r w:rsidRPr="003E47E7">
              <w:t>/14/</w:t>
            </w:r>
            <w:r w:rsidR="00A60865">
              <w:t>MOVE par Eiropas Parlamenta un P</w:t>
            </w:r>
            <w:r w:rsidRPr="003E47E7">
              <w:t>adomes 2008. gada 17. jūnija Direktīvas 2008/57/EK par dzelzceļa sistēmas savstarpēju izmantojamību Kopienā prasīb</w:t>
            </w:r>
            <w:r w:rsidR="00512C0C">
              <w:t>u nepildīšanu Latvijā,  Latvija</w:t>
            </w:r>
            <w:r w:rsidRPr="003E47E7">
              <w:t xml:space="preserve"> ir norādījusi, ka, l</w:t>
            </w:r>
            <w:r w:rsidRPr="003E47E7">
              <w:rPr>
                <w:rStyle w:val="Strong"/>
                <w:b w:val="0"/>
              </w:rPr>
              <w:t>ai nerastos nekādas šaubas par</w:t>
            </w:r>
            <w:r w:rsidRPr="003E47E7">
              <w:rPr>
                <w:rStyle w:val="Strong"/>
              </w:rPr>
              <w:t xml:space="preserve"> </w:t>
            </w:r>
            <w:r w:rsidRPr="003E47E7">
              <w:rPr>
                <w:bCs/>
              </w:rPr>
              <w:t xml:space="preserve"> </w:t>
            </w:r>
            <w:r w:rsidRPr="003E47E7">
              <w:rPr>
                <w:bCs/>
              </w:rPr>
              <w:lastRenderedPageBreak/>
              <w:t xml:space="preserve">šajā informācijas pieprasījumā norādīto Direktīvas 2008/57/EK normu atbilstošu pārņemšanu, </w:t>
            </w:r>
            <w:r w:rsidRPr="003E47E7">
              <w:rPr>
                <w:rStyle w:val="Strong"/>
              </w:rPr>
              <w:t xml:space="preserve"> </w:t>
            </w:r>
            <w:r w:rsidRPr="003E47E7">
              <w:t xml:space="preserve">tiks sagatavoti attiecīgi grozījumi  </w:t>
            </w:r>
            <w:r w:rsidR="00A60865">
              <w:t>MK</w:t>
            </w:r>
            <w:r w:rsidRPr="003E47E7">
              <w:t xml:space="preserve"> noteikumos Nr.1211</w:t>
            </w:r>
            <w:r w:rsidR="00A663CB" w:rsidRPr="003E47E7">
              <w:t xml:space="preserve">, kuri ir iekļauti  Projektā. Ar Projekta </w:t>
            </w:r>
            <w:r w:rsidR="008970D6" w:rsidRPr="003E47E7">
              <w:t xml:space="preserve">1.4. apakšpunktu no </w:t>
            </w:r>
            <w:r w:rsidR="00A663CB" w:rsidRPr="003E47E7">
              <w:t xml:space="preserve"> </w:t>
            </w:r>
            <w:r w:rsidR="008970D6" w:rsidRPr="003E47E7">
              <w:t xml:space="preserve"> </w:t>
            </w:r>
            <w:r w:rsidR="00A60865">
              <w:t>MK</w:t>
            </w:r>
            <w:r w:rsidR="008970D6" w:rsidRPr="003E47E7">
              <w:t xml:space="preserve"> noteik</w:t>
            </w:r>
            <w:r w:rsidR="00A60865">
              <w:t>umiem Nr.1211 tiek svītrots 25.</w:t>
            </w:r>
            <w:r w:rsidR="008970D6" w:rsidRPr="003E47E7">
              <w:t>punk</w:t>
            </w:r>
            <w:r w:rsidR="00A60865">
              <w:t xml:space="preserve">ts, kura normu Eiropas Komisija minētājā </w:t>
            </w:r>
            <w:r w:rsidR="008970D6" w:rsidRPr="003E47E7">
              <w:t>informācijas pieprasījum</w:t>
            </w:r>
            <w:r w:rsidR="00A60865">
              <w:t xml:space="preserve">ā ir norādījusi kā neatbilstošu </w:t>
            </w:r>
            <w:r w:rsidR="008970D6" w:rsidRPr="003E47E7">
              <w:rPr>
                <w:bCs/>
              </w:rPr>
              <w:t>Direktīvas 2008/57/EK prasībām.</w:t>
            </w:r>
          </w:p>
          <w:p w:rsidR="00186618" w:rsidRPr="00371A30" w:rsidRDefault="00763E50" w:rsidP="00805251">
            <w:pPr>
              <w:jc w:val="both"/>
            </w:pPr>
            <w:hyperlink r:id="rId9" w:tgtFrame="_blank" w:tooltip="DIREKTĪVA" w:history="1"/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Satiksmes ministrija</w:t>
            </w:r>
            <w:r w:rsidR="00F91CEB">
              <w:t>,</w:t>
            </w:r>
            <w:r w:rsidR="00F91CEB" w:rsidRPr="0062173C">
              <w:t xml:space="preserve"> </w:t>
            </w: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C4660" w:rsidRPr="00DD49B6" w:rsidRDefault="001C4660" w:rsidP="001C4660"/>
    <w:tbl>
      <w:tblPr>
        <w:tblpPr w:leftFromText="180" w:rightFromText="180" w:vertAnchor="text" w:horzAnchor="margin" w:tblpXSpec="center" w:tblpY="11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5529"/>
      </w:tblGrid>
      <w:tr w:rsidR="006437C1" w:rsidRPr="00DD49B6" w:rsidTr="006437C1">
        <w:trPr>
          <w:trHeight w:val="556"/>
        </w:trPr>
        <w:tc>
          <w:tcPr>
            <w:tcW w:w="8936" w:type="dxa"/>
            <w:gridSpan w:val="3"/>
            <w:vAlign w:val="center"/>
          </w:tcPr>
          <w:p w:rsidR="006437C1" w:rsidRPr="00DD49B6" w:rsidRDefault="006437C1" w:rsidP="005D474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II. Tiesību akta projekta ietekme uz sabiedrību, tautsaimniecības attīstību</w:t>
            </w:r>
          </w:p>
          <w:p w:rsidR="006437C1" w:rsidRPr="00DD49B6" w:rsidRDefault="006437C1" w:rsidP="005D474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6437C1" w:rsidRPr="00DD49B6" w:rsidTr="00BA5434">
        <w:trPr>
          <w:trHeight w:val="467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 xml:space="preserve">Sabiedrības </w:t>
            </w:r>
            <w:proofErr w:type="spellStart"/>
            <w:r w:rsidRPr="00BA5434">
              <w:rPr>
                <w:lang w:val="lv-LV"/>
              </w:rPr>
              <w:t>mērķgrupas</w:t>
            </w:r>
            <w:proofErr w:type="spellEnd"/>
            <w:r w:rsidRPr="00BA5434">
              <w:rPr>
                <w:lang w:val="lv-LV"/>
              </w:rPr>
              <w:t>, kuras tiesiskais regulējums ietekmē vai varētu ietekmēt</w:t>
            </w:r>
          </w:p>
        </w:tc>
        <w:tc>
          <w:tcPr>
            <w:tcW w:w="5529" w:type="dxa"/>
          </w:tcPr>
          <w:p w:rsidR="006437C1" w:rsidRPr="005B1C69" w:rsidRDefault="00112E10" w:rsidP="005B1C69">
            <w:pPr>
              <w:jc w:val="both"/>
            </w:pPr>
            <w:bookmarkStart w:id="3" w:name="p21"/>
            <w:bookmarkEnd w:id="3"/>
            <w:r>
              <w:t>Publiskās lietošanas dzelzceļa infrastruktūras pārvaldītājs (1), pārvadātāji (10), ritošā sastāva īpašnieki un lietotāji, dzelzceļa tehnikas ražotāji un apkalpotāji.</w:t>
            </w:r>
          </w:p>
        </w:tc>
      </w:tr>
      <w:tr w:rsidR="006437C1" w:rsidRPr="00DD49B6" w:rsidTr="00BA5434">
        <w:trPr>
          <w:trHeight w:val="523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529" w:type="dxa"/>
          </w:tcPr>
          <w:p w:rsidR="006437C1" w:rsidRPr="004A5B92" w:rsidRDefault="00B94947" w:rsidP="00B94947">
            <w:pPr>
              <w:shd w:val="clear" w:color="auto" w:fill="FFFFFF"/>
              <w:ind w:left="57" w:right="57"/>
              <w:jc w:val="both"/>
              <w:rPr>
                <w:highlight w:val="yellow"/>
              </w:rPr>
            </w:pPr>
            <w:r w:rsidRPr="00B94947">
              <w:t xml:space="preserve">Sabiedrības grupām un institūcijām projekta tiesiskais regulējums nemaina tiesības un pienākumus, kā arī veicamās darbības. </w:t>
            </w:r>
          </w:p>
        </w:tc>
      </w:tr>
      <w:tr w:rsidR="006437C1" w:rsidRPr="00DD49B6" w:rsidTr="00BA5434">
        <w:trPr>
          <w:trHeight w:val="523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Administratīvo izmaksu monetārs novērtējums</w:t>
            </w:r>
          </w:p>
        </w:tc>
        <w:tc>
          <w:tcPr>
            <w:tcW w:w="5529" w:type="dxa"/>
          </w:tcPr>
          <w:p w:rsidR="006437C1" w:rsidRPr="004A5B92" w:rsidRDefault="001F6CA4" w:rsidP="005D474C">
            <w:pPr>
              <w:shd w:val="clear" w:color="auto" w:fill="FFFFFF"/>
              <w:ind w:left="57" w:right="57"/>
              <w:rPr>
                <w:highlight w:val="yellow"/>
              </w:rPr>
            </w:pPr>
            <w:r>
              <w:t>Projekts šo jomu neskar</w:t>
            </w:r>
          </w:p>
        </w:tc>
      </w:tr>
      <w:tr w:rsidR="006437C1" w:rsidRPr="00DD49B6" w:rsidTr="00BA5434">
        <w:trPr>
          <w:trHeight w:val="357"/>
        </w:trPr>
        <w:tc>
          <w:tcPr>
            <w:tcW w:w="572" w:type="dxa"/>
          </w:tcPr>
          <w:p w:rsidR="006437C1" w:rsidRPr="00DD49B6" w:rsidRDefault="006437C1" w:rsidP="00BA543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2835" w:type="dxa"/>
          </w:tcPr>
          <w:p w:rsidR="006437C1" w:rsidRPr="00BA5434" w:rsidRDefault="006437C1" w:rsidP="005D474C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BA5434">
              <w:rPr>
                <w:lang w:val="lv-LV"/>
              </w:rPr>
              <w:t>Cita informācija</w:t>
            </w:r>
          </w:p>
        </w:tc>
        <w:tc>
          <w:tcPr>
            <w:tcW w:w="5529" w:type="dxa"/>
          </w:tcPr>
          <w:p w:rsidR="006437C1" w:rsidRPr="004A5B92" w:rsidRDefault="006437C1" w:rsidP="001F6CA4">
            <w:pPr>
              <w:shd w:val="clear" w:color="auto" w:fill="FFFFFF"/>
              <w:ind w:left="57" w:right="57"/>
              <w:rPr>
                <w:highlight w:val="yellow"/>
              </w:rPr>
            </w:pPr>
            <w:r w:rsidRPr="001F6CA4">
              <w:t>Nav</w:t>
            </w:r>
          </w:p>
        </w:tc>
      </w:tr>
    </w:tbl>
    <w:p w:rsidR="007D6EDD" w:rsidRDefault="007D6EDD" w:rsidP="00186618"/>
    <w:tbl>
      <w:tblPr>
        <w:tblW w:w="89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418"/>
        <w:gridCol w:w="264"/>
        <w:gridCol w:w="1153"/>
        <w:gridCol w:w="630"/>
        <w:gridCol w:w="1234"/>
        <w:gridCol w:w="1330"/>
        <w:gridCol w:w="2366"/>
      </w:tblGrid>
      <w:tr w:rsidR="00036E0F" w:rsidRPr="00DD49B6" w:rsidTr="0023386F">
        <w:trPr>
          <w:jc w:val="center"/>
        </w:trPr>
        <w:tc>
          <w:tcPr>
            <w:tcW w:w="89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jc w:val="center"/>
              <w:rPr>
                <w:b/>
              </w:rPr>
            </w:pPr>
            <w:r w:rsidRPr="00DD49B6">
              <w:rPr>
                <w:b/>
              </w:rPr>
              <w:t>V. Tiesību akta projekta atbilstība Latvijas Republikas starptautiskajām saistībām</w:t>
            </w:r>
          </w:p>
        </w:tc>
      </w:tr>
      <w:tr w:rsidR="00036E0F" w:rsidRPr="00DD49B6" w:rsidTr="0023386F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1.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Saistības pret Eiropas Savienību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Default="00731A63" w:rsidP="00731A63">
            <w:pPr>
              <w:ind w:right="57"/>
              <w:jc w:val="both"/>
            </w:pPr>
            <w:r>
              <w:t>1)</w:t>
            </w:r>
            <w:r w:rsidR="00036E0F">
              <w:t>Eiropas Parlamenta un Padome</w:t>
            </w:r>
            <w:r w:rsidR="00B171B1">
              <w:t>s 2008.gada 17.jūnija Direktīva</w:t>
            </w:r>
            <w:r w:rsidR="00036E0F">
              <w:t xml:space="preserve"> </w:t>
            </w:r>
            <w:r w:rsidR="00036E0F" w:rsidRPr="0055382B">
              <w:t>2008/57/EK</w:t>
            </w:r>
            <w:r w:rsidR="00036E0F">
              <w:t xml:space="preserve"> par dzelzceļa sistēmas savstarpēju izmantojamību Kopienā</w:t>
            </w:r>
            <w:r w:rsidR="002E096E">
              <w:t>.</w:t>
            </w:r>
          </w:p>
          <w:p w:rsidR="00731A63" w:rsidRDefault="00731A63" w:rsidP="00731A63">
            <w:pPr>
              <w:pStyle w:val="ListParagraph"/>
              <w:tabs>
                <w:tab w:val="left" w:pos="386"/>
              </w:tabs>
              <w:ind w:left="0"/>
              <w:jc w:val="both"/>
            </w:pPr>
          </w:p>
          <w:p w:rsidR="00731A63" w:rsidRDefault="00731A63" w:rsidP="00731A63">
            <w:pPr>
              <w:pStyle w:val="ListParagraph"/>
              <w:tabs>
                <w:tab w:val="left" w:pos="386"/>
              </w:tabs>
              <w:ind w:left="0"/>
              <w:jc w:val="both"/>
            </w:pPr>
            <w:r>
              <w:t>2)</w:t>
            </w:r>
            <w:r w:rsidR="00790E69">
              <w:t xml:space="preserve"> Komisijas 2009.gada 16.oktobra Direktīva </w:t>
            </w:r>
            <w:r w:rsidR="00790E69" w:rsidRPr="00790E69">
              <w:t>2009/131/EK</w:t>
            </w:r>
            <w:r w:rsidR="00790E69">
              <w:t xml:space="preserve"> par VII pielikuma grozījumiem Eiropas Parlamenta un Padomes Direktīvā </w:t>
            </w:r>
            <w:r w:rsidR="00790E69" w:rsidRPr="00790E69">
              <w:t>2008/57/EK</w:t>
            </w:r>
            <w:r w:rsidR="00790E69">
              <w:t xml:space="preserve"> par dzelzceļa sistēmas savstarpēju izmantojamību Kopienā</w:t>
            </w:r>
            <w:r>
              <w:t>.</w:t>
            </w:r>
          </w:p>
          <w:p w:rsidR="00CF641D" w:rsidRDefault="00CF641D" w:rsidP="00731A63">
            <w:pPr>
              <w:pStyle w:val="ListParagraph"/>
              <w:tabs>
                <w:tab w:val="left" w:pos="386"/>
              </w:tabs>
              <w:ind w:left="0"/>
              <w:jc w:val="both"/>
            </w:pPr>
          </w:p>
          <w:p w:rsidR="00731A63" w:rsidRPr="003858FE" w:rsidRDefault="00731A63" w:rsidP="003330B4">
            <w:pPr>
              <w:pStyle w:val="ListParagraph"/>
              <w:tabs>
                <w:tab w:val="left" w:pos="386"/>
              </w:tabs>
              <w:ind w:left="0"/>
              <w:jc w:val="both"/>
            </w:pPr>
            <w:r>
              <w:rPr>
                <w:sz w:val="28"/>
                <w:szCs w:val="28"/>
              </w:rPr>
              <w:t>3)</w:t>
            </w:r>
            <w:r w:rsidRPr="00731A63">
              <w:t>Komisijas 2013.gada 30.aprīļa īstenošanas Regul</w:t>
            </w:r>
            <w:r w:rsidR="00B171B1">
              <w:t>a</w:t>
            </w:r>
            <w:r w:rsidRPr="00731A63">
              <w:t xml:space="preserve"> (ES) Nr.402/2013 par kopīgo drošības metodi riska noteikšanai un novērtēšanai un Regulas (EK) Nr.352/2009 atcelšanu</w:t>
            </w:r>
            <w:r w:rsidR="00680462">
              <w:t xml:space="preserve"> </w:t>
            </w:r>
            <w:r w:rsidR="00680462" w:rsidRPr="00680462">
              <w:t>(jāpiemēro no 2015.gada 21.maija)</w:t>
            </w:r>
            <w:r w:rsidR="003330B4">
              <w:t>.</w:t>
            </w:r>
          </w:p>
        </w:tc>
      </w:tr>
      <w:tr w:rsidR="00036E0F" w:rsidRPr="00DD49B6" w:rsidTr="0023386F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2.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Citas starptautiskās saistības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both"/>
            </w:pPr>
            <w:r>
              <w:t>Projekts šo jomu neskar</w:t>
            </w:r>
          </w:p>
        </w:tc>
      </w:tr>
      <w:tr w:rsidR="00036E0F" w:rsidRPr="00DD49B6" w:rsidTr="0023386F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3.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>Cita informācija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 w:right="57"/>
              <w:jc w:val="both"/>
            </w:pPr>
            <w:r>
              <w:t xml:space="preserve">Nav </w:t>
            </w:r>
          </w:p>
        </w:tc>
      </w:tr>
      <w:tr w:rsidR="00036E0F" w:rsidRPr="00DD49B6" w:rsidTr="0023386F">
        <w:trPr>
          <w:jc w:val="center"/>
        </w:trPr>
        <w:tc>
          <w:tcPr>
            <w:tcW w:w="89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1.tabula</w:t>
            </w:r>
          </w:p>
          <w:p w:rsidR="00036E0F" w:rsidRPr="00DD49B6" w:rsidRDefault="00036E0F" w:rsidP="0023386F">
            <w:pPr>
              <w:ind w:left="57"/>
              <w:jc w:val="center"/>
            </w:pPr>
            <w:r w:rsidRPr="00DD49B6">
              <w:rPr>
                <w:b/>
              </w:rPr>
              <w:t>Tiesību akta projekta atbilstība ES tiesību aktiem</w:t>
            </w:r>
          </w:p>
        </w:tc>
      </w:tr>
      <w:tr w:rsidR="00036E0F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t xml:space="preserve">Attiecīgā ES tiesību akta </w:t>
            </w:r>
            <w:r w:rsidRPr="00DD49B6">
              <w:lastRenderedPageBreak/>
              <w:t>datums, numurs un nosaukums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 w:right="57"/>
              <w:jc w:val="both"/>
            </w:pPr>
            <w:r>
              <w:lastRenderedPageBreak/>
              <w:t>Komisijas 2014.gada 10.marta Direktīva 2014/38/ES</w:t>
            </w:r>
            <w:r w:rsidR="002E096E">
              <w:t>,</w:t>
            </w:r>
            <w:r>
              <w:t xml:space="preserve"> ar kuru groza Eiropas Parlamenta un Padomes Direktīvas 2008/57/EK III trešo </w:t>
            </w:r>
            <w:r>
              <w:lastRenderedPageBreak/>
              <w:t>pielikumu attiecībā uz trokšņa piesārņojumu</w:t>
            </w:r>
            <w:r>
              <w:rPr>
                <w:lang w:eastAsia="en-US"/>
              </w:rPr>
              <w:t>.</w:t>
            </w:r>
          </w:p>
        </w:tc>
      </w:tr>
      <w:tr w:rsidR="00036E0F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lastRenderedPageBreak/>
              <w:t>A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B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C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0F" w:rsidRPr="00DD49B6" w:rsidRDefault="00036E0F" w:rsidP="0023386F">
            <w:pPr>
              <w:ind w:left="57"/>
              <w:jc w:val="center"/>
            </w:pPr>
            <w:r w:rsidRPr="00DD49B6">
              <w:t>D</w:t>
            </w:r>
          </w:p>
        </w:tc>
      </w:tr>
      <w:tr w:rsidR="00036E0F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Projekta vienība, kas pārņem vai ievieš katru šīs tabulas A</w:t>
            </w:r>
            <w:r>
              <w:rPr>
                <w:spacing w:val="-3"/>
              </w:rPr>
              <w:t> </w:t>
            </w:r>
            <w:r w:rsidRPr="00DD49B6">
              <w:rPr>
                <w:spacing w:val="-3"/>
              </w:rPr>
              <w:t>ailē minēto ES tiesību akta vienību, vai tiesību akts, kur attiecīgā ES tiesību akta vienība pārņemta vai ieviesta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0F" w:rsidRPr="00DD49B6" w:rsidRDefault="00036E0F" w:rsidP="0023386F">
            <w:pPr>
              <w:ind w:left="57"/>
            </w:pPr>
            <w:r w:rsidRPr="00DD49B6">
              <w:rPr>
                <w:spacing w:val="-3"/>
              </w:rPr>
              <w:t xml:space="preserve">Informācija par to, vai šīs </w:t>
            </w:r>
            <w:r w:rsidRPr="00DD49B6">
              <w:t>tabulas B ailē minētās projekta vienības paredz stingrākas prasības nekā šīs tabulas A ailē minētās ES tiesību akta vienības.</w:t>
            </w:r>
          </w:p>
          <w:p w:rsidR="00036E0F" w:rsidRPr="00DD49B6" w:rsidRDefault="00036E0F" w:rsidP="0023386F">
            <w:pPr>
              <w:ind w:left="57"/>
            </w:pPr>
            <w:r w:rsidRPr="00DD49B6">
              <w:t>Ja projekts satur stingrā</w:t>
            </w:r>
            <w:r>
              <w:softHyphen/>
            </w:r>
            <w:r w:rsidRPr="00DD49B6">
              <w:t>kas prasības nekā attie</w:t>
            </w:r>
            <w:r>
              <w:softHyphen/>
            </w:r>
            <w:r w:rsidRPr="00DD49B6">
              <w:t>cīgais ES tiesību akts,</w:t>
            </w:r>
            <w:r>
              <w:t xml:space="preserve"> </w:t>
            </w:r>
            <w:r w:rsidRPr="00DD49B6">
              <w:t>norāda pamatojumu un samērīgumu.</w:t>
            </w:r>
          </w:p>
          <w:p w:rsidR="00036E0F" w:rsidRPr="00DD49B6" w:rsidRDefault="00036E0F" w:rsidP="0023386F">
            <w:pPr>
              <w:ind w:left="57"/>
              <w:rPr>
                <w:spacing w:val="-3"/>
              </w:rPr>
            </w:pPr>
            <w:r w:rsidRPr="00DD49B6">
              <w:t>Norāda iespējamās alternatīvas (t.sk. alternatīvas, kas neparedz tiesiskā regulējuma izstrādi) – kādos gadījumos būtu iespējams izvairīties no stingrāku prasību</w:t>
            </w:r>
            <w:r w:rsidRPr="00DD49B6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731A63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1A63" w:rsidRPr="003E47E7" w:rsidRDefault="00731A63" w:rsidP="009A5D1C">
            <w:pPr>
              <w:ind w:left="57"/>
              <w:rPr>
                <w:bCs/>
              </w:rPr>
            </w:pPr>
            <w:r w:rsidRPr="003E47E7">
              <w:rPr>
                <w:bCs/>
              </w:rPr>
              <w:t xml:space="preserve">Direktīvas 2008/57/EK </w:t>
            </w:r>
            <w:r w:rsidR="009A5D1C" w:rsidRPr="003E47E7">
              <w:rPr>
                <w:lang w:eastAsia="en-US"/>
              </w:rPr>
              <w:t xml:space="preserve">2. panta </w:t>
            </w:r>
            <w:r w:rsidRPr="003E47E7">
              <w:rPr>
                <w:lang w:eastAsia="en-US"/>
              </w:rPr>
              <w:t>s)punkts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1A63" w:rsidRPr="003E47E7" w:rsidRDefault="00731A63" w:rsidP="00731A63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1A63" w:rsidRPr="003E47E7" w:rsidRDefault="00731A63" w:rsidP="00731A63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31A63" w:rsidRPr="003E47E7" w:rsidRDefault="00731A63" w:rsidP="00731A63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1A63" w:rsidRPr="003E47E7" w:rsidRDefault="00731A63" w:rsidP="00731A63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31A63" w:rsidRPr="003E47E7" w:rsidRDefault="00731A63" w:rsidP="00731A63">
            <w:pPr>
              <w:ind w:left="57"/>
              <w:rPr>
                <w:spacing w:val="-2"/>
              </w:rPr>
            </w:pPr>
          </w:p>
          <w:p w:rsidR="00731A63" w:rsidRPr="003E47E7" w:rsidRDefault="00731A63" w:rsidP="00731A63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jc w:val="both"/>
            </w:pPr>
            <w:r w:rsidRPr="003E47E7">
              <w:rPr>
                <w:bCs/>
              </w:rPr>
              <w:t xml:space="preserve">Direktīvas 2008/57/EK </w:t>
            </w:r>
            <w:r w:rsidRPr="003E47E7">
              <w:t>2. panta z) punkts</w:t>
            </w:r>
          </w:p>
          <w:p w:rsidR="00790E69" w:rsidRPr="003E47E7" w:rsidRDefault="00790E69" w:rsidP="00790E69">
            <w:pPr>
              <w:ind w:left="57"/>
              <w:rPr>
                <w:bCs/>
              </w:rPr>
            </w:pP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486EFF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486EFF" w:rsidRPr="003E47E7">
              <w:rPr>
                <w:spacing w:val="-2"/>
              </w:rPr>
              <w:t>7</w:t>
            </w:r>
            <w:r w:rsidRPr="003E47E7">
              <w:rPr>
                <w:spacing w:val="-2"/>
              </w:rPr>
              <w:t>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bCs/>
              </w:rPr>
            </w:pPr>
            <w:r w:rsidRPr="003E47E7">
              <w:rPr>
                <w:bCs/>
              </w:rPr>
              <w:t xml:space="preserve">Direktīvas 2008/57/EK </w:t>
            </w:r>
            <w:r w:rsidRPr="003E47E7">
              <w:rPr>
                <w:lang w:eastAsia="en-US"/>
              </w:rPr>
              <w:t>21. panta 11.punkts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1.2.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</w:pPr>
            <w:r w:rsidRPr="003E47E7">
              <w:rPr>
                <w:bCs/>
              </w:rPr>
              <w:t xml:space="preserve">Direktīvas 2008/57/EK </w:t>
            </w:r>
            <w:r w:rsidRPr="003E47E7">
              <w:rPr>
                <w:lang w:eastAsia="en-US"/>
              </w:rPr>
              <w:t>23. panta 5. punkta otrais teikums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722680" w:rsidRPr="003E47E7">
              <w:rPr>
                <w:spacing w:val="-2"/>
              </w:rPr>
              <w:t>4</w:t>
            </w:r>
            <w:r w:rsidRPr="003E47E7">
              <w:rPr>
                <w:spacing w:val="-2"/>
              </w:rPr>
              <w:t xml:space="preserve">. apakšpunkts 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bCs/>
              </w:rPr>
            </w:pPr>
            <w:r w:rsidRPr="003E47E7">
              <w:rPr>
                <w:bCs/>
              </w:rPr>
              <w:t xml:space="preserve">Direktīvas 2008/57/EK </w:t>
            </w:r>
            <w:r w:rsidRPr="003E47E7">
              <w:rPr>
                <w:lang w:eastAsia="en-US"/>
              </w:rPr>
              <w:t xml:space="preserve">23. panta 6. punkts 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</w:t>
            </w:r>
            <w:r w:rsidR="00722680" w:rsidRPr="003E47E7">
              <w:rPr>
                <w:spacing w:val="-2"/>
              </w:rPr>
              <w:t>7</w:t>
            </w:r>
            <w:r w:rsidRPr="003E47E7">
              <w:rPr>
                <w:spacing w:val="-2"/>
              </w:rPr>
              <w:t>., 1.</w:t>
            </w:r>
            <w:r w:rsidR="00722680" w:rsidRPr="003E47E7">
              <w:rPr>
                <w:spacing w:val="-2"/>
              </w:rPr>
              <w:t>8</w:t>
            </w:r>
            <w:r w:rsidRPr="003E47E7">
              <w:rPr>
                <w:spacing w:val="-2"/>
              </w:rPr>
              <w:t>., 1.</w:t>
            </w:r>
            <w:r w:rsidR="00722680" w:rsidRPr="003E47E7">
              <w:rPr>
                <w:spacing w:val="-2"/>
              </w:rPr>
              <w:t>9</w:t>
            </w:r>
            <w:r w:rsidRPr="003E47E7">
              <w:rPr>
                <w:spacing w:val="-2"/>
              </w:rPr>
              <w:t>. (</w:t>
            </w:r>
            <w:r w:rsidRPr="003E47E7">
              <w:t xml:space="preserve">Ministru kabineta noteikumu Nr.1211 29. </w:t>
            </w:r>
            <w:r w:rsidRPr="003E47E7">
              <w:lastRenderedPageBreak/>
              <w:t>punkts</w:t>
            </w:r>
            <w:r w:rsidRPr="003E47E7">
              <w:rPr>
                <w:spacing w:val="-2"/>
              </w:rPr>
              <w:t>), 1.</w:t>
            </w:r>
            <w:r w:rsidR="00722680" w:rsidRPr="003E47E7">
              <w:rPr>
                <w:spacing w:val="-2"/>
              </w:rPr>
              <w:t>10</w:t>
            </w:r>
            <w:r w:rsidRPr="003E47E7">
              <w:rPr>
                <w:spacing w:val="-2"/>
              </w:rPr>
              <w:t>. un 1.</w:t>
            </w:r>
            <w:r w:rsidR="00722680" w:rsidRPr="003E47E7">
              <w:rPr>
                <w:spacing w:val="-2"/>
              </w:rPr>
              <w:t>11</w:t>
            </w:r>
            <w:r w:rsidRPr="003E47E7">
              <w:rPr>
                <w:spacing w:val="-2"/>
              </w:rPr>
              <w:t xml:space="preserve">. apakšpunkts 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lastRenderedPageBreak/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</w:pPr>
            <w:r w:rsidRPr="003E47E7">
              <w:rPr>
                <w:bCs/>
              </w:rPr>
              <w:lastRenderedPageBreak/>
              <w:t xml:space="preserve">Direktīvas 2008/57/EK </w:t>
            </w:r>
            <w:r w:rsidRPr="003E47E7">
              <w:rPr>
                <w:lang w:eastAsia="en-US"/>
              </w:rPr>
              <w:t>25. panta 3. punkta otrais teikums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722680" w:rsidRPr="003E47E7">
              <w:rPr>
                <w:spacing w:val="-2"/>
              </w:rPr>
              <w:t>5</w:t>
            </w:r>
            <w:r w:rsidRPr="003E47E7">
              <w:rPr>
                <w:spacing w:val="-2"/>
              </w:rPr>
              <w:t>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</w:pPr>
            <w:r w:rsidRPr="003E47E7">
              <w:rPr>
                <w:bCs/>
              </w:rPr>
              <w:t xml:space="preserve">Direktīvas 2008/57/EK </w:t>
            </w:r>
            <w:r w:rsidRPr="003E47E7">
              <w:rPr>
                <w:lang w:eastAsia="en-US"/>
              </w:rPr>
              <w:t>25. panta 4. punkta otrais teikums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722680" w:rsidRPr="003E47E7">
              <w:rPr>
                <w:spacing w:val="-2"/>
              </w:rPr>
              <w:t>6</w:t>
            </w:r>
            <w:r w:rsidRPr="003E47E7">
              <w:rPr>
                <w:spacing w:val="-2"/>
              </w:rPr>
              <w:t>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</w:pPr>
            <w:r w:rsidRPr="003E47E7">
              <w:rPr>
                <w:bCs/>
              </w:rPr>
              <w:t xml:space="preserve">Direktīvas 2008/57/EK </w:t>
            </w:r>
            <w:r w:rsidRPr="003E47E7">
              <w:rPr>
                <w:lang w:eastAsia="en-US"/>
              </w:rPr>
              <w:t>26. panta 3. punkta pirmais teikums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722680" w:rsidRPr="003E47E7">
              <w:rPr>
                <w:spacing w:val="-2"/>
              </w:rPr>
              <w:t>8</w:t>
            </w:r>
            <w:r w:rsidRPr="003E47E7">
              <w:rPr>
                <w:spacing w:val="-2"/>
              </w:rPr>
              <w:t>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</w:pPr>
            <w:r w:rsidRPr="003E47E7">
              <w:rPr>
                <w:bCs/>
              </w:rPr>
              <w:t xml:space="preserve">Direktīvas 2008/57/EK </w:t>
            </w:r>
            <w:r w:rsidRPr="003E47E7">
              <w:rPr>
                <w:lang w:eastAsia="en-US"/>
              </w:rPr>
              <w:t>32. panta 2.punkts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722680" w:rsidRPr="003E47E7">
              <w:rPr>
                <w:spacing w:val="-2"/>
              </w:rPr>
              <w:t>9</w:t>
            </w:r>
            <w:r w:rsidRPr="003E47E7">
              <w:rPr>
                <w:spacing w:val="-2"/>
              </w:rPr>
              <w:t>. apakšpunkts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lang w:eastAsia="en-US"/>
              </w:rPr>
            </w:pPr>
            <w:r w:rsidRPr="003E47E7">
              <w:rPr>
                <w:spacing w:val="-2"/>
              </w:rPr>
              <w:t xml:space="preserve">Attiecīgā </w:t>
            </w:r>
            <w:r w:rsidRPr="003E47E7">
              <w:rPr>
                <w:lang w:eastAsia="en-US"/>
              </w:rPr>
              <w:t xml:space="preserve">Direktīvas </w:t>
            </w:r>
            <w:r w:rsidRPr="003E47E7">
              <w:rPr>
                <w:bCs/>
              </w:rPr>
              <w:t xml:space="preserve">2008/57/EK </w:t>
            </w:r>
            <w:r w:rsidRPr="003E47E7">
              <w:rPr>
                <w:lang w:eastAsia="en-US"/>
              </w:rPr>
              <w:t>norma tiek pārņemta pilnībā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790E69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Neparedz stingrākas prasības</w:t>
            </w: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  <w:p w:rsidR="00790E69" w:rsidRPr="003E47E7" w:rsidRDefault="00790E69" w:rsidP="00790E69">
            <w:pPr>
              <w:ind w:left="57"/>
              <w:rPr>
                <w:spacing w:val="-2"/>
              </w:rPr>
            </w:pPr>
          </w:p>
        </w:tc>
      </w:tr>
      <w:tr w:rsidR="00790E69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Default="00790E69" w:rsidP="00790E69">
            <w:pPr>
              <w:ind w:left="57"/>
            </w:pPr>
            <w:r w:rsidRPr="00501703">
              <w:t>Direktīvas 2008/57 VII pielikuma 2.punkts</w:t>
            </w:r>
            <w:r w:rsidRPr="00AC3357">
              <w:rPr>
                <w:lang w:eastAsia="en-US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3E47E7" w:rsidRDefault="00790E69" w:rsidP="00C939FE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</w:t>
            </w:r>
            <w:r w:rsidR="00C939FE" w:rsidRPr="003E47E7">
              <w:rPr>
                <w:spacing w:val="-2"/>
              </w:rPr>
              <w:t>22</w:t>
            </w:r>
            <w:r w:rsidRPr="003E47E7">
              <w:rPr>
                <w:spacing w:val="-2"/>
              </w:rPr>
              <w:t>. apakšpunkts (</w:t>
            </w:r>
            <w:r w:rsidRPr="003E47E7">
              <w:t>Ministru kabineta noteikumu Nr.1211  1. pielikuma 2. punkts)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9E408F" w:rsidRDefault="00790E69" w:rsidP="00790E69">
            <w:pPr>
              <w:ind w:left="57"/>
              <w:rPr>
                <w:lang w:eastAsia="en-US"/>
              </w:rPr>
            </w:pPr>
            <w:r w:rsidRPr="009E408F">
              <w:rPr>
                <w:spacing w:val="-2"/>
              </w:rPr>
              <w:t xml:space="preserve">Attiecīgā </w:t>
            </w:r>
            <w:r w:rsidRPr="009E408F">
              <w:rPr>
                <w:lang w:eastAsia="en-US"/>
              </w:rPr>
              <w:t xml:space="preserve">Direktīvas </w:t>
            </w:r>
            <w:r>
              <w:rPr>
                <w:bCs/>
              </w:rPr>
              <w:t xml:space="preserve">2008/57/EK </w:t>
            </w:r>
            <w:r w:rsidRPr="009E408F">
              <w:rPr>
                <w:lang w:eastAsia="en-US"/>
              </w:rPr>
              <w:t>norma tiek pārņemta pilnībā</w:t>
            </w:r>
          </w:p>
          <w:p w:rsidR="00790E69" w:rsidRPr="009E408F" w:rsidRDefault="00790E69" w:rsidP="00790E69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0E69" w:rsidRPr="009E408F" w:rsidRDefault="00790E69" w:rsidP="00790E69">
            <w:pPr>
              <w:ind w:left="57"/>
              <w:rPr>
                <w:spacing w:val="-2"/>
              </w:rPr>
            </w:pPr>
            <w:r w:rsidRPr="009E408F">
              <w:rPr>
                <w:spacing w:val="-2"/>
              </w:rPr>
              <w:t>Neparedz stingrākas prasības</w:t>
            </w:r>
          </w:p>
          <w:p w:rsidR="00790E69" w:rsidRPr="009E408F" w:rsidRDefault="00790E69" w:rsidP="00790E69">
            <w:pPr>
              <w:ind w:left="57"/>
              <w:rPr>
                <w:spacing w:val="-2"/>
              </w:rPr>
            </w:pPr>
          </w:p>
          <w:p w:rsidR="00790E69" w:rsidRPr="009E408F" w:rsidRDefault="00790E69" w:rsidP="00790E69">
            <w:pPr>
              <w:ind w:left="57"/>
              <w:rPr>
                <w:spacing w:val="-2"/>
              </w:rPr>
            </w:pPr>
          </w:p>
        </w:tc>
      </w:tr>
      <w:tr w:rsidR="00B171B1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3E47E7" w:rsidRDefault="00B171B1" w:rsidP="00B171B1">
            <w:pPr>
              <w:ind w:left="57"/>
            </w:pPr>
            <w:r w:rsidRPr="003E47E7">
              <w:t>Direktīvas 2009/131/EK pielikums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3E47E7" w:rsidRDefault="00B171B1" w:rsidP="00C939FE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</w:t>
            </w:r>
            <w:r w:rsidR="00C939FE" w:rsidRPr="003E47E7">
              <w:rPr>
                <w:spacing w:val="-2"/>
              </w:rPr>
              <w:t>22</w:t>
            </w:r>
            <w:r w:rsidRPr="003E47E7">
              <w:rPr>
                <w:spacing w:val="-2"/>
              </w:rPr>
              <w:t>. apakšpunkts (</w:t>
            </w:r>
            <w:r w:rsidRPr="003E47E7">
              <w:t>Ministru kabineta noteikumu Nr.1211  1. pielikuma 1. punkts)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9E408F" w:rsidRDefault="00B171B1" w:rsidP="00B171B1">
            <w:pPr>
              <w:ind w:left="57"/>
              <w:rPr>
                <w:lang w:eastAsia="en-US"/>
              </w:rPr>
            </w:pPr>
            <w:r w:rsidRPr="009E408F">
              <w:rPr>
                <w:spacing w:val="-2"/>
              </w:rPr>
              <w:t xml:space="preserve">Attiecīgā </w:t>
            </w:r>
            <w:r w:rsidRPr="009E408F">
              <w:rPr>
                <w:lang w:eastAsia="en-US"/>
              </w:rPr>
              <w:t xml:space="preserve">Direktīvas </w:t>
            </w:r>
            <w:r>
              <w:rPr>
                <w:bCs/>
              </w:rPr>
              <w:t xml:space="preserve">2008/57/EK </w:t>
            </w:r>
            <w:r w:rsidRPr="009E408F">
              <w:rPr>
                <w:lang w:eastAsia="en-US"/>
              </w:rPr>
              <w:t>norma tiek pārņemta pilnībā</w:t>
            </w:r>
          </w:p>
          <w:p w:rsidR="00B171B1" w:rsidRPr="009E408F" w:rsidRDefault="00B171B1" w:rsidP="00B171B1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9E408F" w:rsidRDefault="00B171B1" w:rsidP="00B171B1">
            <w:pPr>
              <w:ind w:left="57"/>
              <w:rPr>
                <w:spacing w:val="-2"/>
              </w:rPr>
            </w:pPr>
            <w:r w:rsidRPr="009E408F">
              <w:rPr>
                <w:spacing w:val="-2"/>
              </w:rPr>
              <w:t>Neparedz stingrākas prasības</w:t>
            </w:r>
          </w:p>
          <w:p w:rsidR="00B171B1" w:rsidRPr="009E408F" w:rsidRDefault="00B171B1" w:rsidP="00B171B1">
            <w:pPr>
              <w:ind w:left="57"/>
              <w:rPr>
                <w:spacing w:val="-2"/>
              </w:rPr>
            </w:pPr>
          </w:p>
          <w:p w:rsidR="00B171B1" w:rsidRPr="009E408F" w:rsidRDefault="00B171B1" w:rsidP="00B171B1">
            <w:pPr>
              <w:ind w:left="57"/>
              <w:rPr>
                <w:spacing w:val="-2"/>
              </w:rPr>
            </w:pPr>
          </w:p>
        </w:tc>
      </w:tr>
      <w:tr w:rsidR="00B171B1" w:rsidRPr="00DD49B6" w:rsidTr="0023386F">
        <w:trPr>
          <w:trHeight w:val="1035"/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B171B1" w:rsidRDefault="00B171B1" w:rsidP="00B171B1">
            <w:pPr>
              <w:ind w:left="57"/>
              <w:rPr>
                <w:b/>
                <w:i/>
              </w:rPr>
            </w:pPr>
            <w:r w:rsidRPr="00731A63">
              <w:t>Regul</w:t>
            </w:r>
            <w:r>
              <w:t>a</w:t>
            </w:r>
            <w:r w:rsidRPr="00731A63">
              <w:t xml:space="preserve"> (ES) Nr.402/2013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3E47E7" w:rsidRDefault="00B171B1" w:rsidP="00722680">
            <w:pPr>
              <w:ind w:left="57"/>
              <w:rPr>
                <w:spacing w:val="-2"/>
              </w:rPr>
            </w:pPr>
            <w:r w:rsidRPr="003E47E7">
              <w:rPr>
                <w:spacing w:val="-2"/>
              </w:rPr>
              <w:t>Projekta 1.1</w:t>
            </w:r>
            <w:r w:rsidR="00722680" w:rsidRPr="003E47E7">
              <w:rPr>
                <w:spacing w:val="-2"/>
              </w:rPr>
              <w:t>2</w:t>
            </w:r>
            <w:r w:rsidRPr="003E47E7">
              <w:rPr>
                <w:spacing w:val="-2"/>
              </w:rPr>
              <w:t>.</w:t>
            </w:r>
            <w:r w:rsidR="00680462" w:rsidRPr="003E47E7">
              <w:rPr>
                <w:spacing w:val="-2"/>
              </w:rPr>
              <w:t xml:space="preserve"> un </w:t>
            </w:r>
            <w:r w:rsidRPr="003E47E7">
              <w:rPr>
                <w:spacing w:val="-2"/>
              </w:rPr>
              <w:t>1.1</w:t>
            </w:r>
            <w:r w:rsidR="00722680" w:rsidRPr="003E47E7">
              <w:rPr>
                <w:spacing w:val="-2"/>
              </w:rPr>
              <w:t>3</w:t>
            </w:r>
            <w:r w:rsidRPr="003E47E7">
              <w:rPr>
                <w:spacing w:val="-2"/>
              </w:rPr>
              <w:t>. apakšpunkts</w:t>
            </w:r>
            <w:r w:rsidR="00680462" w:rsidRPr="003E47E7">
              <w:rPr>
                <w:spacing w:val="-2"/>
              </w:rPr>
              <w:t xml:space="preserve"> un 2. punkts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9E408F" w:rsidRDefault="00B171B1" w:rsidP="00B171B1">
            <w:pPr>
              <w:ind w:left="57"/>
              <w:rPr>
                <w:lang w:eastAsia="en-US"/>
              </w:rPr>
            </w:pPr>
            <w:r w:rsidRPr="00731A63">
              <w:t>Regul</w:t>
            </w:r>
            <w:r>
              <w:t>a</w:t>
            </w:r>
            <w:r w:rsidRPr="00731A63">
              <w:t xml:space="preserve"> (ES) Nr.402/2013</w:t>
            </w:r>
            <w:r>
              <w:t xml:space="preserve"> </w:t>
            </w:r>
            <w:r w:rsidRPr="009E408F">
              <w:rPr>
                <w:lang w:eastAsia="en-US"/>
              </w:rPr>
              <w:t>tiek pārņemta pilnībā</w:t>
            </w:r>
          </w:p>
          <w:p w:rsidR="00B171B1" w:rsidRPr="009E408F" w:rsidRDefault="00B171B1" w:rsidP="00B171B1">
            <w:pPr>
              <w:ind w:left="57"/>
              <w:rPr>
                <w:spacing w:val="-2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71B1" w:rsidRPr="009E408F" w:rsidRDefault="00B171B1" w:rsidP="00B171B1">
            <w:pPr>
              <w:ind w:left="57"/>
              <w:rPr>
                <w:spacing w:val="-2"/>
              </w:rPr>
            </w:pPr>
            <w:r w:rsidRPr="009E408F">
              <w:rPr>
                <w:spacing w:val="-2"/>
              </w:rPr>
              <w:t>Neparedz stingrākas prasības</w:t>
            </w:r>
          </w:p>
          <w:p w:rsidR="00B171B1" w:rsidRPr="009E408F" w:rsidRDefault="00B171B1" w:rsidP="00B171B1">
            <w:pPr>
              <w:ind w:left="57"/>
              <w:rPr>
                <w:spacing w:val="-2"/>
              </w:rPr>
            </w:pPr>
          </w:p>
          <w:p w:rsidR="00B171B1" w:rsidRPr="009E408F" w:rsidRDefault="00B171B1" w:rsidP="00B171B1">
            <w:pPr>
              <w:ind w:left="57"/>
              <w:rPr>
                <w:spacing w:val="-2"/>
              </w:rPr>
            </w:pPr>
          </w:p>
        </w:tc>
      </w:tr>
      <w:tr w:rsidR="00B171B1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 ir izmantota ES tiesību aktā paredzētā rīcības brīvība dalīb</w:t>
            </w:r>
            <w:r>
              <w:rPr>
                <w:spacing w:val="-3"/>
              </w:rPr>
              <w:softHyphen/>
            </w:r>
            <w:r w:rsidRPr="00DD49B6">
              <w:rPr>
                <w:spacing w:val="-3"/>
              </w:rPr>
              <w:t>valstij pārņemt vai ieviest noteiktas ES tiesību akta normas?</w:t>
            </w:r>
          </w:p>
          <w:p w:rsidR="00B171B1" w:rsidRPr="00DD49B6" w:rsidRDefault="00B171B1" w:rsidP="00B171B1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Kādēļ?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rPr>
                <w:spacing w:val="-3"/>
              </w:rPr>
            </w:pPr>
            <w:r w:rsidRPr="00DD49B6">
              <w:rPr>
                <w:spacing w:val="-4"/>
              </w:rPr>
              <w:t>Saistības sniegt paziņojumu ES</w:t>
            </w:r>
            <w:r>
              <w:rPr>
                <w:spacing w:val="-4"/>
              </w:rPr>
              <w:t xml:space="preserve"> </w:t>
            </w:r>
            <w:r w:rsidRPr="00DD49B6">
              <w:rPr>
                <w:spacing w:val="-4"/>
              </w:rPr>
              <w:t>insti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tūcijām un ES dalīb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 xml:space="preserve">valstīm </w:t>
            </w:r>
            <w:r w:rsidRPr="00DD49B6">
              <w:rPr>
                <w:spacing w:val="-4"/>
              </w:rPr>
              <w:lastRenderedPageBreak/>
              <w:t>atbilstoši normatīvajiem aktiem, kas regulē informā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cijas sniegšanu par tehnisko noteikumu, valsts atbalsta piešķir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šanas un finanšu noteikumu (attiecībā uz monetāro politiku) projektiem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lastRenderedPageBreak/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lastRenderedPageBreak/>
              <w:t>Cita informācija</w:t>
            </w:r>
          </w:p>
        </w:tc>
        <w:tc>
          <w:tcPr>
            <w:tcW w:w="6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Nav</w:t>
            </w:r>
          </w:p>
        </w:tc>
      </w:tr>
      <w:tr w:rsidR="00B171B1" w:rsidRPr="00DD49B6" w:rsidTr="0023386F">
        <w:trPr>
          <w:jc w:val="center"/>
        </w:trPr>
        <w:tc>
          <w:tcPr>
            <w:tcW w:w="89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2.tabula</w:t>
            </w:r>
          </w:p>
          <w:p w:rsidR="00B171B1" w:rsidRPr="00DD49B6" w:rsidRDefault="00B171B1" w:rsidP="00B171B1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B171B1" w:rsidRPr="00DD49B6" w:rsidRDefault="00B171B1" w:rsidP="00B171B1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Pasākumi šo saistību izpildei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</w:pPr>
            <w:r w:rsidRPr="00DD49B6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6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</w:pPr>
            <w:r w:rsidRPr="00DD49B6">
              <w:t>A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</w:pPr>
            <w:r w:rsidRPr="00DD49B6">
              <w:t>B</w:t>
            </w:r>
          </w:p>
        </w:tc>
        <w:tc>
          <w:tcPr>
            <w:tcW w:w="3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1B1" w:rsidRPr="00DD49B6" w:rsidRDefault="00B171B1" w:rsidP="00B171B1">
            <w:pPr>
              <w:ind w:left="57"/>
              <w:jc w:val="center"/>
            </w:pPr>
            <w:r w:rsidRPr="00DD49B6">
              <w:t>C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Starptautiskās saistības (pēc būtības), kas izriet no norādītā starptautis</w:t>
            </w:r>
            <w:r>
              <w:softHyphen/>
            </w:r>
            <w:r w:rsidRPr="00DD49B6">
              <w:t>kā dokumenta.</w:t>
            </w:r>
          </w:p>
          <w:p w:rsidR="00B171B1" w:rsidRPr="00DD49B6" w:rsidRDefault="00B171B1" w:rsidP="00B171B1">
            <w:pPr>
              <w:ind w:left="57"/>
            </w:pPr>
            <w:r w:rsidRPr="00DD49B6">
              <w:t>Konkrēti veicamie pasākumi vai uzdevumi, kas nepieciešami šo starptautisko saistību izpildei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t>Informācija par to, vai starptautiskās saistības, kas minētas šīs tabulas A ailē, tiek izpildītas pilnībā vai daļēji.</w:t>
            </w:r>
          </w:p>
          <w:p w:rsidR="00B171B1" w:rsidRPr="00DD49B6" w:rsidRDefault="00B171B1" w:rsidP="00B171B1">
            <w:pPr>
              <w:ind w:left="57"/>
            </w:pPr>
            <w:r w:rsidRPr="00DD49B6"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B171B1" w:rsidRPr="00DD49B6" w:rsidRDefault="00B171B1" w:rsidP="00B171B1">
            <w:pPr>
              <w:ind w:left="57" w:right="57"/>
            </w:pPr>
            <w:r w:rsidRPr="00DD49B6">
              <w:t>Norāda institūciju, kas ir atbildīga par šo saistību izpildi pilnībā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  <w:tc>
          <w:tcPr>
            <w:tcW w:w="3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Default="00B171B1" w:rsidP="00B171B1">
            <w:pPr>
              <w:ind w:left="57"/>
            </w:pPr>
            <w:r w:rsidRPr="00DD49B6">
              <w:t>Vai starptautiskajā dokumentā paredzētās saistības nav pretrunā ar jau esošajām Latvijas Republikas starptautis</w:t>
            </w:r>
            <w:r>
              <w:softHyphen/>
            </w:r>
            <w:r w:rsidRPr="00DD49B6">
              <w:t xml:space="preserve">kajām </w:t>
            </w:r>
            <w:r w:rsidRPr="00DD49B6">
              <w:lastRenderedPageBreak/>
              <w:t>saistībām</w:t>
            </w:r>
          </w:p>
          <w:p w:rsidR="00CF641D" w:rsidRPr="00DD49B6" w:rsidRDefault="00CF641D" w:rsidP="00B171B1">
            <w:pPr>
              <w:ind w:left="57"/>
            </w:pPr>
          </w:p>
        </w:tc>
        <w:tc>
          <w:tcPr>
            <w:tcW w:w="6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jc w:val="both"/>
            </w:pPr>
            <w:r>
              <w:lastRenderedPageBreak/>
              <w:t>Projekts šo jomu neskar</w:t>
            </w:r>
          </w:p>
        </w:tc>
      </w:tr>
      <w:tr w:rsidR="00B171B1" w:rsidRPr="00DD49B6" w:rsidTr="0023386F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</w:pPr>
            <w:r w:rsidRPr="00DD49B6">
              <w:lastRenderedPageBreak/>
              <w:t>Cita informācija</w:t>
            </w:r>
          </w:p>
        </w:tc>
        <w:tc>
          <w:tcPr>
            <w:tcW w:w="6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1B1" w:rsidRPr="00DD49B6" w:rsidRDefault="00B171B1" w:rsidP="00B171B1">
            <w:pPr>
              <w:ind w:left="57"/>
              <w:jc w:val="both"/>
            </w:pPr>
            <w:r w:rsidRPr="00DD49B6">
              <w:t>Nav</w:t>
            </w:r>
          </w:p>
        </w:tc>
      </w:tr>
    </w:tbl>
    <w:p w:rsidR="003769DA" w:rsidRDefault="003769DA" w:rsidP="00186618"/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261"/>
        <w:gridCol w:w="5154"/>
      </w:tblGrid>
      <w:tr w:rsidR="00FB2FC6" w:rsidRPr="00DD49B6" w:rsidTr="00F51E83">
        <w:trPr>
          <w:trHeight w:val="421"/>
          <w:jc w:val="center"/>
        </w:trPr>
        <w:tc>
          <w:tcPr>
            <w:tcW w:w="9033" w:type="dxa"/>
            <w:gridSpan w:val="3"/>
            <w:vAlign w:val="center"/>
          </w:tcPr>
          <w:p w:rsidR="00FB2FC6" w:rsidRPr="00DD49B6" w:rsidRDefault="00FB2FC6" w:rsidP="00F51E83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FB2FC6" w:rsidRPr="00DD49B6" w:rsidTr="00F51E83">
        <w:trPr>
          <w:trHeight w:val="553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tabs>
                <w:tab w:val="left" w:pos="170"/>
              </w:tabs>
              <w:ind w:left="57" w:right="57"/>
            </w:pPr>
            <w:r w:rsidRPr="00DD49B6">
              <w:t>Plānotās sabiedrības līdzdalības un komunikācijas aktivitātes saistībā ar projektu</w:t>
            </w:r>
          </w:p>
        </w:tc>
        <w:tc>
          <w:tcPr>
            <w:tcW w:w="5154" w:type="dxa"/>
          </w:tcPr>
          <w:p w:rsidR="00FB2FC6" w:rsidRDefault="00FB2FC6" w:rsidP="00F51E83">
            <w:pPr>
              <w:tabs>
                <w:tab w:val="num" w:pos="0"/>
              </w:tabs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Par Projekta izstrādes uzsākšanu tika informēti lielākie dzelzceļa nozares uzņēmumi. </w:t>
            </w:r>
          </w:p>
        </w:tc>
      </w:tr>
      <w:tr w:rsidR="00FB2FC6" w:rsidRPr="00DD49B6" w:rsidTr="00F51E83">
        <w:trPr>
          <w:trHeight w:val="339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ind w:left="57" w:right="57"/>
            </w:pPr>
            <w:r w:rsidRPr="00DD49B6">
              <w:t>Sabiedrības līdzdalība projekta izstrādē</w:t>
            </w:r>
          </w:p>
        </w:tc>
        <w:tc>
          <w:tcPr>
            <w:tcW w:w="5154" w:type="dxa"/>
          </w:tcPr>
          <w:p w:rsidR="00FB2FC6" w:rsidRDefault="00FB2FC6" w:rsidP="00F51E83">
            <w:pPr>
              <w:jc w:val="both"/>
            </w:pPr>
            <w:r>
              <w:t xml:space="preserve">Projekta izstrādē notika konsultācijas ar publiskās lietošanas dzelzceļa infrastruktūras pārvaldītāju - VAS „Latvijas dzelzceļš”. </w:t>
            </w:r>
          </w:p>
        </w:tc>
      </w:tr>
      <w:tr w:rsidR="00FB2FC6" w:rsidRPr="00DD49B6" w:rsidTr="00F51E83">
        <w:trPr>
          <w:trHeight w:val="476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ind w:left="57" w:right="57"/>
            </w:pPr>
            <w:r w:rsidRPr="00DD49B6">
              <w:t>Sabiedrības līdzdalības rezultāti</w:t>
            </w:r>
          </w:p>
        </w:tc>
        <w:tc>
          <w:tcPr>
            <w:tcW w:w="5154" w:type="dxa"/>
          </w:tcPr>
          <w:p w:rsidR="00FB2FC6" w:rsidRDefault="00FB2FC6" w:rsidP="00F51E83">
            <w:pPr>
              <w:jc w:val="both"/>
            </w:pPr>
            <w:r>
              <w:rPr>
                <w:bCs/>
              </w:rPr>
              <w:t xml:space="preserve">Dzelzceļa nozares uzņēmumi Projektu atbalsta, jo Projekts paredz nemainīt pastāvošo kārtību attiecībā uz trešo valstu kravas vagonu </w:t>
            </w:r>
            <w:r w:rsidRPr="00577992">
              <w:t>atbilstīb</w:t>
            </w:r>
            <w:r>
              <w:t xml:space="preserve">as novērtēšanu </w:t>
            </w:r>
            <w:r w:rsidRPr="00577992">
              <w:t xml:space="preserve">Latvijas normatīvo aktu prasībām un </w:t>
            </w:r>
            <w:r>
              <w:t xml:space="preserve">Latvijas dzelzceļa </w:t>
            </w:r>
            <w:r w:rsidRPr="00577992">
              <w:t>infrastruktūrai</w:t>
            </w:r>
            <w:r>
              <w:rPr>
                <w:bCs/>
              </w:rPr>
              <w:t xml:space="preserve"> līdz Eiropas Savienības </w:t>
            </w:r>
            <w:r>
              <w:t>ceturtās dzelzceļa tiesību aktu paketes piemērošanas uzsākšanai Latvijā.</w:t>
            </w:r>
          </w:p>
        </w:tc>
      </w:tr>
      <w:tr w:rsidR="00FB2FC6" w:rsidRPr="00DD49B6" w:rsidTr="00F51E83">
        <w:trPr>
          <w:trHeight w:val="476"/>
          <w:jc w:val="center"/>
        </w:trPr>
        <w:tc>
          <w:tcPr>
            <w:tcW w:w="618" w:type="dxa"/>
          </w:tcPr>
          <w:p w:rsidR="00FB2FC6" w:rsidRPr="00DD49B6" w:rsidRDefault="00FB2FC6" w:rsidP="00F51E83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3261" w:type="dxa"/>
          </w:tcPr>
          <w:p w:rsidR="00FB2FC6" w:rsidRPr="00DD49B6" w:rsidRDefault="00FB2FC6" w:rsidP="00F51E83">
            <w:pPr>
              <w:ind w:left="57" w:right="57"/>
            </w:pPr>
            <w:r w:rsidRPr="00DD49B6">
              <w:t>Cita informācija</w:t>
            </w:r>
          </w:p>
        </w:tc>
        <w:tc>
          <w:tcPr>
            <w:tcW w:w="5154" w:type="dxa"/>
          </w:tcPr>
          <w:p w:rsidR="00FB2FC6" w:rsidRDefault="00FB2FC6" w:rsidP="00F51E83">
            <w:pPr>
              <w:tabs>
                <w:tab w:val="num" w:pos="0"/>
              </w:tabs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Nav </w:t>
            </w:r>
          </w:p>
        </w:tc>
      </w:tr>
    </w:tbl>
    <w:p w:rsidR="003769DA" w:rsidRPr="00186618" w:rsidRDefault="003769DA" w:rsidP="00186618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4" w:name="p66"/>
            <w:bookmarkStart w:id="5" w:name="p67"/>
            <w:bookmarkStart w:id="6" w:name="p68"/>
            <w:bookmarkStart w:id="7" w:name="p69"/>
            <w:bookmarkEnd w:id="4"/>
            <w:bookmarkEnd w:id="5"/>
            <w:bookmarkEnd w:id="6"/>
            <w:bookmarkEnd w:id="7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2F5727" w:rsidRPr="00186618" w:rsidRDefault="00BE04F4" w:rsidP="001C4660">
            <w:pPr>
              <w:shd w:val="clear" w:color="auto" w:fill="FFFFFF"/>
              <w:ind w:left="57" w:right="57"/>
              <w:jc w:val="both"/>
            </w:pPr>
            <w:r w:rsidRPr="00BE04F4">
              <w:t>Projekts šo jomu neskar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:rsidR="00186618" w:rsidRPr="003A4CF4" w:rsidRDefault="00E2582C" w:rsidP="007D6EDD">
      <w:pPr>
        <w:rPr>
          <w:iCs/>
        </w:rPr>
      </w:pPr>
      <w:r w:rsidRPr="003A4CF4">
        <w:rPr>
          <w:iCs/>
        </w:rPr>
        <w:t>Anotācijas II</w:t>
      </w:r>
      <w:r w:rsidR="005A4AAC" w:rsidRPr="003A4CF4">
        <w:rPr>
          <w:iCs/>
        </w:rPr>
        <w:t>I</w:t>
      </w:r>
      <w:r w:rsidR="00A95635" w:rsidRPr="003A4CF4">
        <w:rPr>
          <w:iCs/>
        </w:rPr>
        <w:t xml:space="preserve"> un </w:t>
      </w:r>
      <w:r w:rsidR="005A4AAC" w:rsidRPr="003A4CF4">
        <w:rPr>
          <w:iCs/>
        </w:rPr>
        <w:t xml:space="preserve"> </w:t>
      </w:r>
      <w:r w:rsidR="00113CC5" w:rsidRPr="003A4CF4">
        <w:rPr>
          <w:iCs/>
        </w:rPr>
        <w:t>I</w:t>
      </w:r>
      <w:r w:rsidRPr="003A4CF4">
        <w:rPr>
          <w:iCs/>
        </w:rPr>
        <w:t>V</w:t>
      </w:r>
      <w:r w:rsidR="00A95635" w:rsidRPr="003A4CF4">
        <w:rPr>
          <w:iCs/>
        </w:rPr>
        <w:t xml:space="preserve"> </w:t>
      </w:r>
      <w:r w:rsidRPr="003A4CF4">
        <w:rPr>
          <w:iCs/>
        </w:rPr>
        <w:t>sadaļa – projekts šīs jomas neskar.</w:t>
      </w:r>
    </w:p>
    <w:p w:rsidR="00E231B3" w:rsidRPr="003A4CF4" w:rsidRDefault="00E231B3"/>
    <w:p w:rsidR="003A4CF4" w:rsidRDefault="003A4CF4" w:rsidP="00EA414E">
      <w:pPr>
        <w:jc w:val="both"/>
      </w:pPr>
    </w:p>
    <w:p w:rsidR="00B50954" w:rsidRPr="003A4CF4" w:rsidRDefault="00B50954" w:rsidP="00EA414E">
      <w:pPr>
        <w:jc w:val="both"/>
      </w:pPr>
      <w:r w:rsidRPr="003A4CF4">
        <w:t xml:space="preserve">Satiksmes ministrs           </w:t>
      </w:r>
      <w:r w:rsidR="003411CC" w:rsidRPr="003A4CF4">
        <w:t xml:space="preserve">          </w:t>
      </w:r>
      <w:r w:rsidR="003411CC" w:rsidRPr="003A4CF4">
        <w:tab/>
      </w:r>
      <w:r w:rsidR="003411CC" w:rsidRPr="003A4CF4">
        <w:tab/>
      </w:r>
      <w:r w:rsidR="003411CC" w:rsidRPr="003A4CF4">
        <w:tab/>
      </w:r>
      <w:r w:rsidR="003411CC" w:rsidRPr="003A4CF4">
        <w:tab/>
      </w:r>
      <w:r w:rsidR="003411CC" w:rsidRPr="003A4CF4">
        <w:tab/>
        <w:t xml:space="preserve">                </w:t>
      </w:r>
      <w:r w:rsidR="0026494C" w:rsidRPr="003A4CF4">
        <w:t>A</w:t>
      </w:r>
      <w:r w:rsidRPr="003A4CF4">
        <w:t>.</w:t>
      </w:r>
      <w:r w:rsidR="00E2582C" w:rsidRPr="003A4CF4">
        <w:t>Matīss</w:t>
      </w:r>
    </w:p>
    <w:p w:rsidR="004A2958" w:rsidRPr="003A4CF4" w:rsidRDefault="004A2958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4058E5" w:rsidRPr="003A4CF4" w:rsidRDefault="004058E5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B50954" w:rsidRPr="003A4CF4" w:rsidRDefault="00B50954" w:rsidP="00497DE1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  <w:r w:rsidRPr="003A4CF4">
        <w:rPr>
          <w:lang w:val="lv-LV"/>
        </w:rPr>
        <w:t xml:space="preserve">Vīza: </w:t>
      </w:r>
      <w:r w:rsidR="00E231B3" w:rsidRPr="003A4CF4">
        <w:rPr>
          <w:lang w:val="lv-LV"/>
        </w:rPr>
        <w:t>V</w:t>
      </w:r>
      <w:r w:rsidRPr="003A4CF4">
        <w:rPr>
          <w:lang w:val="lv-LV"/>
        </w:rPr>
        <w:t>alsts sekretār</w:t>
      </w:r>
      <w:r w:rsidR="003411CC" w:rsidRPr="003A4CF4">
        <w:rPr>
          <w:lang w:val="lv-LV"/>
        </w:rPr>
        <w:t xml:space="preserve">s                         </w:t>
      </w:r>
      <w:r w:rsidR="00497DE1" w:rsidRPr="003A4CF4">
        <w:rPr>
          <w:lang w:val="lv-LV"/>
        </w:rPr>
        <w:t xml:space="preserve">                                   </w:t>
      </w:r>
      <w:r w:rsidR="00343A37" w:rsidRPr="003A4CF4">
        <w:rPr>
          <w:lang w:val="lv-LV"/>
        </w:rPr>
        <w:t xml:space="preserve">             </w:t>
      </w:r>
      <w:r w:rsidR="00497DE1" w:rsidRPr="003A4CF4">
        <w:rPr>
          <w:lang w:val="lv-LV"/>
        </w:rPr>
        <w:t xml:space="preserve"> </w:t>
      </w:r>
      <w:r w:rsidR="003A4CF4">
        <w:rPr>
          <w:lang w:val="lv-LV"/>
        </w:rPr>
        <w:tab/>
      </w:r>
      <w:r w:rsidR="003A4CF4">
        <w:rPr>
          <w:lang w:val="lv-LV"/>
        </w:rPr>
        <w:tab/>
        <w:t xml:space="preserve">    </w:t>
      </w:r>
      <w:r w:rsidR="00497DE1" w:rsidRPr="003A4CF4">
        <w:rPr>
          <w:lang w:val="lv-LV"/>
        </w:rPr>
        <w:t>K.Ozoliņš</w:t>
      </w: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43A37" w:rsidRDefault="00343A37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A4CF4" w:rsidRDefault="003A4CF4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B7174" w:rsidRPr="00343A37" w:rsidRDefault="00F4406B" w:rsidP="004A295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D4037" w:rsidRPr="00343A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="00ED4037" w:rsidRPr="00343A3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ED4037" w:rsidRPr="00343A37">
        <w:rPr>
          <w:rFonts w:ascii="Times New Roman" w:hAnsi="Times New Roman" w:cs="Times New Roman"/>
        </w:rPr>
        <w:t xml:space="preserve"> 1</w:t>
      </w:r>
      <w:r w:rsidR="00A65EBF" w:rsidRPr="00343A37">
        <w:rPr>
          <w:rFonts w:ascii="Times New Roman" w:hAnsi="Times New Roman" w:cs="Times New Roman"/>
        </w:rPr>
        <w:t>0</w:t>
      </w:r>
      <w:r w:rsidR="00ED4037" w:rsidRPr="00343A37">
        <w:rPr>
          <w:rFonts w:ascii="Times New Roman" w:hAnsi="Times New Roman" w:cs="Times New Roman"/>
        </w:rPr>
        <w:t>:</w:t>
      </w:r>
      <w:r w:rsidR="00A65EBF" w:rsidRPr="00343A37">
        <w:rPr>
          <w:rFonts w:ascii="Times New Roman" w:hAnsi="Times New Roman" w:cs="Times New Roman"/>
        </w:rPr>
        <w:t>00</w:t>
      </w:r>
    </w:p>
    <w:p w:rsidR="008C5D69" w:rsidRPr="00343A37" w:rsidRDefault="00A60865" w:rsidP="004A295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1710</w:t>
      </w:r>
    </w:p>
    <w:p w:rsidR="007D6EDD" w:rsidRPr="00343A37" w:rsidRDefault="003769DA" w:rsidP="004A2958">
      <w:pPr>
        <w:pStyle w:val="PlainText"/>
        <w:jc w:val="both"/>
        <w:rPr>
          <w:rFonts w:ascii="Times New Roman" w:hAnsi="Times New Roman" w:cs="Times New Roman"/>
        </w:rPr>
      </w:pPr>
      <w:r w:rsidRPr="00343A37">
        <w:rPr>
          <w:rFonts w:ascii="Times New Roman" w:hAnsi="Times New Roman" w:cs="Times New Roman"/>
        </w:rPr>
        <w:t>K.Baikovskis</w:t>
      </w:r>
      <w:r w:rsidR="007D6EDD" w:rsidRPr="00343A37">
        <w:rPr>
          <w:rFonts w:ascii="Times New Roman" w:hAnsi="Times New Roman" w:cs="Times New Roman"/>
        </w:rPr>
        <w:t xml:space="preserve">, </w:t>
      </w:r>
      <w:r w:rsidR="000B7174" w:rsidRPr="00343A37">
        <w:rPr>
          <w:rFonts w:ascii="Times New Roman" w:hAnsi="Times New Roman" w:cs="Times New Roman"/>
        </w:rPr>
        <w:fldChar w:fldCharType="begin"/>
      </w:r>
      <w:r w:rsidR="000B7174" w:rsidRPr="00343A37">
        <w:rPr>
          <w:rFonts w:ascii="Times New Roman" w:hAnsi="Times New Roman" w:cs="Times New Roman"/>
        </w:rPr>
        <w:instrText xml:space="preserve"> COMMENTS   \* MERGEFORMAT </w:instrText>
      </w:r>
      <w:r w:rsidR="000B7174" w:rsidRPr="00343A37">
        <w:rPr>
          <w:rFonts w:ascii="Times New Roman" w:hAnsi="Times New Roman" w:cs="Times New Roman"/>
        </w:rPr>
        <w:fldChar w:fldCharType="separate"/>
      </w:r>
      <w:r w:rsidRPr="00343A37">
        <w:rPr>
          <w:rFonts w:ascii="Times New Roman" w:hAnsi="Times New Roman" w:cs="Times New Roman"/>
        </w:rPr>
        <w:t xml:space="preserve">67028371, </w:t>
      </w:r>
    </w:p>
    <w:p w:rsidR="008C5D69" w:rsidRPr="000B7174" w:rsidRDefault="003769DA" w:rsidP="004A29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43A37">
        <w:rPr>
          <w:rFonts w:ascii="Times New Roman" w:hAnsi="Times New Roman" w:cs="Times New Roman"/>
        </w:rPr>
        <w:t>kaspars.baikovskis</w:t>
      </w:r>
      <w:r w:rsidR="000B7174" w:rsidRPr="00343A37">
        <w:rPr>
          <w:rFonts w:ascii="Times New Roman" w:hAnsi="Times New Roman" w:cs="Times New Roman"/>
        </w:rPr>
        <w:t>@sam.gov.lv</w:t>
      </w:r>
      <w:r w:rsidR="000B7174" w:rsidRPr="00343A37">
        <w:rPr>
          <w:rFonts w:ascii="Times New Roman" w:hAnsi="Times New Roman" w:cs="Times New Roman"/>
        </w:rPr>
        <w:fldChar w:fldCharType="end"/>
      </w:r>
    </w:p>
    <w:sectPr w:rsidR="008C5D69" w:rsidRPr="000B7174" w:rsidSect="000F28E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50" w:rsidRDefault="00763E50">
      <w:r>
        <w:separator/>
      </w:r>
    </w:p>
  </w:endnote>
  <w:endnote w:type="continuationSeparator" w:id="0">
    <w:p w:rsidR="00763E50" w:rsidRDefault="007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DA" w:rsidRDefault="007F5C12" w:rsidP="007F5C12">
    <w:pPr>
      <w:pStyle w:val="Footer"/>
      <w:jc w:val="both"/>
    </w:pPr>
    <w:r>
      <w:rPr>
        <w:sz w:val="20"/>
        <w:szCs w:val="20"/>
      </w:rPr>
      <w:t>S</w:t>
    </w:r>
    <w:r w:rsidR="00AA707B">
      <w:rPr>
        <w:sz w:val="20"/>
        <w:szCs w:val="20"/>
      </w:rPr>
      <w:t>AMAnot_170215</w:t>
    </w:r>
    <w:r>
      <w:rPr>
        <w:sz w:val="20"/>
        <w:szCs w:val="20"/>
      </w:rPr>
      <w:t>_groz1211</w:t>
    </w:r>
    <w:r w:rsidR="003769DA">
      <w:rPr>
        <w:sz w:val="20"/>
        <w:szCs w:val="20"/>
      </w:rPr>
      <w:t>; Ministru kabineta noteikumu projekta „</w:t>
    </w:r>
    <w:r w:rsidR="003769DA">
      <w:rPr>
        <w:bCs/>
        <w:sz w:val="20"/>
        <w:szCs w:val="20"/>
      </w:rPr>
      <w:t>Grozījumi Ministru kabineta 2010. gada 28.decembra noteikumos Nr.1211 „Noteikumi par ritošā sastāva būvi, modernizāciju, atjaunošanas remontu, atbilstības novērtēšanu un pieņemšanu ekspluatācijā”</w:t>
    </w:r>
    <w:r w:rsidR="003769DA">
      <w:rPr>
        <w:bCs/>
        <w:kern w:val="36"/>
        <w:sz w:val="20"/>
        <w:szCs w:val="20"/>
      </w:rPr>
      <w:t xml:space="preserve">” </w:t>
    </w:r>
    <w:r w:rsidR="003769DA">
      <w:rPr>
        <w:sz w:val="20"/>
        <w:szCs w:val="20"/>
      </w:rPr>
      <w:t>sākotnējās ietekmes novērtējuma ziņojums (anotācija)</w:t>
    </w:r>
  </w:p>
  <w:p w:rsidR="009C4030" w:rsidRPr="00A978ED" w:rsidRDefault="009C4030" w:rsidP="00A97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DA" w:rsidRDefault="003769DA" w:rsidP="007F5C12">
    <w:pPr>
      <w:pStyle w:val="Footer"/>
      <w:jc w:val="both"/>
    </w:pPr>
    <w:r>
      <w:rPr>
        <w:sz w:val="20"/>
        <w:szCs w:val="20"/>
      </w:rPr>
      <w:t>S</w:t>
    </w:r>
    <w:r w:rsidR="00AA707B">
      <w:rPr>
        <w:sz w:val="20"/>
        <w:szCs w:val="20"/>
      </w:rPr>
      <w:t>AMAnot_170215</w:t>
    </w:r>
    <w:r w:rsidR="007F5C12">
      <w:rPr>
        <w:sz w:val="20"/>
        <w:szCs w:val="20"/>
      </w:rPr>
      <w:t>_groz</w:t>
    </w:r>
    <w:r>
      <w:rPr>
        <w:sz w:val="20"/>
        <w:szCs w:val="20"/>
      </w:rPr>
      <w:t>1211; Ministru kabineta noteikumu projekta „</w:t>
    </w:r>
    <w:r>
      <w:rPr>
        <w:bCs/>
        <w:sz w:val="20"/>
        <w:szCs w:val="20"/>
      </w:rPr>
      <w:t>Grozījumi Ministru kabineta 2010. gada 28.decembra noteikumos Nr.1211 „Noteikumi par ritošā sastāva būvi, modernizāciju, atjaunošanas remontu, atbilstības novērtēšanu un pieņemšanu ekspluatācijā”</w:t>
    </w:r>
    <w:r>
      <w:rPr>
        <w:bCs/>
        <w:kern w:val="36"/>
        <w:sz w:val="20"/>
        <w:szCs w:val="20"/>
      </w:rPr>
      <w:t xml:space="preserve">” </w:t>
    </w:r>
    <w:r>
      <w:rPr>
        <w:sz w:val="20"/>
        <w:szCs w:val="20"/>
      </w:rPr>
      <w:t>sākotnējās ietekmes novērtējuma ziņojums (anotācija)</w:t>
    </w:r>
  </w:p>
  <w:p w:rsidR="009C4030" w:rsidRPr="00A978ED" w:rsidRDefault="009C4030" w:rsidP="007F5C1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50" w:rsidRDefault="00763E50">
      <w:r>
        <w:separator/>
      </w:r>
    </w:p>
  </w:footnote>
  <w:footnote w:type="continuationSeparator" w:id="0">
    <w:p w:rsidR="00763E50" w:rsidRDefault="0076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15B">
      <w:rPr>
        <w:rStyle w:val="PageNumber"/>
        <w:noProof/>
      </w:rPr>
      <w:t>7</w: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6"/>
    <w:rsid w:val="000024B0"/>
    <w:rsid w:val="000073B1"/>
    <w:rsid w:val="00010277"/>
    <w:rsid w:val="00014117"/>
    <w:rsid w:val="00015844"/>
    <w:rsid w:val="00016601"/>
    <w:rsid w:val="00023814"/>
    <w:rsid w:val="000249CB"/>
    <w:rsid w:val="00024B42"/>
    <w:rsid w:val="00024D77"/>
    <w:rsid w:val="00025727"/>
    <w:rsid w:val="00031AD4"/>
    <w:rsid w:val="00031D6F"/>
    <w:rsid w:val="00032087"/>
    <w:rsid w:val="00035FEE"/>
    <w:rsid w:val="00036E0F"/>
    <w:rsid w:val="0004286D"/>
    <w:rsid w:val="0004311C"/>
    <w:rsid w:val="0004466E"/>
    <w:rsid w:val="0005312E"/>
    <w:rsid w:val="000551AE"/>
    <w:rsid w:val="00056EFB"/>
    <w:rsid w:val="00056FC6"/>
    <w:rsid w:val="00057BB7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3BB"/>
    <w:rsid w:val="000B387D"/>
    <w:rsid w:val="000B6237"/>
    <w:rsid w:val="000B7174"/>
    <w:rsid w:val="000D1B17"/>
    <w:rsid w:val="000E1DAE"/>
    <w:rsid w:val="000E2E67"/>
    <w:rsid w:val="000E4266"/>
    <w:rsid w:val="000E5876"/>
    <w:rsid w:val="000E59A2"/>
    <w:rsid w:val="000F28E8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92D36"/>
    <w:rsid w:val="001A18EE"/>
    <w:rsid w:val="001A2332"/>
    <w:rsid w:val="001A299D"/>
    <w:rsid w:val="001A3242"/>
    <w:rsid w:val="001B2BCD"/>
    <w:rsid w:val="001B2E1F"/>
    <w:rsid w:val="001B310C"/>
    <w:rsid w:val="001B56C3"/>
    <w:rsid w:val="001B6360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E7C07"/>
    <w:rsid w:val="001F289B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3F81"/>
    <w:rsid w:val="002974F0"/>
    <w:rsid w:val="002A32E5"/>
    <w:rsid w:val="002A6E69"/>
    <w:rsid w:val="002B0F61"/>
    <w:rsid w:val="002B130A"/>
    <w:rsid w:val="002B3224"/>
    <w:rsid w:val="002B7B94"/>
    <w:rsid w:val="002C2157"/>
    <w:rsid w:val="002C2A58"/>
    <w:rsid w:val="002C3999"/>
    <w:rsid w:val="002D07D4"/>
    <w:rsid w:val="002D3084"/>
    <w:rsid w:val="002D564D"/>
    <w:rsid w:val="002D62F0"/>
    <w:rsid w:val="002E096E"/>
    <w:rsid w:val="002E7C2C"/>
    <w:rsid w:val="002E7D40"/>
    <w:rsid w:val="002F0AA8"/>
    <w:rsid w:val="002F5727"/>
    <w:rsid w:val="0030123F"/>
    <w:rsid w:val="00304A06"/>
    <w:rsid w:val="00311662"/>
    <w:rsid w:val="00311A18"/>
    <w:rsid w:val="00312C20"/>
    <w:rsid w:val="00313111"/>
    <w:rsid w:val="00313F4A"/>
    <w:rsid w:val="003176B1"/>
    <w:rsid w:val="00320893"/>
    <w:rsid w:val="00323978"/>
    <w:rsid w:val="00326F95"/>
    <w:rsid w:val="00327859"/>
    <w:rsid w:val="00331F5B"/>
    <w:rsid w:val="003330B4"/>
    <w:rsid w:val="00334BFA"/>
    <w:rsid w:val="003411CC"/>
    <w:rsid w:val="00343A37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1A30"/>
    <w:rsid w:val="00373A46"/>
    <w:rsid w:val="00375BFD"/>
    <w:rsid w:val="003769DA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4CF4"/>
    <w:rsid w:val="003A54C6"/>
    <w:rsid w:val="003B00E3"/>
    <w:rsid w:val="003B02EC"/>
    <w:rsid w:val="003B1CC9"/>
    <w:rsid w:val="003B24B2"/>
    <w:rsid w:val="003B6FEF"/>
    <w:rsid w:val="003C0082"/>
    <w:rsid w:val="003C0EA8"/>
    <w:rsid w:val="003C3840"/>
    <w:rsid w:val="003C4B86"/>
    <w:rsid w:val="003C52ED"/>
    <w:rsid w:val="003D1359"/>
    <w:rsid w:val="003D1581"/>
    <w:rsid w:val="003D2171"/>
    <w:rsid w:val="003D28BE"/>
    <w:rsid w:val="003D3CDE"/>
    <w:rsid w:val="003D4BB0"/>
    <w:rsid w:val="003D54E8"/>
    <w:rsid w:val="003E47E7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86EFF"/>
    <w:rsid w:val="00493049"/>
    <w:rsid w:val="00494292"/>
    <w:rsid w:val="00494999"/>
    <w:rsid w:val="00495496"/>
    <w:rsid w:val="00497252"/>
    <w:rsid w:val="00497B3D"/>
    <w:rsid w:val="00497DE1"/>
    <w:rsid w:val="004A2958"/>
    <w:rsid w:val="004A5B92"/>
    <w:rsid w:val="004B5D00"/>
    <w:rsid w:val="004C2DBE"/>
    <w:rsid w:val="004D7FF8"/>
    <w:rsid w:val="004E28E4"/>
    <w:rsid w:val="004E2B28"/>
    <w:rsid w:val="004E5223"/>
    <w:rsid w:val="004F44F9"/>
    <w:rsid w:val="004F4D4D"/>
    <w:rsid w:val="004F6393"/>
    <w:rsid w:val="004F6A12"/>
    <w:rsid w:val="00501703"/>
    <w:rsid w:val="00506C66"/>
    <w:rsid w:val="00512C0C"/>
    <w:rsid w:val="00512FE6"/>
    <w:rsid w:val="00514677"/>
    <w:rsid w:val="00514B41"/>
    <w:rsid w:val="00516730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135F"/>
    <w:rsid w:val="005525EA"/>
    <w:rsid w:val="0055382B"/>
    <w:rsid w:val="00554449"/>
    <w:rsid w:val="00555F71"/>
    <w:rsid w:val="00564DC2"/>
    <w:rsid w:val="00566BEB"/>
    <w:rsid w:val="005672EB"/>
    <w:rsid w:val="00570FA0"/>
    <w:rsid w:val="005714F7"/>
    <w:rsid w:val="0057220F"/>
    <w:rsid w:val="00575862"/>
    <w:rsid w:val="00595CD4"/>
    <w:rsid w:val="005A07EA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44C8"/>
    <w:rsid w:val="005C7B32"/>
    <w:rsid w:val="005D11A5"/>
    <w:rsid w:val="005D2B22"/>
    <w:rsid w:val="005D474C"/>
    <w:rsid w:val="005D74E6"/>
    <w:rsid w:val="005E06BF"/>
    <w:rsid w:val="005E471E"/>
    <w:rsid w:val="005E5C02"/>
    <w:rsid w:val="005E6F01"/>
    <w:rsid w:val="005E7573"/>
    <w:rsid w:val="005E7B96"/>
    <w:rsid w:val="005F0E89"/>
    <w:rsid w:val="005F192F"/>
    <w:rsid w:val="005F3E30"/>
    <w:rsid w:val="005F6526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221D"/>
    <w:rsid w:val="006437C1"/>
    <w:rsid w:val="006453D5"/>
    <w:rsid w:val="00654FCF"/>
    <w:rsid w:val="00660ABB"/>
    <w:rsid w:val="006632C3"/>
    <w:rsid w:val="0066677F"/>
    <w:rsid w:val="006675CD"/>
    <w:rsid w:val="006739DA"/>
    <w:rsid w:val="00675BF1"/>
    <w:rsid w:val="00680462"/>
    <w:rsid w:val="00687295"/>
    <w:rsid w:val="00690AB0"/>
    <w:rsid w:val="00693404"/>
    <w:rsid w:val="0069501A"/>
    <w:rsid w:val="006B34E6"/>
    <w:rsid w:val="006B44B6"/>
    <w:rsid w:val="006B7730"/>
    <w:rsid w:val="006C617F"/>
    <w:rsid w:val="006C7092"/>
    <w:rsid w:val="006D20B9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22680"/>
    <w:rsid w:val="00722E0B"/>
    <w:rsid w:val="00731A63"/>
    <w:rsid w:val="00733ABE"/>
    <w:rsid w:val="00735E2D"/>
    <w:rsid w:val="00736BDE"/>
    <w:rsid w:val="007402C4"/>
    <w:rsid w:val="007418BF"/>
    <w:rsid w:val="00746709"/>
    <w:rsid w:val="0075055A"/>
    <w:rsid w:val="00753259"/>
    <w:rsid w:val="00753A6C"/>
    <w:rsid w:val="007622A6"/>
    <w:rsid w:val="007622E1"/>
    <w:rsid w:val="007635E5"/>
    <w:rsid w:val="00763A3F"/>
    <w:rsid w:val="00763E50"/>
    <w:rsid w:val="00771448"/>
    <w:rsid w:val="007725BB"/>
    <w:rsid w:val="007726B4"/>
    <w:rsid w:val="007739B2"/>
    <w:rsid w:val="00776494"/>
    <w:rsid w:val="007814E6"/>
    <w:rsid w:val="00782854"/>
    <w:rsid w:val="00782D3B"/>
    <w:rsid w:val="00790E69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50A7"/>
    <w:rsid w:val="007D237E"/>
    <w:rsid w:val="007D2DD8"/>
    <w:rsid w:val="007D372D"/>
    <w:rsid w:val="007D4146"/>
    <w:rsid w:val="007D6EDD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5C12"/>
    <w:rsid w:val="007F6CF5"/>
    <w:rsid w:val="008004CC"/>
    <w:rsid w:val="008020A5"/>
    <w:rsid w:val="008033C1"/>
    <w:rsid w:val="008033C2"/>
    <w:rsid w:val="00805251"/>
    <w:rsid w:val="00811E8C"/>
    <w:rsid w:val="008143E8"/>
    <w:rsid w:val="00820069"/>
    <w:rsid w:val="00824CDD"/>
    <w:rsid w:val="008275F3"/>
    <w:rsid w:val="008277F2"/>
    <w:rsid w:val="00833436"/>
    <w:rsid w:val="008355FD"/>
    <w:rsid w:val="00836BB3"/>
    <w:rsid w:val="00836EEE"/>
    <w:rsid w:val="00843D25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0D6"/>
    <w:rsid w:val="00897C58"/>
    <w:rsid w:val="008A3BF5"/>
    <w:rsid w:val="008A4705"/>
    <w:rsid w:val="008A6223"/>
    <w:rsid w:val="008A7FB8"/>
    <w:rsid w:val="008B44B5"/>
    <w:rsid w:val="008B4D46"/>
    <w:rsid w:val="008B5DEA"/>
    <w:rsid w:val="008B62D5"/>
    <w:rsid w:val="008B6454"/>
    <w:rsid w:val="008C2057"/>
    <w:rsid w:val="008C2706"/>
    <w:rsid w:val="008C5D69"/>
    <w:rsid w:val="008C7729"/>
    <w:rsid w:val="008D5235"/>
    <w:rsid w:val="008E1525"/>
    <w:rsid w:val="008E3C00"/>
    <w:rsid w:val="008F001B"/>
    <w:rsid w:val="008F2846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5D1C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6752"/>
    <w:rsid w:val="009F7582"/>
    <w:rsid w:val="00A04875"/>
    <w:rsid w:val="00A103F9"/>
    <w:rsid w:val="00A1148A"/>
    <w:rsid w:val="00A12BA4"/>
    <w:rsid w:val="00A12E5C"/>
    <w:rsid w:val="00A142D2"/>
    <w:rsid w:val="00A16797"/>
    <w:rsid w:val="00A2315B"/>
    <w:rsid w:val="00A2594B"/>
    <w:rsid w:val="00A309D7"/>
    <w:rsid w:val="00A30A55"/>
    <w:rsid w:val="00A30F39"/>
    <w:rsid w:val="00A31587"/>
    <w:rsid w:val="00A31B82"/>
    <w:rsid w:val="00A352D2"/>
    <w:rsid w:val="00A36347"/>
    <w:rsid w:val="00A37296"/>
    <w:rsid w:val="00A37574"/>
    <w:rsid w:val="00A3763B"/>
    <w:rsid w:val="00A37DC4"/>
    <w:rsid w:val="00A4554D"/>
    <w:rsid w:val="00A46888"/>
    <w:rsid w:val="00A60865"/>
    <w:rsid w:val="00A61240"/>
    <w:rsid w:val="00A617D2"/>
    <w:rsid w:val="00A63C1B"/>
    <w:rsid w:val="00A65EBF"/>
    <w:rsid w:val="00A663CB"/>
    <w:rsid w:val="00A71E11"/>
    <w:rsid w:val="00A745B3"/>
    <w:rsid w:val="00A77CA8"/>
    <w:rsid w:val="00A8237B"/>
    <w:rsid w:val="00A85408"/>
    <w:rsid w:val="00A85EA8"/>
    <w:rsid w:val="00A92A71"/>
    <w:rsid w:val="00A93F02"/>
    <w:rsid w:val="00A95635"/>
    <w:rsid w:val="00A95BB9"/>
    <w:rsid w:val="00A978ED"/>
    <w:rsid w:val="00AA51F5"/>
    <w:rsid w:val="00AA707B"/>
    <w:rsid w:val="00AB22ED"/>
    <w:rsid w:val="00AB4E0D"/>
    <w:rsid w:val="00AC1636"/>
    <w:rsid w:val="00AC5803"/>
    <w:rsid w:val="00AC795B"/>
    <w:rsid w:val="00AD46FD"/>
    <w:rsid w:val="00AD71E8"/>
    <w:rsid w:val="00AE0F20"/>
    <w:rsid w:val="00AE0F31"/>
    <w:rsid w:val="00AE3652"/>
    <w:rsid w:val="00AF1C4D"/>
    <w:rsid w:val="00AF2C18"/>
    <w:rsid w:val="00AF6D41"/>
    <w:rsid w:val="00B01462"/>
    <w:rsid w:val="00B11034"/>
    <w:rsid w:val="00B12D38"/>
    <w:rsid w:val="00B16251"/>
    <w:rsid w:val="00B16632"/>
    <w:rsid w:val="00B171B1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63C"/>
    <w:rsid w:val="00B50954"/>
    <w:rsid w:val="00B63240"/>
    <w:rsid w:val="00B755E4"/>
    <w:rsid w:val="00B76B40"/>
    <w:rsid w:val="00B77C81"/>
    <w:rsid w:val="00B82CD8"/>
    <w:rsid w:val="00B83CC6"/>
    <w:rsid w:val="00B86F8B"/>
    <w:rsid w:val="00B90AF3"/>
    <w:rsid w:val="00B91C7F"/>
    <w:rsid w:val="00B939A9"/>
    <w:rsid w:val="00B9465C"/>
    <w:rsid w:val="00B94947"/>
    <w:rsid w:val="00B95F92"/>
    <w:rsid w:val="00BA5434"/>
    <w:rsid w:val="00BB46BD"/>
    <w:rsid w:val="00BB54F6"/>
    <w:rsid w:val="00BB630D"/>
    <w:rsid w:val="00BB6C00"/>
    <w:rsid w:val="00BC0213"/>
    <w:rsid w:val="00BC0746"/>
    <w:rsid w:val="00BC2E35"/>
    <w:rsid w:val="00BC4B32"/>
    <w:rsid w:val="00BC6220"/>
    <w:rsid w:val="00BD101A"/>
    <w:rsid w:val="00BD3364"/>
    <w:rsid w:val="00BD4812"/>
    <w:rsid w:val="00BD4BF2"/>
    <w:rsid w:val="00BD6343"/>
    <w:rsid w:val="00BD66EC"/>
    <w:rsid w:val="00BE04F4"/>
    <w:rsid w:val="00BE4853"/>
    <w:rsid w:val="00BE4FF5"/>
    <w:rsid w:val="00BF4184"/>
    <w:rsid w:val="00C0412E"/>
    <w:rsid w:val="00C04F76"/>
    <w:rsid w:val="00C05C1E"/>
    <w:rsid w:val="00C13E67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23AF"/>
    <w:rsid w:val="00C845F3"/>
    <w:rsid w:val="00C9059C"/>
    <w:rsid w:val="00C905F0"/>
    <w:rsid w:val="00C939FE"/>
    <w:rsid w:val="00C93FA8"/>
    <w:rsid w:val="00C94809"/>
    <w:rsid w:val="00C97171"/>
    <w:rsid w:val="00CA3FBD"/>
    <w:rsid w:val="00CA57A2"/>
    <w:rsid w:val="00CA6170"/>
    <w:rsid w:val="00CA75CD"/>
    <w:rsid w:val="00CB068C"/>
    <w:rsid w:val="00CB0945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F01E0"/>
    <w:rsid w:val="00CF3DB2"/>
    <w:rsid w:val="00CF4D01"/>
    <w:rsid w:val="00CF50ED"/>
    <w:rsid w:val="00CF5B83"/>
    <w:rsid w:val="00CF641D"/>
    <w:rsid w:val="00CF6472"/>
    <w:rsid w:val="00CF70CB"/>
    <w:rsid w:val="00D0220C"/>
    <w:rsid w:val="00D03C9A"/>
    <w:rsid w:val="00D05845"/>
    <w:rsid w:val="00D05BB2"/>
    <w:rsid w:val="00D13F62"/>
    <w:rsid w:val="00D14F30"/>
    <w:rsid w:val="00D253C7"/>
    <w:rsid w:val="00D26BE8"/>
    <w:rsid w:val="00D32DD2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0E31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E0180D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44A1"/>
    <w:rsid w:val="00E350DA"/>
    <w:rsid w:val="00E45816"/>
    <w:rsid w:val="00E45AB9"/>
    <w:rsid w:val="00E55315"/>
    <w:rsid w:val="00E572B8"/>
    <w:rsid w:val="00E5761D"/>
    <w:rsid w:val="00E64416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B08AA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406B"/>
    <w:rsid w:val="00F45203"/>
    <w:rsid w:val="00F454F3"/>
    <w:rsid w:val="00F4730E"/>
    <w:rsid w:val="00F5149C"/>
    <w:rsid w:val="00F526E9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2FC6"/>
    <w:rsid w:val="00FB491D"/>
    <w:rsid w:val="00FB4E37"/>
    <w:rsid w:val="00FB6382"/>
    <w:rsid w:val="00FC00A0"/>
    <w:rsid w:val="00FC0FD9"/>
    <w:rsid w:val="00FC3F91"/>
    <w:rsid w:val="00FC4F6D"/>
    <w:rsid w:val="00FC7FCB"/>
    <w:rsid w:val="00FD7373"/>
    <w:rsid w:val="00FE6343"/>
    <w:rsid w:val="00FE7870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376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376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esdoc.cfm?esid=32001L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A81B-35A6-4072-B8FC-6C7D4FC6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9125</Words>
  <Characters>5202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10.marta noteikumos Nr.168 „Noteikumi par drošības sertifikāta A daļas un B daļas izsniegšanas, apturēšanas un anulēšanas kārtību un kritērijiem”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14299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2010.gada 28.decembra noteikumos Nr.1211 „Noteikumi par ritošā sastāva būvi, modernizāciju, atjaunošanas remontu, atbilstības novērtēšanu un pieņemšanu ekspluatācijā”” </dc:title>
  <dc:subject>Projekta anotācija</dc:subject>
  <dc:creator>J.Zālītis</dc:creator>
  <cp:keywords>Anotācija</cp:keywords>
  <cp:lastModifiedBy>Baiba Šterna</cp:lastModifiedBy>
  <cp:revision>10</cp:revision>
  <cp:lastPrinted>2014-10-07T07:10:00Z</cp:lastPrinted>
  <dcterms:created xsi:type="dcterms:W3CDTF">2015-02-10T14:31:00Z</dcterms:created>
  <dcterms:modified xsi:type="dcterms:W3CDTF">2015-02-19T07:56:00Z</dcterms:modified>
</cp:coreProperties>
</file>