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6E" w:rsidRPr="0038666E" w:rsidRDefault="0038666E" w:rsidP="0038666E">
      <w:pPr>
        <w:ind w:firstLine="0"/>
        <w:jc w:val="center"/>
        <w:rPr>
          <w:rFonts w:eastAsia="Times New Roman"/>
          <w:b/>
          <w:bCs/>
          <w:sz w:val="24"/>
          <w:szCs w:val="24"/>
          <w:lang w:eastAsia="lv-LV"/>
        </w:rPr>
      </w:pPr>
      <w:r w:rsidRPr="0038666E">
        <w:rPr>
          <w:rFonts w:eastAsia="Times New Roman"/>
          <w:b/>
          <w:bCs/>
          <w:sz w:val="24"/>
          <w:szCs w:val="24"/>
          <w:lang w:eastAsia="lv-LV"/>
        </w:rPr>
        <w:t>Ministru kabineta rīkojuma projekta</w:t>
      </w:r>
    </w:p>
    <w:p w:rsidR="0005135F" w:rsidRPr="004871FD" w:rsidRDefault="0038666E" w:rsidP="0038666E">
      <w:pPr>
        <w:ind w:firstLine="0"/>
        <w:jc w:val="center"/>
        <w:rPr>
          <w:rFonts w:eastAsia="Times New Roman"/>
          <w:b/>
          <w:bCs/>
          <w:sz w:val="24"/>
          <w:szCs w:val="24"/>
          <w:lang w:eastAsia="lv-LV"/>
        </w:rPr>
      </w:pPr>
      <w:r w:rsidRPr="0038666E">
        <w:rPr>
          <w:rFonts w:eastAsia="Times New Roman"/>
          <w:b/>
          <w:bCs/>
          <w:sz w:val="24"/>
          <w:szCs w:val="24"/>
          <w:lang w:eastAsia="lv-LV"/>
        </w:rPr>
        <w:t>„Par valstij dividendēs izmaksājamo valsts akciju sabiedrības „Ceļu satiksmes drošības direkcija” peļņas daļu</w:t>
      </w:r>
      <w:r w:rsidR="00112DC7">
        <w:rPr>
          <w:rFonts w:eastAsia="Times New Roman"/>
          <w:b/>
          <w:bCs/>
          <w:sz w:val="24"/>
          <w:szCs w:val="24"/>
          <w:lang w:eastAsia="lv-LV"/>
        </w:rPr>
        <w:t xml:space="preserve"> par 2014.gadu</w:t>
      </w:r>
      <w:r w:rsidRPr="0038666E">
        <w:rPr>
          <w:rFonts w:eastAsia="Times New Roman"/>
          <w:b/>
          <w:bCs/>
          <w:sz w:val="24"/>
          <w:szCs w:val="24"/>
          <w:lang w:eastAsia="lv-LV"/>
        </w:rPr>
        <w:t xml:space="preserve">”” </w:t>
      </w:r>
      <w:r w:rsidR="0005135F" w:rsidRPr="004871FD">
        <w:rPr>
          <w:rFonts w:eastAsia="Times New Roman"/>
          <w:b/>
          <w:bCs/>
          <w:sz w:val="24"/>
          <w:szCs w:val="24"/>
          <w:lang w:eastAsia="lv-LV"/>
        </w:rPr>
        <w:t>sākotnējās ietekmes novērtējuma ziņojums (anotācija)</w:t>
      </w:r>
    </w:p>
    <w:p w:rsidR="00B0361B" w:rsidRPr="0044594E" w:rsidRDefault="00B0361B" w:rsidP="0083428E">
      <w:pPr>
        <w:ind w:firstLine="0"/>
        <w:rPr>
          <w:rFonts w:eastAsia="Times New Roman"/>
          <w:b/>
          <w:szCs w:val="28"/>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984"/>
        <w:gridCol w:w="5528"/>
      </w:tblGrid>
      <w:tr w:rsidR="00B0361B" w:rsidRPr="0027189F" w:rsidTr="0083428E">
        <w:trPr>
          <w:trHeight w:val="331"/>
          <w:tblCellSpacing w:w="0" w:type="dxa"/>
        </w:trPr>
        <w:tc>
          <w:tcPr>
            <w:tcW w:w="9098" w:type="dxa"/>
            <w:gridSpan w:val="3"/>
            <w:tcBorders>
              <w:top w:val="outset" w:sz="6" w:space="0" w:color="auto"/>
              <w:left w:val="outset" w:sz="6" w:space="0" w:color="auto"/>
              <w:bottom w:val="outset" w:sz="6" w:space="0" w:color="auto"/>
              <w:right w:val="outset" w:sz="6" w:space="0" w:color="auto"/>
            </w:tcBorders>
            <w:vAlign w:val="center"/>
          </w:tcPr>
          <w:p w:rsidR="00844CA5" w:rsidRPr="0027189F" w:rsidRDefault="00B0361B" w:rsidP="00503578">
            <w:pPr>
              <w:spacing w:before="100" w:beforeAutospacing="1" w:after="100" w:afterAutospacing="1" w:line="240" w:lineRule="auto"/>
              <w:ind w:firstLine="0"/>
              <w:jc w:val="center"/>
              <w:rPr>
                <w:rFonts w:eastAsia="Times New Roman"/>
                <w:sz w:val="24"/>
                <w:szCs w:val="24"/>
                <w:lang w:eastAsia="lv-LV"/>
              </w:rPr>
            </w:pPr>
            <w:r w:rsidRPr="0027189F">
              <w:rPr>
                <w:rFonts w:eastAsia="Times New Roman"/>
                <w:b/>
                <w:bCs/>
                <w:sz w:val="24"/>
                <w:szCs w:val="24"/>
                <w:lang w:eastAsia="lv-LV"/>
              </w:rPr>
              <w:t>I. Tiesību akta projekta izstrādes nepieciešamība</w:t>
            </w:r>
          </w:p>
        </w:tc>
      </w:tr>
      <w:tr w:rsidR="00B0361B" w:rsidRPr="0027189F" w:rsidTr="0083428E">
        <w:trPr>
          <w:trHeight w:val="581"/>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1.</w:t>
            </w:r>
          </w:p>
        </w:tc>
        <w:tc>
          <w:tcPr>
            <w:tcW w:w="2984"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Pamatojums</w:t>
            </w:r>
          </w:p>
        </w:tc>
        <w:tc>
          <w:tcPr>
            <w:tcW w:w="5528" w:type="dxa"/>
            <w:tcBorders>
              <w:top w:val="outset" w:sz="6" w:space="0" w:color="auto"/>
              <w:left w:val="outset" w:sz="6" w:space="0" w:color="auto"/>
              <w:bottom w:val="outset" w:sz="6" w:space="0" w:color="auto"/>
              <w:right w:val="outset" w:sz="6" w:space="0" w:color="auto"/>
            </w:tcBorders>
          </w:tcPr>
          <w:p w:rsidR="00EC12E9" w:rsidRPr="0027189F" w:rsidRDefault="0038666E" w:rsidP="0016003A">
            <w:pPr>
              <w:spacing w:line="240" w:lineRule="auto"/>
              <w:ind w:firstLine="0"/>
              <w:rPr>
                <w:rFonts w:eastAsia="Times New Roman"/>
                <w:sz w:val="24"/>
                <w:szCs w:val="24"/>
                <w:lang w:eastAsia="lv-LV"/>
              </w:rPr>
            </w:pPr>
            <w:r w:rsidRPr="0038666E">
              <w:rPr>
                <w:rFonts w:eastAsia="Times New Roman"/>
                <w:sz w:val="24"/>
                <w:szCs w:val="24"/>
                <w:lang w:eastAsia="lv-LV"/>
              </w:rPr>
              <w:t xml:space="preserve">Ministru kabineta 2009.gada 15.decembra noteikumu Nr.1471 „Kārtība, kādā tiek noteikta un ieskaitīta valsts budžetā izmaksājamā peļņas daļa par valsts kapitāla izmantošanu” </w:t>
            </w:r>
            <w:r w:rsidR="001C5AE2">
              <w:rPr>
                <w:rFonts w:eastAsia="Times New Roman"/>
                <w:sz w:val="24"/>
                <w:szCs w:val="24"/>
                <w:lang w:eastAsia="lv-LV"/>
              </w:rPr>
              <w:t>(turpmāk</w:t>
            </w:r>
            <w:r w:rsidR="0016003A">
              <w:rPr>
                <w:rFonts w:eastAsia="Times New Roman"/>
                <w:sz w:val="24"/>
                <w:szCs w:val="24"/>
                <w:lang w:eastAsia="lv-LV"/>
              </w:rPr>
              <w:t xml:space="preserve"> -</w:t>
            </w:r>
            <w:r w:rsidR="001C5AE2">
              <w:rPr>
                <w:rFonts w:eastAsia="Times New Roman"/>
                <w:sz w:val="24"/>
                <w:szCs w:val="24"/>
                <w:lang w:eastAsia="lv-LV"/>
              </w:rPr>
              <w:t xml:space="preserve"> noteikumi) </w:t>
            </w:r>
            <w:r w:rsidR="0016003A">
              <w:rPr>
                <w:rFonts w:eastAsia="Times New Roman"/>
                <w:sz w:val="24"/>
                <w:szCs w:val="24"/>
                <w:lang w:eastAsia="lv-LV"/>
              </w:rPr>
              <w:t xml:space="preserve">5.punkts, kurā noteikts, ka </w:t>
            </w:r>
            <w:r w:rsidR="00EC12E9" w:rsidRPr="00EC12E9">
              <w:rPr>
                <w:rFonts w:eastAsia="Times New Roman"/>
                <w:sz w:val="24"/>
                <w:szCs w:val="24"/>
                <w:lang w:eastAsia="lv-LV"/>
              </w:rPr>
              <w:t>Mini</w:t>
            </w:r>
            <w:r w:rsidR="00D958B0">
              <w:rPr>
                <w:rFonts w:eastAsia="Times New Roman"/>
                <w:sz w:val="24"/>
                <w:szCs w:val="24"/>
                <w:lang w:eastAsia="lv-LV"/>
              </w:rPr>
              <w:t>stru kabinets pēc kapitāla daļu</w:t>
            </w:r>
            <w:r w:rsidR="00EC12E9" w:rsidRPr="00EC12E9">
              <w:rPr>
                <w:rFonts w:eastAsia="Times New Roman"/>
                <w:sz w:val="24"/>
                <w:szCs w:val="24"/>
                <w:lang w:eastAsia="lv-LV"/>
              </w:rPr>
              <w:t xml:space="preserve"> turētāja pamatota priekšlikuma valsts kapitālsabiedrībai var noteikt atšķirīgu dividendēs izmaksājamo minimālo peļņas daļu par attiecīgo pārskata gadu.</w:t>
            </w:r>
          </w:p>
        </w:tc>
      </w:tr>
      <w:tr w:rsidR="00B0361B" w:rsidRPr="0027189F" w:rsidTr="00171F18">
        <w:trPr>
          <w:trHeight w:val="1247"/>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2.</w:t>
            </w:r>
          </w:p>
        </w:tc>
        <w:tc>
          <w:tcPr>
            <w:tcW w:w="2984"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0083428E" w:rsidRPr="00CE1AC0">
              <w:rPr>
                <w:sz w:val="24"/>
                <w:szCs w:val="24"/>
              </w:rPr>
              <w:t>Pašreizējā situācija un problēmas, kuru risināšanai tiesību akta projekts izstrādāts, tiesiskā regulējuma mērķis un būtība</w:t>
            </w:r>
          </w:p>
        </w:tc>
        <w:tc>
          <w:tcPr>
            <w:tcW w:w="5528" w:type="dxa"/>
            <w:tcBorders>
              <w:top w:val="outset" w:sz="6" w:space="0" w:color="auto"/>
              <w:left w:val="outset" w:sz="6" w:space="0" w:color="auto"/>
              <w:bottom w:val="outset" w:sz="6" w:space="0" w:color="auto"/>
              <w:right w:val="outset" w:sz="6" w:space="0" w:color="auto"/>
            </w:tcBorders>
          </w:tcPr>
          <w:p w:rsidR="00CE183A" w:rsidRPr="005D65E5" w:rsidRDefault="00CE183A" w:rsidP="00CE183A">
            <w:pPr>
              <w:spacing w:line="240" w:lineRule="auto"/>
              <w:ind w:firstLine="269"/>
              <w:rPr>
                <w:sz w:val="24"/>
                <w:szCs w:val="24"/>
              </w:rPr>
            </w:pPr>
            <w:r w:rsidRPr="00CE183A">
              <w:rPr>
                <w:sz w:val="24"/>
                <w:szCs w:val="24"/>
              </w:rPr>
              <w:t>Valsts akciju sabiedrība</w:t>
            </w:r>
            <w:r w:rsidR="0088321C">
              <w:rPr>
                <w:sz w:val="24"/>
                <w:szCs w:val="24"/>
              </w:rPr>
              <w:t>s</w:t>
            </w:r>
            <w:r w:rsidRPr="00CE183A">
              <w:rPr>
                <w:sz w:val="24"/>
                <w:szCs w:val="24"/>
              </w:rPr>
              <w:t xml:space="preserve"> „Ceļu satiksmes drošības direkcija” (turpmāk kapit</w:t>
            </w:r>
            <w:r w:rsidR="002F7C16">
              <w:rPr>
                <w:sz w:val="24"/>
                <w:szCs w:val="24"/>
              </w:rPr>
              <w:t xml:space="preserve">ālsabiedrība) </w:t>
            </w:r>
            <w:r w:rsidR="0088321C">
              <w:rPr>
                <w:sz w:val="24"/>
                <w:szCs w:val="24"/>
              </w:rPr>
              <w:t xml:space="preserve">2014.gada pārskata perioda peļņa pēc nodokļiem ir </w:t>
            </w:r>
            <w:r w:rsidRPr="005D65E5">
              <w:rPr>
                <w:sz w:val="24"/>
                <w:szCs w:val="24"/>
              </w:rPr>
              <w:t xml:space="preserve">1 </w:t>
            </w:r>
            <w:r w:rsidR="0088321C">
              <w:rPr>
                <w:sz w:val="24"/>
                <w:szCs w:val="24"/>
              </w:rPr>
              <w:t>3</w:t>
            </w:r>
            <w:r w:rsidRPr="005D65E5">
              <w:rPr>
                <w:sz w:val="24"/>
                <w:szCs w:val="24"/>
              </w:rPr>
              <w:t>33</w:t>
            </w:r>
            <w:r w:rsidR="0088321C">
              <w:rPr>
                <w:sz w:val="24"/>
                <w:szCs w:val="24"/>
              </w:rPr>
              <w:t> 688 EUR</w:t>
            </w:r>
            <w:r w:rsidRPr="005D65E5">
              <w:rPr>
                <w:sz w:val="24"/>
                <w:szCs w:val="24"/>
              </w:rPr>
              <w:t>.</w:t>
            </w:r>
          </w:p>
          <w:p w:rsidR="00CE183A" w:rsidRPr="00D70506" w:rsidRDefault="0016003A" w:rsidP="00CE183A">
            <w:pPr>
              <w:spacing w:line="240" w:lineRule="auto"/>
              <w:ind w:firstLine="269"/>
              <w:rPr>
                <w:sz w:val="24"/>
                <w:szCs w:val="24"/>
              </w:rPr>
            </w:pPr>
            <w:r>
              <w:rPr>
                <w:sz w:val="24"/>
                <w:szCs w:val="24"/>
              </w:rPr>
              <w:t>Ievērojot</w:t>
            </w:r>
            <w:r w:rsidR="0088321C">
              <w:rPr>
                <w:sz w:val="24"/>
                <w:szCs w:val="24"/>
              </w:rPr>
              <w:t xml:space="preserve"> minēto noteikumu 4.</w:t>
            </w:r>
            <w:r w:rsidR="0088321C">
              <w:rPr>
                <w:rFonts w:ascii="Calibri" w:hAnsi="Calibri"/>
                <w:sz w:val="24"/>
                <w:szCs w:val="24"/>
                <w:vertAlign w:val="superscript"/>
              </w:rPr>
              <w:t>2</w:t>
            </w:r>
            <w:r w:rsidR="00CE183A" w:rsidRPr="005D65E5">
              <w:rPr>
                <w:sz w:val="24"/>
                <w:szCs w:val="24"/>
              </w:rPr>
              <w:t xml:space="preserve"> punkt</w:t>
            </w:r>
            <w:r w:rsidR="0088321C">
              <w:rPr>
                <w:sz w:val="24"/>
                <w:szCs w:val="24"/>
              </w:rPr>
              <w:t>ā noteikto</w:t>
            </w:r>
            <w:r w:rsidR="00CE183A" w:rsidRPr="005D65E5">
              <w:rPr>
                <w:sz w:val="24"/>
                <w:szCs w:val="24"/>
              </w:rPr>
              <w:t xml:space="preserve"> minimālo dividendēs izmaksājamo peļņas daļu par 201</w:t>
            </w:r>
            <w:r w:rsidR="0088321C">
              <w:rPr>
                <w:sz w:val="24"/>
                <w:szCs w:val="24"/>
              </w:rPr>
              <w:t>4</w:t>
            </w:r>
            <w:r w:rsidR="00CE183A" w:rsidRPr="005D65E5">
              <w:rPr>
                <w:sz w:val="24"/>
                <w:szCs w:val="24"/>
              </w:rPr>
              <w:t xml:space="preserve">. </w:t>
            </w:r>
            <w:r w:rsidR="0088321C">
              <w:rPr>
                <w:sz w:val="24"/>
                <w:szCs w:val="24"/>
              </w:rPr>
              <w:t>pārskata gadu kapitālsabiedrībai</w:t>
            </w:r>
            <w:r w:rsidR="00CE183A" w:rsidRPr="005D65E5">
              <w:rPr>
                <w:sz w:val="24"/>
                <w:szCs w:val="24"/>
              </w:rPr>
              <w:t xml:space="preserve"> pēc lēmuma pieņemšanas par divid</w:t>
            </w:r>
            <w:r w:rsidR="0088321C">
              <w:rPr>
                <w:sz w:val="24"/>
                <w:szCs w:val="24"/>
              </w:rPr>
              <w:t>enžu sadali Valsts kasē par 2014</w:t>
            </w:r>
            <w:r w:rsidR="00CE183A" w:rsidRPr="005D65E5">
              <w:rPr>
                <w:sz w:val="24"/>
                <w:szCs w:val="24"/>
              </w:rPr>
              <w:t xml:space="preserve">.gadu būtu jāieskaita dividendes </w:t>
            </w:r>
            <w:r w:rsidR="00CE183A" w:rsidRPr="00D70506">
              <w:rPr>
                <w:sz w:val="24"/>
                <w:szCs w:val="24"/>
              </w:rPr>
              <w:t>1</w:t>
            </w:r>
            <w:r w:rsidR="00790764" w:rsidRPr="00D70506">
              <w:rPr>
                <w:sz w:val="24"/>
                <w:szCs w:val="24"/>
              </w:rPr>
              <w:t> 200 319 EUR</w:t>
            </w:r>
            <w:r w:rsidR="00D70506" w:rsidRPr="00D70506">
              <w:rPr>
                <w:sz w:val="24"/>
                <w:szCs w:val="24"/>
              </w:rPr>
              <w:t xml:space="preserve"> (90%)</w:t>
            </w:r>
            <w:r w:rsidR="00790764" w:rsidRPr="00D70506">
              <w:rPr>
                <w:sz w:val="24"/>
                <w:szCs w:val="24"/>
              </w:rPr>
              <w:t>.</w:t>
            </w:r>
          </w:p>
          <w:p w:rsidR="00110616" w:rsidRPr="00110616" w:rsidRDefault="00CE183A" w:rsidP="00110616">
            <w:pPr>
              <w:spacing w:line="240" w:lineRule="auto"/>
              <w:ind w:firstLine="269"/>
              <w:rPr>
                <w:sz w:val="24"/>
                <w:szCs w:val="24"/>
              </w:rPr>
            </w:pPr>
            <w:r w:rsidRPr="00CE183A">
              <w:rPr>
                <w:sz w:val="24"/>
                <w:szCs w:val="24"/>
              </w:rPr>
              <w:t>Ministru kabineta rīkojuma projekts “Par valstij dividendēs izmaksājamo valsts akciju sabiedrības „Ceļu satiksmes drošības direkcija” peļņas daļu</w:t>
            </w:r>
            <w:r w:rsidR="00790764">
              <w:rPr>
                <w:sz w:val="24"/>
                <w:szCs w:val="24"/>
              </w:rPr>
              <w:t xml:space="preserve"> par 2014.gadu</w:t>
            </w:r>
            <w:r w:rsidRPr="00CE183A">
              <w:rPr>
                <w:sz w:val="24"/>
                <w:szCs w:val="24"/>
              </w:rPr>
              <w:t xml:space="preserve">” </w:t>
            </w:r>
            <w:r w:rsidR="00790764">
              <w:rPr>
                <w:sz w:val="24"/>
                <w:szCs w:val="24"/>
              </w:rPr>
              <w:t>nosaka, ka kapitālsabiedrībai par 2014.gadu valsts budžetā dividendes</w:t>
            </w:r>
            <w:r w:rsidRPr="00CE183A">
              <w:rPr>
                <w:sz w:val="24"/>
                <w:szCs w:val="24"/>
              </w:rPr>
              <w:t xml:space="preserve"> </w:t>
            </w:r>
            <w:r w:rsidR="00790764">
              <w:rPr>
                <w:sz w:val="24"/>
                <w:szCs w:val="24"/>
              </w:rPr>
              <w:t>nav jāmaksā</w:t>
            </w:r>
            <w:r w:rsidR="00110616">
              <w:rPr>
                <w:sz w:val="24"/>
                <w:szCs w:val="24"/>
              </w:rPr>
              <w:t xml:space="preserve"> un </w:t>
            </w:r>
            <w:r w:rsidR="00110616" w:rsidRPr="00110616">
              <w:rPr>
                <w:sz w:val="24"/>
                <w:szCs w:val="24"/>
              </w:rPr>
              <w:t>Satiksmes ministrijai</w:t>
            </w:r>
            <w:r w:rsidR="004023CD">
              <w:rPr>
                <w:sz w:val="24"/>
                <w:szCs w:val="24"/>
              </w:rPr>
              <w:t>,</w:t>
            </w:r>
            <w:r w:rsidR="00110616" w:rsidRPr="00110616">
              <w:rPr>
                <w:sz w:val="24"/>
                <w:szCs w:val="24"/>
              </w:rPr>
              <w:t xml:space="preserve"> kā valsts akciju sabiedrības "Ceļu satiksmes drošības direkcija" kapitāla daļu turētājai</w:t>
            </w:r>
            <w:r w:rsidR="004023CD">
              <w:rPr>
                <w:sz w:val="24"/>
                <w:szCs w:val="24"/>
              </w:rPr>
              <w:t>,</w:t>
            </w:r>
            <w:r w:rsidR="00110616" w:rsidRPr="00110616">
              <w:rPr>
                <w:sz w:val="24"/>
                <w:szCs w:val="24"/>
              </w:rPr>
              <w:t xml:space="preserve"> nodrošināt, ka </w:t>
            </w:r>
            <w:r w:rsidR="00110616" w:rsidRPr="00D70506">
              <w:rPr>
                <w:sz w:val="24"/>
                <w:szCs w:val="24"/>
              </w:rPr>
              <w:t xml:space="preserve">1 144 000 EUR no peļņas tiek novirzīti stacionāro </w:t>
            </w:r>
            <w:proofErr w:type="spellStart"/>
            <w:r w:rsidR="00110616" w:rsidRPr="00D70506">
              <w:rPr>
                <w:sz w:val="24"/>
                <w:szCs w:val="24"/>
              </w:rPr>
              <w:t>fotoradaru</w:t>
            </w:r>
            <w:proofErr w:type="spellEnd"/>
            <w:r w:rsidR="00110616" w:rsidRPr="00D70506">
              <w:rPr>
                <w:sz w:val="24"/>
                <w:szCs w:val="24"/>
              </w:rPr>
              <w:t xml:space="preserve"> iegādei, bet 56 319 EUR novir</w:t>
            </w:r>
            <w:r w:rsidR="00110616" w:rsidRPr="00110616">
              <w:rPr>
                <w:sz w:val="24"/>
                <w:szCs w:val="24"/>
              </w:rPr>
              <w:t>zīt Biķernieku kompleksās sporta bāzes sakārtošanai un attīstībai.</w:t>
            </w:r>
          </w:p>
          <w:p w:rsidR="00CE183A" w:rsidRDefault="00CE183A" w:rsidP="00CE183A">
            <w:pPr>
              <w:spacing w:line="240" w:lineRule="auto"/>
              <w:ind w:firstLine="269"/>
              <w:rPr>
                <w:sz w:val="24"/>
                <w:szCs w:val="24"/>
              </w:rPr>
            </w:pPr>
          </w:p>
          <w:p w:rsidR="00CE183A" w:rsidRPr="00CE183A" w:rsidRDefault="00CE183A" w:rsidP="00CE183A">
            <w:pPr>
              <w:spacing w:line="240" w:lineRule="auto"/>
              <w:ind w:firstLine="269"/>
              <w:rPr>
                <w:sz w:val="24"/>
                <w:szCs w:val="24"/>
              </w:rPr>
            </w:pPr>
            <w:r w:rsidRPr="00CE183A">
              <w:rPr>
                <w:sz w:val="24"/>
                <w:szCs w:val="24"/>
              </w:rPr>
              <w:t>Rīkojuma projektam, atbilstoši noteikumu 5.1.apakšpunktam, sniedzam sekojo</w:t>
            </w:r>
            <w:r w:rsidR="008E03F2">
              <w:rPr>
                <w:sz w:val="24"/>
                <w:szCs w:val="24"/>
              </w:rPr>
              <w:t xml:space="preserve">šu pamatojumu </w:t>
            </w:r>
            <w:r>
              <w:rPr>
                <w:sz w:val="24"/>
                <w:szCs w:val="24"/>
              </w:rPr>
              <w:t>- a</w:t>
            </w:r>
            <w:r w:rsidRPr="00CE183A">
              <w:rPr>
                <w:sz w:val="24"/>
                <w:szCs w:val="24"/>
              </w:rPr>
              <w:t>r Ministru kabineta 2013.gada 1</w:t>
            </w:r>
            <w:r w:rsidR="002D397E">
              <w:rPr>
                <w:sz w:val="24"/>
                <w:szCs w:val="24"/>
              </w:rPr>
              <w:t>3</w:t>
            </w:r>
            <w:r w:rsidRPr="00CE183A">
              <w:rPr>
                <w:sz w:val="24"/>
                <w:szCs w:val="24"/>
              </w:rPr>
              <w:t xml:space="preserve">.augusta </w:t>
            </w:r>
            <w:proofErr w:type="spellStart"/>
            <w:r w:rsidRPr="00CE183A">
              <w:rPr>
                <w:sz w:val="24"/>
                <w:szCs w:val="24"/>
              </w:rPr>
              <w:t>protokollēmumu</w:t>
            </w:r>
            <w:proofErr w:type="spellEnd"/>
            <w:r w:rsidRPr="00CE183A">
              <w:rPr>
                <w:sz w:val="24"/>
                <w:szCs w:val="24"/>
              </w:rPr>
              <w:t xml:space="preserve"> (protokols nr.44 155.§) ir pieņemts zināšanai Informatīvais ziņojums “Par pārkāpumu fiksēšanas tehnisko līdzekļu (</w:t>
            </w:r>
            <w:proofErr w:type="spellStart"/>
            <w:r w:rsidRPr="00CE183A">
              <w:rPr>
                <w:sz w:val="24"/>
                <w:szCs w:val="24"/>
              </w:rPr>
              <w:t>fotoradaru</w:t>
            </w:r>
            <w:proofErr w:type="spellEnd"/>
            <w:r w:rsidRPr="00CE183A">
              <w:rPr>
                <w:sz w:val="24"/>
                <w:szCs w:val="24"/>
              </w:rPr>
              <w:t>) ieviešanu”, kurā noteikts, ka 2013., 2014., 2015., 2016. un 2017.gadā Ministru kabinets, lemjot par Ceļu satiksmes drošības direkcijas dividenžu izmantošanu, pieņem lēmumu par samazināta apjoma dividenžu ieskaitīšanu valsts budžetā, paredzot 2013., 2014. un 2015.gadā Ls 700 000, bet 2016. un 2017.gadā Ls 350 000 no valsts budžetā ieskaitāmajiem līdzekļiem investīcijā</w:t>
            </w:r>
            <w:r w:rsidR="004023CD">
              <w:rPr>
                <w:sz w:val="24"/>
                <w:szCs w:val="24"/>
              </w:rPr>
              <w:t xml:space="preserve">m </w:t>
            </w:r>
            <w:proofErr w:type="spellStart"/>
            <w:r w:rsidR="004023CD">
              <w:rPr>
                <w:sz w:val="24"/>
                <w:szCs w:val="24"/>
              </w:rPr>
              <w:t>fotoradaru</w:t>
            </w:r>
            <w:proofErr w:type="spellEnd"/>
            <w:r w:rsidR="004023CD">
              <w:rPr>
                <w:sz w:val="24"/>
                <w:szCs w:val="24"/>
              </w:rPr>
              <w:t xml:space="preserve"> un ietvaru iegādei.</w:t>
            </w:r>
          </w:p>
          <w:p w:rsidR="008E03F2" w:rsidRDefault="008E03F2" w:rsidP="00707F21">
            <w:pPr>
              <w:spacing w:line="240" w:lineRule="auto"/>
              <w:ind w:firstLine="269"/>
              <w:rPr>
                <w:sz w:val="24"/>
                <w:szCs w:val="24"/>
              </w:rPr>
            </w:pPr>
            <w:r>
              <w:rPr>
                <w:sz w:val="24"/>
                <w:szCs w:val="24"/>
              </w:rPr>
              <w:t xml:space="preserve">2014.gada 30.maijā tika pieņemts rīkojums Nr.257 </w:t>
            </w:r>
            <w:r>
              <w:rPr>
                <w:sz w:val="24"/>
                <w:szCs w:val="24"/>
              </w:rPr>
              <w:lastRenderedPageBreak/>
              <w:t xml:space="preserve">„Par valstij dividendēs izmaksājamo valsts akciju sabiedrības „Ceļu satiksmes drošības direkcija” peļņas daļu, kurā noteikts, ka </w:t>
            </w:r>
            <w:r w:rsidRPr="008E03F2">
              <w:rPr>
                <w:sz w:val="24"/>
                <w:szCs w:val="24"/>
              </w:rPr>
              <w:t xml:space="preserve">Satiksmes ministrijai kā valsts akciju sabiedrības "Ceļu satiksmes drošības direkcija" kapitāla daļu turētājai nodrošināt, ka 2013. gadā gūtās peļņas daļa 996 010 </w:t>
            </w:r>
            <w:proofErr w:type="spellStart"/>
            <w:r w:rsidRPr="008E03F2">
              <w:rPr>
                <w:i/>
                <w:iCs/>
                <w:sz w:val="24"/>
                <w:szCs w:val="24"/>
              </w:rPr>
              <w:t>euro</w:t>
            </w:r>
            <w:proofErr w:type="spellEnd"/>
            <w:r w:rsidRPr="008E03F2">
              <w:rPr>
                <w:sz w:val="24"/>
                <w:szCs w:val="24"/>
              </w:rPr>
              <w:t xml:space="preserve"> (700 000 latu) apmērā tiek novirzīta stacionāro </w:t>
            </w:r>
            <w:proofErr w:type="spellStart"/>
            <w:r w:rsidRPr="008E03F2">
              <w:rPr>
                <w:sz w:val="24"/>
                <w:szCs w:val="24"/>
              </w:rPr>
              <w:t>fotoradaru</w:t>
            </w:r>
            <w:proofErr w:type="spellEnd"/>
            <w:r w:rsidRPr="008E03F2">
              <w:rPr>
                <w:sz w:val="24"/>
                <w:szCs w:val="24"/>
              </w:rPr>
              <w:t xml:space="preserve"> iegādei un 637 009 </w:t>
            </w:r>
            <w:proofErr w:type="spellStart"/>
            <w:r w:rsidRPr="008E03F2">
              <w:rPr>
                <w:i/>
                <w:iCs/>
                <w:sz w:val="24"/>
                <w:szCs w:val="24"/>
              </w:rPr>
              <w:t>euro</w:t>
            </w:r>
            <w:proofErr w:type="spellEnd"/>
            <w:r w:rsidRPr="008E03F2">
              <w:rPr>
                <w:sz w:val="24"/>
                <w:szCs w:val="24"/>
              </w:rPr>
              <w:t xml:space="preserve"> (447 692 lati) apmērā − Biķernieku kompleksās sporta bāzes sakārtošanai un attīstībai.</w:t>
            </w:r>
          </w:p>
          <w:p w:rsidR="008E03F2" w:rsidRDefault="008E03F2" w:rsidP="00707F21">
            <w:pPr>
              <w:spacing w:line="240" w:lineRule="auto"/>
              <w:ind w:firstLine="269"/>
              <w:rPr>
                <w:sz w:val="24"/>
                <w:szCs w:val="24"/>
              </w:rPr>
            </w:pPr>
            <w:r>
              <w:rPr>
                <w:sz w:val="24"/>
                <w:szCs w:val="24"/>
              </w:rPr>
              <w:t xml:space="preserve">2014.gada rīkojumā noteiktais ir </w:t>
            </w:r>
            <w:r w:rsidR="00D70506">
              <w:rPr>
                <w:sz w:val="24"/>
                <w:szCs w:val="24"/>
              </w:rPr>
              <w:t xml:space="preserve">daļēji </w:t>
            </w:r>
            <w:r>
              <w:rPr>
                <w:sz w:val="24"/>
                <w:szCs w:val="24"/>
              </w:rPr>
              <w:t xml:space="preserve">realizēts un 2015.gadā ir nepieciešams turpināt īstenot Ministru kabineta pieņemto lēmumu par stacionāro </w:t>
            </w:r>
            <w:proofErr w:type="spellStart"/>
            <w:r>
              <w:rPr>
                <w:sz w:val="24"/>
                <w:szCs w:val="24"/>
              </w:rPr>
              <w:t>fotoradaru</w:t>
            </w:r>
            <w:proofErr w:type="spellEnd"/>
            <w:r>
              <w:rPr>
                <w:sz w:val="24"/>
                <w:szCs w:val="24"/>
              </w:rPr>
              <w:t xml:space="preserve"> ieviešanu, kā arī turpināt </w:t>
            </w:r>
            <w:r w:rsidR="00E751E4">
              <w:rPr>
                <w:sz w:val="24"/>
                <w:szCs w:val="24"/>
              </w:rPr>
              <w:t>nodrošināt</w:t>
            </w:r>
            <w:r>
              <w:rPr>
                <w:sz w:val="24"/>
                <w:szCs w:val="24"/>
              </w:rPr>
              <w:t xml:space="preserve"> </w:t>
            </w:r>
            <w:r w:rsidRPr="008E03F2">
              <w:rPr>
                <w:sz w:val="24"/>
                <w:szCs w:val="24"/>
              </w:rPr>
              <w:t>Biķernieku kompleksās sporta bāzes (</w:t>
            </w:r>
            <w:r>
              <w:rPr>
                <w:sz w:val="24"/>
                <w:szCs w:val="24"/>
              </w:rPr>
              <w:t xml:space="preserve">turpmāk </w:t>
            </w:r>
            <w:r w:rsidRPr="008E03F2">
              <w:rPr>
                <w:sz w:val="24"/>
                <w:szCs w:val="24"/>
              </w:rPr>
              <w:t xml:space="preserve">BKSB) </w:t>
            </w:r>
            <w:r w:rsidR="00E751E4">
              <w:rPr>
                <w:sz w:val="24"/>
                <w:szCs w:val="24"/>
              </w:rPr>
              <w:t>attīstību</w:t>
            </w:r>
            <w:r w:rsidRPr="008E03F2">
              <w:rPr>
                <w:sz w:val="24"/>
                <w:szCs w:val="24"/>
              </w:rPr>
              <w:t>.</w:t>
            </w:r>
          </w:p>
          <w:p w:rsidR="00D70506" w:rsidRDefault="00D70506" w:rsidP="00707F21">
            <w:pPr>
              <w:spacing w:line="240" w:lineRule="auto"/>
              <w:ind w:firstLine="269"/>
              <w:rPr>
                <w:sz w:val="24"/>
                <w:szCs w:val="24"/>
              </w:rPr>
            </w:pPr>
            <w:r>
              <w:rPr>
                <w:sz w:val="24"/>
                <w:szCs w:val="24"/>
              </w:rPr>
              <w:t xml:space="preserve">Daļēja realizācija ir notikusi attiecībā uz stacionāro </w:t>
            </w:r>
            <w:proofErr w:type="spellStart"/>
            <w:r>
              <w:rPr>
                <w:sz w:val="24"/>
                <w:szCs w:val="24"/>
              </w:rPr>
              <w:t>fotoradaru</w:t>
            </w:r>
            <w:proofErr w:type="spellEnd"/>
            <w:r>
              <w:rPr>
                <w:sz w:val="24"/>
                <w:szCs w:val="24"/>
              </w:rPr>
              <w:t xml:space="preserve"> iegādi, jo bez rezultāta tika izbeigts iepirkums par lāzera tipa stacionāro </w:t>
            </w:r>
            <w:proofErr w:type="spellStart"/>
            <w:r>
              <w:rPr>
                <w:sz w:val="24"/>
                <w:szCs w:val="24"/>
              </w:rPr>
              <w:t>fotoradaru</w:t>
            </w:r>
            <w:proofErr w:type="spellEnd"/>
            <w:r>
              <w:rPr>
                <w:sz w:val="24"/>
                <w:szCs w:val="24"/>
              </w:rPr>
              <w:t xml:space="preserve"> iegādi. 2014.gadā ir realizēta 16 </w:t>
            </w:r>
            <w:proofErr w:type="spellStart"/>
            <w:r>
              <w:rPr>
                <w:sz w:val="24"/>
                <w:szCs w:val="24"/>
              </w:rPr>
              <w:t>doplera</w:t>
            </w:r>
            <w:proofErr w:type="spellEnd"/>
            <w:r>
              <w:rPr>
                <w:sz w:val="24"/>
                <w:szCs w:val="24"/>
              </w:rPr>
              <w:t xml:space="preserve"> tipa stacionāro </w:t>
            </w:r>
            <w:proofErr w:type="spellStart"/>
            <w:r>
              <w:rPr>
                <w:sz w:val="24"/>
                <w:szCs w:val="24"/>
              </w:rPr>
              <w:t>fotoradaru</w:t>
            </w:r>
            <w:proofErr w:type="spellEnd"/>
            <w:r>
              <w:rPr>
                <w:sz w:val="24"/>
                <w:szCs w:val="24"/>
              </w:rPr>
              <w:t xml:space="preserve"> iegāde un uzstādīšana, kas realizēta, ieguldot 85</w:t>
            </w:r>
            <w:r w:rsidR="00C57FD8">
              <w:rPr>
                <w:sz w:val="24"/>
                <w:szCs w:val="24"/>
              </w:rPr>
              <w:t>6</w:t>
            </w:r>
            <w:r>
              <w:rPr>
                <w:sz w:val="24"/>
                <w:szCs w:val="24"/>
              </w:rPr>
              <w:t> </w:t>
            </w:r>
            <w:r w:rsidR="00C57FD8">
              <w:rPr>
                <w:sz w:val="24"/>
                <w:szCs w:val="24"/>
              </w:rPr>
              <w:t>010</w:t>
            </w:r>
            <w:r>
              <w:rPr>
                <w:sz w:val="24"/>
                <w:szCs w:val="24"/>
              </w:rPr>
              <w:t xml:space="preserve"> EUR.</w:t>
            </w:r>
          </w:p>
          <w:p w:rsidR="00CC62E3" w:rsidRDefault="00CC62E3" w:rsidP="00707F21">
            <w:pPr>
              <w:spacing w:line="240" w:lineRule="auto"/>
              <w:ind w:firstLine="269"/>
              <w:rPr>
                <w:sz w:val="24"/>
                <w:szCs w:val="24"/>
              </w:rPr>
            </w:pPr>
            <w:r>
              <w:rPr>
                <w:sz w:val="24"/>
                <w:szCs w:val="24"/>
              </w:rPr>
              <w:t xml:space="preserve">2015.gadā paredzēts iegādāties 24 stacionāros </w:t>
            </w:r>
            <w:proofErr w:type="spellStart"/>
            <w:r>
              <w:rPr>
                <w:sz w:val="24"/>
                <w:szCs w:val="24"/>
              </w:rPr>
              <w:t>fotoradarus</w:t>
            </w:r>
            <w:proofErr w:type="spellEnd"/>
            <w:r>
              <w:rPr>
                <w:sz w:val="24"/>
                <w:szCs w:val="24"/>
              </w:rPr>
              <w:t>, plānotos 20 un papildus 4, kas netika iegādāti un uzstādīti 2014.gadā. Lai šo projektu realizētu, kopā ir nepieciešami 1 </w:t>
            </w:r>
            <w:r w:rsidR="00C57FD8">
              <w:rPr>
                <w:sz w:val="24"/>
                <w:szCs w:val="24"/>
              </w:rPr>
              <w:t>284</w:t>
            </w:r>
            <w:r w:rsidR="004023CD">
              <w:rPr>
                <w:sz w:val="24"/>
                <w:szCs w:val="24"/>
              </w:rPr>
              <w:t> </w:t>
            </w:r>
            <w:r>
              <w:rPr>
                <w:sz w:val="24"/>
                <w:szCs w:val="24"/>
              </w:rPr>
              <w:t>000</w:t>
            </w:r>
            <w:r w:rsidR="004023CD">
              <w:rPr>
                <w:sz w:val="24"/>
                <w:szCs w:val="24"/>
              </w:rPr>
              <w:t xml:space="preserve"> </w:t>
            </w:r>
            <w:r>
              <w:rPr>
                <w:sz w:val="24"/>
                <w:szCs w:val="24"/>
              </w:rPr>
              <w:t>EUR</w:t>
            </w:r>
            <w:r w:rsidR="00AD59B6">
              <w:rPr>
                <w:sz w:val="24"/>
                <w:szCs w:val="24"/>
              </w:rPr>
              <w:t xml:space="preserve"> (atlikušie līdzekļi </w:t>
            </w:r>
            <w:r w:rsidR="00E751E4">
              <w:rPr>
                <w:sz w:val="24"/>
                <w:szCs w:val="24"/>
              </w:rPr>
              <w:t xml:space="preserve"> </w:t>
            </w:r>
            <w:r w:rsidR="00AD59B6">
              <w:rPr>
                <w:sz w:val="24"/>
                <w:szCs w:val="24"/>
              </w:rPr>
              <w:t xml:space="preserve">no </w:t>
            </w:r>
            <w:r w:rsidR="00E751E4">
              <w:rPr>
                <w:sz w:val="24"/>
                <w:szCs w:val="24"/>
              </w:rPr>
              <w:t xml:space="preserve"> </w:t>
            </w:r>
            <w:r w:rsidR="00AD59B6">
              <w:rPr>
                <w:sz w:val="24"/>
                <w:szCs w:val="24"/>
              </w:rPr>
              <w:t xml:space="preserve">2013.gada </w:t>
            </w:r>
            <w:r w:rsidR="00E751E4">
              <w:rPr>
                <w:sz w:val="24"/>
                <w:szCs w:val="24"/>
              </w:rPr>
              <w:t xml:space="preserve"> </w:t>
            </w:r>
            <w:r w:rsidR="00AD59B6">
              <w:rPr>
                <w:sz w:val="24"/>
                <w:szCs w:val="24"/>
              </w:rPr>
              <w:t xml:space="preserve">peļņas </w:t>
            </w:r>
            <w:r w:rsidR="00E751E4">
              <w:rPr>
                <w:sz w:val="24"/>
                <w:szCs w:val="24"/>
              </w:rPr>
              <w:t xml:space="preserve"> </w:t>
            </w:r>
            <w:r w:rsidR="00AD59B6">
              <w:rPr>
                <w:sz w:val="24"/>
                <w:szCs w:val="24"/>
              </w:rPr>
              <w:t xml:space="preserve">daļas </w:t>
            </w:r>
            <w:r w:rsidR="00E751E4">
              <w:rPr>
                <w:sz w:val="24"/>
                <w:szCs w:val="24"/>
              </w:rPr>
              <w:t xml:space="preserve"> </w:t>
            </w:r>
            <w:r w:rsidR="00AD59B6">
              <w:rPr>
                <w:sz w:val="24"/>
                <w:szCs w:val="24"/>
              </w:rPr>
              <w:t>140</w:t>
            </w:r>
            <w:r w:rsidR="004023CD">
              <w:rPr>
                <w:sz w:val="24"/>
                <w:szCs w:val="24"/>
              </w:rPr>
              <w:t> </w:t>
            </w:r>
            <w:r w:rsidR="00AD59B6">
              <w:rPr>
                <w:sz w:val="24"/>
                <w:szCs w:val="24"/>
              </w:rPr>
              <w:t>000</w:t>
            </w:r>
            <w:r w:rsidR="004023CD">
              <w:rPr>
                <w:sz w:val="24"/>
                <w:szCs w:val="24"/>
              </w:rPr>
              <w:t xml:space="preserve"> </w:t>
            </w:r>
            <w:r w:rsidR="00E751E4">
              <w:rPr>
                <w:sz w:val="24"/>
                <w:szCs w:val="24"/>
              </w:rPr>
              <w:t xml:space="preserve"> </w:t>
            </w:r>
            <w:r w:rsidR="00AD59B6">
              <w:rPr>
                <w:sz w:val="24"/>
                <w:szCs w:val="24"/>
              </w:rPr>
              <w:t>EUR un 1 144 000 EUR peļņas daļa par 2014.gadu)</w:t>
            </w:r>
            <w:r>
              <w:rPr>
                <w:sz w:val="24"/>
                <w:szCs w:val="24"/>
              </w:rPr>
              <w:t>.</w:t>
            </w:r>
          </w:p>
          <w:p w:rsidR="003A009A" w:rsidRPr="003A009A" w:rsidRDefault="003A009A" w:rsidP="003A009A">
            <w:pPr>
              <w:spacing w:line="240" w:lineRule="auto"/>
              <w:ind w:firstLine="269"/>
              <w:rPr>
                <w:sz w:val="24"/>
                <w:szCs w:val="24"/>
              </w:rPr>
            </w:pPr>
            <w:r w:rsidRPr="003A009A">
              <w:rPr>
                <w:sz w:val="24"/>
                <w:szCs w:val="24"/>
              </w:rPr>
              <w:t xml:space="preserve">Ceļu satiksmes drošības direkcija </w:t>
            </w:r>
            <w:r>
              <w:rPr>
                <w:sz w:val="24"/>
                <w:szCs w:val="24"/>
              </w:rPr>
              <w:t xml:space="preserve">2014.gadā </w:t>
            </w:r>
            <w:r w:rsidRPr="003A009A">
              <w:rPr>
                <w:sz w:val="24"/>
                <w:szCs w:val="24"/>
              </w:rPr>
              <w:t>Publisko iepirkumu likumā noteiktā kārtībā izsludināja konkursu par tehnisko līdzekļu (</w:t>
            </w:r>
            <w:proofErr w:type="spellStart"/>
            <w:r w:rsidRPr="003A009A">
              <w:rPr>
                <w:sz w:val="24"/>
                <w:szCs w:val="24"/>
              </w:rPr>
              <w:t>fotoradaru</w:t>
            </w:r>
            <w:proofErr w:type="spellEnd"/>
            <w:r w:rsidRPr="003A009A">
              <w:rPr>
                <w:sz w:val="24"/>
                <w:szCs w:val="24"/>
              </w:rPr>
              <w:t>) piegādi, uzstādīšanu un to darbības nodrošināšanu un iegādājās tehniskos līdzekļus (</w:t>
            </w:r>
            <w:proofErr w:type="spellStart"/>
            <w:r w:rsidRPr="003A009A">
              <w:rPr>
                <w:sz w:val="24"/>
                <w:szCs w:val="24"/>
              </w:rPr>
              <w:t>fotoradarus</w:t>
            </w:r>
            <w:proofErr w:type="spellEnd"/>
            <w:r w:rsidRPr="003A009A">
              <w:rPr>
                <w:sz w:val="24"/>
                <w:szCs w:val="24"/>
              </w:rPr>
              <w:t xml:space="preserve">), par summu, kas ir lielāka par sākotnēji prognozēto. Viena </w:t>
            </w:r>
            <w:proofErr w:type="spellStart"/>
            <w:r w:rsidRPr="003A009A">
              <w:rPr>
                <w:sz w:val="24"/>
                <w:szCs w:val="24"/>
              </w:rPr>
              <w:t>fotorada</w:t>
            </w:r>
            <w:proofErr w:type="spellEnd"/>
            <w:r w:rsidRPr="003A009A">
              <w:rPr>
                <w:sz w:val="24"/>
                <w:szCs w:val="24"/>
              </w:rPr>
              <w:t xml:space="preserve"> iegāde un uzstādīšana konkursa rezultātā ir izmaksājusi 53 500 </w:t>
            </w:r>
            <w:proofErr w:type="spellStart"/>
            <w:r w:rsidRPr="003A009A">
              <w:rPr>
                <w:sz w:val="24"/>
                <w:szCs w:val="24"/>
              </w:rPr>
              <w:t>euro</w:t>
            </w:r>
            <w:proofErr w:type="spellEnd"/>
            <w:r w:rsidRPr="003A009A">
              <w:rPr>
                <w:sz w:val="24"/>
                <w:szCs w:val="24"/>
              </w:rPr>
              <w:t>.</w:t>
            </w:r>
          </w:p>
          <w:p w:rsidR="003A009A" w:rsidRDefault="003A009A" w:rsidP="003A009A">
            <w:pPr>
              <w:spacing w:line="240" w:lineRule="auto"/>
              <w:ind w:firstLine="269"/>
              <w:rPr>
                <w:sz w:val="24"/>
                <w:szCs w:val="24"/>
              </w:rPr>
            </w:pPr>
            <w:r w:rsidRPr="003A009A">
              <w:rPr>
                <w:sz w:val="24"/>
                <w:szCs w:val="24"/>
              </w:rPr>
              <w:t>Ie</w:t>
            </w:r>
            <w:r>
              <w:rPr>
                <w:sz w:val="24"/>
                <w:szCs w:val="24"/>
              </w:rPr>
              <w:t xml:space="preserve">vērojot to, ka šobrīd ir precīzāk zināms nepieciešamais finansējums </w:t>
            </w:r>
            <w:r w:rsidRPr="003A009A">
              <w:rPr>
                <w:sz w:val="24"/>
                <w:szCs w:val="24"/>
              </w:rPr>
              <w:t xml:space="preserve">radaru iegādei un uzstādīšanai, nākamā </w:t>
            </w:r>
            <w:proofErr w:type="spellStart"/>
            <w:r w:rsidRPr="003A009A">
              <w:rPr>
                <w:sz w:val="24"/>
                <w:szCs w:val="24"/>
              </w:rPr>
              <w:t>fotoradaru</w:t>
            </w:r>
            <w:proofErr w:type="spellEnd"/>
            <w:r w:rsidRPr="003A009A">
              <w:rPr>
                <w:sz w:val="24"/>
                <w:szCs w:val="24"/>
              </w:rPr>
              <w:t xml:space="preserve"> iegādes un uzstādīšanas etapa realizācijai ir nepieciešami 1 </w:t>
            </w:r>
            <w:r w:rsidR="00E751E4">
              <w:rPr>
                <w:sz w:val="24"/>
                <w:szCs w:val="24"/>
              </w:rPr>
              <w:t>284</w:t>
            </w:r>
            <w:r w:rsidRPr="003A009A">
              <w:rPr>
                <w:sz w:val="24"/>
                <w:szCs w:val="24"/>
              </w:rPr>
              <w:t xml:space="preserve"> 000 </w:t>
            </w:r>
            <w:proofErr w:type="spellStart"/>
            <w:r w:rsidRPr="003A009A">
              <w:rPr>
                <w:sz w:val="24"/>
                <w:szCs w:val="24"/>
              </w:rPr>
              <w:t>euro</w:t>
            </w:r>
            <w:proofErr w:type="spellEnd"/>
            <w:r w:rsidRPr="003A009A">
              <w:rPr>
                <w:sz w:val="24"/>
                <w:szCs w:val="24"/>
              </w:rPr>
              <w:t>.</w:t>
            </w:r>
          </w:p>
          <w:p w:rsidR="004F1062" w:rsidRDefault="004F1062" w:rsidP="00707F21">
            <w:pPr>
              <w:spacing w:line="240" w:lineRule="auto"/>
              <w:ind w:firstLine="269"/>
              <w:rPr>
                <w:sz w:val="24"/>
                <w:szCs w:val="24"/>
              </w:rPr>
            </w:pPr>
          </w:p>
          <w:p w:rsidR="004934DF" w:rsidRDefault="004934DF" w:rsidP="00707F21">
            <w:pPr>
              <w:spacing w:line="240" w:lineRule="auto"/>
              <w:ind w:firstLine="269"/>
              <w:rPr>
                <w:sz w:val="24"/>
                <w:szCs w:val="24"/>
              </w:rPr>
            </w:pPr>
            <w:r w:rsidRPr="004934DF">
              <w:rPr>
                <w:sz w:val="24"/>
                <w:szCs w:val="24"/>
              </w:rPr>
              <w:t xml:space="preserve">Viens no svarīgākajiem </w:t>
            </w:r>
            <w:r w:rsidR="00DB7A96" w:rsidRPr="008E03F2">
              <w:rPr>
                <w:sz w:val="24"/>
                <w:szCs w:val="24"/>
              </w:rPr>
              <w:t>BKSB</w:t>
            </w:r>
            <w:r w:rsidRPr="00DB7A96">
              <w:rPr>
                <w:color w:val="FF0000"/>
                <w:sz w:val="24"/>
                <w:szCs w:val="24"/>
              </w:rPr>
              <w:t xml:space="preserve"> </w:t>
            </w:r>
            <w:r w:rsidRPr="004934DF">
              <w:rPr>
                <w:sz w:val="24"/>
                <w:szCs w:val="24"/>
              </w:rPr>
              <w:t>uzdevumiem ir veicināt nacionālās sporta bāzes attīstību, radīt apstākļus augsta līmeņa sporta sacensību norisei, kā arī kvalitatīviem sportistu treniņiem.</w:t>
            </w:r>
            <w:r w:rsidR="00707F21">
              <w:rPr>
                <w:sz w:val="24"/>
                <w:szCs w:val="24"/>
              </w:rPr>
              <w:t xml:space="preserve"> </w:t>
            </w:r>
            <w:r w:rsidRPr="004934DF">
              <w:rPr>
                <w:sz w:val="24"/>
                <w:szCs w:val="24"/>
              </w:rPr>
              <w:t>Ļoti svarīga šo mērķu sasniegšanā ir sadarbība ar sporta organizācijām un aktīvistiem, lai BKSB infrastruktūru veidotu efektīvu un atbilstošu sportistu vajadzībām.</w:t>
            </w:r>
          </w:p>
          <w:p w:rsidR="000B2913" w:rsidRDefault="000B2913" w:rsidP="000B2913">
            <w:pPr>
              <w:spacing w:line="240" w:lineRule="auto"/>
              <w:ind w:firstLine="269"/>
              <w:rPr>
                <w:sz w:val="24"/>
                <w:szCs w:val="24"/>
              </w:rPr>
            </w:pPr>
            <w:r w:rsidRPr="00110616">
              <w:rPr>
                <w:sz w:val="24"/>
                <w:szCs w:val="24"/>
              </w:rPr>
              <w:t xml:space="preserve">BKSB ir kapitālsabiedrības īpašumā esoša nacionālā sporta bāze, kuras apsaimniekošanu nodrošina pati kapitālsabiedrība, nepiesaistot citus pārvaldniekus. BKSB ir pieejama visiem sacensību organizatoriem uz līdzvērtīgiem nosacījumiem, kā arī ārpus sacensību un </w:t>
            </w:r>
            <w:r w:rsidRPr="00110616">
              <w:rPr>
                <w:sz w:val="24"/>
                <w:szCs w:val="24"/>
              </w:rPr>
              <w:lastRenderedPageBreak/>
              <w:t xml:space="preserve">treniņu norisēm, pieejama sabiedrībai bez maksas, dažādu sportisko aktivitāšu veikšanai (skriešana, </w:t>
            </w:r>
            <w:proofErr w:type="spellStart"/>
            <w:r w:rsidRPr="00110616">
              <w:rPr>
                <w:sz w:val="24"/>
                <w:szCs w:val="24"/>
              </w:rPr>
              <w:t>nūjošana</w:t>
            </w:r>
            <w:proofErr w:type="spellEnd"/>
            <w:r w:rsidRPr="00110616">
              <w:rPr>
                <w:sz w:val="24"/>
                <w:szCs w:val="24"/>
              </w:rPr>
              <w:t>, riteņbraukšana u.tml.).</w:t>
            </w:r>
          </w:p>
          <w:p w:rsidR="00E751E4" w:rsidRDefault="004F1062" w:rsidP="004F1062">
            <w:pPr>
              <w:spacing w:line="240" w:lineRule="auto"/>
              <w:ind w:firstLine="269"/>
              <w:rPr>
                <w:sz w:val="24"/>
                <w:szCs w:val="24"/>
              </w:rPr>
            </w:pPr>
            <w:r w:rsidRPr="004F1062">
              <w:rPr>
                <w:sz w:val="24"/>
                <w:szCs w:val="24"/>
              </w:rPr>
              <w:t xml:space="preserve">Attiecībā par 56 319 </w:t>
            </w:r>
            <w:proofErr w:type="spellStart"/>
            <w:r w:rsidRPr="004F1062">
              <w:rPr>
                <w:sz w:val="24"/>
                <w:szCs w:val="24"/>
              </w:rPr>
              <w:t>euro</w:t>
            </w:r>
            <w:proofErr w:type="spellEnd"/>
            <w:r w:rsidRPr="004F1062">
              <w:rPr>
                <w:sz w:val="24"/>
                <w:szCs w:val="24"/>
              </w:rPr>
              <w:t xml:space="preserve"> nepieciešamību B</w:t>
            </w:r>
            <w:r>
              <w:rPr>
                <w:sz w:val="24"/>
                <w:szCs w:val="24"/>
              </w:rPr>
              <w:t>KSB</w:t>
            </w:r>
            <w:r w:rsidRPr="004F1062">
              <w:rPr>
                <w:sz w:val="24"/>
                <w:szCs w:val="24"/>
              </w:rPr>
              <w:t xml:space="preserve"> sakārtošanai un attīstībai paskaidrojam, ka līdz </w:t>
            </w:r>
            <w:r w:rsidR="00E751E4">
              <w:rPr>
                <w:sz w:val="24"/>
                <w:szCs w:val="24"/>
              </w:rPr>
              <w:t>šim brīdim</w:t>
            </w:r>
            <w:r w:rsidRPr="004F1062">
              <w:rPr>
                <w:sz w:val="24"/>
                <w:szCs w:val="24"/>
              </w:rPr>
              <w:t xml:space="preserve"> Ceļu satiksmes drošības direkcija </w:t>
            </w:r>
            <w:r>
              <w:rPr>
                <w:sz w:val="24"/>
                <w:szCs w:val="24"/>
              </w:rPr>
              <w:t xml:space="preserve"> BKSB</w:t>
            </w:r>
            <w:r w:rsidRPr="004F1062">
              <w:rPr>
                <w:sz w:val="24"/>
                <w:szCs w:val="24"/>
              </w:rPr>
              <w:t xml:space="preserve"> attīstībā ir ieguldījusi 2 900 000 </w:t>
            </w:r>
            <w:proofErr w:type="spellStart"/>
            <w:r w:rsidRPr="004F1062">
              <w:rPr>
                <w:sz w:val="24"/>
                <w:szCs w:val="24"/>
              </w:rPr>
              <w:t>euro</w:t>
            </w:r>
            <w:proofErr w:type="spellEnd"/>
            <w:r w:rsidRPr="004F1062">
              <w:rPr>
                <w:sz w:val="24"/>
                <w:szCs w:val="24"/>
              </w:rPr>
              <w:t xml:space="preserve">, tai skaitā, 2 750 000 no Ceļu satiksmes drošības direkcijai </w:t>
            </w:r>
            <w:r w:rsidR="00E751E4">
              <w:rPr>
                <w:sz w:val="24"/>
                <w:szCs w:val="24"/>
              </w:rPr>
              <w:t>atstāta</w:t>
            </w:r>
            <w:r w:rsidRPr="004F1062">
              <w:rPr>
                <w:sz w:val="24"/>
                <w:szCs w:val="24"/>
              </w:rPr>
              <w:t>jām dividendēm jeb finanšu līdzekļiem, kas nebija jāiemaksā valsts budžetā no Ceļu satiksmes drošības direkcijas peļņa</w:t>
            </w:r>
            <w:r w:rsidR="00E751E4">
              <w:rPr>
                <w:sz w:val="24"/>
                <w:szCs w:val="24"/>
              </w:rPr>
              <w:t>s par 2012. un 2013.gadu, un 150</w:t>
            </w:r>
            <w:r w:rsidR="00505842">
              <w:rPr>
                <w:sz w:val="24"/>
                <w:szCs w:val="24"/>
              </w:rPr>
              <w:t> </w:t>
            </w:r>
            <w:r w:rsidR="00E751E4">
              <w:rPr>
                <w:sz w:val="24"/>
                <w:szCs w:val="24"/>
              </w:rPr>
              <w:t>000</w:t>
            </w:r>
            <w:r w:rsidR="00505842">
              <w:rPr>
                <w:sz w:val="24"/>
                <w:szCs w:val="24"/>
              </w:rPr>
              <w:t xml:space="preserve"> </w:t>
            </w:r>
            <w:proofErr w:type="spellStart"/>
            <w:r w:rsidR="00E751E4">
              <w:rPr>
                <w:sz w:val="24"/>
                <w:szCs w:val="24"/>
              </w:rPr>
              <w:t>euro</w:t>
            </w:r>
            <w:proofErr w:type="spellEnd"/>
            <w:r w:rsidR="00E751E4">
              <w:rPr>
                <w:sz w:val="24"/>
                <w:szCs w:val="24"/>
              </w:rPr>
              <w:t xml:space="preserve"> no citiem investīciju projektiem</w:t>
            </w:r>
            <w:r w:rsidR="00505842">
              <w:rPr>
                <w:sz w:val="24"/>
                <w:szCs w:val="24"/>
              </w:rPr>
              <w:t xml:space="preserve"> paredzētajiem līdzekļiem, kuru realizācija šobrīd ir atlikta.</w:t>
            </w:r>
          </w:p>
          <w:p w:rsidR="00E751E4" w:rsidRDefault="00E751E4" w:rsidP="004F1062">
            <w:pPr>
              <w:spacing w:line="240" w:lineRule="auto"/>
              <w:ind w:firstLine="269"/>
              <w:rPr>
                <w:sz w:val="24"/>
                <w:szCs w:val="24"/>
              </w:rPr>
            </w:pPr>
            <w:r>
              <w:rPr>
                <w:sz w:val="24"/>
                <w:szCs w:val="24"/>
              </w:rPr>
              <w:t>Bez tam, lai pabeigtu jau uzsākto BKSB trases daļas rekonstrukciju, šogad Ceļu satiksmes drošības direkcijai ir nepieciešams investēt vēl 700 000</w:t>
            </w:r>
            <w:r w:rsidR="004F1062" w:rsidRPr="004F1062">
              <w:rPr>
                <w:sz w:val="24"/>
                <w:szCs w:val="24"/>
              </w:rPr>
              <w:t xml:space="preserve"> </w:t>
            </w:r>
            <w:proofErr w:type="spellStart"/>
            <w:r w:rsidR="004F1062" w:rsidRPr="004F1062">
              <w:rPr>
                <w:sz w:val="24"/>
                <w:szCs w:val="24"/>
              </w:rPr>
              <w:t>euro</w:t>
            </w:r>
            <w:proofErr w:type="spellEnd"/>
            <w:r>
              <w:rPr>
                <w:sz w:val="24"/>
                <w:szCs w:val="24"/>
              </w:rPr>
              <w:t>.</w:t>
            </w:r>
          </w:p>
          <w:p w:rsidR="004F1062" w:rsidRDefault="00E751E4" w:rsidP="004F1062">
            <w:pPr>
              <w:spacing w:line="240" w:lineRule="auto"/>
              <w:ind w:firstLine="269"/>
              <w:rPr>
                <w:sz w:val="24"/>
                <w:szCs w:val="24"/>
              </w:rPr>
            </w:pPr>
            <w:r>
              <w:rPr>
                <w:sz w:val="24"/>
                <w:szCs w:val="24"/>
              </w:rPr>
              <w:t xml:space="preserve">Papildus iepriekš minētajam 2015./2016.gadā tiks uzsākta </w:t>
            </w:r>
            <w:proofErr w:type="spellStart"/>
            <w:r>
              <w:rPr>
                <w:sz w:val="24"/>
                <w:szCs w:val="24"/>
              </w:rPr>
              <w:t>rallijkrosa</w:t>
            </w:r>
            <w:proofErr w:type="spellEnd"/>
            <w:r>
              <w:rPr>
                <w:sz w:val="24"/>
                <w:szCs w:val="24"/>
              </w:rPr>
              <w:t xml:space="preserve"> trases izbūve, kam nepieciešamas investīcijas vismaz</w:t>
            </w:r>
            <w:r w:rsidR="004F1062" w:rsidRPr="004F1062">
              <w:rPr>
                <w:sz w:val="24"/>
                <w:szCs w:val="24"/>
              </w:rPr>
              <w:t xml:space="preserve"> 1 000 000 </w:t>
            </w:r>
            <w:proofErr w:type="spellStart"/>
            <w:r w:rsidR="004F1062" w:rsidRPr="004F1062">
              <w:rPr>
                <w:sz w:val="24"/>
                <w:szCs w:val="24"/>
              </w:rPr>
              <w:t>euro</w:t>
            </w:r>
            <w:proofErr w:type="spellEnd"/>
            <w:r w:rsidR="004F1062" w:rsidRPr="004F1062">
              <w:rPr>
                <w:sz w:val="24"/>
                <w:szCs w:val="24"/>
              </w:rPr>
              <w:t xml:space="preserve"> </w:t>
            </w:r>
            <w:r>
              <w:rPr>
                <w:sz w:val="24"/>
                <w:szCs w:val="24"/>
              </w:rPr>
              <w:t>apmērā.</w:t>
            </w:r>
            <w:r w:rsidR="004F1062" w:rsidRPr="004F1062">
              <w:rPr>
                <w:sz w:val="24"/>
                <w:szCs w:val="24"/>
              </w:rPr>
              <w:t>.</w:t>
            </w:r>
          </w:p>
          <w:p w:rsidR="00E751E4" w:rsidRPr="00110616" w:rsidRDefault="00E751E4" w:rsidP="004F1062">
            <w:pPr>
              <w:spacing w:line="240" w:lineRule="auto"/>
              <w:ind w:firstLine="269"/>
              <w:rPr>
                <w:sz w:val="24"/>
                <w:szCs w:val="24"/>
              </w:rPr>
            </w:pPr>
          </w:p>
          <w:p w:rsidR="00DB7A96" w:rsidRPr="00885DEF" w:rsidRDefault="00DB7A96" w:rsidP="006C6ADC">
            <w:pPr>
              <w:spacing w:line="240" w:lineRule="auto"/>
              <w:ind w:firstLine="269"/>
              <w:rPr>
                <w:sz w:val="24"/>
                <w:szCs w:val="24"/>
              </w:rPr>
            </w:pPr>
          </w:p>
        </w:tc>
      </w:tr>
      <w:tr w:rsidR="00B0361B" w:rsidRPr="0027189F" w:rsidTr="0083428E">
        <w:trPr>
          <w:trHeight w:val="507"/>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lastRenderedPageBreak/>
              <w:t> 3.</w:t>
            </w:r>
          </w:p>
        </w:tc>
        <w:tc>
          <w:tcPr>
            <w:tcW w:w="2984"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0083428E" w:rsidRPr="0027189F">
              <w:rPr>
                <w:rFonts w:eastAsia="Times New Roman"/>
                <w:sz w:val="24"/>
                <w:szCs w:val="24"/>
                <w:lang w:eastAsia="lv-LV"/>
              </w:rPr>
              <w:t>Projekta izstrādē iesaistītās institūcijas</w:t>
            </w:r>
          </w:p>
        </w:tc>
        <w:tc>
          <w:tcPr>
            <w:tcW w:w="5528" w:type="dxa"/>
            <w:tcBorders>
              <w:top w:val="outset" w:sz="6" w:space="0" w:color="auto"/>
              <w:left w:val="outset" w:sz="6" w:space="0" w:color="auto"/>
              <w:bottom w:val="outset" w:sz="6" w:space="0" w:color="auto"/>
              <w:right w:val="outset" w:sz="6" w:space="0" w:color="auto"/>
            </w:tcBorders>
          </w:tcPr>
          <w:p w:rsidR="006C6ADC" w:rsidRDefault="006C6ADC" w:rsidP="00CE183A">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Satiksmes ministrija</w:t>
            </w:r>
          </w:p>
          <w:p w:rsidR="00B0361B" w:rsidRPr="0027189F" w:rsidRDefault="00D91529" w:rsidP="00CE183A">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V</w:t>
            </w:r>
            <w:r w:rsidRPr="00B92D4F">
              <w:rPr>
                <w:rFonts w:eastAsia="Times New Roman"/>
                <w:sz w:val="24"/>
                <w:szCs w:val="24"/>
                <w:lang w:eastAsia="lv-LV"/>
              </w:rPr>
              <w:t>alsts akciju sabiedrīb</w:t>
            </w:r>
            <w:r>
              <w:rPr>
                <w:rFonts w:eastAsia="Times New Roman"/>
                <w:sz w:val="24"/>
                <w:szCs w:val="24"/>
                <w:lang w:eastAsia="lv-LV"/>
              </w:rPr>
              <w:t>a</w:t>
            </w:r>
            <w:r w:rsidRPr="00B92D4F">
              <w:rPr>
                <w:rFonts w:eastAsia="Times New Roman"/>
                <w:sz w:val="24"/>
                <w:szCs w:val="24"/>
                <w:lang w:eastAsia="lv-LV"/>
              </w:rPr>
              <w:t xml:space="preserve"> „Ceļ</w:t>
            </w:r>
            <w:r>
              <w:rPr>
                <w:rFonts w:eastAsia="Times New Roman"/>
                <w:sz w:val="24"/>
                <w:szCs w:val="24"/>
                <w:lang w:eastAsia="lv-LV"/>
              </w:rPr>
              <w:t>u satiksme</w:t>
            </w:r>
            <w:r w:rsidR="00CE183A">
              <w:rPr>
                <w:rFonts w:eastAsia="Times New Roman"/>
                <w:sz w:val="24"/>
                <w:szCs w:val="24"/>
                <w:lang w:eastAsia="lv-LV"/>
              </w:rPr>
              <w:t>s drošības direkcija”.</w:t>
            </w:r>
          </w:p>
        </w:tc>
      </w:tr>
      <w:tr w:rsidR="00B0361B" w:rsidRPr="0027189F" w:rsidTr="0083428E">
        <w:trPr>
          <w:tblCellSpacing w:w="0" w:type="dxa"/>
        </w:trPr>
        <w:tc>
          <w:tcPr>
            <w:tcW w:w="586" w:type="dxa"/>
            <w:tcBorders>
              <w:top w:val="outset" w:sz="6" w:space="0" w:color="auto"/>
              <w:left w:val="outset" w:sz="6" w:space="0" w:color="auto"/>
              <w:bottom w:val="outset" w:sz="6" w:space="0" w:color="auto"/>
              <w:right w:val="outset" w:sz="6" w:space="0" w:color="auto"/>
            </w:tcBorders>
          </w:tcPr>
          <w:p w:rsidR="00B0361B" w:rsidRPr="0027189F" w:rsidRDefault="00B0361B" w:rsidP="0083428E">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0083428E">
              <w:rPr>
                <w:rFonts w:eastAsia="Times New Roman"/>
                <w:sz w:val="24"/>
                <w:szCs w:val="24"/>
                <w:lang w:eastAsia="lv-LV"/>
              </w:rPr>
              <w:t>4</w:t>
            </w:r>
            <w:r w:rsidRPr="0027189F">
              <w:rPr>
                <w:rFonts w:eastAsia="Times New Roman"/>
                <w:sz w:val="24"/>
                <w:szCs w:val="24"/>
                <w:lang w:eastAsia="lv-LV"/>
              </w:rPr>
              <w:t>.</w:t>
            </w:r>
          </w:p>
        </w:tc>
        <w:tc>
          <w:tcPr>
            <w:tcW w:w="2984" w:type="dxa"/>
            <w:tcBorders>
              <w:top w:val="outset" w:sz="6" w:space="0" w:color="auto"/>
              <w:left w:val="outset" w:sz="6" w:space="0" w:color="auto"/>
              <w:bottom w:val="outset" w:sz="6" w:space="0" w:color="auto"/>
              <w:right w:val="outset" w:sz="6" w:space="0" w:color="auto"/>
            </w:tcBorders>
          </w:tcPr>
          <w:p w:rsidR="00B0361B" w:rsidRPr="0027189F" w:rsidRDefault="00B0361B" w:rsidP="00907343">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Cita informācija</w:t>
            </w:r>
          </w:p>
        </w:tc>
        <w:tc>
          <w:tcPr>
            <w:tcW w:w="5528" w:type="dxa"/>
            <w:tcBorders>
              <w:top w:val="outset" w:sz="6" w:space="0" w:color="auto"/>
              <w:left w:val="outset" w:sz="6" w:space="0" w:color="auto"/>
              <w:bottom w:val="outset" w:sz="6" w:space="0" w:color="auto"/>
              <w:right w:val="outset" w:sz="6" w:space="0" w:color="auto"/>
            </w:tcBorders>
          </w:tcPr>
          <w:p w:rsidR="00B0361B" w:rsidRPr="0027189F" w:rsidRDefault="0083428E" w:rsidP="0083428E">
            <w:pPr>
              <w:spacing w:line="240" w:lineRule="auto"/>
              <w:ind w:firstLine="0"/>
              <w:rPr>
                <w:rFonts w:eastAsia="Times New Roman"/>
                <w:sz w:val="24"/>
                <w:szCs w:val="24"/>
                <w:lang w:eastAsia="lv-LV"/>
              </w:rPr>
            </w:pPr>
            <w:r>
              <w:rPr>
                <w:rFonts w:eastAsia="Times New Roman"/>
                <w:sz w:val="24"/>
                <w:szCs w:val="24"/>
                <w:lang w:eastAsia="lv-LV"/>
              </w:rPr>
              <w:t>Nav</w:t>
            </w:r>
          </w:p>
        </w:tc>
      </w:tr>
    </w:tbl>
    <w:p w:rsidR="00D1172E" w:rsidRDefault="00D1172E" w:rsidP="00C1051F">
      <w:pPr>
        <w:spacing w:line="240" w:lineRule="auto"/>
        <w:ind w:firstLine="0"/>
        <w:jc w:val="left"/>
        <w:rPr>
          <w:rFonts w:eastAsia="Times New Roman"/>
          <w:sz w:val="24"/>
          <w:szCs w:val="24"/>
          <w:lang w:eastAsia="lv-LV"/>
        </w:rPr>
      </w:pPr>
    </w:p>
    <w:p w:rsidR="005E57A2" w:rsidRDefault="005E57A2" w:rsidP="00C1051F">
      <w:pPr>
        <w:spacing w:line="240" w:lineRule="auto"/>
        <w:ind w:firstLine="0"/>
        <w:jc w:val="left"/>
        <w:rPr>
          <w:rFonts w:eastAsia="Times New Roman"/>
          <w:sz w:val="24"/>
          <w:szCs w:val="24"/>
          <w:lang w:eastAsia="lv-LV"/>
        </w:rPr>
      </w:pPr>
    </w:p>
    <w:tbl>
      <w:tblPr>
        <w:tblW w:w="544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2537"/>
        <w:gridCol w:w="1320"/>
        <w:gridCol w:w="1301"/>
        <w:gridCol w:w="1153"/>
        <w:gridCol w:w="1153"/>
        <w:gridCol w:w="1638"/>
      </w:tblGrid>
      <w:tr w:rsidR="00AD2DE5" w:rsidRPr="00AD2DE5" w:rsidTr="00B61248">
        <w:trPr>
          <w:trHeight w:val="360"/>
        </w:trPr>
        <w:tc>
          <w:tcPr>
            <w:tcW w:w="5000" w:type="pct"/>
            <w:gridSpan w:val="6"/>
            <w:shd w:val="clear" w:color="auto" w:fill="FFFFFF"/>
            <w:vAlign w:val="center"/>
            <w:hideMark/>
          </w:tcPr>
          <w:p w:rsidR="00AD2DE5" w:rsidRPr="00AD2DE5" w:rsidRDefault="00D1172E" w:rsidP="00AD2DE5">
            <w:pPr>
              <w:spacing w:before="100" w:beforeAutospacing="1" w:after="100" w:afterAutospacing="1" w:line="293" w:lineRule="atLeast"/>
              <w:ind w:firstLine="0"/>
              <w:jc w:val="center"/>
              <w:rPr>
                <w:rFonts w:eastAsia="Times New Roman"/>
                <w:b/>
                <w:bCs/>
                <w:sz w:val="24"/>
                <w:szCs w:val="24"/>
                <w:lang w:eastAsia="lv-LV"/>
              </w:rPr>
            </w:pPr>
            <w:r>
              <w:rPr>
                <w:rFonts w:eastAsia="Times New Roman"/>
                <w:sz w:val="24"/>
                <w:szCs w:val="24"/>
                <w:lang w:eastAsia="lv-LV"/>
              </w:rPr>
              <w:br w:type="page"/>
            </w:r>
            <w:r w:rsidR="00AD2DE5" w:rsidRPr="00AD2DE5">
              <w:rPr>
                <w:rFonts w:eastAsia="Times New Roman"/>
                <w:b/>
                <w:bCs/>
                <w:sz w:val="24"/>
                <w:szCs w:val="24"/>
                <w:lang w:eastAsia="lv-LV"/>
              </w:rPr>
              <w:t>III. Tiesību akta projekta ietekme uz valsts budžetu un pašvaldību budžetiem</w:t>
            </w:r>
          </w:p>
        </w:tc>
      </w:tr>
      <w:tr w:rsidR="00AD2DE5" w:rsidRPr="00AD2DE5" w:rsidTr="005E57A2">
        <w:tc>
          <w:tcPr>
            <w:tcW w:w="1394" w:type="pct"/>
            <w:vMerge w:val="restar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Rādītāji</w:t>
            </w:r>
          </w:p>
        </w:tc>
        <w:tc>
          <w:tcPr>
            <w:tcW w:w="1440" w:type="pct"/>
            <w:gridSpan w:val="2"/>
            <w:vMerge w:val="restar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n-tais gads</w:t>
            </w:r>
          </w:p>
        </w:tc>
        <w:tc>
          <w:tcPr>
            <w:tcW w:w="2166" w:type="pct"/>
            <w:gridSpan w:val="3"/>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Turpmākie trīs gadi (</w:t>
            </w:r>
            <w:proofErr w:type="spellStart"/>
            <w:r w:rsidRPr="00AD2DE5">
              <w:rPr>
                <w:rFonts w:eastAsia="Times New Roman"/>
                <w:i/>
                <w:iCs/>
                <w:sz w:val="24"/>
                <w:szCs w:val="24"/>
                <w:lang w:eastAsia="lv-LV"/>
              </w:rPr>
              <w:t>euro</w:t>
            </w:r>
            <w:proofErr w:type="spellEnd"/>
            <w:r w:rsidRPr="00AD2DE5">
              <w:rPr>
                <w:rFonts w:eastAsia="Times New Roman"/>
                <w:sz w:val="24"/>
                <w:szCs w:val="24"/>
                <w:lang w:eastAsia="lv-LV"/>
              </w:rPr>
              <w:t>)</w:t>
            </w:r>
          </w:p>
        </w:tc>
      </w:tr>
      <w:tr w:rsidR="00AD2DE5" w:rsidRPr="00AD2DE5" w:rsidTr="005E57A2">
        <w:tc>
          <w:tcPr>
            <w:tcW w:w="1394" w:type="pct"/>
            <w:vMerge/>
            <w:shd w:val="clear" w:color="auto" w:fill="FFFFFF"/>
            <w:vAlign w:val="center"/>
            <w:hideMark/>
          </w:tcPr>
          <w:p w:rsidR="00AD2DE5" w:rsidRPr="00AD2DE5" w:rsidRDefault="00AD2DE5" w:rsidP="00AD2DE5">
            <w:pPr>
              <w:spacing w:line="240" w:lineRule="auto"/>
              <w:ind w:firstLine="0"/>
              <w:jc w:val="left"/>
              <w:rPr>
                <w:rFonts w:eastAsia="Times New Roman"/>
                <w:b/>
                <w:bCs/>
                <w:sz w:val="24"/>
                <w:szCs w:val="24"/>
                <w:lang w:eastAsia="lv-LV"/>
              </w:rPr>
            </w:pPr>
          </w:p>
        </w:tc>
        <w:tc>
          <w:tcPr>
            <w:tcW w:w="1440" w:type="pct"/>
            <w:gridSpan w:val="2"/>
            <w:vMerge/>
            <w:shd w:val="clear" w:color="auto" w:fill="FFFFFF"/>
            <w:vAlign w:val="center"/>
            <w:hideMark/>
          </w:tcPr>
          <w:p w:rsidR="00AD2DE5" w:rsidRPr="00AD2DE5" w:rsidRDefault="00AD2DE5" w:rsidP="00AD2DE5">
            <w:pPr>
              <w:spacing w:line="240" w:lineRule="auto"/>
              <w:ind w:firstLine="0"/>
              <w:jc w:val="left"/>
              <w:rPr>
                <w:rFonts w:eastAsia="Times New Roman"/>
                <w:b/>
                <w:bCs/>
                <w:sz w:val="24"/>
                <w:szCs w:val="24"/>
                <w:lang w:eastAsia="lv-LV"/>
              </w:rPr>
            </w:pP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n+1</w:t>
            </w: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n+2</w:t>
            </w:r>
          </w:p>
        </w:tc>
        <w:tc>
          <w:tcPr>
            <w:tcW w:w="899"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n+3</w:t>
            </w:r>
          </w:p>
        </w:tc>
      </w:tr>
      <w:tr w:rsidR="00AD2DE5" w:rsidRPr="00AD2DE5" w:rsidTr="005E57A2">
        <w:tc>
          <w:tcPr>
            <w:tcW w:w="1394" w:type="pct"/>
            <w:vMerge/>
            <w:shd w:val="clear" w:color="auto" w:fill="FFFFFF"/>
            <w:vAlign w:val="center"/>
            <w:hideMark/>
          </w:tcPr>
          <w:p w:rsidR="00AD2DE5" w:rsidRPr="00AD2DE5" w:rsidRDefault="00AD2DE5" w:rsidP="00AD2DE5">
            <w:pPr>
              <w:spacing w:line="240" w:lineRule="auto"/>
              <w:ind w:firstLine="0"/>
              <w:jc w:val="left"/>
              <w:rPr>
                <w:rFonts w:eastAsia="Times New Roman"/>
                <w:b/>
                <w:bCs/>
                <w:sz w:val="24"/>
                <w:szCs w:val="24"/>
                <w:lang w:eastAsia="lv-LV"/>
              </w:rPr>
            </w:pPr>
          </w:p>
        </w:tc>
        <w:tc>
          <w:tcPr>
            <w:tcW w:w="725"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saskaņā ar valsts budžetu kārtējam gadam</w:t>
            </w:r>
          </w:p>
        </w:tc>
        <w:tc>
          <w:tcPr>
            <w:tcW w:w="715"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kārtējā gadā, salīdzinot ar valsts budžetu kārtējam gadam</w:t>
            </w: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899"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r>
      <w:tr w:rsidR="00AD2DE5" w:rsidRPr="00AD2DE5" w:rsidTr="005E57A2">
        <w:tc>
          <w:tcPr>
            <w:tcW w:w="1394"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1</w:t>
            </w:r>
          </w:p>
        </w:tc>
        <w:tc>
          <w:tcPr>
            <w:tcW w:w="725"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2</w:t>
            </w:r>
          </w:p>
        </w:tc>
        <w:tc>
          <w:tcPr>
            <w:tcW w:w="715"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3</w:t>
            </w: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4</w:t>
            </w:r>
          </w:p>
        </w:tc>
        <w:tc>
          <w:tcPr>
            <w:tcW w:w="633"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5</w:t>
            </w:r>
          </w:p>
        </w:tc>
        <w:tc>
          <w:tcPr>
            <w:tcW w:w="899" w:type="pct"/>
            <w:shd w:val="clear" w:color="auto" w:fill="FFFFFF"/>
            <w:vAlign w:val="center"/>
            <w:hideMark/>
          </w:tcPr>
          <w:p w:rsidR="00AD2DE5" w:rsidRPr="00AD2DE5" w:rsidRDefault="00AD2DE5"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6</w:t>
            </w:r>
          </w:p>
        </w:tc>
      </w:tr>
      <w:tr w:rsidR="00955C92" w:rsidRPr="00AD2DE5" w:rsidTr="005E57A2">
        <w:tc>
          <w:tcPr>
            <w:tcW w:w="1394" w:type="pct"/>
            <w:shd w:val="clear" w:color="auto" w:fill="FFFFFF"/>
            <w:hideMark/>
          </w:tcPr>
          <w:p w:rsidR="00955C92" w:rsidRPr="00AD2DE5" w:rsidRDefault="00955C92" w:rsidP="00955C92">
            <w:pPr>
              <w:spacing w:line="240" w:lineRule="auto"/>
              <w:ind w:firstLine="0"/>
              <w:jc w:val="left"/>
              <w:rPr>
                <w:rFonts w:eastAsia="Times New Roman"/>
                <w:sz w:val="24"/>
                <w:szCs w:val="24"/>
                <w:lang w:eastAsia="lv-LV"/>
              </w:rPr>
            </w:pPr>
            <w:r w:rsidRPr="00AD2DE5">
              <w:rPr>
                <w:rFonts w:eastAsia="Times New Roman"/>
                <w:sz w:val="24"/>
                <w:szCs w:val="24"/>
                <w:lang w:eastAsia="lv-LV"/>
              </w:rPr>
              <w:t>1. Budžeta ieņēmumi:</w:t>
            </w:r>
          </w:p>
        </w:tc>
        <w:tc>
          <w:tcPr>
            <w:tcW w:w="725" w:type="pct"/>
            <w:shd w:val="clear" w:color="auto" w:fill="FFFFFF"/>
            <w:hideMark/>
          </w:tcPr>
          <w:p w:rsidR="00955C92" w:rsidRPr="00AD2DE5" w:rsidRDefault="00955C92" w:rsidP="0039400D">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39400D">
              <w:rPr>
                <w:rFonts w:eastAsia="Times New Roman"/>
                <w:sz w:val="24"/>
                <w:szCs w:val="24"/>
                <w:lang w:eastAsia="lv-LV"/>
              </w:rPr>
              <w:t>125 098 489</w:t>
            </w:r>
          </w:p>
        </w:tc>
        <w:tc>
          <w:tcPr>
            <w:tcW w:w="715" w:type="pct"/>
            <w:shd w:val="clear" w:color="auto" w:fill="FFFFFF"/>
            <w:hideMark/>
          </w:tcPr>
          <w:p w:rsidR="00955C92" w:rsidRPr="005D2463" w:rsidRDefault="00955C92" w:rsidP="00334200">
            <w:pPr>
              <w:spacing w:line="240" w:lineRule="auto"/>
              <w:ind w:firstLine="0"/>
              <w:jc w:val="left"/>
              <w:rPr>
                <w:rFonts w:eastAsia="Times New Roman"/>
                <w:sz w:val="24"/>
                <w:szCs w:val="24"/>
                <w:lang w:eastAsia="lv-LV"/>
              </w:rPr>
            </w:pPr>
            <w:r w:rsidRPr="005D2463">
              <w:rPr>
                <w:rFonts w:eastAsia="Times New Roman"/>
                <w:sz w:val="24"/>
                <w:szCs w:val="24"/>
                <w:lang w:eastAsia="lv-LV"/>
              </w:rPr>
              <w:t> -1</w:t>
            </w:r>
            <w:r w:rsidR="00334200">
              <w:rPr>
                <w:rFonts w:eastAsia="Times New Roman"/>
                <w:sz w:val="24"/>
                <w:szCs w:val="24"/>
                <w:lang w:eastAsia="lv-LV"/>
              </w:rPr>
              <w:t> 120 319</w:t>
            </w:r>
          </w:p>
        </w:tc>
        <w:tc>
          <w:tcPr>
            <w:tcW w:w="633" w:type="pct"/>
            <w:shd w:val="clear" w:color="auto" w:fill="FFFFFF"/>
            <w:hideMark/>
          </w:tcPr>
          <w:p w:rsidR="00955C92" w:rsidRPr="00955C92" w:rsidRDefault="00955C92" w:rsidP="00CC62E3">
            <w:pPr>
              <w:spacing w:before="75" w:after="75" w:line="240" w:lineRule="auto"/>
              <w:ind w:firstLine="0"/>
              <w:rPr>
                <w:sz w:val="24"/>
                <w:szCs w:val="24"/>
                <w:lang w:eastAsia="lv-LV"/>
              </w:rPr>
            </w:pPr>
            <w:r w:rsidRPr="00955C92">
              <w:rPr>
                <w:sz w:val="24"/>
                <w:szCs w:val="24"/>
                <w:lang w:eastAsia="lv-LV"/>
              </w:rPr>
              <w:t>Nav attiecināms</w:t>
            </w:r>
          </w:p>
        </w:tc>
        <w:tc>
          <w:tcPr>
            <w:tcW w:w="633" w:type="pct"/>
            <w:shd w:val="clear" w:color="auto" w:fill="FFFFFF"/>
            <w:hideMark/>
          </w:tcPr>
          <w:p w:rsidR="00955C92" w:rsidRPr="00955C92" w:rsidRDefault="00955C92" w:rsidP="00CC62E3">
            <w:pPr>
              <w:spacing w:before="75" w:after="75" w:line="240" w:lineRule="auto"/>
              <w:ind w:firstLine="0"/>
              <w:rPr>
                <w:sz w:val="24"/>
                <w:szCs w:val="24"/>
                <w:lang w:eastAsia="lv-LV"/>
              </w:rPr>
            </w:pPr>
            <w:r w:rsidRPr="00955C92">
              <w:rPr>
                <w:sz w:val="24"/>
                <w:szCs w:val="24"/>
                <w:lang w:eastAsia="lv-LV"/>
              </w:rPr>
              <w:t>Nav attiecināms</w:t>
            </w:r>
          </w:p>
        </w:tc>
        <w:tc>
          <w:tcPr>
            <w:tcW w:w="899" w:type="pct"/>
            <w:shd w:val="clear" w:color="auto" w:fill="FFFFFF"/>
            <w:hideMark/>
          </w:tcPr>
          <w:p w:rsidR="00955C92" w:rsidRPr="00955C92" w:rsidRDefault="00955C92" w:rsidP="00CC62E3">
            <w:pPr>
              <w:spacing w:before="75" w:after="75" w:line="240" w:lineRule="auto"/>
              <w:ind w:firstLine="0"/>
              <w:rPr>
                <w:sz w:val="24"/>
                <w:szCs w:val="24"/>
                <w:lang w:eastAsia="lv-LV"/>
              </w:rPr>
            </w:pPr>
            <w:r w:rsidRPr="00955C92">
              <w:rPr>
                <w:sz w:val="24"/>
                <w:szCs w:val="24"/>
                <w:lang w:eastAsia="lv-LV"/>
              </w:rPr>
              <w:t>Nav attiecināms</w:t>
            </w:r>
          </w:p>
        </w:tc>
      </w:tr>
      <w:tr w:rsidR="00AD2DE5" w:rsidRPr="00AD2DE5" w:rsidTr="005E57A2">
        <w:tc>
          <w:tcPr>
            <w:tcW w:w="1394" w:type="pct"/>
            <w:shd w:val="clear" w:color="auto" w:fill="FFFFFF"/>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1.1. valsts pamatbudžets, tai skaitā ieņēmumi no maksas pakalpojumiem un citi pašu ieņēmumi</w:t>
            </w:r>
          </w:p>
        </w:tc>
        <w:tc>
          <w:tcPr>
            <w:tcW w:w="725" w:type="pct"/>
            <w:shd w:val="clear" w:color="auto" w:fill="FFFFFF"/>
            <w:hideMark/>
          </w:tcPr>
          <w:p w:rsidR="00AD2DE5" w:rsidRPr="00AD2DE5" w:rsidRDefault="00AD2DE5" w:rsidP="0039400D">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39400D" w:rsidRPr="0039400D">
              <w:rPr>
                <w:rFonts w:eastAsia="Times New Roman"/>
                <w:sz w:val="24"/>
                <w:szCs w:val="24"/>
                <w:lang w:eastAsia="lv-LV"/>
              </w:rPr>
              <w:t>125 098 489</w:t>
            </w:r>
          </w:p>
        </w:tc>
        <w:tc>
          <w:tcPr>
            <w:tcW w:w="715" w:type="pct"/>
            <w:shd w:val="clear" w:color="auto" w:fill="FFFFFF"/>
            <w:hideMark/>
          </w:tcPr>
          <w:p w:rsidR="00AD2DE5" w:rsidRPr="005D2463" w:rsidRDefault="00AD2DE5" w:rsidP="00334200">
            <w:pPr>
              <w:spacing w:line="240" w:lineRule="auto"/>
              <w:ind w:firstLine="0"/>
              <w:jc w:val="left"/>
              <w:rPr>
                <w:rFonts w:eastAsia="Times New Roman"/>
                <w:sz w:val="24"/>
                <w:szCs w:val="24"/>
                <w:lang w:eastAsia="lv-LV"/>
              </w:rPr>
            </w:pPr>
            <w:r w:rsidRPr="005D2463">
              <w:rPr>
                <w:rFonts w:eastAsia="Times New Roman"/>
                <w:sz w:val="24"/>
                <w:szCs w:val="24"/>
                <w:lang w:eastAsia="lv-LV"/>
              </w:rPr>
              <w:t> </w:t>
            </w:r>
            <w:r w:rsidR="00955C92" w:rsidRPr="005D2463">
              <w:rPr>
                <w:rFonts w:eastAsia="Times New Roman"/>
                <w:sz w:val="24"/>
                <w:szCs w:val="24"/>
                <w:lang w:eastAsia="lv-LV"/>
              </w:rPr>
              <w:t>-1</w:t>
            </w:r>
            <w:r w:rsidR="005D2463" w:rsidRPr="005D2463">
              <w:rPr>
                <w:rFonts w:eastAsia="Times New Roman"/>
                <w:sz w:val="24"/>
                <w:szCs w:val="24"/>
                <w:lang w:eastAsia="lv-LV"/>
              </w:rPr>
              <w:t> </w:t>
            </w:r>
            <w:r w:rsidR="00334200">
              <w:rPr>
                <w:rFonts w:eastAsia="Times New Roman"/>
                <w:sz w:val="24"/>
                <w:szCs w:val="24"/>
                <w:lang w:eastAsia="lv-LV"/>
              </w:rPr>
              <w:t>1</w:t>
            </w:r>
            <w:r w:rsidR="005D2463" w:rsidRPr="005D2463">
              <w:rPr>
                <w:rFonts w:eastAsia="Times New Roman"/>
                <w:sz w:val="24"/>
                <w:szCs w:val="24"/>
                <w:lang w:eastAsia="lv-LV"/>
              </w:rPr>
              <w:t>2</w:t>
            </w:r>
            <w:r w:rsidR="00334200">
              <w:rPr>
                <w:rFonts w:eastAsia="Times New Roman"/>
                <w:sz w:val="24"/>
                <w:szCs w:val="24"/>
                <w:lang w:eastAsia="lv-LV"/>
              </w:rPr>
              <w:t>0</w:t>
            </w:r>
            <w:r w:rsidR="005D2463" w:rsidRPr="005D2463">
              <w:rPr>
                <w:rFonts w:eastAsia="Times New Roman"/>
                <w:sz w:val="24"/>
                <w:szCs w:val="24"/>
                <w:lang w:eastAsia="lv-LV"/>
              </w:rPr>
              <w:t xml:space="preserve"> </w:t>
            </w:r>
            <w:r w:rsidR="00334200">
              <w:rPr>
                <w:rFonts w:eastAsia="Times New Roman"/>
                <w:sz w:val="24"/>
                <w:szCs w:val="24"/>
                <w:lang w:eastAsia="lv-LV"/>
              </w:rPr>
              <w:t>319</w:t>
            </w:r>
          </w:p>
        </w:tc>
        <w:tc>
          <w:tcPr>
            <w:tcW w:w="633" w:type="pct"/>
            <w:shd w:val="clear" w:color="auto" w:fill="FFFFFF"/>
            <w:hideMark/>
          </w:tcPr>
          <w:p w:rsidR="00AD2DE5" w:rsidRPr="00AD2DE5" w:rsidRDefault="0039400D" w:rsidP="0039400D">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AD2DE5" w:rsidRPr="00AD2DE5" w:rsidRDefault="0039400D" w:rsidP="0039400D">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AD2DE5" w:rsidRPr="00AD2DE5" w:rsidRDefault="0039400D" w:rsidP="0039400D">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1.2. valsts speciālais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lastRenderedPageBreak/>
              <w:t>1.3. pašvaldību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2. Budžeta izdevumi:</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2.1. valsts pamatbudžets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Pr>
                <w:rFonts w:eastAsia="Times New Roman"/>
                <w:sz w:val="24"/>
                <w:szCs w:val="24"/>
                <w:lang w:eastAsia="lv-LV"/>
              </w:rPr>
              <w:t>125 098 489</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2.2. valsts speciālais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2.3. pašvaldību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3. Finansiālā ietekme:</w:t>
            </w:r>
          </w:p>
        </w:tc>
        <w:tc>
          <w:tcPr>
            <w:tcW w:w="725" w:type="pct"/>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3.1. valsts pamatbudžets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334200">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Pr="005D2463">
              <w:rPr>
                <w:rFonts w:eastAsia="Times New Roman"/>
                <w:sz w:val="24"/>
                <w:szCs w:val="24"/>
                <w:lang w:eastAsia="lv-LV"/>
              </w:rPr>
              <w:t>-1</w:t>
            </w:r>
            <w:r w:rsidR="00334200">
              <w:rPr>
                <w:rFonts w:eastAsia="Times New Roman"/>
                <w:sz w:val="24"/>
                <w:szCs w:val="24"/>
                <w:lang w:eastAsia="lv-LV"/>
              </w:rPr>
              <w:t> 120 319</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3.2. speciālais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3.3. pašvaldību budžets</w:t>
            </w:r>
          </w:p>
        </w:tc>
        <w:tc>
          <w:tcPr>
            <w:tcW w:w="72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vMerge w:val="restar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4. Finanšu līdzekļi papildu izdevumu finansēšanai (kompensējošu izdevumu samazinājumu norāda ar "+" zīmi)</w:t>
            </w:r>
          </w:p>
        </w:tc>
        <w:tc>
          <w:tcPr>
            <w:tcW w:w="725" w:type="pct"/>
            <w:vMerge w:val="restart"/>
            <w:shd w:val="clear" w:color="auto" w:fill="FFFFFF"/>
            <w:hideMark/>
          </w:tcPr>
          <w:p w:rsidR="0039400D" w:rsidRPr="00AD2DE5" w:rsidRDefault="0039400D" w:rsidP="00AD2DE5">
            <w:pPr>
              <w:spacing w:before="100" w:beforeAutospacing="1" w:after="100" w:afterAutospacing="1" w:line="293" w:lineRule="atLeast"/>
              <w:ind w:firstLine="0"/>
              <w:jc w:val="center"/>
              <w:rPr>
                <w:rFonts w:eastAsia="Times New Roman"/>
                <w:sz w:val="24"/>
                <w:szCs w:val="24"/>
                <w:lang w:eastAsia="lv-LV"/>
              </w:rPr>
            </w:pPr>
            <w:r>
              <w:rPr>
                <w:rFonts w:eastAsia="Times New Roman"/>
                <w:sz w:val="24"/>
                <w:szCs w:val="24"/>
                <w:lang w:eastAsia="lv-LV"/>
              </w:rPr>
              <w:t>X</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25"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25"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5. Precizēta finansiālā ietekme:</w:t>
            </w:r>
          </w:p>
        </w:tc>
        <w:tc>
          <w:tcPr>
            <w:tcW w:w="725" w:type="pct"/>
            <w:vMerge w:val="restart"/>
            <w:shd w:val="clear" w:color="auto" w:fill="FFFFFF"/>
            <w:hideMark/>
          </w:tcPr>
          <w:p w:rsidR="0039400D" w:rsidRPr="00AD2DE5" w:rsidRDefault="0039400D" w:rsidP="00AD2DE5">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5.1. valsts pamatbudžets</w:t>
            </w:r>
          </w:p>
        </w:tc>
        <w:tc>
          <w:tcPr>
            <w:tcW w:w="725"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5.2. speciālais budžets</w:t>
            </w:r>
          </w:p>
        </w:tc>
        <w:tc>
          <w:tcPr>
            <w:tcW w:w="725"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39400D" w:rsidRPr="00AD2DE5" w:rsidTr="005E57A2">
        <w:tc>
          <w:tcPr>
            <w:tcW w:w="1394"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5.3. pašvaldību budžets</w:t>
            </w:r>
          </w:p>
        </w:tc>
        <w:tc>
          <w:tcPr>
            <w:tcW w:w="725" w:type="pct"/>
            <w:vMerge/>
            <w:shd w:val="clear" w:color="auto" w:fill="FFFFFF"/>
            <w:vAlign w:val="center"/>
            <w:hideMark/>
          </w:tcPr>
          <w:p w:rsidR="0039400D" w:rsidRPr="00AD2DE5" w:rsidRDefault="0039400D" w:rsidP="00AD2DE5">
            <w:pPr>
              <w:spacing w:line="240" w:lineRule="auto"/>
              <w:ind w:firstLine="0"/>
              <w:jc w:val="left"/>
              <w:rPr>
                <w:rFonts w:eastAsia="Times New Roman"/>
                <w:sz w:val="24"/>
                <w:szCs w:val="24"/>
                <w:lang w:eastAsia="lv-LV"/>
              </w:rPr>
            </w:pPr>
          </w:p>
        </w:tc>
        <w:tc>
          <w:tcPr>
            <w:tcW w:w="715" w:type="pct"/>
            <w:shd w:val="clear" w:color="auto" w:fill="FFFFFF"/>
            <w:hideMark/>
          </w:tcPr>
          <w:p w:rsidR="0039400D" w:rsidRPr="00AD2DE5" w:rsidRDefault="0039400D"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633"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c>
          <w:tcPr>
            <w:tcW w:w="899" w:type="pct"/>
            <w:shd w:val="clear" w:color="auto" w:fill="FFFFFF"/>
            <w:hideMark/>
          </w:tcPr>
          <w:p w:rsidR="0039400D" w:rsidRPr="00AD2DE5" w:rsidRDefault="0039400D" w:rsidP="00B106A6">
            <w:pPr>
              <w:spacing w:line="240" w:lineRule="auto"/>
              <w:ind w:firstLine="0"/>
              <w:jc w:val="center"/>
              <w:rPr>
                <w:rFonts w:eastAsia="Times New Roman"/>
                <w:sz w:val="24"/>
                <w:szCs w:val="24"/>
                <w:lang w:eastAsia="lv-LV"/>
              </w:rPr>
            </w:pPr>
            <w:r>
              <w:rPr>
                <w:rFonts w:eastAsia="Times New Roman"/>
                <w:sz w:val="24"/>
                <w:szCs w:val="24"/>
                <w:lang w:eastAsia="lv-LV"/>
              </w:rPr>
              <w:t>-</w:t>
            </w:r>
          </w:p>
        </w:tc>
      </w:tr>
      <w:tr w:rsidR="00AD2DE5" w:rsidRPr="00AD2DE5" w:rsidTr="00D1172E">
        <w:tc>
          <w:tcPr>
            <w:tcW w:w="1394" w:type="pct"/>
            <w:shd w:val="clear" w:color="auto" w:fill="FFFFFF"/>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6. Detalizēts ieņēmumu un izdevumu aprēķins (ja nepieciešams, detalizētu ieņēmumu un izdevumu aprēķinu var pievienot anotācijas pielikumā):</w:t>
            </w:r>
          </w:p>
        </w:tc>
        <w:tc>
          <w:tcPr>
            <w:tcW w:w="3606" w:type="pct"/>
            <w:gridSpan w:val="5"/>
            <w:vMerge w:val="restart"/>
            <w:shd w:val="clear" w:color="auto" w:fill="FFFFFF"/>
            <w:vAlign w:val="center"/>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5D2463">
              <w:rPr>
                <w:rFonts w:eastAsia="Times New Roman"/>
                <w:sz w:val="24"/>
                <w:szCs w:val="24"/>
                <w:lang w:eastAsia="lv-LV"/>
              </w:rPr>
              <w:t>Nav attiecināms</w:t>
            </w:r>
          </w:p>
        </w:tc>
      </w:tr>
      <w:tr w:rsidR="00AD2DE5" w:rsidRPr="00AD2DE5" w:rsidTr="00D1172E">
        <w:tc>
          <w:tcPr>
            <w:tcW w:w="1394" w:type="pct"/>
            <w:shd w:val="clear" w:color="auto" w:fill="FFFFFF"/>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6.1. detalizēts ieņēmumu aprēķins</w:t>
            </w:r>
          </w:p>
        </w:tc>
        <w:tc>
          <w:tcPr>
            <w:tcW w:w="3606" w:type="pct"/>
            <w:gridSpan w:val="5"/>
            <w:vMerge/>
            <w:shd w:val="clear" w:color="auto" w:fill="FFFFFF"/>
            <w:vAlign w:val="center"/>
            <w:hideMark/>
          </w:tcPr>
          <w:p w:rsidR="00AD2DE5" w:rsidRPr="00AD2DE5" w:rsidRDefault="00AD2DE5" w:rsidP="00AD2DE5">
            <w:pPr>
              <w:spacing w:line="240" w:lineRule="auto"/>
              <w:ind w:firstLine="0"/>
              <w:jc w:val="left"/>
              <w:rPr>
                <w:rFonts w:eastAsia="Times New Roman"/>
                <w:sz w:val="24"/>
                <w:szCs w:val="24"/>
                <w:lang w:eastAsia="lv-LV"/>
              </w:rPr>
            </w:pPr>
          </w:p>
        </w:tc>
      </w:tr>
      <w:tr w:rsidR="00AD2DE5" w:rsidRPr="00AD2DE5" w:rsidTr="00D1172E">
        <w:tc>
          <w:tcPr>
            <w:tcW w:w="1394" w:type="pct"/>
            <w:shd w:val="clear" w:color="auto" w:fill="FFFFFF"/>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6.2. detalizēts izdevumu aprēķins</w:t>
            </w:r>
          </w:p>
        </w:tc>
        <w:tc>
          <w:tcPr>
            <w:tcW w:w="3606" w:type="pct"/>
            <w:gridSpan w:val="5"/>
            <w:vMerge/>
            <w:shd w:val="clear" w:color="auto" w:fill="FFFFFF"/>
            <w:vAlign w:val="center"/>
            <w:hideMark/>
          </w:tcPr>
          <w:p w:rsidR="00AD2DE5" w:rsidRPr="00AD2DE5" w:rsidRDefault="00AD2DE5" w:rsidP="00AD2DE5">
            <w:pPr>
              <w:spacing w:line="240" w:lineRule="auto"/>
              <w:ind w:firstLine="0"/>
              <w:jc w:val="left"/>
              <w:rPr>
                <w:rFonts w:eastAsia="Times New Roman"/>
                <w:sz w:val="24"/>
                <w:szCs w:val="24"/>
                <w:lang w:eastAsia="lv-LV"/>
              </w:rPr>
            </w:pPr>
          </w:p>
        </w:tc>
      </w:tr>
      <w:tr w:rsidR="00AD2DE5" w:rsidRPr="00AD2DE5" w:rsidTr="00D1172E">
        <w:trPr>
          <w:trHeight w:val="555"/>
        </w:trPr>
        <w:tc>
          <w:tcPr>
            <w:tcW w:w="1394" w:type="pct"/>
            <w:shd w:val="clear" w:color="auto" w:fill="FFFFFF"/>
            <w:hideMark/>
          </w:tcPr>
          <w:p w:rsidR="00AD2DE5" w:rsidRPr="00AD2DE5" w:rsidRDefault="00AD2DE5" w:rsidP="00AD2DE5">
            <w:pPr>
              <w:spacing w:line="240" w:lineRule="auto"/>
              <w:ind w:firstLine="0"/>
              <w:jc w:val="left"/>
              <w:rPr>
                <w:rFonts w:eastAsia="Times New Roman"/>
                <w:sz w:val="24"/>
                <w:szCs w:val="24"/>
                <w:lang w:eastAsia="lv-LV"/>
              </w:rPr>
            </w:pPr>
            <w:r w:rsidRPr="00AD2DE5">
              <w:rPr>
                <w:rFonts w:eastAsia="Times New Roman"/>
                <w:sz w:val="24"/>
                <w:szCs w:val="24"/>
                <w:lang w:eastAsia="lv-LV"/>
              </w:rPr>
              <w:t>7. Cita informācija</w:t>
            </w:r>
          </w:p>
        </w:tc>
        <w:tc>
          <w:tcPr>
            <w:tcW w:w="3606" w:type="pct"/>
            <w:gridSpan w:val="5"/>
            <w:shd w:val="clear" w:color="auto" w:fill="FFFFFF"/>
            <w:hideMark/>
          </w:tcPr>
          <w:p w:rsidR="00AD2DE5" w:rsidRPr="00AD2DE5" w:rsidRDefault="005D2463" w:rsidP="006D0693">
            <w:pPr>
              <w:spacing w:line="293" w:lineRule="atLeast"/>
              <w:ind w:firstLine="0"/>
              <w:rPr>
                <w:rFonts w:eastAsia="Times New Roman"/>
                <w:sz w:val="24"/>
                <w:szCs w:val="24"/>
                <w:lang w:eastAsia="lv-LV"/>
              </w:rPr>
            </w:pPr>
            <w:r>
              <w:rPr>
                <w:rFonts w:eastAsia="Times New Roman"/>
                <w:sz w:val="24"/>
                <w:szCs w:val="24"/>
                <w:lang w:eastAsia="lv-LV"/>
              </w:rPr>
              <w:t>Nav</w:t>
            </w:r>
          </w:p>
        </w:tc>
      </w:tr>
    </w:tbl>
    <w:p w:rsidR="00AD2DE5" w:rsidRDefault="00AD2DE5" w:rsidP="00C1051F">
      <w:pPr>
        <w:spacing w:line="240" w:lineRule="auto"/>
        <w:ind w:firstLine="0"/>
        <w:jc w:val="left"/>
        <w:rPr>
          <w:rFonts w:eastAsia="Times New Roman"/>
          <w:sz w:val="24"/>
          <w:szCs w:val="24"/>
          <w:lang w:eastAsia="lv-LV"/>
        </w:rPr>
      </w:pPr>
    </w:p>
    <w:p w:rsidR="00AD2DE5" w:rsidRDefault="00AD2DE5" w:rsidP="00C1051F">
      <w:pPr>
        <w:spacing w:line="240" w:lineRule="auto"/>
        <w:ind w:firstLine="0"/>
        <w:jc w:val="left"/>
        <w:rPr>
          <w:rFonts w:eastAsia="Times New Roman"/>
          <w:sz w:val="24"/>
          <w:szCs w:val="24"/>
          <w:lang w:eastAsia="lv-LV"/>
        </w:rPr>
      </w:pPr>
    </w:p>
    <w:p w:rsidR="005E57A2" w:rsidRDefault="005E57A2">
      <w:pPr>
        <w:spacing w:line="240" w:lineRule="auto"/>
        <w:ind w:firstLine="0"/>
        <w:jc w:val="left"/>
        <w:rPr>
          <w:rFonts w:eastAsia="Times New Roman"/>
          <w:sz w:val="24"/>
          <w:szCs w:val="24"/>
          <w:lang w:eastAsia="lv-LV"/>
        </w:rPr>
      </w:pPr>
      <w:r>
        <w:rPr>
          <w:rFonts w:eastAsia="Times New Roman"/>
          <w:sz w:val="24"/>
          <w:szCs w:val="24"/>
          <w:lang w:eastAsia="lv-LV"/>
        </w:rPr>
        <w:br w:type="page"/>
      </w: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598"/>
      </w:tblGrid>
      <w:tr w:rsidR="00B10BFA" w:rsidRPr="0027189F" w:rsidTr="0083428E">
        <w:trPr>
          <w:tblCellSpacing w:w="0" w:type="dxa"/>
        </w:trPr>
        <w:tc>
          <w:tcPr>
            <w:tcW w:w="9098" w:type="dxa"/>
            <w:gridSpan w:val="2"/>
            <w:tcBorders>
              <w:top w:val="outset" w:sz="6" w:space="0" w:color="auto"/>
              <w:left w:val="outset" w:sz="6" w:space="0" w:color="auto"/>
              <w:bottom w:val="outset" w:sz="6" w:space="0" w:color="auto"/>
              <w:right w:val="outset" w:sz="6" w:space="0" w:color="auto"/>
            </w:tcBorders>
          </w:tcPr>
          <w:p w:rsidR="00B10BFA" w:rsidRPr="00C32077" w:rsidRDefault="00B10BFA" w:rsidP="00C32077">
            <w:pPr>
              <w:spacing w:before="100" w:beforeAutospacing="1" w:after="100" w:afterAutospacing="1" w:line="240" w:lineRule="auto"/>
              <w:ind w:firstLine="0"/>
              <w:jc w:val="center"/>
              <w:rPr>
                <w:rFonts w:eastAsia="Times New Roman"/>
                <w:b/>
                <w:bCs/>
                <w:sz w:val="24"/>
                <w:szCs w:val="24"/>
                <w:lang w:eastAsia="lv-LV"/>
              </w:rPr>
            </w:pPr>
            <w:r w:rsidRPr="0027189F">
              <w:rPr>
                <w:rFonts w:eastAsia="Times New Roman"/>
                <w:b/>
                <w:bCs/>
                <w:sz w:val="24"/>
                <w:szCs w:val="24"/>
                <w:lang w:eastAsia="lv-LV"/>
              </w:rPr>
              <w:lastRenderedPageBreak/>
              <w:t>VII. Tiesību akta projekta izpildes nodrošināšana un tās ietekme uz institūcijām</w:t>
            </w:r>
          </w:p>
        </w:tc>
      </w:tr>
      <w:tr w:rsidR="00B10BFA" w:rsidRPr="0027189F" w:rsidTr="0083428E">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27189F" w:rsidRDefault="00B10BFA" w:rsidP="0083428E">
            <w:pPr>
              <w:numPr>
                <w:ilvl w:val="0"/>
                <w:numId w:val="4"/>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Projekta izpildē iesaistītās institūcijas</w:t>
            </w:r>
          </w:p>
        </w:tc>
        <w:tc>
          <w:tcPr>
            <w:tcW w:w="5598" w:type="dxa"/>
            <w:tcBorders>
              <w:top w:val="outset" w:sz="6" w:space="0" w:color="auto"/>
              <w:left w:val="outset" w:sz="6" w:space="0" w:color="auto"/>
              <w:bottom w:val="outset" w:sz="6" w:space="0" w:color="auto"/>
              <w:right w:val="outset" w:sz="6" w:space="0" w:color="auto"/>
            </w:tcBorders>
          </w:tcPr>
          <w:p w:rsidR="00B10BFA" w:rsidRPr="0027189F" w:rsidRDefault="00B10BFA" w:rsidP="003E2CEA">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V</w:t>
            </w:r>
            <w:r w:rsidRPr="00EB0C72">
              <w:rPr>
                <w:rFonts w:eastAsia="Times New Roman"/>
                <w:sz w:val="24"/>
                <w:szCs w:val="24"/>
                <w:lang w:eastAsia="lv-LV"/>
              </w:rPr>
              <w:t>alsts akciju sabiedrīb</w:t>
            </w:r>
            <w:r>
              <w:rPr>
                <w:rFonts w:eastAsia="Times New Roman"/>
                <w:sz w:val="24"/>
                <w:szCs w:val="24"/>
                <w:lang w:eastAsia="lv-LV"/>
              </w:rPr>
              <w:t>a</w:t>
            </w:r>
            <w:r w:rsidRPr="00EB0C72">
              <w:rPr>
                <w:rFonts w:eastAsia="Times New Roman"/>
                <w:sz w:val="24"/>
                <w:szCs w:val="24"/>
                <w:lang w:eastAsia="lv-LV"/>
              </w:rPr>
              <w:t xml:space="preserve"> „Ce</w:t>
            </w:r>
            <w:r>
              <w:rPr>
                <w:rFonts w:eastAsia="Times New Roman"/>
                <w:sz w:val="24"/>
                <w:szCs w:val="24"/>
                <w:lang w:eastAsia="lv-LV"/>
              </w:rPr>
              <w:t>ļu satiksmes drošības direkcija”.</w:t>
            </w:r>
          </w:p>
        </w:tc>
      </w:tr>
      <w:tr w:rsidR="00B10BFA" w:rsidTr="000C049D">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27189F" w:rsidRDefault="0083428E" w:rsidP="0083428E">
            <w:pPr>
              <w:numPr>
                <w:ilvl w:val="0"/>
                <w:numId w:val="4"/>
              </w:numPr>
              <w:spacing w:before="100" w:beforeAutospacing="1" w:after="100" w:afterAutospacing="1" w:line="240" w:lineRule="auto"/>
              <w:jc w:val="left"/>
              <w:rPr>
                <w:rFonts w:eastAsia="Times New Roman"/>
                <w:sz w:val="24"/>
                <w:szCs w:val="24"/>
                <w:lang w:eastAsia="lv-LV"/>
              </w:rPr>
            </w:pPr>
            <w:r w:rsidRPr="000F6A09">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598" w:type="dxa"/>
            <w:tcBorders>
              <w:top w:val="outset" w:sz="6" w:space="0" w:color="auto"/>
              <w:left w:val="outset" w:sz="6" w:space="0" w:color="auto"/>
              <w:bottom w:val="outset" w:sz="6" w:space="0" w:color="auto"/>
              <w:right w:val="outset" w:sz="6" w:space="0" w:color="auto"/>
            </w:tcBorders>
          </w:tcPr>
          <w:p w:rsidR="00B10BFA" w:rsidRDefault="006C6ADC" w:rsidP="00C05E54">
            <w:pPr>
              <w:ind w:firstLine="0"/>
            </w:pPr>
            <w:r>
              <w:rPr>
                <w:rFonts w:eastAsia="Times New Roman"/>
                <w:sz w:val="24"/>
                <w:szCs w:val="24"/>
                <w:lang w:eastAsia="lv-LV"/>
              </w:rPr>
              <w:t>Nav attiecināms.</w:t>
            </w:r>
            <w:r w:rsidR="00B10BFA" w:rsidRPr="00E84F0F">
              <w:rPr>
                <w:rFonts w:eastAsia="Times New Roman"/>
                <w:sz w:val="24"/>
                <w:szCs w:val="24"/>
                <w:lang w:eastAsia="lv-LV"/>
              </w:rPr>
              <w:t xml:space="preserve"> </w:t>
            </w:r>
          </w:p>
        </w:tc>
      </w:tr>
      <w:tr w:rsidR="00B10BFA" w:rsidRPr="0027189F" w:rsidTr="0083428E">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27189F" w:rsidRDefault="00B10BFA" w:rsidP="0083428E">
            <w:pPr>
              <w:numPr>
                <w:ilvl w:val="0"/>
                <w:numId w:val="4"/>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Cita informācija</w:t>
            </w:r>
          </w:p>
        </w:tc>
        <w:tc>
          <w:tcPr>
            <w:tcW w:w="5598" w:type="dxa"/>
            <w:tcBorders>
              <w:top w:val="outset" w:sz="6" w:space="0" w:color="auto"/>
              <w:left w:val="outset" w:sz="6" w:space="0" w:color="auto"/>
              <w:bottom w:val="outset" w:sz="6" w:space="0" w:color="auto"/>
              <w:right w:val="outset" w:sz="6" w:space="0" w:color="auto"/>
            </w:tcBorders>
          </w:tcPr>
          <w:p w:rsidR="00B10BFA" w:rsidRPr="0027189F" w:rsidRDefault="00B10BFA" w:rsidP="00C05E54">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Nav.</w:t>
            </w:r>
          </w:p>
        </w:tc>
      </w:tr>
    </w:tbl>
    <w:p w:rsidR="00B10BFA" w:rsidRDefault="00B10BFA" w:rsidP="00C1051F">
      <w:pPr>
        <w:spacing w:line="240" w:lineRule="auto"/>
        <w:ind w:firstLine="0"/>
        <w:jc w:val="left"/>
        <w:rPr>
          <w:rFonts w:eastAsia="Times New Roman"/>
          <w:sz w:val="24"/>
          <w:szCs w:val="24"/>
          <w:lang w:eastAsia="lv-LV"/>
        </w:rPr>
      </w:pPr>
    </w:p>
    <w:p w:rsidR="00C1051F" w:rsidRDefault="0083428E" w:rsidP="00C52324">
      <w:pPr>
        <w:spacing w:line="240" w:lineRule="auto"/>
        <w:ind w:firstLine="0"/>
        <w:jc w:val="center"/>
        <w:rPr>
          <w:rFonts w:eastAsia="Times New Roman"/>
          <w:sz w:val="24"/>
          <w:szCs w:val="24"/>
          <w:lang w:eastAsia="lv-LV"/>
        </w:rPr>
      </w:pPr>
      <w:r>
        <w:rPr>
          <w:rFonts w:eastAsia="Times New Roman"/>
          <w:sz w:val="24"/>
          <w:szCs w:val="24"/>
          <w:lang w:eastAsia="lv-LV"/>
        </w:rPr>
        <w:t xml:space="preserve">Anotācijas </w:t>
      </w:r>
      <w:r w:rsidR="006C6ADC">
        <w:rPr>
          <w:rFonts w:eastAsia="Times New Roman"/>
          <w:sz w:val="24"/>
          <w:szCs w:val="24"/>
          <w:lang w:eastAsia="lv-LV"/>
        </w:rPr>
        <w:t xml:space="preserve">II, </w:t>
      </w:r>
      <w:r>
        <w:rPr>
          <w:rFonts w:eastAsia="Times New Roman"/>
          <w:sz w:val="24"/>
          <w:szCs w:val="24"/>
          <w:lang w:eastAsia="lv-LV"/>
        </w:rPr>
        <w:t xml:space="preserve"> </w:t>
      </w:r>
      <w:r w:rsidRPr="008D5163">
        <w:rPr>
          <w:rFonts w:eastAsia="Times New Roman"/>
          <w:sz w:val="24"/>
          <w:szCs w:val="24"/>
          <w:lang w:eastAsia="lv-LV"/>
        </w:rPr>
        <w:t>IV</w:t>
      </w:r>
      <w:r>
        <w:rPr>
          <w:rFonts w:eastAsia="Times New Roman"/>
          <w:sz w:val="24"/>
          <w:szCs w:val="24"/>
          <w:lang w:eastAsia="lv-LV"/>
        </w:rPr>
        <w:t xml:space="preserve">, </w:t>
      </w:r>
      <w:r w:rsidR="006C6ADC">
        <w:rPr>
          <w:rFonts w:eastAsia="Times New Roman"/>
          <w:sz w:val="24"/>
          <w:szCs w:val="24"/>
          <w:lang w:eastAsia="lv-LV"/>
        </w:rPr>
        <w:t xml:space="preserve">V </w:t>
      </w:r>
      <w:r w:rsidRPr="008D5163">
        <w:rPr>
          <w:rFonts w:eastAsia="Times New Roman"/>
          <w:sz w:val="24"/>
          <w:szCs w:val="24"/>
          <w:lang w:eastAsia="lv-LV"/>
        </w:rPr>
        <w:t>un VI sadaļas – projekts šīs jomas neskar.</w:t>
      </w:r>
    </w:p>
    <w:p w:rsidR="00C32077" w:rsidRDefault="00C32077" w:rsidP="00040810">
      <w:pPr>
        <w:spacing w:before="58" w:after="58"/>
        <w:ind w:right="-341" w:firstLine="709"/>
        <w:rPr>
          <w:szCs w:val="28"/>
        </w:rPr>
      </w:pPr>
    </w:p>
    <w:p w:rsidR="00040810" w:rsidRPr="000A33DF" w:rsidRDefault="00040810" w:rsidP="00040810">
      <w:pPr>
        <w:spacing w:before="58" w:after="58"/>
        <w:ind w:right="-341" w:firstLine="709"/>
        <w:rPr>
          <w:sz w:val="24"/>
          <w:szCs w:val="24"/>
        </w:rPr>
      </w:pPr>
      <w:r w:rsidRPr="000A33DF">
        <w:rPr>
          <w:sz w:val="24"/>
          <w:szCs w:val="24"/>
        </w:rPr>
        <w:t>Satiksmes ministrs</w:t>
      </w:r>
      <w:r w:rsidRPr="000A33DF">
        <w:rPr>
          <w:sz w:val="24"/>
          <w:szCs w:val="24"/>
        </w:rPr>
        <w:tab/>
      </w:r>
      <w:r w:rsidRPr="000A33DF">
        <w:rPr>
          <w:sz w:val="24"/>
          <w:szCs w:val="24"/>
        </w:rPr>
        <w:tab/>
      </w:r>
      <w:r w:rsidRPr="000A33DF">
        <w:rPr>
          <w:sz w:val="24"/>
          <w:szCs w:val="24"/>
        </w:rPr>
        <w:tab/>
      </w:r>
      <w:r w:rsidRPr="000A33DF">
        <w:rPr>
          <w:sz w:val="24"/>
          <w:szCs w:val="24"/>
        </w:rPr>
        <w:tab/>
      </w:r>
      <w:r w:rsidRPr="000A33DF">
        <w:rPr>
          <w:sz w:val="24"/>
          <w:szCs w:val="24"/>
        </w:rPr>
        <w:tab/>
      </w:r>
      <w:r w:rsidRPr="000A33DF">
        <w:rPr>
          <w:sz w:val="24"/>
          <w:szCs w:val="24"/>
        </w:rPr>
        <w:tab/>
      </w:r>
      <w:r w:rsidR="0083428E" w:rsidRPr="000A33DF">
        <w:rPr>
          <w:sz w:val="24"/>
          <w:szCs w:val="24"/>
        </w:rPr>
        <w:tab/>
      </w:r>
      <w:r w:rsidRPr="000A33DF">
        <w:rPr>
          <w:sz w:val="24"/>
          <w:szCs w:val="24"/>
        </w:rPr>
        <w:t>A.Matīss</w:t>
      </w:r>
    </w:p>
    <w:p w:rsidR="00040810" w:rsidRPr="000A33DF" w:rsidRDefault="00040810" w:rsidP="00040810">
      <w:pPr>
        <w:spacing w:line="240" w:lineRule="auto"/>
        <w:ind w:right="-341"/>
        <w:rPr>
          <w:sz w:val="24"/>
          <w:szCs w:val="24"/>
          <w:lang w:eastAsia="lv-LV"/>
        </w:rPr>
      </w:pPr>
    </w:p>
    <w:p w:rsidR="00040810" w:rsidRPr="000A33DF" w:rsidRDefault="00040810" w:rsidP="00040810">
      <w:pPr>
        <w:spacing w:line="240" w:lineRule="auto"/>
        <w:ind w:right="-341"/>
        <w:rPr>
          <w:sz w:val="24"/>
          <w:szCs w:val="24"/>
        </w:rPr>
      </w:pPr>
      <w:r w:rsidRPr="000A33DF">
        <w:rPr>
          <w:sz w:val="24"/>
          <w:szCs w:val="24"/>
        </w:rPr>
        <w:t xml:space="preserve">Vīza: </w:t>
      </w:r>
    </w:p>
    <w:p w:rsidR="00040810" w:rsidRPr="000A33DF" w:rsidRDefault="00040810" w:rsidP="00040810">
      <w:pPr>
        <w:spacing w:line="240" w:lineRule="auto"/>
        <w:ind w:firstLine="709"/>
        <w:rPr>
          <w:sz w:val="24"/>
          <w:szCs w:val="24"/>
        </w:rPr>
      </w:pPr>
      <w:r w:rsidRPr="000A33DF">
        <w:rPr>
          <w:sz w:val="24"/>
          <w:szCs w:val="24"/>
        </w:rPr>
        <w:t>Valsts sekretār</w:t>
      </w:r>
      <w:r w:rsidR="0083428E" w:rsidRPr="000A33DF">
        <w:rPr>
          <w:sz w:val="24"/>
          <w:szCs w:val="24"/>
        </w:rPr>
        <w:t>s</w:t>
      </w:r>
      <w:r w:rsidRPr="000A33DF">
        <w:rPr>
          <w:sz w:val="24"/>
          <w:szCs w:val="24"/>
        </w:rPr>
        <w:t xml:space="preserve"> </w:t>
      </w:r>
      <w:r w:rsidRPr="000A33DF">
        <w:rPr>
          <w:sz w:val="24"/>
          <w:szCs w:val="24"/>
        </w:rPr>
        <w:tab/>
      </w:r>
      <w:r w:rsidRPr="000A33DF">
        <w:rPr>
          <w:sz w:val="24"/>
          <w:szCs w:val="24"/>
        </w:rPr>
        <w:tab/>
      </w:r>
      <w:r w:rsidRPr="000A33DF">
        <w:rPr>
          <w:sz w:val="24"/>
          <w:szCs w:val="24"/>
        </w:rPr>
        <w:tab/>
      </w:r>
      <w:r w:rsidRPr="000A33DF">
        <w:rPr>
          <w:sz w:val="24"/>
          <w:szCs w:val="24"/>
        </w:rPr>
        <w:tab/>
      </w:r>
      <w:r w:rsidR="0083428E" w:rsidRPr="000A33DF">
        <w:rPr>
          <w:sz w:val="24"/>
          <w:szCs w:val="24"/>
        </w:rPr>
        <w:t xml:space="preserve">  </w:t>
      </w:r>
      <w:r w:rsidRPr="000A33DF">
        <w:rPr>
          <w:sz w:val="24"/>
          <w:szCs w:val="24"/>
        </w:rPr>
        <w:tab/>
      </w:r>
      <w:r w:rsidR="0083428E" w:rsidRPr="000A33DF">
        <w:rPr>
          <w:sz w:val="24"/>
          <w:szCs w:val="24"/>
        </w:rPr>
        <w:t xml:space="preserve">      </w:t>
      </w:r>
      <w:r w:rsidR="0083428E" w:rsidRPr="000A33DF">
        <w:rPr>
          <w:sz w:val="24"/>
          <w:szCs w:val="24"/>
        </w:rPr>
        <w:tab/>
        <w:t xml:space="preserve">         K.Ozoliņš</w:t>
      </w:r>
    </w:p>
    <w:p w:rsidR="00C32077" w:rsidRDefault="00C32077" w:rsidP="00901F1D">
      <w:pPr>
        <w:ind w:firstLine="0"/>
        <w:rPr>
          <w:sz w:val="24"/>
          <w:szCs w:val="24"/>
        </w:rPr>
      </w:pPr>
    </w:p>
    <w:p w:rsidR="00040810" w:rsidRDefault="00040810" w:rsidP="00901F1D">
      <w:pPr>
        <w:ind w:firstLine="0"/>
        <w:rPr>
          <w:sz w:val="24"/>
          <w:szCs w:val="24"/>
        </w:rPr>
      </w:pPr>
    </w:p>
    <w:p w:rsidR="008F7DF9" w:rsidRDefault="008F7DF9" w:rsidP="00901F1D">
      <w:pPr>
        <w:ind w:firstLine="0"/>
        <w:rPr>
          <w:sz w:val="24"/>
          <w:szCs w:val="24"/>
        </w:rPr>
      </w:pPr>
    </w:p>
    <w:p w:rsidR="00C1051F" w:rsidRPr="00C1051F" w:rsidRDefault="003A009A" w:rsidP="00C1051F">
      <w:pPr>
        <w:spacing w:line="240" w:lineRule="auto"/>
        <w:ind w:right="-341" w:firstLine="0"/>
        <w:rPr>
          <w:sz w:val="22"/>
        </w:rPr>
      </w:pPr>
      <w:r>
        <w:rPr>
          <w:sz w:val="22"/>
        </w:rPr>
        <w:t>15</w:t>
      </w:r>
      <w:r w:rsidR="00E362E9">
        <w:rPr>
          <w:sz w:val="22"/>
        </w:rPr>
        <w:t>.0</w:t>
      </w:r>
      <w:r w:rsidR="0039400D">
        <w:rPr>
          <w:sz w:val="22"/>
        </w:rPr>
        <w:t>6</w:t>
      </w:r>
      <w:r w:rsidR="00C1051F" w:rsidRPr="00C1051F">
        <w:rPr>
          <w:sz w:val="22"/>
        </w:rPr>
        <w:t>.201</w:t>
      </w:r>
      <w:r w:rsidR="0039400D">
        <w:rPr>
          <w:sz w:val="22"/>
        </w:rPr>
        <w:t>5</w:t>
      </w:r>
      <w:r w:rsidR="00C1051F" w:rsidRPr="00C1051F">
        <w:rPr>
          <w:sz w:val="22"/>
        </w:rPr>
        <w:t xml:space="preserve">. </w:t>
      </w:r>
      <w:r>
        <w:rPr>
          <w:sz w:val="22"/>
        </w:rPr>
        <w:t>16</w:t>
      </w:r>
      <w:r w:rsidR="00394EB3">
        <w:rPr>
          <w:sz w:val="22"/>
        </w:rPr>
        <w:t>:</w:t>
      </w:r>
      <w:r w:rsidR="00776EC4">
        <w:rPr>
          <w:sz w:val="22"/>
        </w:rPr>
        <w:t>4</w:t>
      </w:r>
      <w:r>
        <w:rPr>
          <w:sz w:val="22"/>
        </w:rPr>
        <w:t>5</w:t>
      </w:r>
    </w:p>
    <w:p w:rsidR="00C1051F" w:rsidRPr="00C1051F" w:rsidRDefault="004335B0" w:rsidP="00C1051F">
      <w:pPr>
        <w:spacing w:line="240" w:lineRule="auto"/>
        <w:ind w:right="-341" w:firstLine="0"/>
        <w:rPr>
          <w:sz w:val="22"/>
        </w:rPr>
      </w:pPr>
      <w:r>
        <w:rPr>
          <w:sz w:val="22"/>
        </w:rPr>
        <w:t>1121</w:t>
      </w:r>
    </w:p>
    <w:p w:rsidR="00721B24" w:rsidRDefault="00776EC4" w:rsidP="0083428E">
      <w:pPr>
        <w:spacing w:line="240" w:lineRule="auto"/>
        <w:ind w:firstLine="0"/>
        <w:rPr>
          <w:sz w:val="22"/>
        </w:rPr>
      </w:pPr>
      <w:proofErr w:type="spellStart"/>
      <w:r>
        <w:rPr>
          <w:sz w:val="22"/>
        </w:rPr>
        <w:t>J.Golubevs</w:t>
      </w:r>
      <w:proofErr w:type="spellEnd"/>
      <w:r>
        <w:rPr>
          <w:sz w:val="22"/>
        </w:rPr>
        <w:t>, 67025701</w:t>
      </w:r>
    </w:p>
    <w:p w:rsidR="00C52324" w:rsidRPr="00E5622B" w:rsidRDefault="00776EC4" w:rsidP="0083428E">
      <w:pPr>
        <w:spacing w:line="240" w:lineRule="auto"/>
        <w:ind w:firstLine="0"/>
        <w:rPr>
          <w:sz w:val="22"/>
        </w:rPr>
      </w:pPr>
      <w:r>
        <w:rPr>
          <w:sz w:val="22"/>
        </w:rPr>
        <w:t>Janis.golubevs</w:t>
      </w:r>
      <w:r w:rsidR="00C52324">
        <w:rPr>
          <w:sz w:val="22"/>
        </w:rPr>
        <w:t>@csdd.gov.lv</w:t>
      </w:r>
    </w:p>
    <w:sectPr w:rsidR="00C52324" w:rsidRPr="00E5622B" w:rsidSect="006E29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AB" w:rsidRDefault="006428AB" w:rsidP="00E65F54">
      <w:pPr>
        <w:spacing w:line="240" w:lineRule="auto"/>
      </w:pPr>
      <w:r>
        <w:separator/>
      </w:r>
    </w:p>
  </w:endnote>
  <w:endnote w:type="continuationSeparator" w:id="0">
    <w:p w:rsidR="006428AB" w:rsidRDefault="006428A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A6" w:rsidRDefault="008E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2E" w:rsidRPr="00D1172E" w:rsidRDefault="008E1CA6" w:rsidP="00D1172E">
    <w:pPr>
      <w:ind w:right="-766" w:firstLine="0"/>
      <w:rPr>
        <w:rFonts w:eastAsia="Times New Roman"/>
        <w:bCs/>
        <w:sz w:val="24"/>
        <w:szCs w:val="24"/>
        <w:lang w:eastAsia="lv-LV"/>
      </w:rPr>
    </w:pPr>
    <w:r>
      <w:rPr>
        <w:sz w:val="24"/>
        <w:szCs w:val="24"/>
      </w:rPr>
      <w:t>SAMAnot_2</w:t>
    </w:r>
    <w:r w:rsidR="005E57A2">
      <w:rPr>
        <w:sz w:val="24"/>
        <w:szCs w:val="24"/>
      </w:rPr>
      <w:t>5</w:t>
    </w:r>
    <w:r w:rsidR="00D1172E" w:rsidRPr="00D1172E">
      <w:rPr>
        <w:sz w:val="24"/>
        <w:szCs w:val="24"/>
      </w:rPr>
      <w:t xml:space="preserve">0615_CSDDdiv; </w:t>
    </w:r>
    <w:r w:rsidR="00D1172E" w:rsidRPr="00D1172E">
      <w:rPr>
        <w:rFonts w:eastAsia="Times New Roman"/>
        <w:bCs/>
        <w:sz w:val="24"/>
        <w:szCs w:val="24"/>
        <w:lang w:eastAsia="lv-LV"/>
      </w:rPr>
      <w:t>Par valstij dividendēs izmaksājamo valsts akciju sabiedrības „Ceļu satiksmes drošības direkcija” peļņas daļu par 2014.gadu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2E" w:rsidRPr="00D1172E" w:rsidRDefault="005E57A2" w:rsidP="00D1172E">
    <w:pPr>
      <w:ind w:right="-766" w:firstLine="0"/>
      <w:rPr>
        <w:rFonts w:eastAsia="Times New Roman"/>
        <w:bCs/>
        <w:sz w:val="24"/>
        <w:szCs w:val="24"/>
        <w:lang w:eastAsia="lv-LV"/>
      </w:rPr>
    </w:pPr>
    <w:r>
      <w:rPr>
        <w:sz w:val="24"/>
        <w:szCs w:val="24"/>
      </w:rPr>
      <w:t>SAMAnot_</w:t>
    </w:r>
    <w:r w:rsidR="008E1CA6">
      <w:rPr>
        <w:sz w:val="24"/>
        <w:szCs w:val="24"/>
      </w:rPr>
      <w:t>2</w:t>
    </w:r>
    <w:bookmarkStart w:id="0" w:name="_GoBack"/>
    <w:bookmarkEnd w:id="0"/>
    <w:r>
      <w:rPr>
        <w:sz w:val="24"/>
        <w:szCs w:val="24"/>
      </w:rPr>
      <w:t>5</w:t>
    </w:r>
    <w:r w:rsidR="00D1172E" w:rsidRPr="00D1172E">
      <w:rPr>
        <w:sz w:val="24"/>
        <w:szCs w:val="24"/>
      </w:rPr>
      <w:t xml:space="preserve">0615_CSDDdiv; </w:t>
    </w:r>
    <w:r w:rsidR="00D1172E" w:rsidRPr="00D1172E">
      <w:rPr>
        <w:rFonts w:eastAsia="Times New Roman"/>
        <w:bCs/>
        <w:sz w:val="24"/>
        <w:szCs w:val="24"/>
        <w:lang w:eastAsia="lv-LV"/>
      </w:rPr>
      <w:t>Par valstij dividendēs izmaksājamo valsts akciju sabiedrības „Ceļu satiksmes drošības direkcija” peļņas daļu par 2014.gadu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AB" w:rsidRDefault="006428AB" w:rsidP="00E65F54">
      <w:pPr>
        <w:spacing w:line="240" w:lineRule="auto"/>
      </w:pPr>
      <w:r>
        <w:separator/>
      </w:r>
    </w:p>
  </w:footnote>
  <w:footnote w:type="continuationSeparator" w:id="0">
    <w:p w:rsidR="006428AB" w:rsidRDefault="006428A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A6" w:rsidRDefault="008E1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8E1CA6">
      <w:rPr>
        <w:noProof/>
      </w:rPr>
      <w:t>5</w:t>
    </w:r>
    <w:r>
      <w:fldChar w:fldCharType="end"/>
    </w:r>
  </w:p>
  <w:p w:rsidR="000A204C" w:rsidRDefault="000A2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A6" w:rsidRDefault="008E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40B2"/>
    <w:rsid w:val="0002755E"/>
    <w:rsid w:val="00040810"/>
    <w:rsid w:val="0004524B"/>
    <w:rsid w:val="0005135F"/>
    <w:rsid w:val="00052DB2"/>
    <w:rsid w:val="0005308A"/>
    <w:rsid w:val="00056AAB"/>
    <w:rsid w:val="00056D4D"/>
    <w:rsid w:val="000576BA"/>
    <w:rsid w:val="0006501B"/>
    <w:rsid w:val="0006748D"/>
    <w:rsid w:val="00094458"/>
    <w:rsid w:val="00096E19"/>
    <w:rsid w:val="000A204C"/>
    <w:rsid w:val="000A26F1"/>
    <w:rsid w:val="000A2ABA"/>
    <w:rsid w:val="000A2DE7"/>
    <w:rsid w:val="000A307A"/>
    <w:rsid w:val="000A33DF"/>
    <w:rsid w:val="000A4071"/>
    <w:rsid w:val="000B2913"/>
    <w:rsid w:val="000B7137"/>
    <w:rsid w:val="000B7533"/>
    <w:rsid w:val="000C049D"/>
    <w:rsid w:val="000C6A5A"/>
    <w:rsid w:val="000D1D5A"/>
    <w:rsid w:val="000D36CD"/>
    <w:rsid w:val="000D3F6C"/>
    <w:rsid w:val="000E419E"/>
    <w:rsid w:val="000E72D7"/>
    <w:rsid w:val="000F4E77"/>
    <w:rsid w:val="000F61A4"/>
    <w:rsid w:val="00100CF6"/>
    <w:rsid w:val="00110616"/>
    <w:rsid w:val="00112DC7"/>
    <w:rsid w:val="00122C18"/>
    <w:rsid w:val="00126375"/>
    <w:rsid w:val="00141B0D"/>
    <w:rsid w:val="00142AD0"/>
    <w:rsid w:val="001471D3"/>
    <w:rsid w:val="00155154"/>
    <w:rsid w:val="0016003A"/>
    <w:rsid w:val="00167D64"/>
    <w:rsid w:val="00171F18"/>
    <w:rsid w:val="00172009"/>
    <w:rsid w:val="001730AE"/>
    <w:rsid w:val="0017730B"/>
    <w:rsid w:val="00181860"/>
    <w:rsid w:val="00183CEC"/>
    <w:rsid w:val="001844CC"/>
    <w:rsid w:val="00186915"/>
    <w:rsid w:val="0019254C"/>
    <w:rsid w:val="001954F7"/>
    <w:rsid w:val="00196AC6"/>
    <w:rsid w:val="001A05E0"/>
    <w:rsid w:val="001A127C"/>
    <w:rsid w:val="001A3DD6"/>
    <w:rsid w:val="001A5340"/>
    <w:rsid w:val="001A56A7"/>
    <w:rsid w:val="001A69E2"/>
    <w:rsid w:val="001B24BB"/>
    <w:rsid w:val="001B46BB"/>
    <w:rsid w:val="001C5AE2"/>
    <w:rsid w:val="001D35B7"/>
    <w:rsid w:val="001D550D"/>
    <w:rsid w:val="001E685A"/>
    <w:rsid w:val="001E707E"/>
    <w:rsid w:val="001E7275"/>
    <w:rsid w:val="001F7D74"/>
    <w:rsid w:val="00200D00"/>
    <w:rsid w:val="00203BFE"/>
    <w:rsid w:val="00203DF6"/>
    <w:rsid w:val="002040EB"/>
    <w:rsid w:val="00204AE3"/>
    <w:rsid w:val="0020589F"/>
    <w:rsid w:val="002121C1"/>
    <w:rsid w:val="0021249F"/>
    <w:rsid w:val="00227D24"/>
    <w:rsid w:val="002333FB"/>
    <w:rsid w:val="002431F8"/>
    <w:rsid w:val="00246D0A"/>
    <w:rsid w:val="002511A0"/>
    <w:rsid w:val="00253663"/>
    <w:rsid w:val="00254AAA"/>
    <w:rsid w:val="00254E6C"/>
    <w:rsid w:val="00255CA8"/>
    <w:rsid w:val="002620AA"/>
    <w:rsid w:val="0027189F"/>
    <w:rsid w:val="002723AB"/>
    <w:rsid w:val="00272789"/>
    <w:rsid w:val="00274CA1"/>
    <w:rsid w:val="00282ABD"/>
    <w:rsid w:val="002868E5"/>
    <w:rsid w:val="00287FD2"/>
    <w:rsid w:val="00291BEF"/>
    <w:rsid w:val="0029276A"/>
    <w:rsid w:val="002954F6"/>
    <w:rsid w:val="002A469E"/>
    <w:rsid w:val="002A7E61"/>
    <w:rsid w:val="002C009C"/>
    <w:rsid w:val="002C5EB8"/>
    <w:rsid w:val="002C74C8"/>
    <w:rsid w:val="002D0145"/>
    <w:rsid w:val="002D397E"/>
    <w:rsid w:val="002D40FD"/>
    <w:rsid w:val="002D728B"/>
    <w:rsid w:val="002E01C2"/>
    <w:rsid w:val="002E61AA"/>
    <w:rsid w:val="002F7C16"/>
    <w:rsid w:val="003145D0"/>
    <w:rsid w:val="00331B69"/>
    <w:rsid w:val="00332A51"/>
    <w:rsid w:val="00333D07"/>
    <w:rsid w:val="00334200"/>
    <w:rsid w:val="0033441D"/>
    <w:rsid w:val="00350EF3"/>
    <w:rsid w:val="00354129"/>
    <w:rsid w:val="00363705"/>
    <w:rsid w:val="003704C4"/>
    <w:rsid w:val="00376572"/>
    <w:rsid w:val="003808DC"/>
    <w:rsid w:val="0038666E"/>
    <w:rsid w:val="0039400D"/>
    <w:rsid w:val="00394EB3"/>
    <w:rsid w:val="003A009A"/>
    <w:rsid w:val="003A2595"/>
    <w:rsid w:val="003B3844"/>
    <w:rsid w:val="003C25DC"/>
    <w:rsid w:val="003C78BC"/>
    <w:rsid w:val="003E176C"/>
    <w:rsid w:val="003E1A6C"/>
    <w:rsid w:val="003E2CEA"/>
    <w:rsid w:val="003E34EB"/>
    <w:rsid w:val="003E6B9C"/>
    <w:rsid w:val="003F1D0B"/>
    <w:rsid w:val="003F3F9B"/>
    <w:rsid w:val="00401786"/>
    <w:rsid w:val="004023CD"/>
    <w:rsid w:val="00410D4D"/>
    <w:rsid w:val="004146B9"/>
    <w:rsid w:val="00416B05"/>
    <w:rsid w:val="00421A23"/>
    <w:rsid w:val="00431C58"/>
    <w:rsid w:val="004335B0"/>
    <w:rsid w:val="00434CD6"/>
    <w:rsid w:val="00441804"/>
    <w:rsid w:val="004430AD"/>
    <w:rsid w:val="00471594"/>
    <w:rsid w:val="0047322B"/>
    <w:rsid w:val="00481CBC"/>
    <w:rsid w:val="004837F3"/>
    <w:rsid w:val="004871FD"/>
    <w:rsid w:val="004934DF"/>
    <w:rsid w:val="00497897"/>
    <w:rsid w:val="004A01ED"/>
    <w:rsid w:val="004A09DA"/>
    <w:rsid w:val="004A5D15"/>
    <w:rsid w:val="004B14CA"/>
    <w:rsid w:val="004B2FAA"/>
    <w:rsid w:val="004C7582"/>
    <w:rsid w:val="004E75E2"/>
    <w:rsid w:val="004F1062"/>
    <w:rsid w:val="004F4838"/>
    <w:rsid w:val="004F4EAC"/>
    <w:rsid w:val="00503578"/>
    <w:rsid w:val="005037D2"/>
    <w:rsid w:val="00505842"/>
    <w:rsid w:val="00505E87"/>
    <w:rsid w:val="00506092"/>
    <w:rsid w:val="00506340"/>
    <w:rsid w:val="005124B1"/>
    <w:rsid w:val="00513991"/>
    <w:rsid w:val="005140BF"/>
    <w:rsid w:val="005143C7"/>
    <w:rsid w:val="00515848"/>
    <w:rsid w:val="00536A82"/>
    <w:rsid w:val="00550601"/>
    <w:rsid w:val="00556F00"/>
    <w:rsid w:val="00557A00"/>
    <w:rsid w:val="00560AED"/>
    <w:rsid w:val="0056545F"/>
    <w:rsid w:val="00565973"/>
    <w:rsid w:val="005822C3"/>
    <w:rsid w:val="00585852"/>
    <w:rsid w:val="00591A7F"/>
    <w:rsid w:val="005922A7"/>
    <w:rsid w:val="005A0227"/>
    <w:rsid w:val="005A2687"/>
    <w:rsid w:val="005A6005"/>
    <w:rsid w:val="005B1B46"/>
    <w:rsid w:val="005D2463"/>
    <w:rsid w:val="005D65E5"/>
    <w:rsid w:val="005E45C1"/>
    <w:rsid w:val="005E57A2"/>
    <w:rsid w:val="0060264C"/>
    <w:rsid w:val="00606CFD"/>
    <w:rsid w:val="00615D4B"/>
    <w:rsid w:val="00615F2D"/>
    <w:rsid w:val="00616733"/>
    <w:rsid w:val="006270F1"/>
    <w:rsid w:val="00632330"/>
    <w:rsid w:val="00632DFC"/>
    <w:rsid w:val="00641170"/>
    <w:rsid w:val="006428AB"/>
    <w:rsid w:val="00655313"/>
    <w:rsid w:val="0066319E"/>
    <w:rsid w:val="0067242E"/>
    <w:rsid w:val="00672C29"/>
    <w:rsid w:val="00681A6F"/>
    <w:rsid w:val="0068314D"/>
    <w:rsid w:val="006863E5"/>
    <w:rsid w:val="00686E9C"/>
    <w:rsid w:val="00690C83"/>
    <w:rsid w:val="006946B7"/>
    <w:rsid w:val="0069642A"/>
    <w:rsid w:val="00697153"/>
    <w:rsid w:val="006B281B"/>
    <w:rsid w:val="006C6ADC"/>
    <w:rsid w:val="006D0693"/>
    <w:rsid w:val="006E0766"/>
    <w:rsid w:val="006E0BE4"/>
    <w:rsid w:val="006E2924"/>
    <w:rsid w:val="006E6B2E"/>
    <w:rsid w:val="006F020E"/>
    <w:rsid w:val="006F2DBC"/>
    <w:rsid w:val="00701879"/>
    <w:rsid w:val="007034AE"/>
    <w:rsid w:val="007066FD"/>
    <w:rsid w:val="00706A25"/>
    <w:rsid w:val="00707F21"/>
    <w:rsid w:val="00710C9A"/>
    <w:rsid w:val="00716594"/>
    <w:rsid w:val="00721962"/>
    <w:rsid w:val="00721B24"/>
    <w:rsid w:val="0072606B"/>
    <w:rsid w:val="00730F54"/>
    <w:rsid w:val="0073167E"/>
    <w:rsid w:val="007323E8"/>
    <w:rsid w:val="0074150F"/>
    <w:rsid w:val="00745558"/>
    <w:rsid w:val="00747735"/>
    <w:rsid w:val="00751EC7"/>
    <w:rsid w:val="00752546"/>
    <w:rsid w:val="00756D89"/>
    <w:rsid w:val="00757000"/>
    <w:rsid w:val="00767A00"/>
    <w:rsid w:val="007749B3"/>
    <w:rsid w:val="00774D34"/>
    <w:rsid w:val="0077555E"/>
    <w:rsid w:val="00776EC4"/>
    <w:rsid w:val="0078706B"/>
    <w:rsid w:val="0078785B"/>
    <w:rsid w:val="0079006F"/>
    <w:rsid w:val="00790764"/>
    <w:rsid w:val="00790A91"/>
    <w:rsid w:val="007940BE"/>
    <w:rsid w:val="007A002E"/>
    <w:rsid w:val="007B00B9"/>
    <w:rsid w:val="007B2D40"/>
    <w:rsid w:val="007C60A2"/>
    <w:rsid w:val="007C6727"/>
    <w:rsid w:val="007D089C"/>
    <w:rsid w:val="007D28F5"/>
    <w:rsid w:val="007D487B"/>
    <w:rsid w:val="007D6C45"/>
    <w:rsid w:val="007F47D0"/>
    <w:rsid w:val="008057EB"/>
    <w:rsid w:val="00815AEC"/>
    <w:rsid w:val="00824AC5"/>
    <w:rsid w:val="0083428E"/>
    <w:rsid w:val="008352A4"/>
    <w:rsid w:val="00835472"/>
    <w:rsid w:val="00836607"/>
    <w:rsid w:val="00844CA5"/>
    <w:rsid w:val="00847D49"/>
    <w:rsid w:val="00850010"/>
    <w:rsid w:val="00851060"/>
    <w:rsid w:val="00851B2B"/>
    <w:rsid w:val="00863DFA"/>
    <w:rsid w:val="00870478"/>
    <w:rsid w:val="00882B12"/>
    <w:rsid w:val="0088321C"/>
    <w:rsid w:val="008B0CE6"/>
    <w:rsid w:val="008C3594"/>
    <w:rsid w:val="008D460A"/>
    <w:rsid w:val="008E03F2"/>
    <w:rsid w:val="008E0849"/>
    <w:rsid w:val="008E1CA6"/>
    <w:rsid w:val="008E33C4"/>
    <w:rsid w:val="008E4794"/>
    <w:rsid w:val="008E4E9E"/>
    <w:rsid w:val="008F3C11"/>
    <w:rsid w:val="008F66F6"/>
    <w:rsid w:val="008F7DF9"/>
    <w:rsid w:val="00901F1D"/>
    <w:rsid w:val="00903C74"/>
    <w:rsid w:val="009062EF"/>
    <w:rsid w:val="009068C0"/>
    <w:rsid w:val="00907343"/>
    <w:rsid w:val="009105E0"/>
    <w:rsid w:val="009106B5"/>
    <w:rsid w:val="00912417"/>
    <w:rsid w:val="0091377F"/>
    <w:rsid w:val="00915BF7"/>
    <w:rsid w:val="009232BF"/>
    <w:rsid w:val="00923AB3"/>
    <w:rsid w:val="00927A4C"/>
    <w:rsid w:val="00940895"/>
    <w:rsid w:val="009467F5"/>
    <w:rsid w:val="00955C92"/>
    <w:rsid w:val="00963005"/>
    <w:rsid w:val="00964B88"/>
    <w:rsid w:val="00971F19"/>
    <w:rsid w:val="00974550"/>
    <w:rsid w:val="00980690"/>
    <w:rsid w:val="00980BBA"/>
    <w:rsid w:val="00982781"/>
    <w:rsid w:val="00986FAE"/>
    <w:rsid w:val="009A64A0"/>
    <w:rsid w:val="009A6A32"/>
    <w:rsid w:val="009C54B3"/>
    <w:rsid w:val="009D3518"/>
    <w:rsid w:val="009E510B"/>
    <w:rsid w:val="009F5F30"/>
    <w:rsid w:val="00A01523"/>
    <w:rsid w:val="00A213F0"/>
    <w:rsid w:val="00A25E9A"/>
    <w:rsid w:val="00A30CB6"/>
    <w:rsid w:val="00A31204"/>
    <w:rsid w:val="00A37CC3"/>
    <w:rsid w:val="00A51089"/>
    <w:rsid w:val="00A55810"/>
    <w:rsid w:val="00A6408F"/>
    <w:rsid w:val="00A671C5"/>
    <w:rsid w:val="00A84B58"/>
    <w:rsid w:val="00A91BD9"/>
    <w:rsid w:val="00A91D84"/>
    <w:rsid w:val="00AA1C2D"/>
    <w:rsid w:val="00AA778A"/>
    <w:rsid w:val="00AB3A67"/>
    <w:rsid w:val="00AC6A6B"/>
    <w:rsid w:val="00AC6ADF"/>
    <w:rsid w:val="00AD2DE5"/>
    <w:rsid w:val="00AD59B6"/>
    <w:rsid w:val="00AD7A9B"/>
    <w:rsid w:val="00AD7B47"/>
    <w:rsid w:val="00B013AA"/>
    <w:rsid w:val="00B0361B"/>
    <w:rsid w:val="00B0711B"/>
    <w:rsid w:val="00B10BFA"/>
    <w:rsid w:val="00B150E5"/>
    <w:rsid w:val="00B244CE"/>
    <w:rsid w:val="00B27C37"/>
    <w:rsid w:val="00B30FC5"/>
    <w:rsid w:val="00B35BBE"/>
    <w:rsid w:val="00B46203"/>
    <w:rsid w:val="00B511FA"/>
    <w:rsid w:val="00B52F5E"/>
    <w:rsid w:val="00B54261"/>
    <w:rsid w:val="00B61248"/>
    <w:rsid w:val="00B628C1"/>
    <w:rsid w:val="00B63B7A"/>
    <w:rsid w:val="00B669A9"/>
    <w:rsid w:val="00B714DB"/>
    <w:rsid w:val="00B77A26"/>
    <w:rsid w:val="00B873F9"/>
    <w:rsid w:val="00B91075"/>
    <w:rsid w:val="00B92D4F"/>
    <w:rsid w:val="00B9438D"/>
    <w:rsid w:val="00B94AAF"/>
    <w:rsid w:val="00B94DED"/>
    <w:rsid w:val="00BA031B"/>
    <w:rsid w:val="00BA117F"/>
    <w:rsid w:val="00BA2FFA"/>
    <w:rsid w:val="00BA719A"/>
    <w:rsid w:val="00BB634E"/>
    <w:rsid w:val="00BC5919"/>
    <w:rsid w:val="00BC6FFB"/>
    <w:rsid w:val="00BD3ED8"/>
    <w:rsid w:val="00BE1AC4"/>
    <w:rsid w:val="00BE3EA5"/>
    <w:rsid w:val="00BE5F5D"/>
    <w:rsid w:val="00BF0E50"/>
    <w:rsid w:val="00C02AC5"/>
    <w:rsid w:val="00C0473F"/>
    <w:rsid w:val="00C05E54"/>
    <w:rsid w:val="00C1051F"/>
    <w:rsid w:val="00C1496F"/>
    <w:rsid w:val="00C1626C"/>
    <w:rsid w:val="00C23DE7"/>
    <w:rsid w:val="00C2420E"/>
    <w:rsid w:val="00C25EDD"/>
    <w:rsid w:val="00C3190C"/>
    <w:rsid w:val="00C32077"/>
    <w:rsid w:val="00C371A7"/>
    <w:rsid w:val="00C40873"/>
    <w:rsid w:val="00C515F0"/>
    <w:rsid w:val="00C52324"/>
    <w:rsid w:val="00C5629F"/>
    <w:rsid w:val="00C56382"/>
    <w:rsid w:val="00C57FD8"/>
    <w:rsid w:val="00C72642"/>
    <w:rsid w:val="00C8074F"/>
    <w:rsid w:val="00C808FF"/>
    <w:rsid w:val="00C96F98"/>
    <w:rsid w:val="00CA1E38"/>
    <w:rsid w:val="00CA620A"/>
    <w:rsid w:val="00CB0ABA"/>
    <w:rsid w:val="00CC171D"/>
    <w:rsid w:val="00CC1A72"/>
    <w:rsid w:val="00CC1F7D"/>
    <w:rsid w:val="00CC3C26"/>
    <w:rsid w:val="00CC41E5"/>
    <w:rsid w:val="00CC5C0A"/>
    <w:rsid w:val="00CC6000"/>
    <w:rsid w:val="00CC62E3"/>
    <w:rsid w:val="00CE183A"/>
    <w:rsid w:val="00CE422F"/>
    <w:rsid w:val="00CF3B6C"/>
    <w:rsid w:val="00CF5369"/>
    <w:rsid w:val="00D01041"/>
    <w:rsid w:val="00D1172E"/>
    <w:rsid w:val="00D12520"/>
    <w:rsid w:val="00D172CD"/>
    <w:rsid w:val="00D17C7D"/>
    <w:rsid w:val="00D332B2"/>
    <w:rsid w:val="00D33E56"/>
    <w:rsid w:val="00D36C4A"/>
    <w:rsid w:val="00D40B9D"/>
    <w:rsid w:val="00D430AA"/>
    <w:rsid w:val="00D70506"/>
    <w:rsid w:val="00D77917"/>
    <w:rsid w:val="00D91529"/>
    <w:rsid w:val="00D92789"/>
    <w:rsid w:val="00D932F7"/>
    <w:rsid w:val="00D93F76"/>
    <w:rsid w:val="00D958B0"/>
    <w:rsid w:val="00DA1738"/>
    <w:rsid w:val="00DA3E35"/>
    <w:rsid w:val="00DB42EB"/>
    <w:rsid w:val="00DB7A96"/>
    <w:rsid w:val="00DC2F9A"/>
    <w:rsid w:val="00DC4775"/>
    <w:rsid w:val="00DD5752"/>
    <w:rsid w:val="00DE2162"/>
    <w:rsid w:val="00DE2F7E"/>
    <w:rsid w:val="00DE4A48"/>
    <w:rsid w:val="00DE6125"/>
    <w:rsid w:val="00DF62FE"/>
    <w:rsid w:val="00E039C4"/>
    <w:rsid w:val="00E07A31"/>
    <w:rsid w:val="00E135D7"/>
    <w:rsid w:val="00E15490"/>
    <w:rsid w:val="00E20375"/>
    <w:rsid w:val="00E213EF"/>
    <w:rsid w:val="00E32F2A"/>
    <w:rsid w:val="00E35DAD"/>
    <w:rsid w:val="00E362E9"/>
    <w:rsid w:val="00E4685F"/>
    <w:rsid w:val="00E5467C"/>
    <w:rsid w:val="00E5622B"/>
    <w:rsid w:val="00E60DB5"/>
    <w:rsid w:val="00E623D9"/>
    <w:rsid w:val="00E65F54"/>
    <w:rsid w:val="00E668D0"/>
    <w:rsid w:val="00E6691A"/>
    <w:rsid w:val="00E751E4"/>
    <w:rsid w:val="00E84F60"/>
    <w:rsid w:val="00E853AD"/>
    <w:rsid w:val="00E90A80"/>
    <w:rsid w:val="00E93554"/>
    <w:rsid w:val="00EB207A"/>
    <w:rsid w:val="00EC12E9"/>
    <w:rsid w:val="00EC20CA"/>
    <w:rsid w:val="00ED018F"/>
    <w:rsid w:val="00ED72A7"/>
    <w:rsid w:val="00EE0D7C"/>
    <w:rsid w:val="00EE3AAB"/>
    <w:rsid w:val="00EF4E1A"/>
    <w:rsid w:val="00F03118"/>
    <w:rsid w:val="00F03A0B"/>
    <w:rsid w:val="00F04300"/>
    <w:rsid w:val="00F1388D"/>
    <w:rsid w:val="00F1660A"/>
    <w:rsid w:val="00F21982"/>
    <w:rsid w:val="00F24F4C"/>
    <w:rsid w:val="00F34505"/>
    <w:rsid w:val="00F417EB"/>
    <w:rsid w:val="00F42BC4"/>
    <w:rsid w:val="00F46B09"/>
    <w:rsid w:val="00F57D32"/>
    <w:rsid w:val="00F64AC1"/>
    <w:rsid w:val="00F6543D"/>
    <w:rsid w:val="00F65A72"/>
    <w:rsid w:val="00F67BFB"/>
    <w:rsid w:val="00F67D4B"/>
    <w:rsid w:val="00F70519"/>
    <w:rsid w:val="00F71BAA"/>
    <w:rsid w:val="00F73B5F"/>
    <w:rsid w:val="00F77785"/>
    <w:rsid w:val="00F84216"/>
    <w:rsid w:val="00F95821"/>
    <w:rsid w:val="00FA0805"/>
    <w:rsid w:val="00FA250F"/>
    <w:rsid w:val="00FA252C"/>
    <w:rsid w:val="00FA5938"/>
    <w:rsid w:val="00FA70D0"/>
    <w:rsid w:val="00FB092C"/>
    <w:rsid w:val="00FB1A67"/>
    <w:rsid w:val="00FB4504"/>
    <w:rsid w:val="00FB6014"/>
    <w:rsid w:val="00FC2928"/>
    <w:rsid w:val="00FC34CE"/>
    <w:rsid w:val="00FD02AC"/>
    <w:rsid w:val="00FD0D3B"/>
    <w:rsid w:val="00FD1156"/>
    <w:rsid w:val="00FD6D33"/>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2">
    <w:name w:val="Body Text 2"/>
    <w:basedOn w:val="Normal"/>
    <w:link w:val="BodyText2Char"/>
    <w:uiPriority w:val="99"/>
    <w:semiHidden/>
    <w:unhideWhenUsed/>
    <w:rsid w:val="00110616"/>
    <w:pPr>
      <w:spacing w:after="120" w:line="480" w:lineRule="auto"/>
    </w:pPr>
  </w:style>
  <w:style w:type="character" w:customStyle="1" w:styleId="BodyText2Char">
    <w:name w:val="Body Text 2 Char"/>
    <w:basedOn w:val="DefaultParagraphFont"/>
    <w:link w:val="BodyText2"/>
    <w:uiPriority w:val="99"/>
    <w:semiHidden/>
    <w:rsid w:val="00110616"/>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2">
    <w:name w:val="Body Text 2"/>
    <w:basedOn w:val="Normal"/>
    <w:link w:val="BodyText2Char"/>
    <w:uiPriority w:val="99"/>
    <w:semiHidden/>
    <w:unhideWhenUsed/>
    <w:rsid w:val="00110616"/>
    <w:pPr>
      <w:spacing w:after="120" w:line="480" w:lineRule="auto"/>
    </w:pPr>
  </w:style>
  <w:style w:type="character" w:customStyle="1" w:styleId="BodyText2Char">
    <w:name w:val="Body Text 2 Char"/>
    <w:basedOn w:val="DefaultParagraphFont"/>
    <w:link w:val="BodyText2"/>
    <w:uiPriority w:val="99"/>
    <w:semiHidden/>
    <w:rsid w:val="00110616"/>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A420-A0E8-4A80-9D77-63DCA0D7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5282</Words>
  <Characters>3012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valstij dividendēs izmaksājamo valsts akciju sabiedrības „Ceļu satiksmes drošības direkcija” peļņas daļu par 2014.gadu”” sākotnējās ietekmes novērtējuma ziņojums (anotācija)</vt:lpstr>
    </vt:vector>
  </TitlesOfParts>
  <Company>Satiksmes ministrija</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„Ceļu satiksmes drošības direkcija” peļņas daļu par 2014.gadu”” sākotnējās ietekmes novērtējuma ziņojums (anotācija)</dc:title>
  <dc:subject>anotācija</dc:subject>
  <dc:creator>J.Golubevs</dc:creator>
  <dc:description>67025701, Janis.Golubevs@csdd.gov.lv</dc:description>
  <cp:lastModifiedBy>Inga Strauta</cp:lastModifiedBy>
  <cp:revision>10</cp:revision>
  <cp:lastPrinted>2015-06-02T07:03:00Z</cp:lastPrinted>
  <dcterms:created xsi:type="dcterms:W3CDTF">2015-06-16T12:53:00Z</dcterms:created>
  <dcterms:modified xsi:type="dcterms:W3CDTF">2015-06-25T08:37:00Z</dcterms:modified>
</cp:coreProperties>
</file>