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42" w:rsidRPr="00D7208E" w:rsidRDefault="008124A9" w:rsidP="00DA7BB9">
      <w:pPr>
        <w:spacing w:after="0" w:line="240" w:lineRule="auto"/>
        <w:jc w:val="center"/>
        <w:rPr>
          <w:rFonts w:ascii="Times New Roman" w:hAnsi="Times New Roman"/>
          <w:b/>
          <w:bCs/>
          <w:sz w:val="24"/>
          <w:szCs w:val="24"/>
          <w:lang w:eastAsia="lv-LV"/>
        </w:rPr>
      </w:pPr>
      <w:r w:rsidRPr="00D7208E">
        <w:rPr>
          <w:rFonts w:ascii="Times New Roman" w:hAnsi="Times New Roman"/>
          <w:b/>
          <w:bCs/>
          <w:sz w:val="24"/>
          <w:szCs w:val="24"/>
        </w:rPr>
        <w:t>Ministru kabineta noteikumu projekta „</w:t>
      </w:r>
      <w:r w:rsidR="00FD4B5E" w:rsidRPr="00D7208E">
        <w:rPr>
          <w:rFonts w:ascii="Times New Roman" w:hAnsi="Times New Roman"/>
          <w:b/>
          <w:bCs/>
          <w:sz w:val="24"/>
          <w:szCs w:val="24"/>
        </w:rPr>
        <w:t xml:space="preserve">Grozījumi </w:t>
      </w:r>
      <w:r w:rsidR="00773A60" w:rsidRPr="00D7208E">
        <w:rPr>
          <w:rFonts w:ascii="Times New Roman" w:hAnsi="Times New Roman"/>
          <w:b/>
          <w:bCs/>
          <w:sz w:val="24"/>
          <w:szCs w:val="24"/>
        </w:rPr>
        <w:t>Ministru kabineta 2008</w:t>
      </w:r>
      <w:r w:rsidR="00DA7BB9" w:rsidRPr="00D7208E">
        <w:rPr>
          <w:rFonts w:ascii="Times New Roman" w:hAnsi="Times New Roman"/>
          <w:b/>
          <w:bCs/>
          <w:sz w:val="24"/>
          <w:szCs w:val="24"/>
        </w:rPr>
        <w:t xml:space="preserve">. gada </w:t>
      </w:r>
      <w:proofErr w:type="gramStart"/>
      <w:r w:rsidR="00773A60" w:rsidRPr="00D7208E">
        <w:rPr>
          <w:rFonts w:ascii="Times New Roman" w:hAnsi="Times New Roman"/>
          <w:b/>
          <w:bCs/>
          <w:sz w:val="24"/>
          <w:szCs w:val="24"/>
        </w:rPr>
        <w:t>17.marta</w:t>
      </w:r>
      <w:proofErr w:type="gramEnd"/>
      <w:r w:rsidRPr="00D7208E">
        <w:rPr>
          <w:rFonts w:ascii="Times New Roman" w:hAnsi="Times New Roman"/>
          <w:b/>
          <w:bCs/>
          <w:sz w:val="24"/>
          <w:szCs w:val="24"/>
        </w:rPr>
        <w:t xml:space="preserve"> </w:t>
      </w:r>
      <w:r w:rsidR="00DA7BB9" w:rsidRPr="00D7208E">
        <w:rPr>
          <w:rFonts w:ascii="Times New Roman" w:hAnsi="Times New Roman"/>
          <w:b/>
          <w:bCs/>
          <w:sz w:val="24"/>
          <w:szCs w:val="24"/>
        </w:rPr>
        <w:t>noteikumos Nr.</w:t>
      </w:r>
      <w:r w:rsidR="00773A60" w:rsidRPr="00D7208E">
        <w:rPr>
          <w:rFonts w:ascii="Times New Roman" w:hAnsi="Times New Roman"/>
          <w:b/>
          <w:bCs/>
          <w:sz w:val="24"/>
          <w:szCs w:val="24"/>
        </w:rPr>
        <w:t>176</w:t>
      </w:r>
      <w:r w:rsidR="00DA7BB9" w:rsidRPr="00D7208E">
        <w:rPr>
          <w:rFonts w:ascii="Times New Roman" w:hAnsi="Times New Roman"/>
          <w:b/>
          <w:bCs/>
          <w:sz w:val="24"/>
          <w:szCs w:val="24"/>
        </w:rPr>
        <w:t xml:space="preserve"> „</w:t>
      </w:r>
      <w:r w:rsidR="00DA7BB9" w:rsidRPr="00D7208E">
        <w:rPr>
          <w:rFonts w:ascii="Times New Roman" w:hAnsi="Times New Roman"/>
          <w:b/>
          <w:sz w:val="24"/>
          <w:szCs w:val="24"/>
        </w:rPr>
        <w:t xml:space="preserve">Noteikumi </w:t>
      </w:r>
      <w:r w:rsidR="00773A60" w:rsidRPr="00D7208E">
        <w:rPr>
          <w:rFonts w:ascii="Times New Roman" w:hAnsi="Times New Roman"/>
          <w:b/>
          <w:sz w:val="24"/>
          <w:szCs w:val="24"/>
        </w:rPr>
        <w:t>par īpaša dokumenta formu un saturu krimināltiesiskajā sadarbībā ar Eiropas Savienības dalībvalstīm</w:t>
      </w:r>
      <w:r w:rsidR="00DA7BB9" w:rsidRPr="00D7208E">
        <w:rPr>
          <w:rFonts w:ascii="Times New Roman" w:hAnsi="Times New Roman"/>
          <w:b/>
          <w:bCs/>
          <w:sz w:val="24"/>
          <w:szCs w:val="24"/>
        </w:rPr>
        <w:t xml:space="preserve">”” </w:t>
      </w:r>
      <w:r w:rsidR="00CE5242" w:rsidRPr="00D7208E">
        <w:rPr>
          <w:rFonts w:ascii="Times New Roman" w:hAnsi="Times New Roman"/>
          <w:b/>
          <w:bCs/>
          <w:sz w:val="24"/>
          <w:szCs w:val="24"/>
          <w:lang w:eastAsia="lv-LV"/>
        </w:rPr>
        <w:t xml:space="preserve">sākotnējās ietekmes novērtējuma </w:t>
      </w:r>
      <w:smartTag w:uri="schemas-tilde-lv/tildestengine" w:element="veidnes">
        <w:smartTagPr>
          <w:attr w:name="text" w:val="ziņojums"/>
          <w:attr w:name="baseform" w:val="ziņojums"/>
          <w:attr w:name="id" w:val="-1"/>
        </w:smartTagPr>
        <w:r w:rsidR="00CE5242" w:rsidRPr="00D7208E">
          <w:rPr>
            <w:rFonts w:ascii="Times New Roman" w:hAnsi="Times New Roman"/>
            <w:b/>
            <w:bCs/>
            <w:sz w:val="24"/>
            <w:szCs w:val="24"/>
            <w:lang w:eastAsia="lv-LV"/>
          </w:rPr>
          <w:t>ziņojums</w:t>
        </w:r>
      </w:smartTag>
      <w:r w:rsidR="00CE5242" w:rsidRPr="00D7208E">
        <w:rPr>
          <w:rFonts w:ascii="Times New Roman" w:hAnsi="Times New Roman"/>
          <w:b/>
          <w:bCs/>
          <w:sz w:val="24"/>
          <w:szCs w:val="24"/>
          <w:lang w:eastAsia="lv-LV"/>
        </w:rPr>
        <w:t xml:space="preserve"> (anotācija)</w:t>
      </w:r>
    </w:p>
    <w:p w:rsidR="000147FD" w:rsidRPr="00FB15C6" w:rsidRDefault="000147FD" w:rsidP="00DA7BB9">
      <w:pPr>
        <w:spacing w:after="0" w:line="240" w:lineRule="auto"/>
        <w:jc w:val="center"/>
        <w:rPr>
          <w:rFonts w:ascii="Times New Roman" w:hAnsi="Times New Roman"/>
          <w:b/>
          <w:bCs/>
          <w:sz w:val="26"/>
          <w:szCs w:val="26"/>
          <w:lang w:eastAsia="lv-LV"/>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380"/>
        <w:gridCol w:w="6520"/>
      </w:tblGrid>
      <w:tr w:rsidR="00CE5242" w:rsidRPr="00057FC2" w:rsidTr="006F5829">
        <w:tc>
          <w:tcPr>
            <w:tcW w:w="9356" w:type="dxa"/>
            <w:gridSpan w:val="3"/>
          </w:tcPr>
          <w:p w:rsidR="00CE5242" w:rsidRPr="00D7208E" w:rsidRDefault="00CE5242" w:rsidP="00A65F4C">
            <w:pPr>
              <w:spacing w:before="75" w:after="75" w:line="240" w:lineRule="auto"/>
              <w:jc w:val="center"/>
              <w:rPr>
                <w:rFonts w:ascii="Times New Roman" w:hAnsi="Times New Roman"/>
                <w:sz w:val="24"/>
                <w:szCs w:val="24"/>
                <w:lang w:eastAsia="lv-LV"/>
              </w:rPr>
            </w:pPr>
            <w:r w:rsidRPr="00D7208E">
              <w:rPr>
                <w:rFonts w:ascii="Times New Roman" w:hAnsi="Times New Roman"/>
                <w:b/>
                <w:bCs/>
                <w:sz w:val="24"/>
                <w:szCs w:val="24"/>
                <w:lang w:eastAsia="lv-LV"/>
              </w:rPr>
              <w:t> I. Tiesību akta projekta izstrādes nepieciešamība</w:t>
            </w:r>
          </w:p>
        </w:tc>
      </w:tr>
      <w:tr w:rsidR="00CE5242" w:rsidRPr="00057FC2" w:rsidTr="00D7208E">
        <w:trPr>
          <w:trHeight w:val="1140"/>
        </w:trPr>
        <w:tc>
          <w:tcPr>
            <w:tcW w:w="456" w:type="dxa"/>
          </w:tcPr>
          <w:p w:rsidR="00CE5242" w:rsidRPr="00D7208E" w:rsidRDefault="00CE5242" w:rsidP="0090620D">
            <w:pPr>
              <w:spacing w:before="75" w:after="75" w:line="240" w:lineRule="auto"/>
              <w:jc w:val="both"/>
              <w:rPr>
                <w:rFonts w:ascii="Times New Roman" w:hAnsi="Times New Roman"/>
                <w:sz w:val="24"/>
                <w:szCs w:val="24"/>
                <w:lang w:eastAsia="lv-LV"/>
              </w:rPr>
            </w:pPr>
            <w:r w:rsidRPr="00D7208E">
              <w:rPr>
                <w:rFonts w:ascii="Times New Roman" w:hAnsi="Times New Roman"/>
                <w:sz w:val="24"/>
                <w:szCs w:val="24"/>
                <w:lang w:eastAsia="lv-LV"/>
              </w:rPr>
              <w:t> 1.</w:t>
            </w:r>
          </w:p>
        </w:tc>
        <w:tc>
          <w:tcPr>
            <w:tcW w:w="2380" w:type="dxa"/>
          </w:tcPr>
          <w:p w:rsidR="00CE5242" w:rsidRPr="00D7208E" w:rsidRDefault="00CE5242" w:rsidP="0090620D">
            <w:pPr>
              <w:spacing w:before="75" w:after="75" w:line="240" w:lineRule="auto"/>
              <w:jc w:val="both"/>
              <w:rPr>
                <w:rFonts w:ascii="Times New Roman" w:hAnsi="Times New Roman"/>
                <w:sz w:val="24"/>
                <w:szCs w:val="24"/>
                <w:lang w:eastAsia="lv-LV"/>
              </w:rPr>
            </w:pPr>
            <w:r w:rsidRPr="00D7208E">
              <w:rPr>
                <w:rFonts w:ascii="Times New Roman" w:hAnsi="Times New Roman"/>
                <w:sz w:val="24"/>
                <w:szCs w:val="24"/>
                <w:lang w:eastAsia="lv-LV"/>
              </w:rPr>
              <w:t>Pamatojums</w:t>
            </w:r>
          </w:p>
        </w:tc>
        <w:tc>
          <w:tcPr>
            <w:tcW w:w="6520" w:type="dxa"/>
          </w:tcPr>
          <w:p w:rsidR="0048428B" w:rsidRPr="00D7208E" w:rsidRDefault="0048428B" w:rsidP="0048428B">
            <w:pPr>
              <w:spacing w:after="0" w:line="240" w:lineRule="auto"/>
              <w:ind w:firstLine="694"/>
              <w:jc w:val="both"/>
              <w:rPr>
                <w:rFonts w:ascii="Times New Roman" w:hAnsi="Times New Roman"/>
                <w:sz w:val="24"/>
                <w:szCs w:val="24"/>
                <w:lang w:eastAsia="lv-LV"/>
              </w:rPr>
            </w:pPr>
            <w:r w:rsidRPr="00D7208E">
              <w:rPr>
                <w:rFonts w:ascii="Times New Roman" w:hAnsi="Times New Roman"/>
                <w:sz w:val="24"/>
                <w:szCs w:val="24"/>
                <w:lang w:eastAsia="lv-LV"/>
              </w:rPr>
              <w:t>Kriminālprocesa likuma 678.panta ceturtā daļa paredz, ja krimināltiesiskajā sadarbībā ar Eiropas Savienības dalībvalstīm ir paredzēts īpašs dokuments, tā formu un saturu nosaka Ministru kabinets.</w:t>
            </w:r>
          </w:p>
          <w:p w:rsidR="00B1084A" w:rsidRPr="00D7208E" w:rsidRDefault="0048428B" w:rsidP="00BF3627">
            <w:pPr>
              <w:pStyle w:val="Sarakstarindkopa"/>
              <w:spacing w:after="0" w:line="240" w:lineRule="auto"/>
              <w:ind w:left="34" w:firstLine="425"/>
              <w:jc w:val="both"/>
              <w:rPr>
                <w:rFonts w:ascii="Times New Roman" w:hAnsi="Times New Roman"/>
                <w:b/>
                <w:sz w:val="24"/>
                <w:szCs w:val="24"/>
              </w:rPr>
            </w:pPr>
            <w:r w:rsidRPr="00D7208E">
              <w:rPr>
                <w:rFonts w:ascii="Times New Roman" w:hAnsi="Times New Roman"/>
                <w:sz w:val="24"/>
                <w:szCs w:val="24"/>
              </w:rPr>
              <w:tab/>
              <w:t xml:space="preserve">Eiropas Parlamenta un Padomes </w:t>
            </w:r>
            <w:proofErr w:type="gramStart"/>
            <w:r w:rsidR="00D64361" w:rsidRPr="006F10D4">
              <w:rPr>
                <w:rFonts w:ascii="Times New Roman" w:hAnsi="Times New Roman"/>
                <w:sz w:val="24"/>
                <w:szCs w:val="24"/>
              </w:rPr>
              <w:t>2011.gada</w:t>
            </w:r>
            <w:proofErr w:type="gramEnd"/>
            <w:r w:rsidR="00D64361" w:rsidRPr="006F10D4">
              <w:rPr>
                <w:rFonts w:ascii="Times New Roman" w:hAnsi="Times New Roman"/>
                <w:sz w:val="24"/>
                <w:szCs w:val="24"/>
              </w:rPr>
              <w:t xml:space="preserve"> 13.decembr</w:t>
            </w:r>
            <w:r w:rsidR="00D64361">
              <w:rPr>
                <w:rFonts w:ascii="Times New Roman" w:hAnsi="Times New Roman"/>
                <w:sz w:val="24"/>
                <w:szCs w:val="24"/>
              </w:rPr>
              <w:t>a</w:t>
            </w:r>
            <w:r w:rsidR="00D64361" w:rsidRPr="00D64361">
              <w:rPr>
                <w:rFonts w:ascii="Times New Roman" w:hAnsi="Times New Roman"/>
                <w:sz w:val="24"/>
                <w:szCs w:val="24"/>
              </w:rPr>
              <w:t xml:space="preserve"> </w:t>
            </w:r>
            <w:r w:rsidR="00D64361">
              <w:rPr>
                <w:rFonts w:ascii="Times New Roman" w:hAnsi="Times New Roman"/>
                <w:sz w:val="24"/>
                <w:szCs w:val="24"/>
              </w:rPr>
              <w:t>d</w:t>
            </w:r>
            <w:r w:rsidR="00D64361" w:rsidRPr="00D7208E">
              <w:rPr>
                <w:rFonts w:ascii="Times New Roman" w:hAnsi="Times New Roman"/>
                <w:sz w:val="24"/>
                <w:szCs w:val="24"/>
              </w:rPr>
              <w:t xml:space="preserve">irektīva </w:t>
            </w:r>
            <w:r w:rsidRPr="00D7208E">
              <w:rPr>
                <w:rFonts w:ascii="Times New Roman" w:hAnsi="Times New Roman"/>
                <w:sz w:val="24"/>
                <w:szCs w:val="24"/>
              </w:rPr>
              <w:t>2011/99/ES par Eiropas aizsardzības rīkojumu (turpmāk – Direktīva) stājās spēkā 2012.gada 10.janvārī.</w:t>
            </w:r>
            <w:r w:rsidR="00B1084A" w:rsidRPr="00D7208E">
              <w:rPr>
                <w:rFonts w:ascii="Times New Roman" w:hAnsi="Times New Roman"/>
                <w:sz w:val="24"/>
                <w:szCs w:val="24"/>
              </w:rPr>
              <w:t xml:space="preserve"> Atbilstoši Direktīvas 21.pantam tās pārņemšanas termiņš dalībvalsts tiesību aktos ir </w:t>
            </w:r>
            <w:r w:rsidR="00B1084A" w:rsidRPr="00D7208E">
              <w:rPr>
                <w:rFonts w:ascii="Times New Roman" w:hAnsi="Times New Roman"/>
                <w:b/>
                <w:sz w:val="24"/>
                <w:szCs w:val="24"/>
              </w:rPr>
              <w:t>2015.gada 11.janvāris.</w:t>
            </w:r>
          </w:p>
          <w:p w:rsidR="00685599" w:rsidRPr="00D7208E" w:rsidRDefault="0048428B" w:rsidP="00BF3627">
            <w:pPr>
              <w:pStyle w:val="Sarakstarindkopa"/>
              <w:spacing w:after="0" w:line="240" w:lineRule="auto"/>
              <w:ind w:left="34" w:firstLine="425"/>
              <w:jc w:val="both"/>
              <w:rPr>
                <w:rFonts w:ascii="Times New Roman" w:hAnsi="Times New Roman"/>
                <w:sz w:val="24"/>
                <w:szCs w:val="24"/>
              </w:rPr>
            </w:pPr>
            <w:r w:rsidRPr="00D7208E">
              <w:rPr>
                <w:rFonts w:ascii="Times New Roman" w:hAnsi="Times New Roman"/>
                <w:sz w:val="24"/>
                <w:szCs w:val="24"/>
              </w:rPr>
              <w:t>Saeimā 2014.gada 11.decembrī 2.lasījumā pieņemts likumprojekts „Grozījumi Kriminālprocesa likumā”, kurā ietvertas normas, ar kurām tiek pārņemtas Direktīvas prasības,</w:t>
            </w:r>
            <w:r w:rsidR="003D2675" w:rsidRPr="00D7208E">
              <w:rPr>
                <w:rFonts w:ascii="Times New Roman" w:hAnsi="Times New Roman"/>
                <w:sz w:val="24"/>
                <w:szCs w:val="24"/>
              </w:rPr>
              <w:t xml:space="preserve"> līdz ar to</w:t>
            </w:r>
            <w:r w:rsidRPr="00D7208E">
              <w:rPr>
                <w:rFonts w:ascii="Times New Roman" w:hAnsi="Times New Roman"/>
                <w:sz w:val="24"/>
                <w:szCs w:val="24"/>
              </w:rPr>
              <w:t xml:space="preserve"> </w:t>
            </w:r>
            <w:r w:rsidR="00BF3627" w:rsidRPr="00D7208E">
              <w:rPr>
                <w:rFonts w:ascii="Times New Roman" w:hAnsi="Times New Roman"/>
                <w:sz w:val="24"/>
                <w:szCs w:val="24"/>
              </w:rPr>
              <w:t xml:space="preserve">ir nepieciešams papildināt </w:t>
            </w:r>
            <w:r w:rsidR="00BF3627" w:rsidRPr="00D7208E">
              <w:rPr>
                <w:rFonts w:ascii="Times New Roman" w:hAnsi="Times New Roman"/>
                <w:bCs/>
                <w:sz w:val="24"/>
                <w:szCs w:val="24"/>
              </w:rPr>
              <w:t xml:space="preserve"> Ministru kabineta 2008. gada 17.marta noteikumus Nr.176 „</w:t>
            </w:r>
            <w:r w:rsidR="00BF3627" w:rsidRPr="00D7208E">
              <w:rPr>
                <w:rFonts w:ascii="Times New Roman" w:hAnsi="Times New Roman"/>
                <w:sz w:val="24"/>
                <w:szCs w:val="24"/>
              </w:rPr>
              <w:t>Noteikumi par īpaša dokumenta formu un saturu krimināltiesiskajā sadarbībā ar Eiropas Savienības dalībvalstīm” (turpmāk – Noteikumi).</w:t>
            </w:r>
          </w:p>
        </w:tc>
      </w:tr>
      <w:tr w:rsidR="00CE5242" w:rsidRPr="00057FC2" w:rsidTr="00D7208E">
        <w:trPr>
          <w:trHeight w:val="274"/>
        </w:trPr>
        <w:tc>
          <w:tcPr>
            <w:tcW w:w="456" w:type="dxa"/>
          </w:tcPr>
          <w:p w:rsidR="00CE5242" w:rsidRPr="00D7208E" w:rsidRDefault="00CE5242" w:rsidP="0090620D">
            <w:pPr>
              <w:spacing w:before="75" w:after="75" w:line="240" w:lineRule="auto"/>
              <w:jc w:val="both"/>
              <w:rPr>
                <w:rFonts w:ascii="Times New Roman" w:hAnsi="Times New Roman"/>
                <w:sz w:val="24"/>
                <w:szCs w:val="24"/>
                <w:lang w:eastAsia="lv-LV"/>
              </w:rPr>
            </w:pPr>
            <w:r w:rsidRPr="00D7208E">
              <w:rPr>
                <w:rFonts w:ascii="Times New Roman" w:hAnsi="Times New Roman"/>
                <w:sz w:val="24"/>
                <w:szCs w:val="24"/>
                <w:lang w:eastAsia="lv-LV"/>
              </w:rPr>
              <w:t> 2.</w:t>
            </w:r>
          </w:p>
        </w:tc>
        <w:tc>
          <w:tcPr>
            <w:tcW w:w="2380" w:type="dxa"/>
          </w:tcPr>
          <w:p w:rsidR="00CE5242" w:rsidRPr="00D7208E" w:rsidRDefault="00A67D3C" w:rsidP="0090620D">
            <w:pPr>
              <w:spacing w:before="75" w:after="75" w:line="240" w:lineRule="auto"/>
              <w:jc w:val="both"/>
              <w:rPr>
                <w:rFonts w:ascii="Times New Roman" w:hAnsi="Times New Roman"/>
                <w:sz w:val="24"/>
                <w:szCs w:val="24"/>
                <w:lang w:eastAsia="lv-LV"/>
              </w:rPr>
            </w:pPr>
            <w:r w:rsidRPr="00D7208E">
              <w:rPr>
                <w:rFonts w:ascii="Times New Roman" w:hAnsi="Times New Roman"/>
                <w:sz w:val="24"/>
                <w:szCs w:val="24"/>
                <w:lang w:eastAsia="lv-LV"/>
              </w:rPr>
              <w:t>Pašreizējā situācija un problēmas, kuru risināšanai tiesību akta projekts izstrādāts, tiesiskā regulējuma mērķis un būtība</w:t>
            </w:r>
          </w:p>
        </w:tc>
        <w:tc>
          <w:tcPr>
            <w:tcW w:w="6520" w:type="dxa"/>
          </w:tcPr>
          <w:p w:rsidR="00606652" w:rsidRPr="00D7208E" w:rsidRDefault="00606652" w:rsidP="00606652">
            <w:pPr>
              <w:spacing w:after="0" w:line="240" w:lineRule="auto"/>
              <w:ind w:firstLine="603"/>
              <w:jc w:val="both"/>
              <w:rPr>
                <w:rFonts w:ascii="Times New Roman" w:hAnsi="Times New Roman"/>
                <w:sz w:val="24"/>
                <w:szCs w:val="24"/>
              </w:rPr>
            </w:pPr>
            <w:r w:rsidRPr="00D7208E">
              <w:rPr>
                <w:rFonts w:ascii="Times New Roman" w:hAnsi="Times New Roman"/>
                <w:sz w:val="24"/>
                <w:szCs w:val="24"/>
              </w:rPr>
              <w:t>Saskaņā ar KPL 678.panta ceturto daļu, ja krimināltiesiskajā sadarbībā ar ES dalībvalstīm ir paredzēts īpašs dokuments, tā formu un saturu nosaka Ministru kabinets.</w:t>
            </w:r>
          </w:p>
          <w:p w:rsidR="00BF3627" w:rsidRPr="00D7208E" w:rsidRDefault="00606652" w:rsidP="00AA3D81">
            <w:pPr>
              <w:spacing w:after="0" w:line="240" w:lineRule="auto"/>
              <w:ind w:firstLine="603"/>
              <w:jc w:val="both"/>
              <w:rPr>
                <w:rFonts w:ascii="Times New Roman" w:hAnsi="Times New Roman"/>
                <w:sz w:val="24"/>
                <w:szCs w:val="24"/>
              </w:rPr>
            </w:pPr>
            <w:r w:rsidRPr="00D7208E">
              <w:rPr>
                <w:rFonts w:ascii="Times New Roman" w:hAnsi="Times New Roman"/>
                <w:sz w:val="24"/>
                <w:szCs w:val="24"/>
              </w:rPr>
              <w:t>Ar likumpro</w:t>
            </w:r>
            <w:r w:rsidR="003D2675" w:rsidRPr="00D7208E">
              <w:rPr>
                <w:rFonts w:ascii="Times New Roman" w:hAnsi="Times New Roman"/>
                <w:sz w:val="24"/>
                <w:szCs w:val="24"/>
              </w:rPr>
              <w:t>jektu „Grozījumi Kriminālprocesa likumā</w:t>
            </w:r>
            <w:r w:rsidRPr="00D7208E">
              <w:rPr>
                <w:rFonts w:ascii="Times New Roman" w:hAnsi="Times New Roman"/>
                <w:sz w:val="24"/>
                <w:szCs w:val="24"/>
              </w:rPr>
              <w:t>” tiek ieviests jauns dokuments krimināltiesiskajā sadarbībā – Eiropas aizsardzības rīkojums, ko Valsts policija</w:t>
            </w:r>
            <w:r w:rsidR="00AA3D81" w:rsidRPr="00D7208E">
              <w:rPr>
                <w:rFonts w:ascii="Times New Roman" w:hAnsi="Times New Roman"/>
                <w:sz w:val="24"/>
                <w:szCs w:val="24"/>
              </w:rPr>
              <w:t xml:space="preserve"> </w:t>
            </w:r>
            <w:r w:rsidRPr="00D7208E">
              <w:rPr>
                <w:rFonts w:ascii="Times New Roman" w:hAnsi="Times New Roman"/>
                <w:sz w:val="24"/>
                <w:szCs w:val="24"/>
              </w:rPr>
              <w:t>pieņem gadījumos, kad cietušā vai liecinieka aizsardzībai aizdomās turētajai, apsūdzētajai vai notiesāt</w:t>
            </w:r>
            <w:r w:rsidR="00680FCC" w:rsidRPr="00D7208E">
              <w:rPr>
                <w:rFonts w:ascii="Times New Roman" w:hAnsi="Times New Roman"/>
                <w:sz w:val="24"/>
                <w:szCs w:val="24"/>
              </w:rPr>
              <w:t>a</w:t>
            </w:r>
            <w:r w:rsidRPr="00D7208E">
              <w:rPr>
                <w:rFonts w:ascii="Times New Roman" w:hAnsi="Times New Roman"/>
                <w:sz w:val="24"/>
                <w:szCs w:val="24"/>
              </w:rPr>
              <w:t xml:space="preserve">jai personai ir </w:t>
            </w:r>
            <w:r w:rsidR="00680FCC" w:rsidRPr="00D7208E">
              <w:rPr>
                <w:rFonts w:ascii="Times New Roman" w:hAnsi="Times New Roman"/>
                <w:sz w:val="24"/>
                <w:szCs w:val="24"/>
              </w:rPr>
              <w:t xml:space="preserve">piemērots tāds ar brīvības atņemšanu nesaistīts drošības līdzeklis vai alternatīva sankcija, kas paredz aizliegumu apmeklēt noteiktu, apvidu, vietu vai teritoriju, aizliegumu kontaktēties ar cietušo vai liecinieku vai tuvoties cietušajam vai lieciniekam. </w:t>
            </w:r>
            <w:r w:rsidR="00AA3D81" w:rsidRPr="00D7208E">
              <w:rPr>
                <w:rFonts w:ascii="Times New Roman" w:hAnsi="Times New Roman"/>
                <w:sz w:val="24"/>
                <w:szCs w:val="24"/>
              </w:rPr>
              <w:t xml:space="preserve">Eiropas aizsardzības rīkojums tiek pieņemts, pamatojoties uz cietušā vai liecinieka iesniegumu, ja minētā persona vēlas atstāt Latvijas teritoriju uz laiku, kas nav īsāks par trīs mēnešiem. </w:t>
            </w:r>
          </w:p>
          <w:p w:rsidR="00BF3627" w:rsidRPr="00D7208E" w:rsidRDefault="00BF3627" w:rsidP="00AA3D81">
            <w:pPr>
              <w:spacing w:after="0" w:line="240" w:lineRule="auto"/>
              <w:ind w:firstLine="603"/>
              <w:jc w:val="both"/>
              <w:rPr>
                <w:rFonts w:ascii="Times New Roman" w:hAnsi="Times New Roman"/>
                <w:sz w:val="24"/>
                <w:szCs w:val="24"/>
              </w:rPr>
            </w:pPr>
            <w:r w:rsidRPr="00D7208E">
              <w:rPr>
                <w:rFonts w:ascii="Times New Roman" w:hAnsi="Times New Roman"/>
                <w:sz w:val="24"/>
                <w:szCs w:val="24"/>
              </w:rPr>
              <w:t xml:space="preserve">Direktīva arī paredz īpašu veidlapu, kas izmantojama tajos gadījumos, kad tās dalībvalsts kompetentā iestāde, kura atzinusi citas dalībvalsts Eiropas aizsardzības rīkojumu, konstatē Eiropas aizsardzības rīkojumā noteiktā aizsardzības pasākuma pārkāpumu. </w:t>
            </w:r>
          </w:p>
          <w:p w:rsidR="00667244" w:rsidRPr="00D7208E" w:rsidRDefault="00BF3627" w:rsidP="00BF3627">
            <w:pPr>
              <w:spacing w:after="0" w:line="240" w:lineRule="auto"/>
              <w:ind w:firstLine="603"/>
              <w:jc w:val="both"/>
              <w:rPr>
                <w:rFonts w:ascii="Times New Roman" w:hAnsi="Times New Roman"/>
                <w:iCs/>
                <w:color w:val="000000"/>
                <w:sz w:val="24"/>
                <w:szCs w:val="24"/>
              </w:rPr>
            </w:pPr>
            <w:r w:rsidRPr="00D7208E">
              <w:rPr>
                <w:rFonts w:ascii="Times New Roman" w:hAnsi="Times New Roman"/>
                <w:sz w:val="24"/>
                <w:szCs w:val="24"/>
              </w:rPr>
              <w:t>Ņemot vērā minēto, ir nepieciešams papildināt</w:t>
            </w:r>
            <w:r w:rsidR="00AA3D81" w:rsidRPr="00D7208E">
              <w:rPr>
                <w:rFonts w:ascii="Times New Roman" w:hAnsi="Times New Roman"/>
                <w:sz w:val="24"/>
                <w:szCs w:val="24"/>
              </w:rPr>
              <w:t xml:space="preserve"> </w:t>
            </w:r>
            <w:r w:rsidRPr="00D7208E">
              <w:rPr>
                <w:rFonts w:ascii="Times New Roman" w:hAnsi="Times New Roman"/>
                <w:bCs/>
                <w:sz w:val="24"/>
                <w:szCs w:val="24"/>
              </w:rPr>
              <w:t>Noteikumus</w:t>
            </w:r>
            <w:r w:rsidRPr="00D7208E">
              <w:rPr>
                <w:rFonts w:ascii="Times New Roman" w:hAnsi="Times New Roman"/>
                <w:sz w:val="24"/>
                <w:szCs w:val="24"/>
              </w:rPr>
              <w:t xml:space="preserve"> ar 2.11. un 2.12.punktu, kas paredz šo dokumentu iz</w:t>
            </w:r>
            <w:r w:rsidR="003D2675" w:rsidRPr="00D7208E">
              <w:rPr>
                <w:rFonts w:ascii="Times New Roman" w:hAnsi="Times New Roman"/>
                <w:sz w:val="24"/>
                <w:szCs w:val="24"/>
              </w:rPr>
              <w:t>mantošanu, kā arī ar jaunu 11. u</w:t>
            </w:r>
            <w:r w:rsidRPr="00D7208E">
              <w:rPr>
                <w:rFonts w:ascii="Times New Roman" w:hAnsi="Times New Roman"/>
                <w:sz w:val="24"/>
                <w:szCs w:val="24"/>
              </w:rPr>
              <w:t xml:space="preserve">n 12.pielikumu, kas nosaka šo dokumentu formu un saturu. </w:t>
            </w:r>
          </w:p>
        </w:tc>
      </w:tr>
      <w:tr w:rsidR="00CE5242" w:rsidRPr="00057FC2" w:rsidTr="00D7208E">
        <w:trPr>
          <w:trHeight w:val="694"/>
        </w:trPr>
        <w:tc>
          <w:tcPr>
            <w:tcW w:w="456" w:type="dxa"/>
          </w:tcPr>
          <w:p w:rsidR="00CE5242" w:rsidRPr="00D7208E" w:rsidRDefault="00CE5242" w:rsidP="0090620D">
            <w:pPr>
              <w:spacing w:before="75" w:after="75" w:line="240" w:lineRule="auto"/>
              <w:jc w:val="both"/>
              <w:rPr>
                <w:rFonts w:ascii="Times New Roman" w:hAnsi="Times New Roman"/>
                <w:sz w:val="24"/>
                <w:szCs w:val="24"/>
                <w:lang w:eastAsia="lv-LV"/>
              </w:rPr>
            </w:pPr>
            <w:r w:rsidRPr="00D7208E">
              <w:rPr>
                <w:rFonts w:ascii="Times New Roman" w:hAnsi="Times New Roman"/>
                <w:sz w:val="24"/>
                <w:szCs w:val="24"/>
                <w:lang w:eastAsia="lv-LV"/>
              </w:rPr>
              <w:t> 3.</w:t>
            </w:r>
          </w:p>
        </w:tc>
        <w:tc>
          <w:tcPr>
            <w:tcW w:w="2380" w:type="dxa"/>
          </w:tcPr>
          <w:p w:rsidR="00CE5242" w:rsidRPr="00D7208E" w:rsidRDefault="00A67D3C" w:rsidP="002A0E80">
            <w:pPr>
              <w:spacing w:after="0" w:line="240" w:lineRule="auto"/>
              <w:jc w:val="both"/>
              <w:rPr>
                <w:rFonts w:ascii="Times New Roman" w:hAnsi="Times New Roman"/>
                <w:sz w:val="24"/>
                <w:szCs w:val="24"/>
              </w:rPr>
            </w:pPr>
            <w:r w:rsidRPr="00D7208E">
              <w:rPr>
                <w:rFonts w:ascii="Times New Roman" w:hAnsi="Times New Roman"/>
                <w:sz w:val="24"/>
                <w:szCs w:val="24"/>
                <w:lang w:eastAsia="lv-LV"/>
              </w:rPr>
              <w:t>Projekta</w:t>
            </w:r>
            <w:r w:rsidRPr="00D7208E">
              <w:rPr>
                <w:rFonts w:ascii="Times New Roman" w:hAnsi="Times New Roman"/>
                <w:sz w:val="24"/>
                <w:szCs w:val="24"/>
              </w:rPr>
              <w:t xml:space="preserve"> izstrādē iesaistītās institūcijas</w:t>
            </w:r>
          </w:p>
        </w:tc>
        <w:tc>
          <w:tcPr>
            <w:tcW w:w="6520" w:type="dxa"/>
          </w:tcPr>
          <w:p w:rsidR="00CE5242" w:rsidRPr="00D7208E" w:rsidRDefault="0016356A" w:rsidP="002A0E80">
            <w:pPr>
              <w:spacing w:after="0" w:line="240" w:lineRule="auto"/>
              <w:ind w:firstLine="603"/>
              <w:jc w:val="both"/>
              <w:rPr>
                <w:rFonts w:ascii="Times New Roman" w:hAnsi="Times New Roman"/>
                <w:sz w:val="24"/>
                <w:szCs w:val="24"/>
              </w:rPr>
            </w:pPr>
            <w:r w:rsidRPr="00D7208E">
              <w:rPr>
                <w:rFonts w:ascii="Times New Roman" w:hAnsi="Times New Roman"/>
                <w:sz w:val="24"/>
                <w:szCs w:val="24"/>
              </w:rPr>
              <w:t xml:space="preserve">Projekts šo jomu neskar. </w:t>
            </w:r>
          </w:p>
        </w:tc>
      </w:tr>
      <w:tr w:rsidR="00CE5242" w:rsidRPr="00057FC2" w:rsidTr="00D7208E">
        <w:trPr>
          <w:trHeight w:val="70"/>
        </w:trPr>
        <w:tc>
          <w:tcPr>
            <w:tcW w:w="456" w:type="dxa"/>
          </w:tcPr>
          <w:p w:rsidR="00CE5242" w:rsidRPr="00D7208E" w:rsidRDefault="00CE5242" w:rsidP="0090620D">
            <w:pPr>
              <w:spacing w:after="0" w:line="240" w:lineRule="auto"/>
              <w:jc w:val="both"/>
              <w:rPr>
                <w:rFonts w:ascii="Times New Roman" w:hAnsi="Times New Roman"/>
                <w:sz w:val="24"/>
                <w:szCs w:val="24"/>
                <w:lang w:eastAsia="lv-LV"/>
              </w:rPr>
            </w:pPr>
            <w:r w:rsidRPr="00D7208E">
              <w:rPr>
                <w:rFonts w:ascii="Times New Roman" w:hAnsi="Times New Roman"/>
                <w:sz w:val="24"/>
                <w:szCs w:val="24"/>
                <w:lang w:eastAsia="lv-LV"/>
              </w:rPr>
              <w:lastRenderedPageBreak/>
              <w:t> 4.</w:t>
            </w:r>
          </w:p>
        </w:tc>
        <w:tc>
          <w:tcPr>
            <w:tcW w:w="2380" w:type="dxa"/>
          </w:tcPr>
          <w:p w:rsidR="00CE5242" w:rsidRPr="00D7208E" w:rsidRDefault="00A67D3C" w:rsidP="00E34975">
            <w:pPr>
              <w:spacing w:after="0" w:line="240" w:lineRule="auto"/>
              <w:jc w:val="both"/>
              <w:rPr>
                <w:rFonts w:ascii="Times New Roman" w:hAnsi="Times New Roman"/>
                <w:sz w:val="24"/>
                <w:szCs w:val="24"/>
              </w:rPr>
            </w:pPr>
            <w:r w:rsidRPr="00D7208E">
              <w:rPr>
                <w:rFonts w:ascii="Times New Roman" w:hAnsi="Times New Roman"/>
                <w:sz w:val="24"/>
                <w:szCs w:val="24"/>
              </w:rPr>
              <w:t>Cita informācija</w:t>
            </w:r>
          </w:p>
        </w:tc>
        <w:tc>
          <w:tcPr>
            <w:tcW w:w="6520" w:type="dxa"/>
          </w:tcPr>
          <w:p w:rsidR="006A4D7F" w:rsidRPr="00D7208E" w:rsidRDefault="00FC2A5D" w:rsidP="002A0E80">
            <w:pPr>
              <w:pStyle w:val="naiskr"/>
              <w:spacing w:before="0" w:after="0"/>
              <w:ind w:firstLine="603"/>
              <w:jc w:val="both"/>
              <w:rPr>
                <w:lang w:eastAsia="en-US"/>
              </w:rPr>
            </w:pPr>
            <w:r w:rsidRPr="00D7208E">
              <w:rPr>
                <w:lang w:eastAsia="en-US"/>
              </w:rPr>
              <w:t xml:space="preserve">Nav attiecināms. </w:t>
            </w:r>
          </w:p>
        </w:tc>
      </w:tr>
    </w:tbl>
    <w:p w:rsidR="00136F50" w:rsidRPr="00D7208E" w:rsidRDefault="00136F50" w:rsidP="000147FD">
      <w:pPr>
        <w:spacing w:after="0" w:line="240" w:lineRule="auto"/>
        <w:ind w:firstLine="375"/>
        <w:jc w:val="both"/>
        <w:rPr>
          <w:rFonts w:ascii="Times New Roman" w:hAnsi="Times New Roman"/>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7"/>
        <w:gridCol w:w="1656"/>
        <w:gridCol w:w="1183"/>
        <w:gridCol w:w="1272"/>
        <w:gridCol w:w="2408"/>
        <w:gridCol w:w="2410"/>
      </w:tblGrid>
      <w:tr w:rsidR="00A31126" w:rsidRPr="00057FC2" w:rsidTr="00D7208E">
        <w:trPr>
          <w:trHeight w:val="484"/>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A31126" w:rsidRPr="00D7208E" w:rsidRDefault="00A31126" w:rsidP="00F76307">
            <w:pPr>
              <w:spacing w:after="0" w:line="240" w:lineRule="auto"/>
              <w:ind w:firstLine="300"/>
              <w:jc w:val="center"/>
              <w:rPr>
                <w:rFonts w:ascii="Times New Roman" w:hAnsi="Times New Roman"/>
                <w:b/>
                <w:bCs/>
                <w:sz w:val="24"/>
                <w:szCs w:val="24"/>
                <w:lang w:eastAsia="lv-LV"/>
              </w:rPr>
            </w:pPr>
            <w:r w:rsidRPr="00D7208E">
              <w:rPr>
                <w:rFonts w:ascii="Times New Roman" w:hAnsi="Times New Roman"/>
                <w:b/>
                <w:bCs/>
                <w:sz w:val="24"/>
                <w:szCs w:val="24"/>
                <w:lang w:eastAsia="lv-LV"/>
              </w:rPr>
              <w:t>V. Tiesību akta projekta atbilstība Latvijas Republikas starptautiskajām saistībām</w:t>
            </w:r>
          </w:p>
        </w:tc>
      </w:tr>
      <w:tr w:rsidR="00A31126" w:rsidRPr="00057FC2" w:rsidTr="006F5829">
        <w:tc>
          <w:tcPr>
            <w:tcW w:w="228" w:type="pct"/>
            <w:tcBorders>
              <w:top w:val="outset" w:sz="6" w:space="0" w:color="414142"/>
              <w:left w:val="outset" w:sz="6" w:space="0" w:color="414142"/>
              <w:bottom w:val="outset" w:sz="6" w:space="0" w:color="414142"/>
              <w:right w:val="outset" w:sz="6" w:space="0" w:color="414142"/>
            </w:tcBorders>
            <w:hideMark/>
          </w:tcPr>
          <w:p w:rsidR="00A31126" w:rsidRPr="00D7208E" w:rsidRDefault="00A31126" w:rsidP="00F76307">
            <w:pPr>
              <w:spacing w:after="0" w:line="240" w:lineRule="auto"/>
              <w:jc w:val="both"/>
              <w:rPr>
                <w:rFonts w:ascii="Times New Roman" w:hAnsi="Times New Roman"/>
                <w:sz w:val="24"/>
                <w:szCs w:val="24"/>
                <w:lang w:eastAsia="lv-LV"/>
              </w:rPr>
            </w:pPr>
            <w:r w:rsidRPr="00D7208E">
              <w:rPr>
                <w:rFonts w:ascii="Times New Roman" w:hAnsi="Times New Roman"/>
                <w:sz w:val="24"/>
                <w:szCs w:val="24"/>
                <w:lang w:eastAsia="lv-LV"/>
              </w:rPr>
              <w:t>1.</w:t>
            </w:r>
          </w:p>
        </w:tc>
        <w:tc>
          <w:tcPr>
            <w:tcW w:w="1517" w:type="pct"/>
            <w:gridSpan w:val="2"/>
            <w:tcBorders>
              <w:top w:val="outset" w:sz="6" w:space="0" w:color="414142"/>
              <w:left w:val="outset" w:sz="6" w:space="0" w:color="414142"/>
              <w:bottom w:val="outset" w:sz="6" w:space="0" w:color="414142"/>
              <w:right w:val="outset" w:sz="6" w:space="0" w:color="414142"/>
            </w:tcBorders>
            <w:hideMark/>
          </w:tcPr>
          <w:p w:rsidR="00A31126" w:rsidRPr="00D7208E" w:rsidRDefault="00A31126" w:rsidP="00F76307">
            <w:pPr>
              <w:spacing w:after="0" w:line="240" w:lineRule="auto"/>
              <w:jc w:val="both"/>
              <w:rPr>
                <w:rFonts w:ascii="Times New Roman" w:hAnsi="Times New Roman"/>
                <w:sz w:val="24"/>
                <w:szCs w:val="24"/>
                <w:lang w:eastAsia="lv-LV"/>
              </w:rPr>
            </w:pPr>
            <w:r w:rsidRPr="00D7208E">
              <w:rPr>
                <w:rFonts w:ascii="Times New Roman" w:hAnsi="Times New Roman"/>
                <w:sz w:val="24"/>
                <w:szCs w:val="24"/>
                <w:lang w:eastAsia="lv-LV"/>
              </w:rPr>
              <w:t>Saistības pret Eiropas Savienību</w:t>
            </w:r>
          </w:p>
        </w:tc>
        <w:tc>
          <w:tcPr>
            <w:tcW w:w="3255" w:type="pct"/>
            <w:gridSpan w:val="3"/>
            <w:tcBorders>
              <w:top w:val="outset" w:sz="6" w:space="0" w:color="414142"/>
              <w:left w:val="outset" w:sz="6" w:space="0" w:color="414142"/>
              <w:bottom w:val="outset" w:sz="6" w:space="0" w:color="414142"/>
              <w:right w:val="outset" w:sz="6" w:space="0" w:color="414142"/>
            </w:tcBorders>
            <w:hideMark/>
          </w:tcPr>
          <w:p w:rsidR="00A31126" w:rsidRPr="00D7208E" w:rsidRDefault="00A31126" w:rsidP="00F76307">
            <w:pPr>
              <w:spacing w:after="0" w:line="240" w:lineRule="auto"/>
              <w:ind w:firstLine="459"/>
              <w:jc w:val="both"/>
              <w:rPr>
                <w:rFonts w:ascii="Times New Roman" w:hAnsi="Times New Roman"/>
                <w:b/>
                <w:sz w:val="24"/>
                <w:szCs w:val="24"/>
              </w:rPr>
            </w:pPr>
            <w:r w:rsidRPr="00D7208E">
              <w:rPr>
                <w:rFonts w:ascii="Times New Roman" w:hAnsi="Times New Roman"/>
                <w:sz w:val="24"/>
                <w:szCs w:val="24"/>
              </w:rPr>
              <w:t xml:space="preserve">2011.gada 13.decembrī pieņemta Eiropas Parlamenta un Padomes direktīva 2011/99/ES par Eiropas aizsardzības rīkojumu, kas </w:t>
            </w:r>
            <w:r w:rsidRPr="00D7208E">
              <w:rPr>
                <w:rFonts w:ascii="Times New Roman" w:hAnsi="Times New Roman"/>
                <w:b/>
                <w:sz w:val="24"/>
                <w:szCs w:val="24"/>
              </w:rPr>
              <w:t>stājās spēkā 2012.gada 10.janvārī.</w:t>
            </w:r>
          </w:p>
          <w:p w:rsidR="00A31126" w:rsidRPr="00D7208E" w:rsidRDefault="00A31126" w:rsidP="003D2675">
            <w:pPr>
              <w:spacing w:after="0" w:line="240" w:lineRule="auto"/>
              <w:ind w:firstLine="459"/>
              <w:jc w:val="both"/>
              <w:rPr>
                <w:rFonts w:ascii="Times New Roman" w:hAnsi="Times New Roman"/>
                <w:b/>
                <w:sz w:val="24"/>
                <w:szCs w:val="24"/>
              </w:rPr>
            </w:pPr>
            <w:r w:rsidRPr="00D7208E">
              <w:rPr>
                <w:rFonts w:ascii="Times New Roman" w:hAnsi="Times New Roman"/>
                <w:sz w:val="24"/>
                <w:szCs w:val="24"/>
              </w:rPr>
              <w:t xml:space="preserve">Saskaņā ar direktīvas 21.pantu tās </w:t>
            </w:r>
            <w:r w:rsidRPr="00D7208E">
              <w:rPr>
                <w:rFonts w:ascii="Times New Roman" w:hAnsi="Times New Roman"/>
                <w:b/>
                <w:sz w:val="24"/>
                <w:szCs w:val="24"/>
              </w:rPr>
              <w:t>pārņemšanas termiņš</w:t>
            </w:r>
            <w:r w:rsidRPr="00D7208E">
              <w:rPr>
                <w:rFonts w:ascii="Times New Roman" w:hAnsi="Times New Roman"/>
                <w:sz w:val="24"/>
                <w:szCs w:val="24"/>
              </w:rPr>
              <w:t xml:space="preserve"> ir </w:t>
            </w:r>
            <w:r w:rsidRPr="00D7208E">
              <w:rPr>
                <w:rFonts w:ascii="Times New Roman" w:hAnsi="Times New Roman"/>
                <w:b/>
                <w:sz w:val="24"/>
                <w:szCs w:val="24"/>
              </w:rPr>
              <w:t>2015.gada 11.janvāris.</w:t>
            </w:r>
          </w:p>
        </w:tc>
      </w:tr>
      <w:tr w:rsidR="00A31126" w:rsidRPr="00057FC2" w:rsidTr="006F5829">
        <w:tc>
          <w:tcPr>
            <w:tcW w:w="228" w:type="pct"/>
            <w:tcBorders>
              <w:top w:val="outset" w:sz="6" w:space="0" w:color="414142"/>
              <w:left w:val="outset" w:sz="6" w:space="0" w:color="414142"/>
              <w:bottom w:val="outset" w:sz="6" w:space="0" w:color="414142"/>
              <w:right w:val="outset" w:sz="6" w:space="0" w:color="414142"/>
            </w:tcBorders>
            <w:hideMark/>
          </w:tcPr>
          <w:p w:rsidR="00A31126" w:rsidRPr="00D7208E" w:rsidRDefault="00A31126" w:rsidP="00F76307">
            <w:pPr>
              <w:spacing w:after="0" w:line="240" w:lineRule="auto"/>
              <w:jc w:val="both"/>
              <w:rPr>
                <w:rFonts w:ascii="Times New Roman" w:hAnsi="Times New Roman"/>
                <w:sz w:val="24"/>
                <w:szCs w:val="24"/>
                <w:lang w:eastAsia="lv-LV"/>
              </w:rPr>
            </w:pPr>
            <w:r w:rsidRPr="00D7208E">
              <w:rPr>
                <w:rFonts w:ascii="Times New Roman" w:hAnsi="Times New Roman"/>
                <w:sz w:val="24"/>
                <w:szCs w:val="24"/>
                <w:lang w:eastAsia="lv-LV"/>
              </w:rPr>
              <w:t>2.</w:t>
            </w:r>
          </w:p>
        </w:tc>
        <w:tc>
          <w:tcPr>
            <w:tcW w:w="1517" w:type="pct"/>
            <w:gridSpan w:val="2"/>
            <w:tcBorders>
              <w:top w:val="outset" w:sz="6" w:space="0" w:color="414142"/>
              <w:left w:val="outset" w:sz="6" w:space="0" w:color="414142"/>
              <w:bottom w:val="outset" w:sz="6" w:space="0" w:color="414142"/>
              <w:right w:val="outset" w:sz="6" w:space="0" w:color="414142"/>
            </w:tcBorders>
            <w:hideMark/>
          </w:tcPr>
          <w:p w:rsidR="00A31126" w:rsidRPr="00D7208E" w:rsidRDefault="00A31126" w:rsidP="00F76307">
            <w:pPr>
              <w:spacing w:after="0" w:line="240" w:lineRule="auto"/>
              <w:jc w:val="both"/>
              <w:rPr>
                <w:rFonts w:ascii="Times New Roman" w:hAnsi="Times New Roman"/>
                <w:sz w:val="24"/>
                <w:szCs w:val="24"/>
                <w:lang w:eastAsia="lv-LV"/>
              </w:rPr>
            </w:pPr>
            <w:r w:rsidRPr="00D7208E">
              <w:rPr>
                <w:rFonts w:ascii="Times New Roman" w:hAnsi="Times New Roman"/>
                <w:sz w:val="24"/>
                <w:szCs w:val="24"/>
                <w:lang w:eastAsia="lv-LV"/>
              </w:rPr>
              <w:t>Citas starptautiskās saistības</w:t>
            </w:r>
          </w:p>
        </w:tc>
        <w:tc>
          <w:tcPr>
            <w:tcW w:w="3255" w:type="pct"/>
            <w:gridSpan w:val="3"/>
            <w:tcBorders>
              <w:top w:val="outset" w:sz="6" w:space="0" w:color="414142"/>
              <w:left w:val="outset" w:sz="6" w:space="0" w:color="414142"/>
              <w:bottom w:val="outset" w:sz="6" w:space="0" w:color="414142"/>
              <w:right w:val="outset" w:sz="6" w:space="0" w:color="414142"/>
            </w:tcBorders>
            <w:hideMark/>
          </w:tcPr>
          <w:p w:rsidR="00A31126" w:rsidRPr="00D7208E" w:rsidRDefault="00A31126" w:rsidP="00F76307">
            <w:pPr>
              <w:spacing w:after="0" w:line="240" w:lineRule="auto"/>
              <w:ind w:left="57"/>
              <w:jc w:val="both"/>
              <w:rPr>
                <w:rFonts w:ascii="Times New Roman" w:hAnsi="Times New Roman"/>
                <w:sz w:val="24"/>
                <w:szCs w:val="24"/>
                <w:lang w:eastAsia="lv-LV"/>
              </w:rPr>
            </w:pPr>
            <w:r w:rsidRPr="00D7208E">
              <w:rPr>
                <w:rFonts w:ascii="Times New Roman" w:hAnsi="Times New Roman"/>
                <w:sz w:val="24"/>
                <w:szCs w:val="24"/>
                <w:lang w:eastAsia="lv-LV"/>
              </w:rPr>
              <w:t xml:space="preserve">Projekts šo jomu neskar. </w:t>
            </w:r>
          </w:p>
        </w:tc>
      </w:tr>
      <w:tr w:rsidR="00A31126" w:rsidRPr="00057FC2" w:rsidTr="006F5829">
        <w:tc>
          <w:tcPr>
            <w:tcW w:w="228" w:type="pct"/>
            <w:tcBorders>
              <w:top w:val="outset" w:sz="6" w:space="0" w:color="414142"/>
              <w:left w:val="outset" w:sz="6" w:space="0" w:color="414142"/>
              <w:bottom w:val="outset" w:sz="6" w:space="0" w:color="414142"/>
              <w:right w:val="outset" w:sz="6" w:space="0" w:color="414142"/>
            </w:tcBorders>
            <w:hideMark/>
          </w:tcPr>
          <w:p w:rsidR="00A31126" w:rsidRPr="00D7208E" w:rsidRDefault="00A31126" w:rsidP="00F76307">
            <w:pPr>
              <w:spacing w:after="0" w:line="240" w:lineRule="auto"/>
              <w:jc w:val="both"/>
              <w:rPr>
                <w:rFonts w:ascii="Times New Roman" w:hAnsi="Times New Roman"/>
                <w:sz w:val="24"/>
                <w:szCs w:val="24"/>
                <w:lang w:eastAsia="lv-LV"/>
              </w:rPr>
            </w:pPr>
            <w:r w:rsidRPr="00D7208E">
              <w:rPr>
                <w:rFonts w:ascii="Times New Roman" w:hAnsi="Times New Roman"/>
                <w:sz w:val="24"/>
                <w:szCs w:val="24"/>
                <w:lang w:eastAsia="lv-LV"/>
              </w:rPr>
              <w:t>3.</w:t>
            </w:r>
          </w:p>
        </w:tc>
        <w:tc>
          <w:tcPr>
            <w:tcW w:w="1517" w:type="pct"/>
            <w:gridSpan w:val="2"/>
            <w:tcBorders>
              <w:top w:val="outset" w:sz="6" w:space="0" w:color="414142"/>
              <w:left w:val="outset" w:sz="6" w:space="0" w:color="414142"/>
              <w:bottom w:val="outset" w:sz="6" w:space="0" w:color="414142"/>
              <w:right w:val="outset" w:sz="6" w:space="0" w:color="414142"/>
            </w:tcBorders>
            <w:hideMark/>
          </w:tcPr>
          <w:p w:rsidR="00A31126" w:rsidRPr="00D7208E" w:rsidRDefault="00A31126" w:rsidP="00F76307">
            <w:pPr>
              <w:spacing w:after="0" w:line="240" w:lineRule="auto"/>
              <w:jc w:val="both"/>
              <w:rPr>
                <w:rFonts w:ascii="Times New Roman" w:hAnsi="Times New Roman"/>
                <w:sz w:val="24"/>
                <w:szCs w:val="24"/>
                <w:lang w:eastAsia="lv-LV"/>
              </w:rPr>
            </w:pPr>
            <w:r w:rsidRPr="00D7208E">
              <w:rPr>
                <w:rFonts w:ascii="Times New Roman" w:hAnsi="Times New Roman"/>
                <w:sz w:val="24"/>
                <w:szCs w:val="24"/>
                <w:lang w:eastAsia="lv-LV"/>
              </w:rPr>
              <w:t>Cita informācija</w:t>
            </w:r>
          </w:p>
        </w:tc>
        <w:tc>
          <w:tcPr>
            <w:tcW w:w="3255" w:type="pct"/>
            <w:gridSpan w:val="3"/>
            <w:tcBorders>
              <w:top w:val="outset" w:sz="6" w:space="0" w:color="414142"/>
              <w:left w:val="outset" w:sz="6" w:space="0" w:color="414142"/>
              <w:bottom w:val="outset" w:sz="6" w:space="0" w:color="414142"/>
              <w:right w:val="outset" w:sz="6" w:space="0" w:color="414142"/>
            </w:tcBorders>
            <w:hideMark/>
          </w:tcPr>
          <w:p w:rsidR="00A31126" w:rsidRPr="00D7208E" w:rsidRDefault="00A31126" w:rsidP="00F76307">
            <w:pPr>
              <w:spacing w:after="0" w:line="240" w:lineRule="auto"/>
              <w:ind w:firstLine="14"/>
              <w:jc w:val="both"/>
              <w:rPr>
                <w:rFonts w:ascii="Times New Roman" w:hAnsi="Times New Roman"/>
                <w:sz w:val="24"/>
                <w:szCs w:val="24"/>
                <w:lang w:eastAsia="lv-LV"/>
              </w:rPr>
            </w:pPr>
            <w:r w:rsidRPr="00D7208E">
              <w:rPr>
                <w:rFonts w:ascii="Times New Roman" w:hAnsi="Times New Roman"/>
                <w:sz w:val="24"/>
                <w:szCs w:val="24"/>
                <w:lang w:eastAsia="lv-LV"/>
              </w:rPr>
              <w:t>Nav.</w:t>
            </w:r>
          </w:p>
        </w:tc>
      </w:tr>
      <w:tr w:rsidR="00A31126" w:rsidRPr="00057FC2" w:rsidTr="006F582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23"/>
        </w:trPr>
        <w:tc>
          <w:tcPr>
            <w:tcW w:w="5000" w:type="pct"/>
            <w:gridSpan w:val="6"/>
            <w:tcBorders>
              <w:top w:val="outset" w:sz="6" w:space="0" w:color="auto"/>
              <w:left w:val="outset" w:sz="6" w:space="0" w:color="auto"/>
              <w:bottom w:val="outset" w:sz="6" w:space="0" w:color="auto"/>
              <w:right w:val="outset" w:sz="6" w:space="0" w:color="auto"/>
            </w:tcBorders>
            <w:vAlign w:val="center"/>
          </w:tcPr>
          <w:p w:rsidR="00A31126" w:rsidRPr="00D7208E" w:rsidRDefault="00A31126" w:rsidP="00F76307">
            <w:pPr>
              <w:spacing w:after="0" w:line="240" w:lineRule="auto"/>
              <w:ind w:left="57"/>
              <w:jc w:val="center"/>
              <w:rPr>
                <w:rFonts w:ascii="Times New Roman" w:hAnsi="Times New Roman"/>
                <w:b/>
                <w:sz w:val="24"/>
                <w:szCs w:val="24"/>
                <w:lang w:eastAsia="lv-LV"/>
              </w:rPr>
            </w:pPr>
            <w:r w:rsidRPr="00D7208E">
              <w:rPr>
                <w:rFonts w:ascii="Times New Roman" w:hAnsi="Times New Roman"/>
                <w:b/>
                <w:sz w:val="24"/>
                <w:szCs w:val="24"/>
                <w:lang w:eastAsia="lv-LV"/>
              </w:rPr>
              <w:t>1.tabula</w:t>
            </w:r>
          </w:p>
          <w:p w:rsidR="00A31126" w:rsidRPr="00D7208E" w:rsidRDefault="00A31126" w:rsidP="00057FC2">
            <w:pPr>
              <w:spacing w:after="0" w:line="240" w:lineRule="auto"/>
              <w:ind w:left="57"/>
              <w:jc w:val="center"/>
              <w:rPr>
                <w:rFonts w:ascii="Times New Roman" w:hAnsi="Times New Roman"/>
                <w:b/>
                <w:sz w:val="24"/>
                <w:szCs w:val="24"/>
                <w:lang w:eastAsia="lv-LV"/>
              </w:rPr>
            </w:pPr>
            <w:r w:rsidRPr="00D7208E">
              <w:rPr>
                <w:rFonts w:ascii="Times New Roman" w:hAnsi="Times New Roman"/>
                <w:b/>
                <w:sz w:val="24"/>
                <w:szCs w:val="24"/>
                <w:lang w:eastAsia="lv-LV"/>
              </w:rPr>
              <w:t>Tiesību akta projekta atbilstība ES tiesību aktiem</w:t>
            </w:r>
          </w:p>
        </w:tc>
      </w:tr>
      <w:tr w:rsidR="00A31126" w:rsidRPr="00057FC2" w:rsidTr="006F5829">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Pr>
        <w:tc>
          <w:tcPr>
            <w:tcW w:w="1113" w:type="pct"/>
            <w:gridSpan w:val="2"/>
            <w:tcBorders>
              <w:top w:val="outset" w:sz="6" w:space="0" w:color="auto"/>
              <w:left w:val="outset" w:sz="6" w:space="0" w:color="auto"/>
              <w:bottom w:val="outset" w:sz="6" w:space="0" w:color="auto"/>
              <w:right w:val="outset" w:sz="6" w:space="0" w:color="auto"/>
            </w:tcBorders>
          </w:tcPr>
          <w:p w:rsidR="00A31126" w:rsidRPr="00D7208E" w:rsidRDefault="00A31126" w:rsidP="00F76307">
            <w:pPr>
              <w:spacing w:after="0" w:line="240" w:lineRule="auto"/>
              <w:ind w:left="57"/>
              <w:jc w:val="both"/>
              <w:rPr>
                <w:rFonts w:ascii="Times New Roman" w:hAnsi="Times New Roman"/>
                <w:sz w:val="24"/>
                <w:szCs w:val="24"/>
                <w:lang w:eastAsia="lv-LV"/>
              </w:rPr>
            </w:pPr>
            <w:r w:rsidRPr="00D7208E">
              <w:rPr>
                <w:rFonts w:ascii="Times New Roman" w:hAnsi="Times New Roman"/>
                <w:sz w:val="24"/>
                <w:szCs w:val="24"/>
                <w:lang w:eastAsia="lv-LV"/>
              </w:rPr>
              <w:t>Attiecīgā ES tiesību akta datums, numurs un nosaukums</w:t>
            </w:r>
          </w:p>
        </w:tc>
        <w:tc>
          <w:tcPr>
            <w:tcW w:w="3887" w:type="pct"/>
            <w:gridSpan w:val="4"/>
            <w:tcBorders>
              <w:top w:val="outset" w:sz="6" w:space="0" w:color="auto"/>
              <w:left w:val="outset" w:sz="6" w:space="0" w:color="auto"/>
              <w:bottom w:val="outset" w:sz="6" w:space="0" w:color="auto"/>
              <w:right w:val="outset" w:sz="6" w:space="0" w:color="auto"/>
            </w:tcBorders>
          </w:tcPr>
          <w:p w:rsidR="00A31126" w:rsidRPr="00D7208E" w:rsidRDefault="00A31126" w:rsidP="00F76307">
            <w:pPr>
              <w:spacing w:after="0" w:line="240" w:lineRule="auto"/>
              <w:ind w:left="57"/>
              <w:jc w:val="both"/>
              <w:rPr>
                <w:rFonts w:ascii="Times New Roman" w:hAnsi="Times New Roman"/>
                <w:sz w:val="24"/>
                <w:szCs w:val="24"/>
                <w:lang w:eastAsia="lv-LV"/>
              </w:rPr>
            </w:pPr>
            <w:r w:rsidRPr="00D7208E">
              <w:rPr>
                <w:rFonts w:ascii="Times New Roman" w:hAnsi="Times New Roman"/>
                <w:sz w:val="24"/>
                <w:szCs w:val="24"/>
                <w:lang w:eastAsia="lv-LV"/>
              </w:rPr>
              <w:t xml:space="preserve">Eiropas Parlamenta un Padomes 2011.gada 13.decembra direktīva 2011/99/ES par Eiropas aizsardzības rīkojumu. </w:t>
            </w:r>
          </w:p>
        </w:tc>
      </w:tr>
      <w:tr w:rsidR="00A31126" w:rsidRPr="00057FC2" w:rsidTr="00057FC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Pr>
        <w:tc>
          <w:tcPr>
            <w:tcW w:w="1113" w:type="pct"/>
            <w:gridSpan w:val="2"/>
            <w:tcBorders>
              <w:top w:val="outset" w:sz="6" w:space="0" w:color="auto"/>
              <w:left w:val="outset" w:sz="6" w:space="0" w:color="auto"/>
              <w:bottom w:val="outset" w:sz="6" w:space="0" w:color="auto"/>
              <w:right w:val="outset" w:sz="6" w:space="0" w:color="auto"/>
            </w:tcBorders>
            <w:vAlign w:val="center"/>
          </w:tcPr>
          <w:p w:rsidR="00A31126" w:rsidRPr="00D7208E" w:rsidRDefault="00A31126" w:rsidP="00F76307">
            <w:pPr>
              <w:spacing w:after="0" w:line="240" w:lineRule="auto"/>
              <w:ind w:left="57"/>
              <w:jc w:val="center"/>
              <w:rPr>
                <w:rFonts w:ascii="Times New Roman" w:hAnsi="Times New Roman"/>
                <w:sz w:val="24"/>
                <w:szCs w:val="24"/>
                <w:lang w:eastAsia="lv-LV"/>
              </w:rPr>
            </w:pPr>
            <w:r w:rsidRPr="00D7208E">
              <w:rPr>
                <w:rFonts w:ascii="Times New Roman" w:hAnsi="Times New Roman"/>
                <w:sz w:val="24"/>
                <w:szCs w:val="24"/>
                <w:lang w:eastAsia="lv-LV"/>
              </w:rPr>
              <w:t>A</w:t>
            </w:r>
          </w:p>
        </w:tc>
        <w:tc>
          <w:tcPr>
            <w:tcW w:w="1312" w:type="pct"/>
            <w:gridSpan w:val="2"/>
            <w:tcBorders>
              <w:top w:val="outset" w:sz="6" w:space="0" w:color="auto"/>
              <w:left w:val="outset" w:sz="6" w:space="0" w:color="auto"/>
              <w:bottom w:val="outset" w:sz="6" w:space="0" w:color="auto"/>
              <w:right w:val="outset" w:sz="6" w:space="0" w:color="auto"/>
            </w:tcBorders>
            <w:vAlign w:val="center"/>
          </w:tcPr>
          <w:p w:rsidR="00A31126" w:rsidRPr="00D7208E" w:rsidRDefault="00A31126" w:rsidP="00F76307">
            <w:pPr>
              <w:spacing w:after="0" w:line="240" w:lineRule="auto"/>
              <w:ind w:left="57"/>
              <w:jc w:val="center"/>
              <w:rPr>
                <w:rFonts w:ascii="Times New Roman" w:hAnsi="Times New Roman"/>
                <w:sz w:val="24"/>
                <w:szCs w:val="24"/>
                <w:lang w:eastAsia="lv-LV"/>
              </w:rPr>
            </w:pPr>
            <w:r w:rsidRPr="00D7208E">
              <w:rPr>
                <w:rFonts w:ascii="Times New Roman" w:hAnsi="Times New Roman"/>
                <w:sz w:val="24"/>
                <w:szCs w:val="24"/>
                <w:lang w:eastAsia="lv-LV"/>
              </w:rPr>
              <w:t>B</w:t>
            </w:r>
          </w:p>
        </w:tc>
        <w:tc>
          <w:tcPr>
            <w:tcW w:w="1287" w:type="pct"/>
            <w:tcBorders>
              <w:top w:val="outset" w:sz="6" w:space="0" w:color="auto"/>
              <w:left w:val="outset" w:sz="6" w:space="0" w:color="auto"/>
              <w:bottom w:val="outset" w:sz="6" w:space="0" w:color="auto"/>
              <w:right w:val="outset" w:sz="6" w:space="0" w:color="auto"/>
            </w:tcBorders>
            <w:vAlign w:val="center"/>
          </w:tcPr>
          <w:p w:rsidR="00A31126" w:rsidRPr="00D7208E" w:rsidRDefault="00A31126" w:rsidP="00F76307">
            <w:pPr>
              <w:spacing w:after="0" w:line="240" w:lineRule="auto"/>
              <w:ind w:left="57"/>
              <w:jc w:val="center"/>
              <w:rPr>
                <w:rFonts w:ascii="Times New Roman" w:hAnsi="Times New Roman"/>
                <w:sz w:val="24"/>
                <w:szCs w:val="24"/>
                <w:lang w:eastAsia="lv-LV"/>
              </w:rPr>
            </w:pPr>
            <w:r w:rsidRPr="00D7208E">
              <w:rPr>
                <w:rFonts w:ascii="Times New Roman" w:hAnsi="Times New Roman"/>
                <w:sz w:val="24"/>
                <w:szCs w:val="24"/>
                <w:lang w:eastAsia="lv-LV"/>
              </w:rPr>
              <w:t>C</w:t>
            </w:r>
          </w:p>
        </w:tc>
        <w:tc>
          <w:tcPr>
            <w:tcW w:w="1288" w:type="pct"/>
            <w:tcBorders>
              <w:top w:val="outset" w:sz="6" w:space="0" w:color="auto"/>
              <w:left w:val="outset" w:sz="6" w:space="0" w:color="auto"/>
              <w:bottom w:val="outset" w:sz="6" w:space="0" w:color="auto"/>
              <w:right w:val="outset" w:sz="6" w:space="0" w:color="auto"/>
            </w:tcBorders>
            <w:vAlign w:val="center"/>
          </w:tcPr>
          <w:p w:rsidR="00A31126" w:rsidRPr="00D7208E" w:rsidRDefault="00A31126" w:rsidP="00F76307">
            <w:pPr>
              <w:spacing w:after="0" w:line="240" w:lineRule="auto"/>
              <w:ind w:left="57"/>
              <w:jc w:val="center"/>
              <w:rPr>
                <w:rFonts w:ascii="Times New Roman" w:hAnsi="Times New Roman"/>
                <w:sz w:val="24"/>
                <w:szCs w:val="24"/>
                <w:lang w:eastAsia="lv-LV"/>
              </w:rPr>
            </w:pPr>
            <w:r w:rsidRPr="00D7208E">
              <w:rPr>
                <w:rFonts w:ascii="Times New Roman" w:hAnsi="Times New Roman"/>
                <w:sz w:val="24"/>
                <w:szCs w:val="24"/>
                <w:lang w:eastAsia="lv-LV"/>
              </w:rPr>
              <w:t>D</w:t>
            </w:r>
          </w:p>
        </w:tc>
      </w:tr>
      <w:tr w:rsidR="00A31126" w:rsidRPr="00057FC2" w:rsidTr="00D7208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6870"/>
        </w:trPr>
        <w:tc>
          <w:tcPr>
            <w:tcW w:w="1113" w:type="pct"/>
            <w:gridSpan w:val="2"/>
            <w:tcBorders>
              <w:top w:val="outset" w:sz="6" w:space="0" w:color="auto"/>
              <w:left w:val="outset" w:sz="6" w:space="0" w:color="auto"/>
              <w:bottom w:val="outset" w:sz="6" w:space="0" w:color="auto"/>
              <w:right w:val="outset" w:sz="6" w:space="0" w:color="auto"/>
            </w:tcBorders>
          </w:tcPr>
          <w:p w:rsidR="00A31126" w:rsidRPr="00D7208E" w:rsidRDefault="00A31126" w:rsidP="00F76307">
            <w:pPr>
              <w:spacing w:after="0" w:line="240" w:lineRule="auto"/>
              <w:ind w:left="57"/>
              <w:jc w:val="both"/>
              <w:rPr>
                <w:rFonts w:ascii="Times New Roman" w:hAnsi="Times New Roman"/>
                <w:spacing w:val="-3"/>
                <w:sz w:val="24"/>
                <w:szCs w:val="24"/>
                <w:lang w:eastAsia="lv-LV"/>
              </w:rPr>
            </w:pPr>
            <w:bookmarkStart w:id="0" w:name="_GoBack" w:colFirst="2" w:colLast="2"/>
            <w:r w:rsidRPr="00D7208E">
              <w:rPr>
                <w:rFonts w:ascii="Times New Roman" w:hAnsi="Times New Roman"/>
                <w:spacing w:val="-3"/>
                <w:sz w:val="24"/>
                <w:szCs w:val="24"/>
                <w:lang w:eastAsia="lv-LV"/>
              </w:rPr>
              <w:t>Attiecīgā ES tiesību akta panta numurs (uzskaitot katru tiesību akta vienību – pantu, daļu, punktu, apakšpunktu)</w:t>
            </w:r>
          </w:p>
        </w:tc>
        <w:tc>
          <w:tcPr>
            <w:tcW w:w="1312" w:type="pct"/>
            <w:gridSpan w:val="2"/>
            <w:tcBorders>
              <w:top w:val="outset" w:sz="6" w:space="0" w:color="auto"/>
              <w:left w:val="outset" w:sz="6" w:space="0" w:color="auto"/>
              <w:bottom w:val="outset" w:sz="6" w:space="0" w:color="auto"/>
              <w:right w:val="outset" w:sz="6" w:space="0" w:color="auto"/>
            </w:tcBorders>
          </w:tcPr>
          <w:p w:rsidR="00A31126" w:rsidRPr="00D7208E" w:rsidRDefault="00A31126" w:rsidP="00F76307">
            <w:pPr>
              <w:spacing w:after="0" w:line="240" w:lineRule="auto"/>
              <w:ind w:left="57"/>
              <w:jc w:val="both"/>
              <w:rPr>
                <w:rFonts w:ascii="Times New Roman" w:hAnsi="Times New Roman"/>
                <w:spacing w:val="-3"/>
                <w:sz w:val="24"/>
                <w:szCs w:val="24"/>
                <w:lang w:eastAsia="lv-LV"/>
              </w:rPr>
            </w:pPr>
            <w:r w:rsidRPr="00D7208E">
              <w:rPr>
                <w:rFonts w:ascii="Times New Roman" w:hAnsi="Times New Roman"/>
                <w:spacing w:val="-3"/>
                <w:sz w:val="24"/>
                <w:szCs w:val="24"/>
                <w:lang w:eastAsia="lv-LV"/>
              </w:rPr>
              <w:t xml:space="preserve">Projekta vienība, kas pārņem vai ievieš katru šīs tabulas A ailē minēto ES tiesību akta vienību, vai tiesību </w:t>
            </w:r>
            <w:smartTag w:uri="schemas-tilde-lv/tildestengine" w:element="veidnes">
              <w:smartTagPr>
                <w:attr w:name="id" w:val="-1"/>
                <w:attr w:name="baseform" w:val="akts"/>
                <w:attr w:name="text" w:val="akts"/>
              </w:smartTagPr>
              <w:r w:rsidRPr="00D7208E">
                <w:rPr>
                  <w:rFonts w:ascii="Times New Roman" w:hAnsi="Times New Roman"/>
                  <w:spacing w:val="-3"/>
                  <w:sz w:val="24"/>
                  <w:szCs w:val="24"/>
                  <w:lang w:eastAsia="lv-LV"/>
                </w:rPr>
                <w:t>akts</w:t>
              </w:r>
            </w:smartTag>
            <w:r w:rsidRPr="00D7208E">
              <w:rPr>
                <w:rFonts w:ascii="Times New Roman" w:hAnsi="Times New Roman"/>
                <w:spacing w:val="-3"/>
                <w:sz w:val="24"/>
                <w:szCs w:val="24"/>
                <w:lang w:eastAsia="lv-LV"/>
              </w:rPr>
              <w:t>, kur attiecīgā ES tiesību akta vienība pārņemta vai ieviesta</w:t>
            </w:r>
          </w:p>
        </w:tc>
        <w:tc>
          <w:tcPr>
            <w:tcW w:w="1287" w:type="pct"/>
            <w:tcBorders>
              <w:top w:val="outset" w:sz="6" w:space="0" w:color="auto"/>
              <w:left w:val="outset" w:sz="6" w:space="0" w:color="auto"/>
              <w:bottom w:val="outset" w:sz="6" w:space="0" w:color="auto"/>
              <w:right w:val="outset" w:sz="6" w:space="0" w:color="auto"/>
            </w:tcBorders>
          </w:tcPr>
          <w:p w:rsidR="00A31126" w:rsidRPr="00D7208E" w:rsidRDefault="00A31126" w:rsidP="00F76307">
            <w:pPr>
              <w:spacing w:after="0" w:line="240" w:lineRule="auto"/>
              <w:ind w:left="57"/>
              <w:jc w:val="both"/>
              <w:rPr>
                <w:rFonts w:ascii="Times New Roman" w:hAnsi="Times New Roman"/>
                <w:spacing w:val="-3"/>
                <w:sz w:val="24"/>
                <w:szCs w:val="24"/>
                <w:lang w:eastAsia="lv-LV"/>
              </w:rPr>
            </w:pPr>
            <w:r w:rsidRPr="00D7208E">
              <w:rPr>
                <w:rFonts w:ascii="Times New Roman" w:hAnsi="Times New Roman"/>
                <w:spacing w:val="-3"/>
                <w:sz w:val="24"/>
                <w:szCs w:val="24"/>
                <w:lang w:eastAsia="lv-LV"/>
              </w:rPr>
              <w:t>Informācija par to, vai šīs tabulas A ailē minētās ES tiesību akta vienības tiek pārņemtas vai ieviestas pilnībā vai daļēji.</w:t>
            </w:r>
          </w:p>
          <w:p w:rsidR="00A31126" w:rsidRPr="00D7208E" w:rsidRDefault="00A31126" w:rsidP="00F76307">
            <w:pPr>
              <w:spacing w:after="0" w:line="240" w:lineRule="auto"/>
              <w:ind w:left="57"/>
              <w:jc w:val="both"/>
              <w:rPr>
                <w:rFonts w:ascii="Times New Roman" w:hAnsi="Times New Roman"/>
                <w:spacing w:val="-3"/>
                <w:sz w:val="24"/>
                <w:szCs w:val="24"/>
                <w:lang w:eastAsia="lv-LV"/>
              </w:rPr>
            </w:pPr>
            <w:r w:rsidRPr="00D7208E">
              <w:rPr>
                <w:rFonts w:ascii="Times New Roman" w:hAnsi="Times New Roman"/>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A31126" w:rsidRPr="00D7208E" w:rsidRDefault="00A31126" w:rsidP="00F76307">
            <w:pPr>
              <w:spacing w:after="0" w:line="240" w:lineRule="auto"/>
              <w:ind w:left="57"/>
              <w:jc w:val="both"/>
              <w:rPr>
                <w:rFonts w:ascii="Times New Roman" w:hAnsi="Times New Roman"/>
                <w:spacing w:val="-3"/>
                <w:sz w:val="24"/>
                <w:szCs w:val="24"/>
                <w:lang w:eastAsia="lv-LV"/>
              </w:rPr>
            </w:pPr>
            <w:r w:rsidRPr="00D7208E">
              <w:rPr>
                <w:rFonts w:ascii="Times New Roman" w:hAnsi="Times New Roman"/>
                <w:spacing w:val="-3"/>
                <w:sz w:val="24"/>
                <w:szCs w:val="24"/>
                <w:lang w:eastAsia="lv-LV"/>
              </w:rPr>
              <w:t>Norāda institūciju, kas ir atbildīga par šo saistību izpildi pilnībā</w:t>
            </w:r>
          </w:p>
        </w:tc>
        <w:tc>
          <w:tcPr>
            <w:tcW w:w="1288" w:type="pct"/>
            <w:tcBorders>
              <w:top w:val="outset" w:sz="6" w:space="0" w:color="auto"/>
              <w:left w:val="outset" w:sz="6" w:space="0" w:color="auto"/>
              <w:bottom w:val="outset" w:sz="6" w:space="0" w:color="auto"/>
              <w:right w:val="outset" w:sz="6" w:space="0" w:color="auto"/>
            </w:tcBorders>
          </w:tcPr>
          <w:p w:rsidR="00A31126" w:rsidRPr="00D7208E" w:rsidRDefault="00A31126" w:rsidP="00F76307">
            <w:pPr>
              <w:spacing w:after="0" w:line="240" w:lineRule="auto"/>
              <w:ind w:left="57"/>
              <w:jc w:val="both"/>
              <w:rPr>
                <w:rFonts w:ascii="Times New Roman" w:hAnsi="Times New Roman"/>
                <w:sz w:val="24"/>
                <w:szCs w:val="24"/>
                <w:lang w:eastAsia="lv-LV"/>
              </w:rPr>
            </w:pPr>
            <w:r w:rsidRPr="00D7208E">
              <w:rPr>
                <w:rFonts w:ascii="Times New Roman" w:hAnsi="Times New Roman"/>
                <w:spacing w:val="-3"/>
                <w:sz w:val="24"/>
                <w:szCs w:val="24"/>
                <w:lang w:eastAsia="lv-LV"/>
              </w:rPr>
              <w:t xml:space="preserve">Informācija par to, vai šīs </w:t>
            </w:r>
            <w:r w:rsidRPr="00D7208E">
              <w:rPr>
                <w:rFonts w:ascii="Times New Roman" w:hAnsi="Times New Roman"/>
                <w:sz w:val="24"/>
                <w:szCs w:val="24"/>
                <w:lang w:eastAsia="lv-LV"/>
              </w:rPr>
              <w:t>tabulas B ailē minētās projekta vienības paredz stingrākas prasības nekā šīs tabulas A ailē minētās ES tiesību akta vienības.</w:t>
            </w:r>
          </w:p>
          <w:p w:rsidR="00A31126" w:rsidRPr="00D7208E" w:rsidRDefault="00A31126" w:rsidP="00F76307">
            <w:pPr>
              <w:spacing w:after="0" w:line="240" w:lineRule="auto"/>
              <w:ind w:left="57"/>
              <w:jc w:val="both"/>
              <w:rPr>
                <w:rFonts w:ascii="Times New Roman" w:hAnsi="Times New Roman"/>
                <w:sz w:val="24"/>
                <w:szCs w:val="24"/>
                <w:lang w:eastAsia="lv-LV"/>
              </w:rPr>
            </w:pPr>
            <w:r w:rsidRPr="00D7208E">
              <w:rPr>
                <w:rFonts w:ascii="Times New Roman" w:hAnsi="Times New Roman"/>
                <w:sz w:val="24"/>
                <w:szCs w:val="24"/>
                <w:lang w:eastAsia="lv-LV"/>
              </w:rPr>
              <w:t xml:space="preserve">Ja projekts satur stingrākas prasības nekā attiecīgais ES tiesību </w:t>
            </w:r>
            <w:smartTag w:uri="schemas-tilde-lv/tildestengine" w:element="veidnes">
              <w:smartTagPr>
                <w:attr w:name="id" w:val="-1"/>
                <w:attr w:name="baseform" w:val="akts"/>
                <w:attr w:name="text" w:val="akts"/>
              </w:smartTagPr>
              <w:r w:rsidRPr="00D7208E">
                <w:rPr>
                  <w:rFonts w:ascii="Times New Roman" w:hAnsi="Times New Roman"/>
                  <w:sz w:val="24"/>
                  <w:szCs w:val="24"/>
                  <w:lang w:eastAsia="lv-LV"/>
                </w:rPr>
                <w:t>akts</w:t>
              </w:r>
            </w:smartTag>
            <w:r w:rsidRPr="00D7208E">
              <w:rPr>
                <w:rFonts w:ascii="Times New Roman" w:hAnsi="Times New Roman"/>
                <w:sz w:val="24"/>
                <w:szCs w:val="24"/>
                <w:lang w:eastAsia="lv-LV"/>
              </w:rPr>
              <w:t>, norāda pamatojumu un samērīgumu.</w:t>
            </w:r>
          </w:p>
          <w:p w:rsidR="00A31126" w:rsidRPr="00D7208E" w:rsidRDefault="00A31126" w:rsidP="00F76307">
            <w:pPr>
              <w:spacing w:after="0" w:line="240" w:lineRule="auto"/>
              <w:ind w:left="57"/>
              <w:jc w:val="both"/>
              <w:rPr>
                <w:rFonts w:ascii="Times New Roman" w:hAnsi="Times New Roman"/>
                <w:spacing w:val="-3"/>
                <w:sz w:val="24"/>
                <w:szCs w:val="24"/>
                <w:lang w:eastAsia="lv-LV"/>
              </w:rPr>
            </w:pPr>
            <w:r w:rsidRPr="00D7208E">
              <w:rPr>
                <w:rFonts w:ascii="Times New Roman" w:hAnsi="Times New Roman"/>
                <w:sz w:val="24"/>
                <w:szCs w:val="24"/>
                <w:lang w:eastAsia="lv-LV"/>
              </w:rPr>
              <w:t>Norāda iespējamās alternatīvas (</w:t>
            </w:r>
            <w:proofErr w:type="spellStart"/>
            <w:r w:rsidRPr="00D7208E">
              <w:rPr>
                <w:rFonts w:ascii="Times New Roman" w:hAnsi="Times New Roman"/>
                <w:sz w:val="24"/>
                <w:szCs w:val="24"/>
                <w:lang w:eastAsia="lv-LV"/>
              </w:rPr>
              <w:t>t.sk</w:t>
            </w:r>
            <w:proofErr w:type="spellEnd"/>
            <w:r w:rsidRPr="00D7208E">
              <w:rPr>
                <w:rFonts w:ascii="Times New Roman" w:hAnsi="Times New Roman"/>
                <w:sz w:val="24"/>
                <w:szCs w:val="24"/>
                <w:lang w:eastAsia="lv-LV"/>
              </w:rPr>
              <w:t>. alternatīvas, kas neparedz tiesiskā regulējuma izstrādi) – kādos gadījumos būtu iespējams izvairīties no stingrāku prasību</w:t>
            </w:r>
            <w:r w:rsidRPr="00D7208E">
              <w:rPr>
                <w:rFonts w:ascii="Times New Roman" w:hAnsi="Times New Roman"/>
                <w:spacing w:val="-3"/>
                <w:sz w:val="24"/>
                <w:szCs w:val="24"/>
                <w:lang w:eastAsia="lv-LV"/>
              </w:rPr>
              <w:t xml:space="preserve"> noteikšanas, nekā paredzēts attiecīgajos ES tiesību aktos</w:t>
            </w:r>
          </w:p>
        </w:tc>
      </w:tr>
      <w:bookmarkEnd w:id="0"/>
      <w:tr w:rsidR="00A31126" w:rsidRPr="00057FC2" w:rsidTr="00057FC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13" w:type="pct"/>
            <w:gridSpan w:val="2"/>
            <w:tcBorders>
              <w:top w:val="outset" w:sz="6" w:space="0" w:color="auto"/>
              <w:left w:val="outset" w:sz="6" w:space="0" w:color="auto"/>
              <w:bottom w:val="outset" w:sz="6" w:space="0" w:color="auto"/>
              <w:right w:val="outset" w:sz="6" w:space="0" w:color="auto"/>
            </w:tcBorders>
            <w:shd w:val="clear" w:color="auto" w:fill="D9D9D9"/>
          </w:tcPr>
          <w:p w:rsidR="00A31126" w:rsidRPr="00D7208E" w:rsidRDefault="00A31126" w:rsidP="00F76307">
            <w:pPr>
              <w:spacing w:after="0" w:line="240" w:lineRule="auto"/>
              <w:jc w:val="both"/>
              <w:rPr>
                <w:rFonts w:ascii="Times New Roman" w:hAnsi="Times New Roman"/>
                <w:sz w:val="24"/>
                <w:szCs w:val="24"/>
                <w:lang w:eastAsia="lv-LV"/>
              </w:rPr>
            </w:pPr>
            <w:r w:rsidRPr="00D7208E">
              <w:rPr>
                <w:rFonts w:ascii="Times New Roman" w:hAnsi="Times New Roman"/>
                <w:sz w:val="24"/>
                <w:szCs w:val="24"/>
                <w:lang w:eastAsia="lv-LV"/>
              </w:rPr>
              <w:t>7.pants</w:t>
            </w:r>
          </w:p>
        </w:tc>
        <w:tc>
          <w:tcPr>
            <w:tcW w:w="1312" w:type="pct"/>
            <w:gridSpan w:val="2"/>
            <w:tcBorders>
              <w:top w:val="outset" w:sz="6" w:space="0" w:color="auto"/>
              <w:left w:val="outset" w:sz="6" w:space="0" w:color="auto"/>
              <w:bottom w:val="outset" w:sz="6" w:space="0" w:color="auto"/>
              <w:right w:val="outset" w:sz="6" w:space="0" w:color="auto"/>
            </w:tcBorders>
            <w:shd w:val="clear" w:color="auto" w:fill="D9D9D9"/>
          </w:tcPr>
          <w:p w:rsidR="00A31126" w:rsidRPr="00D7208E" w:rsidRDefault="00A31126" w:rsidP="00F76307">
            <w:pPr>
              <w:spacing w:after="0" w:line="240" w:lineRule="auto"/>
              <w:jc w:val="both"/>
              <w:rPr>
                <w:rFonts w:ascii="Times New Roman" w:hAnsi="Times New Roman"/>
                <w:bCs/>
                <w:sz w:val="24"/>
                <w:szCs w:val="24"/>
                <w:lang w:eastAsia="lv-LV"/>
              </w:rPr>
            </w:pPr>
            <w:r w:rsidRPr="00D7208E">
              <w:rPr>
                <w:rFonts w:ascii="Times New Roman" w:hAnsi="Times New Roman"/>
                <w:bCs/>
                <w:sz w:val="24"/>
                <w:szCs w:val="24"/>
                <w:lang w:eastAsia="lv-LV"/>
              </w:rPr>
              <w:t>KPL 678.panta ceturtā daļa;</w:t>
            </w:r>
          </w:p>
          <w:p w:rsidR="00A31126" w:rsidRPr="00D7208E" w:rsidRDefault="00A31126" w:rsidP="00F76307">
            <w:pPr>
              <w:spacing w:after="0" w:line="240" w:lineRule="auto"/>
              <w:jc w:val="both"/>
              <w:rPr>
                <w:rFonts w:ascii="Times New Roman" w:hAnsi="Times New Roman"/>
                <w:bCs/>
                <w:sz w:val="24"/>
                <w:szCs w:val="24"/>
                <w:lang w:eastAsia="lv-LV"/>
              </w:rPr>
            </w:pPr>
            <w:r w:rsidRPr="00D7208E">
              <w:rPr>
                <w:rFonts w:ascii="Times New Roman" w:hAnsi="Times New Roman"/>
                <w:bCs/>
                <w:sz w:val="24"/>
                <w:szCs w:val="24"/>
                <w:lang w:eastAsia="lv-LV"/>
              </w:rPr>
              <w:t>Noteikumu 2.11.punkts</w:t>
            </w:r>
          </w:p>
        </w:tc>
        <w:tc>
          <w:tcPr>
            <w:tcW w:w="1287" w:type="pct"/>
            <w:tcBorders>
              <w:top w:val="outset" w:sz="6" w:space="0" w:color="auto"/>
              <w:left w:val="outset" w:sz="6" w:space="0" w:color="auto"/>
              <w:bottom w:val="outset" w:sz="6" w:space="0" w:color="auto"/>
              <w:right w:val="outset" w:sz="6" w:space="0" w:color="auto"/>
            </w:tcBorders>
            <w:shd w:val="clear" w:color="auto" w:fill="D9D9D9"/>
          </w:tcPr>
          <w:p w:rsidR="00A31126" w:rsidRPr="00D7208E" w:rsidRDefault="00A31126" w:rsidP="00F76307">
            <w:pPr>
              <w:spacing w:after="0" w:line="240" w:lineRule="auto"/>
              <w:jc w:val="both"/>
              <w:rPr>
                <w:rFonts w:ascii="Times New Roman" w:hAnsi="Times New Roman"/>
                <w:sz w:val="24"/>
                <w:szCs w:val="24"/>
                <w:lang w:eastAsia="lv-LV"/>
              </w:rPr>
            </w:pPr>
            <w:r w:rsidRPr="00D7208E">
              <w:rPr>
                <w:rFonts w:ascii="Times New Roman" w:hAnsi="Times New Roman"/>
                <w:sz w:val="24"/>
                <w:szCs w:val="24"/>
                <w:lang w:eastAsia="lv-LV"/>
              </w:rPr>
              <w:t>Pārņemts pilnībā</w:t>
            </w:r>
          </w:p>
        </w:tc>
        <w:tc>
          <w:tcPr>
            <w:tcW w:w="1288" w:type="pct"/>
            <w:tcBorders>
              <w:top w:val="outset" w:sz="6" w:space="0" w:color="auto"/>
              <w:left w:val="outset" w:sz="6" w:space="0" w:color="auto"/>
              <w:bottom w:val="outset" w:sz="6" w:space="0" w:color="auto"/>
              <w:right w:val="outset" w:sz="6" w:space="0" w:color="auto"/>
            </w:tcBorders>
            <w:shd w:val="clear" w:color="auto" w:fill="D9D9D9"/>
          </w:tcPr>
          <w:p w:rsidR="00A31126" w:rsidRPr="00D7208E" w:rsidRDefault="00A31126" w:rsidP="00F76307">
            <w:pPr>
              <w:spacing w:after="0" w:line="240" w:lineRule="auto"/>
              <w:jc w:val="both"/>
              <w:rPr>
                <w:rFonts w:ascii="Times New Roman" w:hAnsi="Times New Roman"/>
                <w:sz w:val="24"/>
                <w:szCs w:val="24"/>
                <w:lang w:eastAsia="lv-LV"/>
              </w:rPr>
            </w:pPr>
            <w:r w:rsidRPr="00D7208E">
              <w:rPr>
                <w:rFonts w:ascii="Times New Roman" w:hAnsi="Times New Roman"/>
                <w:sz w:val="24"/>
                <w:szCs w:val="24"/>
                <w:lang w:eastAsia="lv-LV"/>
              </w:rPr>
              <w:t>Neparedz stingrākas prasības.</w:t>
            </w:r>
          </w:p>
        </w:tc>
      </w:tr>
      <w:tr w:rsidR="00A31126" w:rsidRPr="00057FC2" w:rsidTr="00057FC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13" w:type="pct"/>
            <w:gridSpan w:val="2"/>
            <w:tcBorders>
              <w:top w:val="outset" w:sz="6" w:space="0" w:color="auto"/>
              <w:left w:val="outset" w:sz="6" w:space="0" w:color="auto"/>
              <w:bottom w:val="outset" w:sz="6" w:space="0" w:color="auto"/>
              <w:right w:val="outset" w:sz="6" w:space="0" w:color="auto"/>
            </w:tcBorders>
            <w:shd w:val="clear" w:color="auto" w:fill="D9D9D9"/>
          </w:tcPr>
          <w:p w:rsidR="00A31126" w:rsidRPr="00D7208E" w:rsidRDefault="00A31126" w:rsidP="00F76307">
            <w:pPr>
              <w:spacing w:after="0" w:line="240" w:lineRule="auto"/>
              <w:jc w:val="both"/>
              <w:rPr>
                <w:rFonts w:ascii="Times New Roman" w:hAnsi="Times New Roman"/>
                <w:sz w:val="24"/>
                <w:szCs w:val="24"/>
                <w:lang w:eastAsia="lv-LV"/>
              </w:rPr>
            </w:pPr>
            <w:r w:rsidRPr="00D7208E">
              <w:rPr>
                <w:rFonts w:ascii="Times New Roman" w:hAnsi="Times New Roman"/>
                <w:sz w:val="24"/>
                <w:szCs w:val="24"/>
                <w:lang w:eastAsia="lv-LV"/>
              </w:rPr>
              <w:lastRenderedPageBreak/>
              <w:t>12. pants</w:t>
            </w:r>
          </w:p>
        </w:tc>
        <w:tc>
          <w:tcPr>
            <w:tcW w:w="1312" w:type="pct"/>
            <w:gridSpan w:val="2"/>
            <w:tcBorders>
              <w:top w:val="outset" w:sz="6" w:space="0" w:color="auto"/>
              <w:left w:val="outset" w:sz="6" w:space="0" w:color="auto"/>
              <w:bottom w:val="outset" w:sz="6" w:space="0" w:color="auto"/>
              <w:right w:val="outset" w:sz="6" w:space="0" w:color="auto"/>
            </w:tcBorders>
            <w:shd w:val="clear" w:color="auto" w:fill="D9D9D9"/>
          </w:tcPr>
          <w:p w:rsidR="00A31126" w:rsidRPr="00D7208E" w:rsidRDefault="00A31126" w:rsidP="00A31126">
            <w:pPr>
              <w:spacing w:after="0" w:line="240" w:lineRule="auto"/>
              <w:jc w:val="both"/>
              <w:rPr>
                <w:rFonts w:ascii="Times New Roman" w:hAnsi="Times New Roman"/>
                <w:bCs/>
                <w:sz w:val="24"/>
                <w:szCs w:val="24"/>
                <w:lang w:eastAsia="lv-LV"/>
              </w:rPr>
            </w:pPr>
            <w:r w:rsidRPr="00D7208E">
              <w:rPr>
                <w:rFonts w:ascii="Times New Roman" w:hAnsi="Times New Roman"/>
                <w:bCs/>
                <w:sz w:val="24"/>
                <w:szCs w:val="24"/>
                <w:lang w:eastAsia="lv-LV"/>
              </w:rPr>
              <w:t>KPL 678.panta ceturtā daļa;</w:t>
            </w:r>
          </w:p>
          <w:p w:rsidR="00A31126" w:rsidRPr="00D7208E" w:rsidRDefault="00A31126" w:rsidP="00A31126">
            <w:pPr>
              <w:spacing w:after="0" w:line="240" w:lineRule="auto"/>
              <w:jc w:val="both"/>
              <w:rPr>
                <w:rFonts w:ascii="Times New Roman" w:hAnsi="Times New Roman"/>
                <w:sz w:val="24"/>
                <w:szCs w:val="24"/>
                <w:lang w:eastAsia="lv-LV"/>
              </w:rPr>
            </w:pPr>
            <w:r w:rsidRPr="00D7208E">
              <w:rPr>
                <w:rFonts w:ascii="Times New Roman" w:hAnsi="Times New Roman"/>
                <w:bCs/>
                <w:sz w:val="24"/>
                <w:szCs w:val="24"/>
                <w:lang w:eastAsia="lv-LV"/>
              </w:rPr>
              <w:t>Noteikumu 2.12.punkts</w:t>
            </w:r>
          </w:p>
        </w:tc>
        <w:tc>
          <w:tcPr>
            <w:tcW w:w="1287" w:type="pct"/>
            <w:tcBorders>
              <w:top w:val="outset" w:sz="6" w:space="0" w:color="auto"/>
              <w:left w:val="outset" w:sz="6" w:space="0" w:color="auto"/>
              <w:bottom w:val="outset" w:sz="6" w:space="0" w:color="auto"/>
              <w:right w:val="outset" w:sz="6" w:space="0" w:color="auto"/>
            </w:tcBorders>
            <w:shd w:val="clear" w:color="auto" w:fill="D9D9D9"/>
          </w:tcPr>
          <w:p w:rsidR="00A31126" w:rsidRPr="00D7208E" w:rsidRDefault="00A31126" w:rsidP="00F76307">
            <w:pPr>
              <w:spacing w:after="0" w:line="240" w:lineRule="auto"/>
              <w:jc w:val="both"/>
              <w:rPr>
                <w:rFonts w:ascii="Times New Roman" w:hAnsi="Times New Roman"/>
                <w:sz w:val="24"/>
                <w:szCs w:val="24"/>
                <w:lang w:eastAsia="lv-LV"/>
              </w:rPr>
            </w:pPr>
            <w:r w:rsidRPr="00D7208E">
              <w:rPr>
                <w:rFonts w:ascii="Times New Roman" w:hAnsi="Times New Roman"/>
                <w:sz w:val="24"/>
                <w:szCs w:val="24"/>
                <w:lang w:eastAsia="lv-LV"/>
              </w:rPr>
              <w:t>Pārņemts pilnībā</w:t>
            </w:r>
          </w:p>
        </w:tc>
        <w:tc>
          <w:tcPr>
            <w:tcW w:w="1288" w:type="pct"/>
            <w:tcBorders>
              <w:top w:val="outset" w:sz="6" w:space="0" w:color="auto"/>
              <w:left w:val="outset" w:sz="6" w:space="0" w:color="auto"/>
              <w:bottom w:val="outset" w:sz="6" w:space="0" w:color="auto"/>
              <w:right w:val="outset" w:sz="6" w:space="0" w:color="auto"/>
            </w:tcBorders>
            <w:shd w:val="clear" w:color="auto" w:fill="D9D9D9"/>
          </w:tcPr>
          <w:p w:rsidR="00A31126" w:rsidRPr="00D7208E" w:rsidRDefault="00A31126" w:rsidP="00F76307">
            <w:pPr>
              <w:spacing w:after="0" w:line="240" w:lineRule="auto"/>
              <w:jc w:val="both"/>
              <w:rPr>
                <w:rFonts w:ascii="Times New Roman" w:hAnsi="Times New Roman"/>
                <w:sz w:val="24"/>
                <w:szCs w:val="24"/>
                <w:lang w:eastAsia="lv-LV"/>
              </w:rPr>
            </w:pPr>
            <w:r w:rsidRPr="00D7208E">
              <w:rPr>
                <w:rFonts w:ascii="Times New Roman" w:hAnsi="Times New Roman"/>
                <w:sz w:val="24"/>
                <w:szCs w:val="24"/>
                <w:lang w:eastAsia="lv-LV"/>
              </w:rPr>
              <w:t>Neparedz stingrākas prasības.</w:t>
            </w:r>
          </w:p>
        </w:tc>
      </w:tr>
      <w:tr w:rsidR="00A31126" w:rsidRPr="00057FC2" w:rsidTr="00057FC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913"/>
        </w:trPr>
        <w:tc>
          <w:tcPr>
            <w:tcW w:w="2425" w:type="pct"/>
            <w:gridSpan w:val="4"/>
            <w:tcBorders>
              <w:top w:val="outset" w:sz="6" w:space="0" w:color="auto"/>
              <w:left w:val="outset" w:sz="6" w:space="0" w:color="auto"/>
              <w:bottom w:val="outset" w:sz="6" w:space="0" w:color="auto"/>
              <w:right w:val="outset" w:sz="6" w:space="0" w:color="auto"/>
            </w:tcBorders>
          </w:tcPr>
          <w:p w:rsidR="00A31126" w:rsidRPr="00D7208E" w:rsidRDefault="00A31126" w:rsidP="00F76307">
            <w:pPr>
              <w:spacing w:after="0" w:line="240" w:lineRule="auto"/>
              <w:ind w:left="57"/>
              <w:jc w:val="both"/>
              <w:rPr>
                <w:rFonts w:ascii="Times New Roman" w:hAnsi="Times New Roman"/>
                <w:sz w:val="24"/>
                <w:szCs w:val="24"/>
                <w:lang w:eastAsia="lv-LV"/>
              </w:rPr>
            </w:pPr>
            <w:r w:rsidRPr="00D7208E">
              <w:rPr>
                <w:rFonts w:ascii="Times New Roman" w:hAnsi="Times New Roman"/>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575" w:type="pct"/>
            <w:gridSpan w:val="2"/>
            <w:tcBorders>
              <w:top w:val="outset" w:sz="6" w:space="0" w:color="auto"/>
              <w:left w:val="outset" w:sz="6" w:space="0" w:color="auto"/>
              <w:bottom w:val="outset" w:sz="6" w:space="0" w:color="auto"/>
              <w:right w:val="outset" w:sz="6" w:space="0" w:color="auto"/>
            </w:tcBorders>
          </w:tcPr>
          <w:p w:rsidR="00A31126" w:rsidRPr="00D7208E" w:rsidRDefault="00A31126" w:rsidP="00F76307">
            <w:pPr>
              <w:spacing w:after="0" w:line="240" w:lineRule="auto"/>
              <w:ind w:left="57"/>
              <w:jc w:val="both"/>
              <w:rPr>
                <w:rFonts w:ascii="Times New Roman" w:hAnsi="Times New Roman"/>
                <w:sz w:val="24"/>
                <w:szCs w:val="24"/>
                <w:lang w:eastAsia="lv-LV"/>
              </w:rPr>
            </w:pPr>
            <w:r w:rsidRPr="00D7208E">
              <w:rPr>
                <w:rFonts w:ascii="Times New Roman" w:hAnsi="Times New Roman"/>
                <w:sz w:val="24"/>
                <w:szCs w:val="24"/>
                <w:lang w:eastAsia="lv-LV"/>
              </w:rPr>
              <w:t>Nav attiecināms.</w:t>
            </w:r>
          </w:p>
        </w:tc>
      </w:tr>
      <w:tr w:rsidR="00A31126" w:rsidRPr="00057FC2" w:rsidTr="00057FC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216"/>
        </w:trPr>
        <w:tc>
          <w:tcPr>
            <w:tcW w:w="2425" w:type="pct"/>
            <w:gridSpan w:val="4"/>
            <w:tcBorders>
              <w:top w:val="outset" w:sz="6" w:space="0" w:color="auto"/>
              <w:left w:val="outset" w:sz="6" w:space="0" w:color="auto"/>
              <w:bottom w:val="outset" w:sz="6" w:space="0" w:color="auto"/>
              <w:right w:val="outset" w:sz="6" w:space="0" w:color="auto"/>
            </w:tcBorders>
          </w:tcPr>
          <w:p w:rsidR="00A31126" w:rsidRPr="00D7208E" w:rsidRDefault="00A31126" w:rsidP="00F76307">
            <w:pPr>
              <w:spacing w:after="0" w:line="240" w:lineRule="auto"/>
              <w:ind w:left="57"/>
              <w:jc w:val="both"/>
              <w:rPr>
                <w:rFonts w:ascii="Times New Roman" w:hAnsi="Times New Roman"/>
                <w:sz w:val="24"/>
                <w:szCs w:val="24"/>
                <w:lang w:eastAsia="lv-LV"/>
              </w:rPr>
            </w:pPr>
            <w:r w:rsidRPr="00D7208E">
              <w:rPr>
                <w:rFonts w:ascii="Times New Roman" w:hAnsi="Times New Roman"/>
                <w:sz w:val="24"/>
                <w:szCs w:val="24"/>
                <w:lang w:eastAsia="lv-LV"/>
              </w:rPr>
              <w:t>Cita informācija</w:t>
            </w:r>
          </w:p>
        </w:tc>
        <w:tc>
          <w:tcPr>
            <w:tcW w:w="2575" w:type="pct"/>
            <w:gridSpan w:val="2"/>
            <w:tcBorders>
              <w:top w:val="outset" w:sz="6" w:space="0" w:color="auto"/>
              <w:left w:val="outset" w:sz="6" w:space="0" w:color="auto"/>
              <w:bottom w:val="outset" w:sz="6" w:space="0" w:color="auto"/>
              <w:right w:val="outset" w:sz="6" w:space="0" w:color="auto"/>
            </w:tcBorders>
          </w:tcPr>
          <w:p w:rsidR="00A31126" w:rsidRPr="00D7208E" w:rsidRDefault="00A31126" w:rsidP="00F76307">
            <w:pPr>
              <w:spacing w:after="0" w:line="240" w:lineRule="auto"/>
              <w:ind w:left="57"/>
              <w:jc w:val="both"/>
              <w:rPr>
                <w:rFonts w:ascii="Times New Roman" w:hAnsi="Times New Roman"/>
                <w:sz w:val="24"/>
                <w:szCs w:val="24"/>
                <w:lang w:eastAsia="lv-LV"/>
              </w:rPr>
            </w:pPr>
            <w:r w:rsidRPr="00D7208E">
              <w:rPr>
                <w:rFonts w:ascii="Times New Roman" w:hAnsi="Times New Roman"/>
                <w:sz w:val="24"/>
                <w:szCs w:val="24"/>
                <w:lang w:eastAsia="lv-LV"/>
              </w:rPr>
              <w:t>Nav.</w:t>
            </w:r>
          </w:p>
        </w:tc>
      </w:tr>
    </w:tbl>
    <w:p w:rsidR="00A31126" w:rsidRPr="00D7208E" w:rsidRDefault="00A31126" w:rsidP="000147FD">
      <w:pPr>
        <w:spacing w:after="0" w:line="240" w:lineRule="auto"/>
        <w:ind w:firstLine="375"/>
        <w:jc w:val="both"/>
        <w:rPr>
          <w:rFonts w:ascii="Times New Roman" w:hAnsi="Times New Roman"/>
          <w:i/>
          <w:iCs/>
          <w:sz w:val="24"/>
          <w:szCs w:val="24"/>
          <w:lang w:eastAsia="lv-LV"/>
        </w:rPr>
      </w:pPr>
    </w:p>
    <w:tbl>
      <w:tblPr>
        <w:tblStyle w:val="Reatabula"/>
        <w:tblW w:w="9322" w:type="dxa"/>
        <w:tblLook w:val="04A0" w:firstRow="1" w:lastRow="0" w:firstColumn="1" w:lastColumn="0" w:noHBand="0" w:noVBand="1"/>
      </w:tblPr>
      <w:tblGrid>
        <w:gridCol w:w="396"/>
        <w:gridCol w:w="2831"/>
        <w:gridCol w:w="6095"/>
      </w:tblGrid>
      <w:tr w:rsidR="007D1E86" w:rsidRPr="00057FC2" w:rsidTr="007D1E86">
        <w:tc>
          <w:tcPr>
            <w:tcW w:w="9322" w:type="dxa"/>
            <w:gridSpan w:val="3"/>
          </w:tcPr>
          <w:p w:rsidR="007D1E86" w:rsidRPr="00D7208E" w:rsidRDefault="007D1E86" w:rsidP="007D1E86">
            <w:pPr>
              <w:spacing w:after="0" w:line="240" w:lineRule="auto"/>
              <w:jc w:val="center"/>
              <w:rPr>
                <w:rFonts w:ascii="Times New Roman" w:hAnsi="Times New Roman"/>
                <w:iCs/>
                <w:sz w:val="24"/>
                <w:szCs w:val="24"/>
                <w:lang w:eastAsia="lv-LV"/>
              </w:rPr>
            </w:pPr>
            <w:r w:rsidRPr="00D7208E">
              <w:rPr>
                <w:rFonts w:ascii="Times New Roman" w:hAnsi="Times New Roman"/>
                <w:b/>
                <w:bCs/>
                <w:sz w:val="24"/>
                <w:szCs w:val="24"/>
                <w:lang w:eastAsia="lv-LV"/>
              </w:rPr>
              <w:t>VI. Sabiedrības līdzdalība un komunikācijas aktivitātes</w:t>
            </w:r>
          </w:p>
        </w:tc>
      </w:tr>
      <w:tr w:rsidR="007D1E86" w:rsidRPr="00057FC2" w:rsidTr="007D1E86">
        <w:tc>
          <w:tcPr>
            <w:tcW w:w="396" w:type="dxa"/>
          </w:tcPr>
          <w:p w:rsidR="007D1E86" w:rsidRPr="00D7208E" w:rsidRDefault="007D1E86" w:rsidP="000147FD">
            <w:pPr>
              <w:spacing w:after="0" w:line="240" w:lineRule="auto"/>
              <w:jc w:val="both"/>
              <w:rPr>
                <w:rFonts w:ascii="Times New Roman" w:hAnsi="Times New Roman"/>
                <w:iCs/>
                <w:sz w:val="24"/>
                <w:szCs w:val="24"/>
                <w:lang w:eastAsia="lv-LV"/>
              </w:rPr>
            </w:pPr>
            <w:r w:rsidRPr="00D7208E">
              <w:rPr>
                <w:rFonts w:ascii="Times New Roman" w:hAnsi="Times New Roman"/>
                <w:iCs/>
                <w:sz w:val="24"/>
                <w:szCs w:val="24"/>
                <w:lang w:eastAsia="lv-LV"/>
              </w:rPr>
              <w:t>1.</w:t>
            </w:r>
          </w:p>
        </w:tc>
        <w:tc>
          <w:tcPr>
            <w:tcW w:w="2831" w:type="dxa"/>
          </w:tcPr>
          <w:p w:rsidR="007D1E86" w:rsidRPr="00D7208E" w:rsidRDefault="007D1E86" w:rsidP="000147FD">
            <w:pPr>
              <w:spacing w:after="0" w:line="240" w:lineRule="auto"/>
              <w:jc w:val="both"/>
              <w:rPr>
                <w:rFonts w:ascii="Times New Roman" w:hAnsi="Times New Roman"/>
                <w:iCs/>
                <w:sz w:val="24"/>
                <w:szCs w:val="24"/>
                <w:lang w:eastAsia="lv-LV"/>
              </w:rPr>
            </w:pPr>
            <w:r w:rsidRPr="00D7208E">
              <w:rPr>
                <w:rFonts w:ascii="Times New Roman" w:hAnsi="Times New Roman"/>
                <w:sz w:val="24"/>
                <w:szCs w:val="24"/>
                <w:lang w:eastAsia="lv-LV"/>
              </w:rPr>
              <w:t>Plānotās sabiedrības līdzdalības un komunikācijas aktivitātes saistībā ar projektu</w:t>
            </w:r>
          </w:p>
        </w:tc>
        <w:tc>
          <w:tcPr>
            <w:tcW w:w="6095" w:type="dxa"/>
          </w:tcPr>
          <w:p w:rsidR="00F23E7D" w:rsidRPr="00D7208E" w:rsidRDefault="007D1E86" w:rsidP="00DF336F">
            <w:pPr>
              <w:spacing w:after="0" w:line="240" w:lineRule="auto"/>
              <w:jc w:val="both"/>
              <w:rPr>
                <w:rFonts w:ascii="Times New Roman" w:hAnsi="Times New Roman"/>
                <w:iCs/>
                <w:sz w:val="24"/>
                <w:szCs w:val="24"/>
                <w:lang w:eastAsia="lv-LV"/>
              </w:rPr>
            </w:pPr>
            <w:r w:rsidRPr="00D7208E">
              <w:rPr>
                <w:rFonts w:ascii="Times New Roman" w:hAnsi="Times New Roman"/>
                <w:iCs/>
                <w:sz w:val="24"/>
                <w:szCs w:val="24"/>
                <w:lang w:eastAsia="lv-LV"/>
              </w:rPr>
              <w:t xml:space="preserve">Sabiedrības līdzdalības aktivitātes </w:t>
            </w:r>
            <w:r w:rsidR="00F23E7D" w:rsidRPr="00D7208E">
              <w:rPr>
                <w:rFonts w:ascii="Times New Roman" w:hAnsi="Times New Roman"/>
                <w:iCs/>
                <w:sz w:val="24"/>
                <w:szCs w:val="24"/>
                <w:lang w:eastAsia="lv-LV"/>
              </w:rPr>
              <w:t xml:space="preserve">saistībā ar projektu </w:t>
            </w:r>
            <w:r w:rsidRPr="00D7208E">
              <w:rPr>
                <w:rFonts w:ascii="Times New Roman" w:hAnsi="Times New Roman"/>
                <w:iCs/>
                <w:sz w:val="24"/>
                <w:szCs w:val="24"/>
                <w:lang w:eastAsia="lv-LV"/>
              </w:rPr>
              <w:t xml:space="preserve">nav plānotas, jo izstrādātais likumprojekts </w:t>
            </w:r>
            <w:r w:rsidR="00F23E7D" w:rsidRPr="00D7208E">
              <w:rPr>
                <w:rFonts w:ascii="Times New Roman" w:hAnsi="Times New Roman"/>
                <w:iCs/>
                <w:sz w:val="24"/>
                <w:szCs w:val="24"/>
                <w:lang w:eastAsia="lv-LV"/>
              </w:rPr>
              <w:t>skar Valsts policijas praktisko darbību</w:t>
            </w:r>
            <w:r w:rsidR="00DF336F" w:rsidRPr="00D7208E">
              <w:rPr>
                <w:rFonts w:ascii="Times New Roman" w:hAnsi="Times New Roman"/>
                <w:iCs/>
                <w:sz w:val="24"/>
                <w:szCs w:val="24"/>
                <w:lang w:eastAsia="lv-LV"/>
              </w:rPr>
              <w:t xml:space="preserve">. Izstrādātais likumprojekts </w:t>
            </w:r>
            <w:r w:rsidR="00F23E7D" w:rsidRPr="00D7208E">
              <w:rPr>
                <w:rFonts w:ascii="Times New Roman" w:hAnsi="Times New Roman"/>
                <w:iCs/>
                <w:sz w:val="24"/>
                <w:szCs w:val="24"/>
                <w:lang w:eastAsia="lv-LV"/>
              </w:rPr>
              <w:t>neuzliek un nerada papildus pien</w:t>
            </w:r>
            <w:r w:rsidR="00DF336F" w:rsidRPr="00D7208E">
              <w:rPr>
                <w:rFonts w:ascii="Times New Roman" w:hAnsi="Times New Roman"/>
                <w:iCs/>
                <w:sz w:val="24"/>
                <w:szCs w:val="24"/>
                <w:lang w:eastAsia="lv-LV"/>
              </w:rPr>
              <w:t xml:space="preserve">ākumus sabiedrības locekļiem. </w:t>
            </w:r>
          </w:p>
        </w:tc>
      </w:tr>
      <w:tr w:rsidR="007D1E86" w:rsidRPr="00057FC2" w:rsidTr="007D1E86">
        <w:tc>
          <w:tcPr>
            <w:tcW w:w="396" w:type="dxa"/>
          </w:tcPr>
          <w:p w:rsidR="007D1E86" w:rsidRPr="00D7208E" w:rsidRDefault="007D1E86" w:rsidP="000147FD">
            <w:pPr>
              <w:spacing w:after="0" w:line="240" w:lineRule="auto"/>
              <w:jc w:val="both"/>
              <w:rPr>
                <w:rFonts w:ascii="Times New Roman" w:hAnsi="Times New Roman"/>
                <w:iCs/>
                <w:sz w:val="24"/>
                <w:szCs w:val="24"/>
                <w:lang w:eastAsia="lv-LV"/>
              </w:rPr>
            </w:pPr>
            <w:r w:rsidRPr="00D7208E">
              <w:rPr>
                <w:rFonts w:ascii="Times New Roman" w:hAnsi="Times New Roman"/>
                <w:iCs/>
                <w:sz w:val="24"/>
                <w:szCs w:val="24"/>
                <w:lang w:eastAsia="lv-LV"/>
              </w:rPr>
              <w:t>2.</w:t>
            </w:r>
          </w:p>
        </w:tc>
        <w:tc>
          <w:tcPr>
            <w:tcW w:w="2831" w:type="dxa"/>
          </w:tcPr>
          <w:p w:rsidR="007D1E86" w:rsidRPr="00D7208E" w:rsidRDefault="007D1E86" w:rsidP="000147FD">
            <w:pPr>
              <w:spacing w:after="0" w:line="240" w:lineRule="auto"/>
              <w:jc w:val="both"/>
              <w:rPr>
                <w:rFonts w:ascii="Times New Roman" w:hAnsi="Times New Roman"/>
                <w:iCs/>
                <w:sz w:val="24"/>
                <w:szCs w:val="24"/>
                <w:lang w:eastAsia="lv-LV"/>
              </w:rPr>
            </w:pPr>
            <w:r w:rsidRPr="00D7208E">
              <w:rPr>
                <w:rFonts w:ascii="Times New Roman" w:hAnsi="Times New Roman"/>
                <w:sz w:val="24"/>
                <w:szCs w:val="24"/>
                <w:lang w:eastAsia="lv-LV"/>
              </w:rPr>
              <w:t>Sabiedrības līdzdalība projekta izstrādē</w:t>
            </w:r>
          </w:p>
        </w:tc>
        <w:tc>
          <w:tcPr>
            <w:tcW w:w="6095" w:type="dxa"/>
          </w:tcPr>
          <w:p w:rsidR="007D1E86" w:rsidRPr="00D7208E" w:rsidRDefault="00DA3369" w:rsidP="000147FD">
            <w:pPr>
              <w:spacing w:after="0" w:line="240" w:lineRule="auto"/>
              <w:jc w:val="both"/>
              <w:rPr>
                <w:rFonts w:ascii="Times New Roman" w:hAnsi="Times New Roman"/>
                <w:iCs/>
                <w:sz w:val="24"/>
                <w:szCs w:val="24"/>
                <w:lang w:eastAsia="lv-LV"/>
              </w:rPr>
            </w:pPr>
            <w:r w:rsidRPr="00D7208E">
              <w:rPr>
                <w:rFonts w:ascii="Times New Roman" w:hAnsi="Times New Roman"/>
                <w:iCs/>
                <w:sz w:val="24"/>
                <w:szCs w:val="24"/>
                <w:lang w:eastAsia="lv-LV"/>
              </w:rPr>
              <w:t xml:space="preserve">Nav attiecināms. </w:t>
            </w:r>
          </w:p>
        </w:tc>
      </w:tr>
      <w:tr w:rsidR="007D1E86" w:rsidRPr="00057FC2" w:rsidTr="007D1E86">
        <w:tc>
          <w:tcPr>
            <w:tcW w:w="396" w:type="dxa"/>
          </w:tcPr>
          <w:p w:rsidR="007D1E86" w:rsidRPr="00D7208E" w:rsidRDefault="007D1E86" w:rsidP="000147FD">
            <w:pPr>
              <w:spacing w:after="0" w:line="240" w:lineRule="auto"/>
              <w:jc w:val="both"/>
              <w:rPr>
                <w:rFonts w:ascii="Times New Roman" w:hAnsi="Times New Roman"/>
                <w:iCs/>
                <w:sz w:val="24"/>
                <w:szCs w:val="24"/>
                <w:lang w:eastAsia="lv-LV"/>
              </w:rPr>
            </w:pPr>
            <w:r w:rsidRPr="00D7208E">
              <w:rPr>
                <w:rFonts w:ascii="Times New Roman" w:hAnsi="Times New Roman"/>
                <w:iCs/>
                <w:sz w:val="24"/>
                <w:szCs w:val="24"/>
                <w:lang w:eastAsia="lv-LV"/>
              </w:rPr>
              <w:t>3.</w:t>
            </w:r>
          </w:p>
        </w:tc>
        <w:tc>
          <w:tcPr>
            <w:tcW w:w="2831" w:type="dxa"/>
          </w:tcPr>
          <w:p w:rsidR="007D1E86" w:rsidRPr="00D7208E" w:rsidRDefault="007D1E86" w:rsidP="000147FD">
            <w:pPr>
              <w:spacing w:after="0" w:line="240" w:lineRule="auto"/>
              <w:jc w:val="both"/>
              <w:rPr>
                <w:rFonts w:ascii="Times New Roman" w:hAnsi="Times New Roman"/>
                <w:iCs/>
                <w:sz w:val="24"/>
                <w:szCs w:val="24"/>
                <w:lang w:eastAsia="lv-LV"/>
              </w:rPr>
            </w:pPr>
            <w:r w:rsidRPr="00D7208E">
              <w:rPr>
                <w:rFonts w:ascii="Times New Roman" w:hAnsi="Times New Roman"/>
                <w:sz w:val="24"/>
                <w:szCs w:val="24"/>
                <w:lang w:eastAsia="lv-LV"/>
              </w:rPr>
              <w:t>Sabiedrības līdzdalības rezultāti</w:t>
            </w:r>
          </w:p>
        </w:tc>
        <w:tc>
          <w:tcPr>
            <w:tcW w:w="6095" w:type="dxa"/>
          </w:tcPr>
          <w:p w:rsidR="007D1E86" w:rsidRPr="00D7208E" w:rsidRDefault="00DA3369" w:rsidP="000147FD">
            <w:pPr>
              <w:spacing w:after="0" w:line="240" w:lineRule="auto"/>
              <w:jc w:val="both"/>
              <w:rPr>
                <w:rFonts w:ascii="Times New Roman" w:hAnsi="Times New Roman"/>
                <w:iCs/>
                <w:sz w:val="24"/>
                <w:szCs w:val="24"/>
                <w:lang w:eastAsia="lv-LV"/>
              </w:rPr>
            </w:pPr>
            <w:r w:rsidRPr="00D7208E">
              <w:rPr>
                <w:rFonts w:ascii="Times New Roman" w:hAnsi="Times New Roman"/>
                <w:iCs/>
                <w:sz w:val="24"/>
                <w:szCs w:val="24"/>
                <w:lang w:eastAsia="lv-LV"/>
              </w:rPr>
              <w:t>Nav attiecināms.</w:t>
            </w:r>
          </w:p>
        </w:tc>
      </w:tr>
      <w:tr w:rsidR="007D1E86" w:rsidRPr="00057FC2" w:rsidTr="007D1E86">
        <w:tc>
          <w:tcPr>
            <w:tcW w:w="396" w:type="dxa"/>
          </w:tcPr>
          <w:p w:rsidR="007D1E86" w:rsidRPr="00D7208E" w:rsidRDefault="007D1E86" w:rsidP="000147FD">
            <w:pPr>
              <w:spacing w:after="0" w:line="240" w:lineRule="auto"/>
              <w:jc w:val="both"/>
              <w:rPr>
                <w:rFonts w:ascii="Times New Roman" w:hAnsi="Times New Roman"/>
                <w:iCs/>
                <w:sz w:val="24"/>
                <w:szCs w:val="24"/>
                <w:lang w:eastAsia="lv-LV"/>
              </w:rPr>
            </w:pPr>
            <w:r w:rsidRPr="00D7208E">
              <w:rPr>
                <w:rFonts w:ascii="Times New Roman" w:hAnsi="Times New Roman"/>
                <w:iCs/>
                <w:sz w:val="24"/>
                <w:szCs w:val="24"/>
                <w:lang w:eastAsia="lv-LV"/>
              </w:rPr>
              <w:t>4.</w:t>
            </w:r>
          </w:p>
        </w:tc>
        <w:tc>
          <w:tcPr>
            <w:tcW w:w="2831" w:type="dxa"/>
          </w:tcPr>
          <w:p w:rsidR="007D1E86" w:rsidRPr="00D7208E" w:rsidRDefault="007D1E86" w:rsidP="000147FD">
            <w:pPr>
              <w:spacing w:after="0" w:line="240" w:lineRule="auto"/>
              <w:jc w:val="both"/>
              <w:rPr>
                <w:rFonts w:ascii="Times New Roman" w:hAnsi="Times New Roman"/>
                <w:iCs/>
                <w:sz w:val="24"/>
                <w:szCs w:val="24"/>
                <w:lang w:eastAsia="lv-LV"/>
              </w:rPr>
            </w:pPr>
            <w:r w:rsidRPr="00D7208E">
              <w:rPr>
                <w:rFonts w:ascii="Times New Roman" w:hAnsi="Times New Roman"/>
                <w:sz w:val="24"/>
                <w:szCs w:val="24"/>
                <w:lang w:eastAsia="lv-LV"/>
              </w:rPr>
              <w:t>Cita informācija</w:t>
            </w:r>
          </w:p>
        </w:tc>
        <w:tc>
          <w:tcPr>
            <w:tcW w:w="6095" w:type="dxa"/>
          </w:tcPr>
          <w:p w:rsidR="007D1E86" w:rsidRPr="00D7208E" w:rsidRDefault="00DA3369" w:rsidP="00DA3369">
            <w:pPr>
              <w:spacing w:after="0" w:line="240" w:lineRule="auto"/>
              <w:jc w:val="both"/>
              <w:rPr>
                <w:rFonts w:ascii="Times New Roman" w:hAnsi="Times New Roman"/>
                <w:iCs/>
                <w:sz w:val="24"/>
                <w:szCs w:val="24"/>
                <w:lang w:eastAsia="lv-LV"/>
              </w:rPr>
            </w:pPr>
            <w:r w:rsidRPr="00D7208E">
              <w:rPr>
                <w:rFonts w:ascii="Times New Roman" w:hAnsi="Times New Roman"/>
                <w:iCs/>
                <w:sz w:val="24"/>
                <w:szCs w:val="24"/>
                <w:lang w:eastAsia="lv-LV"/>
              </w:rPr>
              <w:t>Nav.</w:t>
            </w:r>
          </w:p>
        </w:tc>
      </w:tr>
    </w:tbl>
    <w:p w:rsidR="007D1E86" w:rsidRPr="00D7208E" w:rsidRDefault="007D1E86" w:rsidP="000147FD">
      <w:pPr>
        <w:spacing w:after="0" w:line="240" w:lineRule="auto"/>
        <w:ind w:firstLine="375"/>
        <w:jc w:val="both"/>
        <w:rPr>
          <w:rFonts w:ascii="Times New Roman" w:hAnsi="Times New Roman"/>
          <w:i/>
          <w:iCs/>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7"/>
        <w:gridCol w:w="2975"/>
        <w:gridCol w:w="5954"/>
      </w:tblGrid>
      <w:tr w:rsidR="00A31126" w:rsidRPr="00057FC2" w:rsidTr="006F582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31126" w:rsidRPr="00D7208E" w:rsidRDefault="00A31126" w:rsidP="00F76307">
            <w:pPr>
              <w:spacing w:after="0" w:line="240" w:lineRule="auto"/>
              <w:ind w:firstLine="300"/>
              <w:jc w:val="center"/>
              <w:rPr>
                <w:rFonts w:ascii="Times New Roman" w:hAnsi="Times New Roman"/>
                <w:b/>
                <w:bCs/>
                <w:sz w:val="24"/>
                <w:szCs w:val="24"/>
                <w:lang w:eastAsia="lv-LV"/>
              </w:rPr>
            </w:pPr>
            <w:r w:rsidRPr="00D7208E">
              <w:rPr>
                <w:rFonts w:ascii="Times New Roman" w:hAnsi="Times New Roman"/>
                <w:b/>
                <w:bCs/>
                <w:sz w:val="24"/>
                <w:szCs w:val="24"/>
                <w:lang w:eastAsia="lv-LV"/>
              </w:rPr>
              <w:t>VII. Tiesību akta projekta izpildes nodrošināšana un tās ietekme uz institūcijām</w:t>
            </w:r>
          </w:p>
        </w:tc>
      </w:tr>
      <w:tr w:rsidR="00A31126" w:rsidRPr="00057FC2" w:rsidTr="00D7208E">
        <w:trPr>
          <w:trHeight w:val="420"/>
        </w:trPr>
        <w:tc>
          <w:tcPr>
            <w:tcW w:w="228" w:type="pct"/>
            <w:tcBorders>
              <w:top w:val="outset" w:sz="6" w:space="0" w:color="414142"/>
              <w:left w:val="outset" w:sz="6" w:space="0" w:color="414142"/>
              <w:bottom w:val="outset" w:sz="6" w:space="0" w:color="414142"/>
              <w:right w:val="outset" w:sz="6" w:space="0" w:color="414142"/>
            </w:tcBorders>
            <w:hideMark/>
          </w:tcPr>
          <w:p w:rsidR="00A31126" w:rsidRPr="00D7208E" w:rsidRDefault="00A31126" w:rsidP="00F76307">
            <w:pPr>
              <w:spacing w:after="0" w:line="240" w:lineRule="auto"/>
              <w:jc w:val="both"/>
              <w:rPr>
                <w:rFonts w:ascii="Times New Roman" w:hAnsi="Times New Roman"/>
                <w:sz w:val="24"/>
                <w:szCs w:val="24"/>
                <w:lang w:eastAsia="lv-LV"/>
              </w:rPr>
            </w:pPr>
            <w:r w:rsidRPr="00D7208E">
              <w:rPr>
                <w:rFonts w:ascii="Times New Roman" w:hAnsi="Times New Roman"/>
                <w:sz w:val="24"/>
                <w:szCs w:val="24"/>
                <w:lang w:eastAsia="lv-LV"/>
              </w:rPr>
              <w:t>1.</w:t>
            </w:r>
          </w:p>
        </w:tc>
        <w:tc>
          <w:tcPr>
            <w:tcW w:w="1590" w:type="pct"/>
            <w:tcBorders>
              <w:top w:val="outset" w:sz="6" w:space="0" w:color="414142"/>
              <w:left w:val="outset" w:sz="6" w:space="0" w:color="414142"/>
              <w:bottom w:val="outset" w:sz="6" w:space="0" w:color="414142"/>
              <w:right w:val="outset" w:sz="6" w:space="0" w:color="414142"/>
            </w:tcBorders>
            <w:hideMark/>
          </w:tcPr>
          <w:p w:rsidR="00A31126" w:rsidRPr="00D7208E" w:rsidRDefault="00A31126" w:rsidP="00F76307">
            <w:pPr>
              <w:spacing w:after="0" w:line="240" w:lineRule="auto"/>
              <w:jc w:val="both"/>
              <w:rPr>
                <w:rFonts w:ascii="Times New Roman" w:hAnsi="Times New Roman"/>
                <w:sz w:val="24"/>
                <w:szCs w:val="24"/>
                <w:lang w:eastAsia="lv-LV"/>
              </w:rPr>
            </w:pPr>
            <w:r w:rsidRPr="00D7208E">
              <w:rPr>
                <w:rFonts w:ascii="Times New Roman" w:hAnsi="Times New Roman"/>
                <w:sz w:val="24"/>
                <w:szCs w:val="24"/>
                <w:lang w:eastAsia="lv-LV"/>
              </w:rPr>
              <w:t>Projekta izpildē iesaistītās institūcijas</w:t>
            </w:r>
          </w:p>
        </w:tc>
        <w:tc>
          <w:tcPr>
            <w:tcW w:w="3181" w:type="pct"/>
            <w:tcBorders>
              <w:top w:val="outset" w:sz="6" w:space="0" w:color="414142"/>
              <w:left w:val="outset" w:sz="6" w:space="0" w:color="414142"/>
              <w:bottom w:val="outset" w:sz="6" w:space="0" w:color="414142"/>
              <w:right w:val="outset" w:sz="6" w:space="0" w:color="414142"/>
            </w:tcBorders>
            <w:hideMark/>
          </w:tcPr>
          <w:p w:rsidR="00A31126" w:rsidRPr="00D7208E" w:rsidRDefault="00A31126" w:rsidP="00F76307">
            <w:pPr>
              <w:pStyle w:val="naisf"/>
              <w:spacing w:before="0" w:beforeAutospacing="0" w:after="0" w:afterAutospacing="0"/>
              <w:ind w:firstLine="680"/>
              <w:jc w:val="both"/>
            </w:pPr>
            <w:r w:rsidRPr="00D7208E">
              <w:t>Tiesību akta izpilde notiks esošo valsts institūciju ietvaros. Valsts policija kā kompetentā iestāde atzīst vai pieņem lēmumu par atteikumu atzīt cit</w:t>
            </w:r>
            <w:r w:rsidR="00A76A0B" w:rsidRPr="00D7208E">
              <w:t xml:space="preserve">as ES dalībvalsts pieņemtu EAR. </w:t>
            </w:r>
          </w:p>
          <w:p w:rsidR="00A31126" w:rsidRPr="00D7208E" w:rsidRDefault="00A31126" w:rsidP="00F76307">
            <w:pPr>
              <w:spacing w:after="0" w:line="240" w:lineRule="auto"/>
              <w:ind w:firstLine="610"/>
              <w:jc w:val="both"/>
              <w:rPr>
                <w:rFonts w:ascii="Times New Roman" w:hAnsi="Times New Roman"/>
                <w:sz w:val="24"/>
                <w:szCs w:val="24"/>
              </w:rPr>
            </w:pPr>
            <w:r w:rsidRPr="00D7208E">
              <w:rPr>
                <w:rFonts w:ascii="Times New Roman" w:hAnsi="Times New Roman"/>
                <w:sz w:val="24"/>
                <w:szCs w:val="24"/>
              </w:rPr>
              <w:t xml:space="preserve"> Tāpat Valsts policija, kā kompetentā iestāde, pamatojoties uz aizsargājamās personas iesniegumu, ir tiesīga pieņemt EAR, pirms tam pieprasot nepieciešamo informāciju no procesa virzītāja vai iestādes, kura kontrolē sprieduma izpildi.</w:t>
            </w:r>
          </w:p>
        </w:tc>
      </w:tr>
      <w:tr w:rsidR="00A31126" w:rsidRPr="00057FC2" w:rsidTr="00D7208E">
        <w:trPr>
          <w:trHeight w:val="450"/>
        </w:trPr>
        <w:tc>
          <w:tcPr>
            <w:tcW w:w="228" w:type="pct"/>
            <w:tcBorders>
              <w:top w:val="outset" w:sz="6" w:space="0" w:color="414142"/>
              <w:left w:val="outset" w:sz="6" w:space="0" w:color="414142"/>
              <w:bottom w:val="outset" w:sz="6" w:space="0" w:color="414142"/>
              <w:right w:val="outset" w:sz="6" w:space="0" w:color="414142"/>
            </w:tcBorders>
            <w:hideMark/>
          </w:tcPr>
          <w:p w:rsidR="00A31126" w:rsidRPr="00D7208E" w:rsidRDefault="00A31126" w:rsidP="00F76307">
            <w:pPr>
              <w:spacing w:after="0" w:line="240" w:lineRule="auto"/>
              <w:jc w:val="both"/>
              <w:rPr>
                <w:rFonts w:ascii="Times New Roman" w:hAnsi="Times New Roman"/>
                <w:sz w:val="24"/>
                <w:szCs w:val="24"/>
                <w:lang w:eastAsia="lv-LV"/>
              </w:rPr>
            </w:pPr>
            <w:r w:rsidRPr="00D7208E">
              <w:rPr>
                <w:rFonts w:ascii="Times New Roman" w:hAnsi="Times New Roman"/>
                <w:sz w:val="24"/>
                <w:szCs w:val="24"/>
                <w:lang w:eastAsia="lv-LV"/>
              </w:rPr>
              <w:t>2.</w:t>
            </w:r>
          </w:p>
        </w:tc>
        <w:tc>
          <w:tcPr>
            <w:tcW w:w="1590" w:type="pct"/>
            <w:tcBorders>
              <w:top w:val="outset" w:sz="6" w:space="0" w:color="414142"/>
              <w:left w:val="outset" w:sz="6" w:space="0" w:color="414142"/>
              <w:bottom w:val="outset" w:sz="6" w:space="0" w:color="414142"/>
              <w:right w:val="outset" w:sz="6" w:space="0" w:color="414142"/>
            </w:tcBorders>
            <w:hideMark/>
          </w:tcPr>
          <w:p w:rsidR="00A31126" w:rsidRPr="00D7208E" w:rsidRDefault="00A31126" w:rsidP="00F76307">
            <w:pPr>
              <w:spacing w:after="0" w:line="240" w:lineRule="auto"/>
              <w:jc w:val="both"/>
              <w:rPr>
                <w:rFonts w:ascii="Times New Roman" w:hAnsi="Times New Roman"/>
                <w:sz w:val="24"/>
                <w:szCs w:val="24"/>
                <w:lang w:eastAsia="lv-LV"/>
              </w:rPr>
            </w:pPr>
            <w:r w:rsidRPr="00D7208E">
              <w:rPr>
                <w:rFonts w:ascii="Times New Roman" w:hAnsi="Times New Roman"/>
                <w:sz w:val="24"/>
                <w:szCs w:val="24"/>
                <w:lang w:eastAsia="lv-LV"/>
              </w:rPr>
              <w:t xml:space="preserve">Projekta izpildes ietekme uz pārvaldes funkcijām un institucionālo struktūru. </w:t>
            </w:r>
          </w:p>
          <w:p w:rsidR="00A31126" w:rsidRPr="00D7208E" w:rsidRDefault="00A31126" w:rsidP="00F76307">
            <w:pPr>
              <w:spacing w:after="0" w:line="240" w:lineRule="auto"/>
              <w:ind w:firstLine="300"/>
              <w:jc w:val="both"/>
              <w:rPr>
                <w:rFonts w:ascii="Times New Roman" w:hAnsi="Times New Roman"/>
                <w:sz w:val="24"/>
                <w:szCs w:val="24"/>
                <w:lang w:eastAsia="lv-LV"/>
              </w:rPr>
            </w:pPr>
            <w:r w:rsidRPr="00D7208E">
              <w:rPr>
                <w:rFonts w:ascii="Times New Roman" w:hAnsi="Times New Roman"/>
                <w:sz w:val="24"/>
                <w:szCs w:val="24"/>
                <w:lang w:eastAsia="lv-LV"/>
              </w:rPr>
              <w:t>Jaunu institūciju izveide, esošu institūciju likvidācija vai reorganizācija, to ietekme uz institūcijas cilvēkresursiem</w:t>
            </w:r>
          </w:p>
        </w:tc>
        <w:tc>
          <w:tcPr>
            <w:tcW w:w="3181" w:type="pct"/>
            <w:tcBorders>
              <w:top w:val="outset" w:sz="6" w:space="0" w:color="414142"/>
              <w:left w:val="outset" w:sz="6" w:space="0" w:color="414142"/>
              <w:bottom w:val="outset" w:sz="6" w:space="0" w:color="414142"/>
              <w:right w:val="outset" w:sz="6" w:space="0" w:color="414142"/>
            </w:tcBorders>
            <w:hideMark/>
          </w:tcPr>
          <w:p w:rsidR="00A31126" w:rsidRPr="00D7208E" w:rsidRDefault="00A31126" w:rsidP="00F76307">
            <w:pPr>
              <w:spacing w:after="0" w:line="240" w:lineRule="auto"/>
              <w:ind w:firstLine="610"/>
              <w:jc w:val="both"/>
              <w:rPr>
                <w:rFonts w:ascii="Times New Roman" w:hAnsi="Times New Roman"/>
                <w:iCs/>
                <w:sz w:val="24"/>
                <w:szCs w:val="24"/>
              </w:rPr>
            </w:pPr>
            <w:r w:rsidRPr="00D7208E">
              <w:rPr>
                <w:rFonts w:ascii="Times New Roman" w:hAnsi="Times New Roman"/>
                <w:iCs/>
                <w:sz w:val="24"/>
                <w:szCs w:val="24"/>
              </w:rPr>
              <w:t>Projekts paredz Valsts policijai noteikt jaunu funkciju, kas saistīta ar EAR pieņemšanu, grozīšanu, atzīšanu un izpildi.</w:t>
            </w:r>
          </w:p>
          <w:p w:rsidR="00A31126" w:rsidRPr="00D7208E" w:rsidRDefault="00A31126" w:rsidP="00F76307">
            <w:pPr>
              <w:spacing w:after="0" w:line="240" w:lineRule="auto"/>
              <w:ind w:firstLine="610"/>
              <w:jc w:val="both"/>
              <w:rPr>
                <w:rFonts w:ascii="Times New Roman" w:hAnsi="Times New Roman"/>
                <w:sz w:val="24"/>
                <w:szCs w:val="24"/>
                <w:lang w:eastAsia="lv-LV"/>
              </w:rPr>
            </w:pPr>
            <w:r w:rsidRPr="00D7208E">
              <w:rPr>
                <w:rFonts w:ascii="Times New Roman" w:hAnsi="Times New Roman"/>
                <w:sz w:val="24"/>
                <w:szCs w:val="24"/>
              </w:rPr>
              <w:t>Jaunas valsts institūcijas netiek radītas, esošās institūcijas netiek likvidētas vai reorganizētas.</w:t>
            </w:r>
          </w:p>
        </w:tc>
      </w:tr>
      <w:tr w:rsidR="00A31126" w:rsidRPr="00057FC2" w:rsidTr="00D7208E">
        <w:trPr>
          <w:trHeight w:val="230"/>
        </w:trPr>
        <w:tc>
          <w:tcPr>
            <w:tcW w:w="228" w:type="pct"/>
            <w:tcBorders>
              <w:top w:val="outset" w:sz="6" w:space="0" w:color="414142"/>
              <w:left w:val="outset" w:sz="6" w:space="0" w:color="414142"/>
              <w:bottom w:val="outset" w:sz="6" w:space="0" w:color="414142"/>
              <w:right w:val="outset" w:sz="6" w:space="0" w:color="414142"/>
            </w:tcBorders>
            <w:hideMark/>
          </w:tcPr>
          <w:p w:rsidR="00A31126" w:rsidRPr="00D7208E" w:rsidRDefault="00A31126" w:rsidP="00F76307">
            <w:pPr>
              <w:spacing w:after="0" w:line="240" w:lineRule="auto"/>
              <w:jc w:val="both"/>
              <w:rPr>
                <w:rFonts w:ascii="Times New Roman" w:hAnsi="Times New Roman"/>
                <w:sz w:val="24"/>
                <w:szCs w:val="24"/>
                <w:lang w:eastAsia="lv-LV"/>
              </w:rPr>
            </w:pPr>
            <w:r w:rsidRPr="00D7208E">
              <w:rPr>
                <w:rFonts w:ascii="Times New Roman" w:hAnsi="Times New Roman"/>
                <w:sz w:val="24"/>
                <w:szCs w:val="24"/>
                <w:lang w:eastAsia="lv-LV"/>
              </w:rPr>
              <w:t>3.</w:t>
            </w:r>
          </w:p>
        </w:tc>
        <w:tc>
          <w:tcPr>
            <w:tcW w:w="1590" w:type="pct"/>
            <w:tcBorders>
              <w:top w:val="outset" w:sz="6" w:space="0" w:color="414142"/>
              <w:left w:val="outset" w:sz="6" w:space="0" w:color="414142"/>
              <w:bottom w:val="outset" w:sz="6" w:space="0" w:color="414142"/>
              <w:right w:val="outset" w:sz="6" w:space="0" w:color="414142"/>
            </w:tcBorders>
            <w:hideMark/>
          </w:tcPr>
          <w:p w:rsidR="00A31126" w:rsidRPr="00D7208E" w:rsidRDefault="00A31126" w:rsidP="00F76307">
            <w:pPr>
              <w:spacing w:after="0" w:line="240" w:lineRule="auto"/>
              <w:jc w:val="both"/>
              <w:rPr>
                <w:rFonts w:ascii="Times New Roman" w:hAnsi="Times New Roman"/>
                <w:sz w:val="24"/>
                <w:szCs w:val="24"/>
                <w:lang w:eastAsia="lv-LV"/>
              </w:rPr>
            </w:pPr>
            <w:r w:rsidRPr="00D7208E">
              <w:rPr>
                <w:rFonts w:ascii="Times New Roman" w:hAnsi="Times New Roman"/>
                <w:sz w:val="24"/>
                <w:szCs w:val="24"/>
                <w:lang w:eastAsia="lv-LV"/>
              </w:rPr>
              <w:t>Cita informācija</w:t>
            </w:r>
          </w:p>
        </w:tc>
        <w:tc>
          <w:tcPr>
            <w:tcW w:w="3181" w:type="pct"/>
            <w:tcBorders>
              <w:top w:val="outset" w:sz="6" w:space="0" w:color="414142"/>
              <w:left w:val="outset" w:sz="6" w:space="0" w:color="414142"/>
              <w:bottom w:val="outset" w:sz="6" w:space="0" w:color="414142"/>
              <w:right w:val="outset" w:sz="6" w:space="0" w:color="414142"/>
            </w:tcBorders>
            <w:hideMark/>
          </w:tcPr>
          <w:p w:rsidR="00A31126" w:rsidRPr="00D7208E" w:rsidRDefault="00A31126" w:rsidP="00F76307">
            <w:pPr>
              <w:spacing w:after="0" w:line="240" w:lineRule="auto"/>
              <w:ind w:firstLine="43"/>
              <w:jc w:val="both"/>
              <w:rPr>
                <w:rFonts w:ascii="Times New Roman" w:hAnsi="Times New Roman"/>
                <w:sz w:val="24"/>
                <w:szCs w:val="24"/>
                <w:lang w:eastAsia="lv-LV"/>
              </w:rPr>
            </w:pPr>
            <w:r w:rsidRPr="00D7208E">
              <w:rPr>
                <w:rFonts w:ascii="Times New Roman" w:hAnsi="Times New Roman"/>
                <w:sz w:val="24"/>
                <w:szCs w:val="24"/>
                <w:lang w:eastAsia="lv-LV"/>
              </w:rPr>
              <w:t xml:space="preserve">Nav. </w:t>
            </w:r>
          </w:p>
        </w:tc>
      </w:tr>
    </w:tbl>
    <w:p w:rsidR="00A31126" w:rsidRPr="00D7208E" w:rsidRDefault="00A31126" w:rsidP="000147FD">
      <w:pPr>
        <w:spacing w:after="0" w:line="240" w:lineRule="auto"/>
        <w:ind w:firstLine="375"/>
        <w:jc w:val="both"/>
        <w:rPr>
          <w:rFonts w:ascii="Times New Roman" w:hAnsi="Times New Roman"/>
          <w:i/>
          <w:iCs/>
          <w:sz w:val="24"/>
          <w:szCs w:val="24"/>
          <w:lang w:eastAsia="lv-LV"/>
        </w:rPr>
      </w:pPr>
    </w:p>
    <w:p w:rsidR="00562EDB" w:rsidRPr="00D7208E" w:rsidRDefault="00F74A52" w:rsidP="000147FD">
      <w:pPr>
        <w:spacing w:after="0" w:line="240" w:lineRule="auto"/>
        <w:ind w:firstLine="375"/>
        <w:jc w:val="both"/>
        <w:rPr>
          <w:rFonts w:ascii="Times New Roman" w:hAnsi="Times New Roman"/>
          <w:i/>
          <w:iCs/>
          <w:sz w:val="24"/>
          <w:szCs w:val="24"/>
          <w:lang w:eastAsia="lv-LV"/>
        </w:rPr>
      </w:pPr>
      <w:r w:rsidRPr="00D7208E">
        <w:rPr>
          <w:rFonts w:ascii="Times New Roman" w:hAnsi="Times New Roman"/>
          <w:i/>
          <w:iCs/>
          <w:sz w:val="24"/>
          <w:szCs w:val="24"/>
          <w:lang w:eastAsia="lv-LV"/>
        </w:rPr>
        <w:t xml:space="preserve">Anotācijas II, III, un IV </w:t>
      </w:r>
      <w:r w:rsidR="000147FD" w:rsidRPr="00D7208E">
        <w:rPr>
          <w:rFonts w:ascii="Times New Roman" w:hAnsi="Times New Roman"/>
          <w:i/>
          <w:iCs/>
          <w:sz w:val="24"/>
          <w:szCs w:val="24"/>
          <w:lang w:eastAsia="lv-LV"/>
        </w:rPr>
        <w:t>sadaļa – projekts šīs jomas neskar.</w:t>
      </w:r>
    </w:p>
    <w:p w:rsidR="00F041DD" w:rsidRDefault="00F041DD" w:rsidP="00D779E9">
      <w:pPr>
        <w:pStyle w:val="naisf"/>
        <w:tabs>
          <w:tab w:val="left" w:pos="6710"/>
        </w:tabs>
        <w:spacing w:before="0" w:beforeAutospacing="0" w:after="0" w:afterAutospacing="0"/>
      </w:pPr>
    </w:p>
    <w:p w:rsidR="00D7208E" w:rsidRPr="00D7208E" w:rsidRDefault="00D7208E" w:rsidP="00D779E9">
      <w:pPr>
        <w:pStyle w:val="naisf"/>
        <w:tabs>
          <w:tab w:val="left" w:pos="6710"/>
        </w:tabs>
        <w:spacing w:before="0" w:beforeAutospacing="0" w:after="0" w:afterAutospacing="0"/>
      </w:pPr>
    </w:p>
    <w:p w:rsidR="006F5829" w:rsidRPr="00D7208E" w:rsidRDefault="004E7D34" w:rsidP="00D779E9">
      <w:pPr>
        <w:pStyle w:val="naisf"/>
        <w:tabs>
          <w:tab w:val="left" w:pos="6710"/>
        </w:tabs>
        <w:spacing w:before="0" w:beforeAutospacing="0" w:after="0" w:afterAutospacing="0"/>
      </w:pPr>
      <w:r w:rsidRPr="00D7208E">
        <w:t>Tieslietu ministrs</w:t>
      </w:r>
      <w:r w:rsidR="006F5829" w:rsidRPr="00D7208E">
        <w:tab/>
      </w:r>
      <w:r w:rsidR="006F5829" w:rsidRPr="00D7208E">
        <w:tab/>
      </w:r>
      <w:r w:rsidRPr="00D7208E">
        <w:t xml:space="preserve">Dzintars Rasnačs </w:t>
      </w:r>
    </w:p>
    <w:p w:rsidR="004B26A7" w:rsidRPr="00FB15C6" w:rsidRDefault="004B26A7" w:rsidP="00D779E9">
      <w:pPr>
        <w:pStyle w:val="naisf"/>
        <w:tabs>
          <w:tab w:val="left" w:pos="6710"/>
        </w:tabs>
        <w:spacing w:before="0" w:beforeAutospacing="0" w:after="0" w:afterAutospacing="0"/>
        <w:rPr>
          <w:sz w:val="26"/>
          <w:szCs w:val="26"/>
        </w:rPr>
      </w:pPr>
    </w:p>
    <w:p w:rsidR="00057FC2" w:rsidRDefault="00057FC2" w:rsidP="006F5829">
      <w:pPr>
        <w:spacing w:after="0" w:line="240" w:lineRule="auto"/>
        <w:jc w:val="both"/>
        <w:rPr>
          <w:rFonts w:ascii="Times New Roman" w:hAnsi="Times New Roman"/>
          <w:sz w:val="20"/>
          <w:lang w:eastAsia="lv-LV" w:bidi="lo-LA"/>
        </w:rPr>
      </w:pPr>
    </w:p>
    <w:p w:rsidR="00366682" w:rsidRPr="00354155" w:rsidRDefault="00D7208E" w:rsidP="006F5829">
      <w:pPr>
        <w:spacing w:after="0" w:line="240" w:lineRule="auto"/>
        <w:jc w:val="both"/>
        <w:rPr>
          <w:rFonts w:ascii="Times New Roman" w:hAnsi="Times New Roman"/>
          <w:sz w:val="20"/>
          <w:lang w:eastAsia="lv-LV" w:bidi="lo-LA"/>
        </w:rPr>
      </w:pPr>
      <w:r>
        <w:rPr>
          <w:rFonts w:ascii="Times New Roman" w:hAnsi="Times New Roman"/>
          <w:sz w:val="20"/>
          <w:lang w:eastAsia="lv-LV" w:bidi="lo-LA"/>
        </w:rPr>
        <w:t>12</w:t>
      </w:r>
      <w:r w:rsidR="004E7D34">
        <w:rPr>
          <w:rFonts w:ascii="Times New Roman" w:hAnsi="Times New Roman"/>
          <w:sz w:val="20"/>
          <w:lang w:eastAsia="lv-LV" w:bidi="lo-LA"/>
        </w:rPr>
        <w:t xml:space="preserve">.02.2015. </w:t>
      </w:r>
      <w:r>
        <w:rPr>
          <w:rFonts w:ascii="Times New Roman" w:hAnsi="Times New Roman"/>
          <w:sz w:val="20"/>
          <w:lang w:eastAsia="lv-LV" w:bidi="lo-LA"/>
        </w:rPr>
        <w:t>16:45</w:t>
      </w:r>
    </w:p>
    <w:p w:rsidR="002A2F0D" w:rsidRPr="00354155" w:rsidRDefault="004E7D34" w:rsidP="006F5829">
      <w:pPr>
        <w:spacing w:after="0" w:line="240" w:lineRule="auto"/>
        <w:jc w:val="both"/>
        <w:rPr>
          <w:rFonts w:ascii="Times New Roman" w:hAnsi="Times New Roman"/>
          <w:sz w:val="20"/>
          <w:lang w:eastAsia="lv-LV" w:bidi="lo-LA"/>
        </w:rPr>
      </w:pPr>
      <w:r>
        <w:rPr>
          <w:rFonts w:ascii="Times New Roman" w:hAnsi="Times New Roman"/>
          <w:sz w:val="20"/>
          <w:lang w:eastAsia="lv-LV" w:bidi="lo-LA"/>
        </w:rPr>
        <w:t>852</w:t>
      </w:r>
    </w:p>
    <w:p w:rsidR="00366682" w:rsidRPr="00354155" w:rsidRDefault="00715CC6" w:rsidP="006F5829">
      <w:pPr>
        <w:spacing w:after="0" w:line="240" w:lineRule="auto"/>
        <w:jc w:val="both"/>
        <w:rPr>
          <w:rFonts w:ascii="Times New Roman" w:hAnsi="Times New Roman"/>
          <w:sz w:val="20"/>
          <w:lang w:eastAsia="lv-LV" w:bidi="lo-LA"/>
        </w:rPr>
      </w:pPr>
      <w:r w:rsidRPr="00354155">
        <w:rPr>
          <w:rFonts w:ascii="Times New Roman" w:hAnsi="Times New Roman"/>
          <w:sz w:val="20"/>
          <w:lang w:eastAsia="lv-LV" w:bidi="lo-LA"/>
        </w:rPr>
        <w:t>E.Feldmane</w:t>
      </w:r>
    </w:p>
    <w:p w:rsidR="00C542C8" w:rsidRPr="00354155" w:rsidRDefault="00715CC6" w:rsidP="006F5829">
      <w:pPr>
        <w:spacing w:after="0" w:line="240" w:lineRule="auto"/>
        <w:jc w:val="both"/>
        <w:rPr>
          <w:rFonts w:ascii="Times New Roman" w:hAnsi="Times New Roman"/>
          <w:sz w:val="20"/>
          <w:lang w:eastAsia="lv-LV" w:bidi="lo-LA"/>
        </w:rPr>
      </w:pPr>
      <w:r w:rsidRPr="00354155">
        <w:rPr>
          <w:rFonts w:ascii="Times New Roman" w:hAnsi="Times New Roman"/>
          <w:sz w:val="20"/>
          <w:lang w:eastAsia="lv-LV" w:bidi="lo-LA"/>
        </w:rPr>
        <w:t xml:space="preserve">67046102, </w:t>
      </w:r>
      <w:hyperlink r:id="rId9" w:history="1">
        <w:r w:rsidR="00C542C8" w:rsidRPr="00354155">
          <w:rPr>
            <w:rStyle w:val="Hipersaite"/>
            <w:rFonts w:ascii="Times New Roman" w:hAnsi="Times New Roman"/>
            <w:sz w:val="20"/>
            <w:lang w:eastAsia="lv-LV" w:bidi="lo-LA"/>
          </w:rPr>
          <w:t>Elina.Feldmane@tm.gov.lv</w:t>
        </w:r>
      </w:hyperlink>
      <w:r w:rsidRPr="00354155">
        <w:rPr>
          <w:rFonts w:ascii="Times New Roman" w:hAnsi="Times New Roman"/>
          <w:sz w:val="20"/>
          <w:lang w:eastAsia="lv-LV" w:bidi="lo-LA"/>
        </w:rPr>
        <w:t xml:space="preserve"> </w:t>
      </w:r>
    </w:p>
    <w:sectPr w:rsidR="00C542C8" w:rsidRPr="00354155" w:rsidSect="006F5829">
      <w:headerReference w:type="default" r:id="rId10"/>
      <w:footerReference w:type="defaul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A3" w:rsidRDefault="005527A3" w:rsidP="0075141E">
      <w:pPr>
        <w:spacing w:after="0" w:line="240" w:lineRule="auto"/>
      </w:pPr>
      <w:r>
        <w:separator/>
      </w:r>
    </w:p>
  </w:endnote>
  <w:endnote w:type="continuationSeparator" w:id="0">
    <w:p w:rsidR="005527A3" w:rsidRDefault="005527A3" w:rsidP="0075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C542C8" w:rsidRDefault="00C542C8" w:rsidP="00C542C8">
    <w:pPr>
      <w:spacing w:after="0" w:line="240" w:lineRule="auto"/>
      <w:jc w:val="both"/>
      <w:rPr>
        <w:rFonts w:ascii="Times New Roman" w:hAnsi="Times New Roman"/>
        <w:bCs/>
        <w:sz w:val="20"/>
        <w:szCs w:val="20"/>
        <w:lang w:eastAsia="lv-LV"/>
      </w:rPr>
    </w:pPr>
    <w:r w:rsidRPr="00C542C8">
      <w:rPr>
        <w:rFonts w:ascii="Times New Roman" w:hAnsi="Times New Roman"/>
        <w:sz w:val="20"/>
        <w:szCs w:val="20"/>
      </w:rPr>
      <w:t>TMAnot_</w:t>
    </w:r>
    <w:r w:rsidR="00D7208E">
      <w:rPr>
        <w:rFonts w:ascii="Times New Roman" w:hAnsi="Times New Roman"/>
        <w:sz w:val="20"/>
        <w:szCs w:val="20"/>
      </w:rPr>
      <w:t>12</w:t>
    </w:r>
    <w:r w:rsidR="004E7D34">
      <w:rPr>
        <w:rFonts w:ascii="Times New Roman" w:hAnsi="Times New Roman"/>
        <w:sz w:val="20"/>
        <w:szCs w:val="20"/>
      </w:rPr>
      <w:t>02</w:t>
    </w:r>
    <w:r w:rsidR="003D2675">
      <w:rPr>
        <w:rFonts w:ascii="Times New Roman" w:hAnsi="Times New Roman"/>
        <w:sz w:val="20"/>
        <w:szCs w:val="20"/>
      </w:rPr>
      <w:t>15</w:t>
    </w:r>
    <w:r w:rsidR="004E0CDE">
      <w:rPr>
        <w:rFonts w:ascii="Times New Roman" w:hAnsi="Times New Roman"/>
        <w:sz w:val="20"/>
        <w:szCs w:val="20"/>
      </w:rPr>
      <w:t>_VSS-66</w:t>
    </w:r>
    <w:r w:rsidRPr="00C542C8">
      <w:rPr>
        <w:rFonts w:ascii="Times New Roman" w:hAnsi="Times New Roman"/>
        <w:sz w:val="20"/>
        <w:szCs w:val="20"/>
      </w:rPr>
      <w:t xml:space="preserve">; </w:t>
    </w:r>
    <w:r w:rsidRPr="00C542C8">
      <w:rPr>
        <w:rFonts w:ascii="Times New Roman" w:hAnsi="Times New Roman"/>
        <w:bCs/>
        <w:sz w:val="20"/>
        <w:szCs w:val="20"/>
      </w:rPr>
      <w:t>Ministru kabineta noteikumu projekta „</w:t>
    </w:r>
    <w:r w:rsidR="00FD4B5E" w:rsidRPr="00C542C8">
      <w:rPr>
        <w:rFonts w:ascii="Times New Roman" w:hAnsi="Times New Roman"/>
        <w:bCs/>
        <w:sz w:val="20"/>
        <w:szCs w:val="20"/>
      </w:rPr>
      <w:t>Grozījum</w:t>
    </w:r>
    <w:r w:rsidR="00FD4B5E">
      <w:rPr>
        <w:rFonts w:ascii="Times New Roman" w:hAnsi="Times New Roman"/>
        <w:bCs/>
        <w:sz w:val="20"/>
        <w:szCs w:val="20"/>
      </w:rPr>
      <w:t>i</w:t>
    </w:r>
    <w:r w:rsidR="00FD4B5E" w:rsidRPr="00C542C8">
      <w:rPr>
        <w:rFonts w:ascii="Times New Roman" w:hAnsi="Times New Roman"/>
        <w:bCs/>
        <w:sz w:val="20"/>
        <w:szCs w:val="20"/>
      </w:rPr>
      <w:t xml:space="preserve"> </w:t>
    </w:r>
    <w:r w:rsidRPr="00C542C8">
      <w:rPr>
        <w:rFonts w:ascii="Times New Roman" w:hAnsi="Times New Roman"/>
        <w:bCs/>
        <w:sz w:val="20"/>
        <w:szCs w:val="20"/>
      </w:rPr>
      <w:t xml:space="preserve">Ministru kabineta 2008. gada </w:t>
    </w:r>
    <w:proofErr w:type="gramStart"/>
    <w:r w:rsidRPr="00C542C8">
      <w:rPr>
        <w:rFonts w:ascii="Times New Roman" w:hAnsi="Times New Roman"/>
        <w:bCs/>
        <w:sz w:val="20"/>
        <w:szCs w:val="20"/>
      </w:rPr>
      <w:t>17.marta</w:t>
    </w:r>
    <w:proofErr w:type="gramEnd"/>
    <w:r w:rsidRPr="00C542C8">
      <w:rPr>
        <w:rFonts w:ascii="Times New Roman" w:hAnsi="Times New Roman"/>
        <w:bCs/>
        <w:sz w:val="20"/>
        <w:szCs w:val="20"/>
      </w:rPr>
      <w:t xml:space="preserve"> noteikumos Nr.176 „</w:t>
    </w:r>
    <w:r w:rsidRPr="00C542C8">
      <w:rPr>
        <w:rFonts w:ascii="Times New Roman" w:hAnsi="Times New Roman"/>
        <w:sz w:val="20"/>
        <w:szCs w:val="20"/>
      </w:rPr>
      <w:t>Noteikumi par īpaša dokumenta formu un saturu krimināltiesiskajā sadarbībā ar Eiropas Savienības dalībvalstīm</w:t>
    </w:r>
    <w:r w:rsidRPr="00C542C8">
      <w:rPr>
        <w:rFonts w:ascii="Times New Roman" w:hAnsi="Times New Roman"/>
        <w:bCs/>
        <w:sz w:val="20"/>
        <w:szCs w:val="20"/>
      </w:rPr>
      <w:t xml:space="preserve">”” </w:t>
    </w:r>
    <w:r w:rsidRPr="00C542C8">
      <w:rPr>
        <w:rFonts w:ascii="Times New Roman" w:hAnsi="Times New Roman"/>
        <w:bCs/>
        <w:sz w:val="20"/>
        <w:szCs w:val="20"/>
        <w:lang w:eastAsia="lv-LV"/>
      </w:rPr>
      <w:t xml:space="preserve">sākotnējās ietekmes novērtējuma </w:t>
    </w:r>
    <w:smartTag w:uri="schemas-tilde-lv/tildestengine" w:element="veidnes">
      <w:smartTagPr>
        <w:attr w:name="text" w:val="ziņojums"/>
        <w:attr w:name="baseform" w:val="ziņojums"/>
        <w:attr w:name="id" w:val="-1"/>
      </w:smartTagPr>
      <w:r w:rsidRPr="00C542C8">
        <w:rPr>
          <w:rFonts w:ascii="Times New Roman" w:hAnsi="Times New Roman"/>
          <w:bCs/>
          <w:sz w:val="20"/>
          <w:szCs w:val="20"/>
          <w:lang w:eastAsia="lv-LV"/>
        </w:rPr>
        <w:t>ziņojums</w:t>
      </w:r>
    </w:smartTag>
    <w:r w:rsidRPr="00C542C8">
      <w:rPr>
        <w:rFonts w:ascii="Times New Roman" w:hAnsi="Times New Roman"/>
        <w:bCs/>
        <w:sz w:val="20"/>
        <w:szCs w:val="20"/>
        <w:lang w:eastAsia="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C542C8" w:rsidRDefault="004E7D34" w:rsidP="006409B9">
    <w:pPr>
      <w:spacing w:after="0" w:line="240" w:lineRule="auto"/>
      <w:jc w:val="both"/>
      <w:rPr>
        <w:rFonts w:ascii="Times New Roman" w:hAnsi="Times New Roman"/>
        <w:bCs/>
        <w:sz w:val="20"/>
        <w:szCs w:val="20"/>
        <w:lang w:eastAsia="lv-LV"/>
      </w:rPr>
    </w:pPr>
    <w:r>
      <w:rPr>
        <w:rFonts w:ascii="Times New Roman" w:hAnsi="Times New Roman"/>
        <w:sz w:val="20"/>
        <w:szCs w:val="20"/>
      </w:rPr>
      <w:t>TMAnot_</w:t>
    </w:r>
    <w:r w:rsidR="00D7208E">
      <w:rPr>
        <w:rFonts w:ascii="Times New Roman" w:hAnsi="Times New Roman"/>
        <w:sz w:val="20"/>
        <w:szCs w:val="20"/>
      </w:rPr>
      <w:t>12</w:t>
    </w:r>
    <w:r>
      <w:rPr>
        <w:rFonts w:ascii="Times New Roman" w:hAnsi="Times New Roman"/>
        <w:sz w:val="20"/>
        <w:szCs w:val="20"/>
      </w:rPr>
      <w:t>02</w:t>
    </w:r>
    <w:r w:rsidR="003D2675">
      <w:rPr>
        <w:rFonts w:ascii="Times New Roman" w:hAnsi="Times New Roman"/>
        <w:sz w:val="20"/>
        <w:szCs w:val="20"/>
      </w:rPr>
      <w:t>15</w:t>
    </w:r>
    <w:r w:rsidR="00C542C8" w:rsidRPr="00C542C8">
      <w:rPr>
        <w:rFonts w:ascii="Times New Roman" w:hAnsi="Times New Roman"/>
        <w:sz w:val="20"/>
        <w:szCs w:val="20"/>
      </w:rPr>
      <w:t>_</w:t>
    </w:r>
    <w:r w:rsidR="004E0CDE">
      <w:rPr>
        <w:rFonts w:ascii="Times New Roman" w:hAnsi="Times New Roman"/>
        <w:sz w:val="20"/>
        <w:szCs w:val="20"/>
      </w:rPr>
      <w:t>VSS-66</w:t>
    </w:r>
    <w:r w:rsidR="00446BD0">
      <w:rPr>
        <w:rFonts w:ascii="Times New Roman" w:hAnsi="Times New Roman"/>
        <w:sz w:val="20"/>
        <w:szCs w:val="20"/>
      </w:rPr>
      <w:t>;</w:t>
    </w:r>
    <w:r w:rsidR="005527A3" w:rsidRPr="00C542C8">
      <w:rPr>
        <w:rFonts w:ascii="Times New Roman" w:hAnsi="Times New Roman"/>
        <w:sz w:val="20"/>
        <w:szCs w:val="20"/>
      </w:rPr>
      <w:t xml:space="preserve"> </w:t>
    </w:r>
    <w:r w:rsidR="00C542C8" w:rsidRPr="00C542C8">
      <w:rPr>
        <w:rFonts w:ascii="Times New Roman" w:hAnsi="Times New Roman"/>
        <w:bCs/>
        <w:sz w:val="20"/>
        <w:szCs w:val="20"/>
      </w:rPr>
      <w:t>Ministru kabineta noteikumu projekta „Grozījum</w:t>
    </w:r>
    <w:r w:rsidR="00FD4B5E">
      <w:rPr>
        <w:rFonts w:ascii="Times New Roman" w:hAnsi="Times New Roman"/>
        <w:bCs/>
        <w:sz w:val="20"/>
        <w:szCs w:val="20"/>
      </w:rPr>
      <w:t>i</w:t>
    </w:r>
    <w:r w:rsidR="00C542C8" w:rsidRPr="00C542C8">
      <w:rPr>
        <w:rFonts w:ascii="Times New Roman" w:hAnsi="Times New Roman"/>
        <w:bCs/>
        <w:sz w:val="20"/>
        <w:szCs w:val="20"/>
      </w:rPr>
      <w:t xml:space="preserve"> Ministru kabineta 2008. gada </w:t>
    </w:r>
    <w:proofErr w:type="gramStart"/>
    <w:r w:rsidR="00C542C8" w:rsidRPr="00C542C8">
      <w:rPr>
        <w:rFonts w:ascii="Times New Roman" w:hAnsi="Times New Roman"/>
        <w:bCs/>
        <w:sz w:val="20"/>
        <w:szCs w:val="20"/>
      </w:rPr>
      <w:t>17.marta</w:t>
    </w:r>
    <w:proofErr w:type="gramEnd"/>
    <w:r w:rsidR="00C542C8" w:rsidRPr="00C542C8">
      <w:rPr>
        <w:rFonts w:ascii="Times New Roman" w:hAnsi="Times New Roman"/>
        <w:bCs/>
        <w:sz w:val="20"/>
        <w:szCs w:val="20"/>
      </w:rPr>
      <w:t xml:space="preserve"> noteikumos Nr.176 „</w:t>
    </w:r>
    <w:r w:rsidR="00C542C8" w:rsidRPr="00C542C8">
      <w:rPr>
        <w:rFonts w:ascii="Times New Roman" w:hAnsi="Times New Roman"/>
        <w:sz w:val="20"/>
        <w:szCs w:val="20"/>
      </w:rPr>
      <w:t>Noteikumi par īpaša dokumenta formu un saturu krimināltiesiskajā sadarbībā ar Eiropas Savienības dalībvalstīm</w:t>
    </w:r>
    <w:r w:rsidR="00C542C8" w:rsidRPr="00C542C8">
      <w:rPr>
        <w:rFonts w:ascii="Times New Roman" w:hAnsi="Times New Roman"/>
        <w:bCs/>
        <w:sz w:val="20"/>
        <w:szCs w:val="20"/>
      </w:rPr>
      <w:t xml:space="preserve">”” </w:t>
    </w:r>
    <w:r w:rsidR="00C542C8" w:rsidRPr="00C542C8">
      <w:rPr>
        <w:rFonts w:ascii="Times New Roman" w:hAnsi="Times New Roman"/>
        <w:bCs/>
        <w:sz w:val="20"/>
        <w:szCs w:val="20"/>
        <w:lang w:eastAsia="lv-LV"/>
      </w:rPr>
      <w:t xml:space="preserve">sākotnējās ietekmes novērtējuma </w:t>
    </w:r>
    <w:smartTag w:uri="schemas-tilde-lv/tildestengine" w:element="veidnes">
      <w:smartTagPr>
        <w:attr w:name="text" w:val="ziņojums"/>
        <w:attr w:name="baseform" w:val="ziņojums"/>
        <w:attr w:name="id" w:val="-1"/>
      </w:smartTagPr>
      <w:r w:rsidR="00C542C8" w:rsidRPr="00C542C8">
        <w:rPr>
          <w:rFonts w:ascii="Times New Roman" w:hAnsi="Times New Roman"/>
          <w:bCs/>
          <w:sz w:val="20"/>
          <w:szCs w:val="20"/>
          <w:lang w:eastAsia="lv-LV"/>
        </w:rPr>
        <w:t>ziņojums</w:t>
      </w:r>
    </w:smartTag>
    <w:r w:rsidR="00C542C8" w:rsidRPr="00C542C8">
      <w:rPr>
        <w:rFonts w:ascii="Times New Roman" w:hAnsi="Times New Roman"/>
        <w:bCs/>
        <w:sz w:val="20"/>
        <w:szCs w:val="20"/>
        <w:lang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A3" w:rsidRDefault="005527A3" w:rsidP="0075141E">
      <w:pPr>
        <w:spacing w:after="0" w:line="240" w:lineRule="auto"/>
      </w:pPr>
      <w:r>
        <w:separator/>
      </w:r>
    </w:p>
  </w:footnote>
  <w:footnote w:type="continuationSeparator" w:id="0">
    <w:p w:rsidR="005527A3" w:rsidRDefault="005527A3" w:rsidP="0075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2226F8" w:rsidRDefault="00A8503B" w:rsidP="0001022C">
    <w:pPr>
      <w:pStyle w:val="Galvene"/>
      <w:jc w:val="center"/>
      <w:rPr>
        <w:rFonts w:ascii="Times New Roman" w:hAnsi="Times New Roman"/>
        <w:sz w:val="24"/>
        <w:szCs w:val="24"/>
      </w:rPr>
    </w:pPr>
    <w:r w:rsidRPr="00BA5B93">
      <w:rPr>
        <w:rFonts w:ascii="Times New Roman" w:hAnsi="Times New Roman"/>
        <w:sz w:val="24"/>
        <w:szCs w:val="24"/>
      </w:rPr>
      <w:fldChar w:fldCharType="begin"/>
    </w:r>
    <w:r w:rsidR="005527A3" w:rsidRPr="00BA5B93">
      <w:rPr>
        <w:rFonts w:ascii="Times New Roman" w:hAnsi="Times New Roman"/>
        <w:sz w:val="24"/>
        <w:szCs w:val="24"/>
      </w:rPr>
      <w:instrText xml:space="preserve"> PAGE   \* MERGEFORMAT </w:instrText>
    </w:r>
    <w:r w:rsidRPr="00BA5B93">
      <w:rPr>
        <w:rFonts w:ascii="Times New Roman" w:hAnsi="Times New Roman"/>
        <w:sz w:val="24"/>
        <w:szCs w:val="24"/>
      </w:rPr>
      <w:fldChar w:fldCharType="separate"/>
    </w:r>
    <w:r w:rsidR="00D7208E">
      <w:rPr>
        <w:rFonts w:ascii="Times New Roman" w:hAnsi="Times New Roman"/>
        <w:noProof/>
        <w:sz w:val="24"/>
        <w:szCs w:val="24"/>
      </w:rPr>
      <w:t>2</w:t>
    </w:r>
    <w:r w:rsidRPr="00BA5B93">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9B4"/>
    <w:multiLevelType w:val="hybridMultilevel"/>
    <w:tmpl w:val="3230E26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27F7760"/>
    <w:multiLevelType w:val="hybridMultilevel"/>
    <w:tmpl w:val="9404E2F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97436C"/>
    <w:multiLevelType w:val="hybridMultilevel"/>
    <w:tmpl w:val="E41201E6"/>
    <w:lvl w:ilvl="0" w:tplc="7564DD7E">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3">
    <w:nsid w:val="09DC6DCE"/>
    <w:multiLevelType w:val="hybridMultilevel"/>
    <w:tmpl w:val="7C50A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6D4CF8"/>
    <w:multiLevelType w:val="hybridMultilevel"/>
    <w:tmpl w:val="EFD8E17C"/>
    <w:lvl w:ilvl="0" w:tplc="D736B59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5">
    <w:nsid w:val="1856554F"/>
    <w:multiLevelType w:val="hybridMultilevel"/>
    <w:tmpl w:val="EFD8E17C"/>
    <w:lvl w:ilvl="0" w:tplc="D736B59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6">
    <w:nsid w:val="2B7D03F4"/>
    <w:multiLevelType w:val="hybridMultilevel"/>
    <w:tmpl w:val="3F1218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CEC22B4"/>
    <w:multiLevelType w:val="hybridMultilevel"/>
    <w:tmpl w:val="FADC6C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44A49D7"/>
    <w:multiLevelType w:val="hybridMultilevel"/>
    <w:tmpl w:val="DDFEDA48"/>
    <w:lvl w:ilvl="0" w:tplc="1D0A63A2">
      <w:start w:val="1"/>
      <w:numFmt w:val="decimal"/>
      <w:lvlText w:val="%1."/>
      <w:lvlJc w:val="left"/>
      <w:pPr>
        <w:ind w:left="435" w:hanging="360"/>
      </w:pPr>
      <w:rPr>
        <w:rFonts w:cs="Times New Roman" w:hint="default"/>
      </w:rPr>
    </w:lvl>
    <w:lvl w:ilvl="1" w:tplc="04260019" w:tentative="1">
      <w:start w:val="1"/>
      <w:numFmt w:val="lowerLetter"/>
      <w:lvlText w:val="%2."/>
      <w:lvlJc w:val="left"/>
      <w:pPr>
        <w:ind w:left="1155" w:hanging="360"/>
      </w:pPr>
      <w:rPr>
        <w:rFonts w:cs="Times New Roman"/>
      </w:rPr>
    </w:lvl>
    <w:lvl w:ilvl="2" w:tplc="0426001B" w:tentative="1">
      <w:start w:val="1"/>
      <w:numFmt w:val="lowerRoman"/>
      <w:lvlText w:val="%3."/>
      <w:lvlJc w:val="right"/>
      <w:pPr>
        <w:ind w:left="1875" w:hanging="180"/>
      </w:pPr>
      <w:rPr>
        <w:rFonts w:cs="Times New Roman"/>
      </w:rPr>
    </w:lvl>
    <w:lvl w:ilvl="3" w:tplc="0426000F" w:tentative="1">
      <w:start w:val="1"/>
      <w:numFmt w:val="decimal"/>
      <w:lvlText w:val="%4."/>
      <w:lvlJc w:val="left"/>
      <w:pPr>
        <w:ind w:left="2595" w:hanging="360"/>
      </w:pPr>
      <w:rPr>
        <w:rFonts w:cs="Times New Roman"/>
      </w:rPr>
    </w:lvl>
    <w:lvl w:ilvl="4" w:tplc="04260019" w:tentative="1">
      <w:start w:val="1"/>
      <w:numFmt w:val="lowerLetter"/>
      <w:lvlText w:val="%5."/>
      <w:lvlJc w:val="left"/>
      <w:pPr>
        <w:ind w:left="3315" w:hanging="360"/>
      </w:pPr>
      <w:rPr>
        <w:rFonts w:cs="Times New Roman"/>
      </w:rPr>
    </w:lvl>
    <w:lvl w:ilvl="5" w:tplc="0426001B" w:tentative="1">
      <w:start w:val="1"/>
      <w:numFmt w:val="lowerRoman"/>
      <w:lvlText w:val="%6."/>
      <w:lvlJc w:val="right"/>
      <w:pPr>
        <w:ind w:left="4035" w:hanging="180"/>
      </w:pPr>
      <w:rPr>
        <w:rFonts w:cs="Times New Roman"/>
      </w:rPr>
    </w:lvl>
    <w:lvl w:ilvl="6" w:tplc="0426000F" w:tentative="1">
      <w:start w:val="1"/>
      <w:numFmt w:val="decimal"/>
      <w:lvlText w:val="%7."/>
      <w:lvlJc w:val="left"/>
      <w:pPr>
        <w:ind w:left="4755" w:hanging="360"/>
      </w:pPr>
      <w:rPr>
        <w:rFonts w:cs="Times New Roman"/>
      </w:rPr>
    </w:lvl>
    <w:lvl w:ilvl="7" w:tplc="04260019" w:tentative="1">
      <w:start w:val="1"/>
      <w:numFmt w:val="lowerLetter"/>
      <w:lvlText w:val="%8."/>
      <w:lvlJc w:val="left"/>
      <w:pPr>
        <w:ind w:left="5475" w:hanging="360"/>
      </w:pPr>
      <w:rPr>
        <w:rFonts w:cs="Times New Roman"/>
      </w:rPr>
    </w:lvl>
    <w:lvl w:ilvl="8" w:tplc="0426001B" w:tentative="1">
      <w:start w:val="1"/>
      <w:numFmt w:val="lowerRoman"/>
      <w:lvlText w:val="%9."/>
      <w:lvlJc w:val="right"/>
      <w:pPr>
        <w:ind w:left="6195" w:hanging="180"/>
      </w:pPr>
      <w:rPr>
        <w:rFonts w:cs="Times New Roman"/>
      </w:rPr>
    </w:lvl>
  </w:abstractNum>
  <w:abstractNum w:abstractNumId="9">
    <w:nsid w:val="376E3EB9"/>
    <w:multiLevelType w:val="hybridMultilevel"/>
    <w:tmpl w:val="E3C0C6B2"/>
    <w:lvl w:ilvl="0" w:tplc="04260011">
      <w:start w:val="1"/>
      <w:numFmt w:val="decimal"/>
      <w:lvlText w:val="%1)"/>
      <w:lvlJc w:val="left"/>
      <w:pPr>
        <w:ind w:left="36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44791F06"/>
    <w:multiLevelType w:val="hybridMultilevel"/>
    <w:tmpl w:val="9BD26CD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45F219BB"/>
    <w:multiLevelType w:val="hybridMultilevel"/>
    <w:tmpl w:val="0AB4F7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9825464"/>
    <w:multiLevelType w:val="hybridMultilevel"/>
    <w:tmpl w:val="E842E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BD136F8"/>
    <w:multiLevelType w:val="hybridMultilevel"/>
    <w:tmpl w:val="073621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CAE4F47"/>
    <w:multiLevelType w:val="hybridMultilevel"/>
    <w:tmpl w:val="1F7A12B2"/>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5">
    <w:nsid w:val="5F0D4A46"/>
    <w:multiLevelType w:val="hybridMultilevel"/>
    <w:tmpl w:val="0804DED6"/>
    <w:lvl w:ilvl="0" w:tplc="AD808774">
      <w:start w:val="1"/>
      <w:numFmt w:val="decimal"/>
      <w:lvlText w:val="%1."/>
      <w:lvlJc w:val="left"/>
      <w:pPr>
        <w:ind w:left="930" w:hanging="570"/>
      </w:pPr>
      <w:rPr>
        <w:rFonts w:cs="Times New Roman" w:hint="default"/>
        <w:u w:val="non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FED5BB8"/>
    <w:multiLevelType w:val="hybridMultilevel"/>
    <w:tmpl w:val="2584B10C"/>
    <w:lvl w:ilvl="0" w:tplc="2C1EBE38">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7">
    <w:nsid w:val="6C6410B1"/>
    <w:multiLevelType w:val="hybridMultilevel"/>
    <w:tmpl w:val="49F014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714A6A69"/>
    <w:multiLevelType w:val="hybridMultilevel"/>
    <w:tmpl w:val="E304C9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8AD6453"/>
    <w:multiLevelType w:val="hybridMultilevel"/>
    <w:tmpl w:val="735E6428"/>
    <w:lvl w:ilvl="0" w:tplc="E34A43CA">
      <w:start w:val="1"/>
      <w:numFmt w:val="decimal"/>
      <w:lvlText w:val="%1."/>
      <w:lvlJc w:val="left"/>
      <w:pPr>
        <w:ind w:left="720" w:hanging="360"/>
      </w:pPr>
      <w:rPr>
        <w:rFonts w:ascii="Times New Roman" w:eastAsia="Times New Roman" w:hAnsi="Times New Roman" w:cs="Times New Roman"/>
        <w:b/>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97B29BA"/>
    <w:multiLevelType w:val="hybridMultilevel"/>
    <w:tmpl w:val="7474F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9"/>
  </w:num>
  <w:num w:numId="5">
    <w:abstractNumId w:val="6"/>
  </w:num>
  <w:num w:numId="6">
    <w:abstractNumId w:val="19"/>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20"/>
  </w:num>
  <w:num w:numId="13">
    <w:abstractNumId w:val="1"/>
  </w:num>
  <w:num w:numId="14">
    <w:abstractNumId w:val="18"/>
  </w:num>
  <w:num w:numId="15">
    <w:abstractNumId w:val="7"/>
  </w:num>
  <w:num w:numId="16">
    <w:abstractNumId w:val="3"/>
  </w:num>
  <w:num w:numId="17">
    <w:abstractNumId w:val="17"/>
  </w:num>
  <w:num w:numId="18">
    <w:abstractNumId w:val="14"/>
  </w:num>
  <w:num w:numId="19">
    <w:abstractNumId w:val="1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84"/>
    <w:rsid w:val="00000B75"/>
    <w:rsid w:val="00000C18"/>
    <w:rsid w:val="00000D26"/>
    <w:rsid w:val="00003A26"/>
    <w:rsid w:val="00003D5F"/>
    <w:rsid w:val="00004A9B"/>
    <w:rsid w:val="000061F9"/>
    <w:rsid w:val="0001022C"/>
    <w:rsid w:val="00010BD1"/>
    <w:rsid w:val="000147FD"/>
    <w:rsid w:val="00014CEE"/>
    <w:rsid w:val="0001532E"/>
    <w:rsid w:val="00016580"/>
    <w:rsid w:val="00024A68"/>
    <w:rsid w:val="0003359C"/>
    <w:rsid w:val="00036706"/>
    <w:rsid w:val="000405A7"/>
    <w:rsid w:val="00043034"/>
    <w:rsid w:val="00050876"/>
    <w:rsid w:val="00052839"/>
    <w:rsid w:val="00056F22"/>
    <w:rsid w:val="00057BDF"/>
    <w:rsid w:val="00057FC2"/>
    <w:rsid w:val="0006143D"/>
    <w:rsid w:val="00063880"/>
    <w:rsid w:val="00064D75"/>
    <w:rsid w:val="00065611"/>
    <w:rsid w:val="0007084D"/>
    <w:rsid w:val="000718A5"/>
    <w:rsid w:val="00075132"/>
    <w:rsid w:val="000761E6"/>
    <w:rsid w:val="00077CB5"/>
    <w:rsid w:val="0008039A"/>
    <w:rsid w:val="00081861"/>
    <w:rsid w:val="00082011"/>
    <w:rsid w:val="00082F4B"/>
    <w:rsid w:val="00083D26"/>
    <w:rsid w:val="000848EF"/>
    <w:rsid w:val="00086B1F"/>
    <w:rsid w:val="0009347A"/>
    <w:rsid w:val="0009500A"/>
    <w:rsid w:val="000965A1"/>
    <w:rsid w:val="000A2889"/>
    <w:rsid w:val="000A4CAA"/>
    <w:rsid w:val="000A5D50"/>
    <w:rsid w:val="000A5DD9"/>
    <w:rsid w:val="000A5DF2"/>
    <w:rsid w:val="000A67B1"/>
    <w:rsid w:val="000B17B7"/>
    <w:rsid w:val="000B2284"/>
    <w:rsid w:val="000B783F"/>
    <w:rsid w:val="000C107E"/>
    <w:rsid w:val="000C2331"/>
    <w:rsid w:val="000C49D7"/>
    <w:rsid w:val="000C53F8"/>
    <w:rsid w:val="000C56DE"/>
    <w:rsid w:val="000D143A"/>
    <w:rsid w:val="000D2F76"/>
    <w:rsid w:val="000D4DC1"/>
    <w:rsid w:val="000D6305"/>
    <w:rsid w:val="000D6DE0"/>
    <w:rsid w:val="000E2076"/>
    <w:rsid w:val="000E3162"/>
    <w:rsid w:val="000E35D7"/>
    <w:rsid w:val="000E6DA8"/>
    <w:rsid w:val="000F4479"/>
    <w:rsid w:val="001027A7"/>
    <w:rsid w:val="00102FA8"/>
    <w:rsid w:val="00104CEA"/>
    <w:rsid w:val="00104ED5"/>
    <w:rsid w:val="001060E8"/>
    <w:rsid w:val="0010632B"/>
    <w:rsid w:val="00111EFE"/>
    <w:rsid w:val="00113107"/>
    <w:rsid w:val="00113EF1"/>
    <w:rsid w:val="001156BD"/>
    <w:rsid w:val="00115A50"/>
    <w:rsid w:val="00117883"/>
    <w:rsid w:val="00117B84"/>
    <w:rsid w:val="00117C1A"/>
    <w:rsid w:val="00121E61"/>
    <w:rsid w:val="00123C0E"/>
    <w:rsid w:val="001244F6"/>
    <w:rsid w:val="0012480A"/>
    <w:rsid w:val="00126EDD"/>
    <w:rsid w:val="00127E96"/>
    <w:rsid w:val="00136F50"/>
    <w:rsid w:val="0014037E"/>
    <w:rsid w:val="00146EF5"/>
    <w:rsid w:val="0016356A"/>
    <w:rsid w:val="00164E8E"/>
    <w:rsid w:val="00165749"/>
    <w:rsid w:val="00166CAB"/>
    <w:rsid w:val="00170D18"/>
    <w:rsid w:val="001737B3"/>
    <w:rsid w:val="001746AE"/>
    <w:rsid w:val="0017629B"/>
    <w:rsid w:val="001837CB"/>
    <w:rsid w:val="00184685"/>
    <w:rsid w:val="00186ADC"/>
    <w:rsid w:val="00187427"/>
    <w:rsid w:val="00187679"/>
    <w:rsid w:val="0019033D"/>
    <w:rsid w:val="00190478"/>
    <w:rsid w:val="00190788"/>
    <w:rsid w:val="001944EC"/>
    <w:rsid w:val="00194594"/>
    <w:rsid w:val="001977C3"/>
    <w:rsid w:val="00197D2E"/>
    <w:rsid w:val="001A07E2"/>
    <w:rsid w:val="001A084C"/>
    <w:rsid w:val="001A0BE9"/>
    <w:rsid w:val="001A0CCF"/>
    <w:rsid w:val="001A3511"/>
    <w:rsid w:val="001A418D"/>
    <w:rsid w:val="001A58B5"/>
    <w:rsid w:val="001A5F17"/>
    <w:rsid w:val="001A685D"/>
    <w:rsid w:val="001A6A4C"/>
    <w:rsid w:val="001A6C30"/>
    <w:rsid w:val="001B2343"/>
    <w:rsid w:val="001B2EE3"/>
    <w:rsid w:val="001B5EE6"/>
    <w:rsid w:val="001B7460"/>
    <w:rsid w:val="001C0376"/>
    <w:rsid w:val="001C0641"/>
    <w:rsid w:val="001C2C50"/>
    <w:rsid w:val="001C35D6"/>
    <w:rsid w:val="001C7A4B"/>
    <w:rsid w:val="001D3187"/>
    <w:rsid w:val="001D6B18"/>
    <w:rsid w:val="001D7F3D"/>
    <w:rsid w:val="001E0870"/>
    <w:rsid w:val="001E1F83"/>
    <w:rsid w:val="001E3942"/>
    <w:rsid w:val="001E4DFF"/>
    <w:rsid w:val="001E5A9B"/>
    <w:rsid w:val="001E73E5"/>
    <w:rsid w:val="001F22AF"/>
    <w:rsid w:val="001F4362"/>
    <w:rsid w:val="001F494C"/>
    <w:rsid w:val="00200A0D"/>
    <w:rsid w:val="002055E4"/>
    <w:rsid w:val="00206A98"/>
    <w:rsid w:val="00207417"/>
    <w:rsid w:val="00210764"/>
    <w:rsid w:val="00212389"/>
    <w:rsid w:val="002141F8"/>
    <w:rsid w:val="00214864"/>
    <w:rsid w:val="00220A56"/>
    <w:rsid w:val="00222130"/>
    <w:rsid w:val="002226F8"/>
    <w:rsid w:val="00225AF9"/>
    <w:rsid w:val="00226F81"/>
    <w:rsid w:val="002301D5"/>
    <w:rsid w:val="00232CC5"/>
    <w:rsid w:val="002450D9"/>
    <w:rsid w:val="00250537"/>
    <w:rsid w:val="00250AD3"/>
    <w:rsid w:val="00251331"/>
    <w:rsid w:val="0025133F"/>
    <w:rsid w:val="00253C58"/>
    <w:rsid w:val="00267085"/>
    <w:rsid w:val="00270BFF"/>
    <w:rsid w:val="00271169"/>
    <w:rsid w:val="00272A2F"/>
    <w:rsid w:val="0027746D"/>
    <w:rsid w:val="00283A98"/>
    <w:rsid w:val="002846A4"/>
    <w:rsid w:val="00287355"/>
    <w:rsid w:val="002954AD"/>
    <w:rsid w:val="002A0E80"/>
    <w:rsid w:val="002A1DD2"/>
    <w:rsid w:val="002A2F0D"/>
    <w:rsid w:val="002A7710"/>
    <w:rsid w:val="002A7965"/>
    <w:rsid w:val="002B019F"/>
    <w:rsid w:val="002B1FE2"/>
    <w:rsid w:val="002B306D"/>
    <w:rsid w:val="002B4F15"/>
    <w:rsid w:val="002C0580"/>
    <w:rsid w:val="002C0EA4"/>
    <w:rsid w:val="002C45E0"/>
    <w:rsid w:val="002C4B3E"/>
    <w:rsid w:val="002C620D"/>
    <w:rsid w:val="002C7F93"/>
    <w:rsid w:val="002D0F9B"/>
    <w:rsid w:val="002D31DC"/>
    <w:rsid w:val="002D651E"/>
    <w:rsid w:val="002D6558"/>
    <w:rsid w:val="002D6F2E"/>
    <w:rsid w:val="002E0D71"/>
    <w:rsid w:val="002E3301"/>
    <w:rsid w:val="002E45AA"/>
    <w:rsid w:val="002E59FD"/>
    <w:rsid w:val="002E707E"/>
    <w:rsid w:val="002F0964"/>
    <w:rsid w:val="002F352D"/>
    <w:rsid w:val="002F3AD1"/>
    <w:rsid w:val="002F4582"/>
    <w:rsid w:val="00300233"/>
    <w:rsid w:val="00301937"/>
    <w:rsid w:val="00301E8C"/>
    <w:rsid w:val="00306170"/>
    <w:rsid w:val="0030704B"/>
    <w:rsid w:val="0030737A"/>
    <w:rsid w:val="003139F3"/>
    <w:rsid w:val="0031500A"/>
    <w:rsid w:val="00315FD1"/>
    <w:rsid w:val="00316070"/>
    <w:rsid w:val="00316B47"/>
    <w:rsid w:val="00317DD2"/>
    <w:rsid w:val="00320B8B"/>
    <w:rsid w:val="003226C1"/>
    <w:rsid w:val="00324071"/>
    <w:rsid w:val="003244DC"/>
    <w:rsid w:val="00324F76"/>
    <w:rsid w:val="00325592"/>
    <w:rsid w:val="00325B00"/>
    <w:rsid w:val="003317AB"/>
    <w:rsid w:val="003328F4"/>
    <w:rsid w:val="00334CB7"/>
    <w:rsid w:val="003404D9"/>
    <w:rsid w:val="0034626C"/>
    <w:rsid w:val="003472CD"/>
    <w:rsid w:val="00350736"/>
    <w:rsid w:val="003518B6"/>
    <w:rsid w:val="00354155"/>
    <w:rsid w:val="0036199A"/>
    <w:rsid w:val="00361DB6"/>
    <w:rsid w:val="00366682"/>
    <w:rsid w:val="0037046C"/>
    <w:rsid w:val="003762DA"/>
    <w:rsid w:val="00377A9D"/>
    <w:rsid w:val="00380040"/>
    <w:rsid w:val="0038085F"/>
    <w:rsid w:val="0038449F"/>
    <w:rsid w:val="00385772"/>
    <w:rsid w:val="00386A04"/>
    <w:rsid w:val="0039085A"/>
    <w:rsid w:val="003972B7"/>
    <w:rsid w:val="00397548"/>
    <w:rsid w:val="003A2786"/>
    <w:rsid w:val="003A6A98"/>
    <w:rsid w:val="003A714D"/>
    <w:rsid w:val="003B5281"/>
    <w:rsid w:val="003B5C99"/>
    <w:rsid w:val="003B7570"/>
    <w:rsid w:val="003C3A00"/>
    <w:rsid w:val="003C3B8D"/>
    <w:rsid w:val="003C703A"/>
    <w:rsid w:val="003D2675"/>
    <w:rsid w:val="003D3012"/>
    <w:rsid w:val="003E627F"/>
    <w:rsid w:val="00401DB6"/>
    <w:rsid w:val="00403BCD"/>
    <w:rsid w:val="00407B95"/>
    <w:rsid w:val="00407D3B"/>
    <w:rsid w:val="00412C5F"/>
    <w:rsid w:val="00414AA4"/>
    <w:rsid w:val="00416D64"/>
    <w:rsid w:val="00417FF8"/>
    <w:rsid w:val="00424B0C"/>
    <w:rsid w:val="00425752"/>
    <w:rsid w:val="00430EF7"/>
    <w:rsid w:val="004419E6"/>
    <w:rsid w:val="00444D46"/>
    <w:rsid w:val="00446BD0"/>
    <w:rsid w:val="00453364"/>
    <w:rsid w:val="00453E7E"/>
    <w:rsid w:val="0045785E"/>
    <w:rsid w:val="00460C1A"/>
    <w:rsid w:val="00464F21"/>
    <w:rsid w:val="00467690"/>
    <w:rsid w:val="00470203"/>
    <w:rsid w:val="0047088B"/>
    <w:rsid w:val="004729B2"/>
    <w:rsid w:val="00473544"/>
    <w:rsid w:val="00476DFF"/>
    <w:rsid w:val="004814E8"/>
    <w:rsid w:val="0048428B"/>
    <w:rsid w:val="00484BAB"/>
    <w:rsid w:val="00485545"/>
    <w:rsid w:val="0048763D"/>
    <w:rsid w:val="00491098"/>
    <w:rsid w:val="00491E68"/>
    <w:rsid w:val="004958EC"/>
    <w:rsid w:val="00495923"/>
    <w:rsid w:val="004A16C4"/>
    <w:rsid w:val="004A1B2F"/>
    <w:rsid w:val="004A68CF"/>
    <w:rsid w:val="004B26A7"/>
    <w:rsid w:val="004B61E1"/>
    <w:rsid w:val="004C1951"/>
    <w:rsid w:val="004C5A6A"/>
    <w:rsid w:val="004C5FEF"/>
    <w:rsid w:val="004D11B9"/>
    <w:rsid w:val="004D3332"/>
    <w:rsid w:val="004D6706"/>
    <w:rsid w:val="004D7F73"/>
    <w:rsid w:val="004E0CDE"/>
    <w:rsid w:val="004E0D60"/>
    <w:rsid w:val="004E305C"/>
    <w:rsid w:val="004E5DE3"/>
    <w:rsid w:val="004E7D34"/>
    <w:rsid w:val="004F020C"/>
    <w:rsid w:val="004F5D33"/>
    <w:rsid w:val="004F7276"/>
    <w:rsid w:val="004F731E"/>
    <w:rsid w:val="004F7C29"/>
    <w:rsid w:val="005012D5"/>
    <w:rsid w:val="005013B3"/>
    <w:rsid w:val="0050534C"/>
    <w:rsid w:val="00513883"/>
    <w:rsid w:val="0051392A"/>
    <w:rsid w:val="00514C27"/>
    <w:rsid w:val="0051545C"/>
    <w:rsid w:val="00520F2C"/>
    <w:rsid w:val="00522A0D"/>
    <w:rsid w:val="0053259E"/>
    <w:rsid w:val="00532F25"/>
    <w:rsid w:val="00536DFF"/>
    <w:rsid w:val="00537594"/>
    <w:rsid w:val="005375C3"/>
    <w:rsid w:val="00537D2A"/>
    <w:rsid w:val="00544B37"/>
    <w:rsid w:val="00545C6A"/>
    <w:rsid w:val="00551DB5"/>
    <w:rsid w:val="005527A3"/>
    <w:rsid w:val="0055307D"/>
    <w:rsid w:val="00553EE2"/>
    <w:rsid w:val="00555EA8"/>
    <w:rsid w:val="005567F3"/>
    <w:rsid w:val="00557807"/>
    <w:rsid w:val="0056039A"/>
    <w:rsid w:val="00560801"/>
    <w:rsid w:val="00560AEA"/>
    <w:rsid w:val="00562EDB"/>
    <w:rsid w:val="00564BEA"/>
    <w:rsid w:val="00565824"/>
    <w:rsid w:val="00565EC2"/>
    <w:rsid w:val="00566231"/>
    <w:rsid w:val="00567DA6"/>
    <w:rsid w:val="00571005"/>
    <w:rsid w:val="00571275"/>
    <w:rsid w:val="0057432D"/>
    <w:rsid w:val="00576F75"/>
    <w:rsid w:val="0057787B"/>
    <w:rsid w:val="00585452"/>
    <w:rsid w:val="005865D5"/>
    <w:rsid w:val="00587816"/>
    <w:rsid w:val="00590E27"/>
    <w:rsid w:val="00592C6E"/>
    <w:rsid w:val="005933A5"/>
    <w:rsid w:val="00595A5D"/>
    <w:rsid w:val="00595B39"/>
    <w:rsid w:val="00597789"/>
    <w:rsid w:val="005A1A63"/>
    <w:rsid w:val="005A3A3E"/>
    <w:rsid w:val="005A4DBA"/>
    <w:rsid w:val="005A61DA"/>
    <w:rsid w:val="005A63EE"/>
    <w:rsid w:val="005B176C"/>
    <w:rsid w:val="005B2B6B"/>
    <w:rsid w:val="005B3650"/>
    <w:rsid w:val="005B39FE"/>
    <w:rsid w:val="005B5618"/>
    <w:rsid w:val="005C0678"/>
    <w:rsid w:val="005C1C08"/>
    <w:rsid w:val="005C2364"/>
    <w:rsid w:val="005C2FB4"/>
    <w:rsid w:val="005C30B0"/>
    <w:rsid w:val="005C3608"/>
    <w:rsid w:val="005C409A"/>
    <w:rsid w:val="005C53A4"/>
    <w:rsid w:val="005C61D8"/>
    <w:rsid w:val="005C68E1"/>
    <w:rsid w:val="005C7E89"/>
    <w:rsid w:val="005D0C92"/>
    <w:rsid w:val="005D4B2B"/>
    <w:rsid w:val="005E135D"/>
    <w:rsid w:val="005E1D60"/>
    <w:rsid w:val="005E3911"/>
    <w:rsid w:val="005E5CF1"/>
    <w:rsid w:val="005E606E"/>
    <w:rsid w:val="005E6D78"/>
    <w:rsid w:val="005E78CD"/>
    <w:rsid w:val="005E79E1"/>
    <w:rsid w:val="005E7E2B"/>
    <w:rsid w:val="005F0C7F"/>
    <w:rsid w:val="005F1518"/>
    <w:rsid w:val="00600A74"/>
    <w:rsid w:val="00601EB9"/>
    <w:rsid w:val="006033EB"/>
    <w:rsid w:val="00604235"/>
    <w:rsid w:val="00606652"/>
    <w:rsid w:val="00614A2E"/>
    <w:rsid w:val="00614FA5"/>
    <w:rsid w:val="006163C5"/>
    <w:rsid w:val="00617FC8"/>
    <w:rsid w:val="00623DD1"/>
    <w:rsid w:val="006247AD"/>
    <w:rsid w:val="006260E7"/>
    <w:rsid w:val="0062785A"/>
    <w:rsid w:val="006301AC"/>
    <w:rsid w:val="00631CFD"/>
    <w:rsid w:val="0063487A"/>
    <w:rsid w:val="006409B9"/>
    <w:rsid w:val="00641722"/>
    <w:rsid w:val="00641E61"/>
    <w:rsid w:val="0064312A"/>
    <w:rsid w:val="0064366F"/>
    <w:rsid w:val="006451BC"/>
    <w:rsid w:val="006462A7"/>
    <w:rsid w:val="0064645C"/>
    <w:rsid w:val="0065005C"/>
    <w:rsid w:val="006506F3"/>
    <w:rsid w:val="00650EE8"/>
    <w:rsid w:val="00650F68"/>
    <w:rsid w:val="00652006"/>
    <w:rsid w:val="006657CE"/>
    <w:rsid w:val="00667234"/>
    <w:rsid w:val="00667244"/>
    <w:rsid w:val="00680FCC"/>
    <w:rsid w:val="00682420"/>
    <w:rsid w:val="00685599"/>
    <w:rsid w:val="00685963"/>
    <w:rsid w:val="00685B36"/>
    <w:rsid w:val="006861E0"/>
    <w:rsid w:val="00690D29"/>
    <w:rsid w:val="00693334"/>
    <w:rsid w:val="0069444E"/>
    <w:rsid w:val="00694716"/>
    <w:rsid w:val="00695F75"/>
    <w:rsid w:val="006979EA"/>
    <w:rsid w:val="006A0410"/>
    <w:rsid w:val="006A0FA1"/>
    <w:rsid w:val="006A2F4F"/>
    <w:rsid w:val="006A4D7F"/>
    <w:rsid w:val="006A5563"/>
    <w:rsid w:val="006A5FFD"/>
    <w:rsid w:val="006A6A23"/>
    <w:rsid w:val="006A705F"/>
    <w:rsid w:val="006B101E"/>
    <w:rsid w:val="006B2B98"/>
    <w:rsid w:val="006B2DC5"/>
    <w:rsid w:val="006B4717"/>
    <w:rsid w:val="006B5935"/>
    <w:rsid w:val="006B7BCF"/>
    <w:rsid w:val="006C1E48"/>
    <w:rsid w:val="006C223A"/>
    <w:rsid w:val="006C2D83"/>
    <w:rsid w:val="006C3CE8"/>
    <w:rsid w:val="006C6DAA"/>
    <w:rsid w:val="006D0573"/>
    <w:rsid w:val="006D0987"/>
    <w:rsid w:val="006D19D8"/>
    <w:rsid w:val="006D4D97"/>
    <w:rsid w:val="006D5120"/>
    <w:rsid w:val="006D6540"/>
    <w:rsid w:val="006E196A"/>
    <w:rsid w:val="006E4240"/>
    <w:rsid w:val="006E51BD"/>
    <w:rsid w:val="006E6946"/>
    <w:rsid w:val="006E6E52"/>
    <w:rsid w:val="006F2A17"/>
    <w:rsid w:val="006F5829"/>
    <w:rsid w:val="006F6472"/>
    <w:rsid w:val="006F6739"/>
    <w:rsid w:val="006F746D"/>
    <w:rsid w:val="00700406"/>
    <w:rsid w:val="00701A39"/>
    <w:rsid w:val="0070358D"/>
    <w:rsid w:val="00713820"/>
    <w:rsid w:val="007146D0"/>
    <w:rsid w:val="007149F6"/>
    <w:rsid w:val="00715CC6"/>
    <w:rsid w:val="00716116"/>
    <w:rsid w:val="007173CD"/>
    <w:rsid w:val="00717942"/>
    <w:rsid w:val="00721E5F"/>
    <w:rsid w:val="00722650"/>
    <w:rsid w:val="0072389F"/>
    <w:rsid w:val="00727196"/>
    <w:rsid w:val="0073070B"/>
    <w:rsid w:val="00732296"/>
    <w:rsid w:val="00733A09"/>
    <w:rsid w:val="0073463A"/>
    <w:rsid w:val="0073477B"/>
    <w:rsid w:val="007356F6"/>
    <w:rsid w:val="0073700D"/>
    <w:rsid w:val="007374BD"/>
    <w:rsid w:val="00740DB9"/>
    <w:rsid w:val="00745AF9"/>
    <w:rsid w:val="00746418"/>
    <w:rsid w:val="00747E10"/>
    <w:rsid w:val="007506B1"/>
    <w:rsid w:val="00750FA1"/>
    <w:rsid w:val="0075141E"/>
    <w:rsid w:val="00752EAF"/>
    <w:rsid w:val="007544A0"/>
    <w:rsid w:val="007579B2"/>
    <w:rsid w:val="00760E76"/>
    <w:rsid w:val="00763884"/>
    <w:rsid w:val="00764052"/>
    <w:rsid w:val="00764480"/>
    <w:rsid w:val="00765F01"/>
    <w:rsid w:val="00770429"/>
    <w:rsid w:val="00771762"/>
    <w:rsid w:val="0077377E"/>
    <w:rsid w:val="007737B0"/>
    <w:rsid w:val="00773A60"/>
    <w:rsid w:val="007751E2"/>
    <w:rsid w:val="00782A4D"/>
    <w:rsid w:val="00783F54"/>
    <w:rsid w:val="00786657"/>
    <w:rsid w:val="0078704D"/>
    <w:rsid w:val="00787606"/>
    <w:rsid w:val="00787A0D"/>
    <w:rsid w:val="00790CDB"/>
    <w:rsid w:val="00791EF3"/>
    <w:rsid w:val="00793502"/>
    <w:rsid w:val="007967FB"/>
    <w:rsid w:val="00797C4A"/>
    <w:rsid w:val="007A006A"/>
    <w:rsid w:val="007A0339"/>
    <w:rsid w:val="007A0F13"/>
    <w:rsid w:val="007A182C"/>
    <w:rsid w:val="007A2E40"/>
    <w:rsid w:val="007A5F54"/>
    <w:rsid w:val="007A5FF6"/>
    <w:rsid w:val="007B162C"/>
    <w:rsid w:val="007B26C5"/>
    <w:rsid w:val="007B38C3"/>
    <w:rsid w:val="007B4DD0"/>
    <w:rsid w:val="007B75EC"/>
    <w:rsid w:val="007C096C"/>
    <w:rsid w:val="007C1479"/>
    <w:rsid w:val="007C1B61"/>
    <w:rsid w:val="007C6B16"/>
    <w:rsid w:val="007D1E86"/>
    <w:rsid w:val="007D2504"/>
    <w:rsid w:val="007D350E"/>
    <w:rsid w:val="007E1A4B"/>
    <w:rsid w:val="007E37DD"/>
    <w:rsid w:val="007E4D22"/>
    <w:rsid w:val="007E58FD"/>
    <w:rsid w:val="007E6A8A"/>
    <w:rsid w:val="007E72EE"/>
    <w:rsid w:val="007F0925"/>
    <w:rsid w:val="007F2FAB"/>
    <w:rsid w:val="007F53FD"/>
    <w:rsid w:val="007F5728"/>
    <w:rsid w:val="007F58D6"/>
    <w:rsid w:val="007F5B4F"/>
    <w:rsid w:val="007F704F"/>
    <w:rsid w:val="00804C36"/>
    <w:rsid w:val="0080720B"/>
    <w:rsid w:val="00810208"/>
    <w:rsid w:val="008116CD"/>
    <w:rsid w:val="008124A9"/>
    <w:rsid w:val="00814DFE"/>
    <w:rsid w:val="00815924"/>
    <w:rsid w:val="00827645"/>
    <w:rsid w:val="00827E1F"/>
    <w:rsid w:val="00830D52"/>
    <w:rsid w:val="0083153D"/>
    <w:rsid w:val="008315F2"/>
    <w:rsid w:val="00832352"/>
    <w:rsid w:val="008325B8"/>
    <w:rsid w:val="00836E18"/>
    <w:rsid w:val="00844033"/>
    <w:rsid w:val="008457ED"/>
    <w:rsid w:val="00846AB1"/>
    <w:rsid w:val="00850C27"/>
    <w:rsid w:val="008513BA"/>
    <w:rsid w:val="008533E8"/>
    <w:rsid w:val="0085589C"/>
    <w:rsid w:val="008575E9"/>
    <w:rsid w:val="008607F6"/>
    <w:rsid w:val="008637DA"/>
    <w:rsid w:val="00871BE4"/>
    <w:rsid w:val="0087286C"/>
    <w:rsid w:val="00874505"/>
    <w:rsid w:val="00874546"/>
    <w:rsid w:val="0087526A"/>
    <w:rsid w:val="008765BA"/>
    <w:rsid w:val="00877E0D"/>
    <w:rsid w:val="00880D07"/>
    <w:rsid w:val="00881DF1"/>
    <w:rsid w:val="0088260D"/>
    <w:rsid w:val="00886D65"/>
    <w:rsid w:val="00886FBB"/>
    <w:rsid w:val="008937B9"/>
    <w:rsid w:val="00894507"/>
    <w:rsid w:val="0089675C"/>
    <w:rsid w:val="00897023"/>
    <w:rsid w:val="008A23C3"/>
    <w:rsid w:val="008A3DFB"/>
    <w:rsid w:val="008A428B"/>
    <w:rsid w:val="008A7149"/>
    <w:rsid w:val="008B066B"/>
    <w:rsid w:val="008B307C"/>
    <w:rsid w:val="008B3526"/>
    <w:rsid w:val="008B5A72"/>
    <w:rsid w:val="008C5536"/>
    <w:rsid w:val="008C6095"/>
    <w:rsid w:val="008C69BF"/>
    <w:rsid w:val="008C7255"/>
    <w:rsid w:val="008D02DB"/>
    <w:rsid w:val="008D0AAE"/>
    <w:rsid w:val="008D28B8"/>
    <w:rsid w:val="008D2D05"/>
    <w:rsid w:val="008D6A07"/>
    <w:rsid w:val="008E082A"/>
    <w:rsid w:val="008E203F"/>
    <w:rsid w:val="008E31E9"/>
    <w:rsid w:val="008E4DE2"/>
    <w:rsid w:val="008E6858"/>
    <w:rsid w:val="008F0C70"/>
    <w:rsid w:val="008F62BA"/>
    <w:rsid w:val="008F6F47"/>
    <w:rsid w:val="00901B68"/>
    <w:rsid w:val="009022AD"/>
    <w:rsid w:val="00902C07"/>
    <w:rsid w:val="00904714"/>
    <w:rsid w:val="00905415"/>
    <w:rsid w:val="0090620D"/>
    <w:rsid w:val="00906C6B"/>
    <w:rsid w:val="0090706C"/>
    <w:rsid w:val="00912648"/>
    <w:rsid w:val="00915E74"/>
    <w:rsid w:val="00915FF1"/>
    <w:rsid w:val="00922C19"/>
    <w:rsid w:val="00922DD7"/>
    <w:rsid w:val="00923A09"/>
    <w:rsid w:val="00924569"/>
    <w:rsid w:val="009273E4"/>
    <w:rsid w:val="00927637"/>
    <w:rsid w:val="00927C97"/>
    <w:rsid w:val="009350F0"/>
    <w:rsid w:val="00940C0C"/>
    <w:rsid w:val="00942D97"/>
    <w:rsid w:val="0094476E"/>
    <w:rsid w:val="0094506A"/>
    <w:rsid w:val="009476E9"/>
    <w:rsid w:val="00947A60"/>
    <w:rsid w:val="00947E24"/>
    <w:rsid w:val="00953BCF"/>
    <w:rsid w:val="00953EEF"/>
    <w:rsid w:val="00956AC4"/>
    <w:rsid w:val="00960F90"/>
    <w:rsid w:val="0096118D"/>
    <w:rsid w:val="0096444F"/>
    <w:rsid w:val="00965173"/>
    <w:rsid w:val="00972783"/>
    <w:rsid w:val="00975754"/>
    <w:rsid w:val="00976B23"/>
    <w:rsid w:val="00980576"/>
    <w:rsid w:val="0098114E"/>
    <w:rsid w:val="009823D2"/>
    <w:rsid w:val="0098555C"/>
    <w:rsid w:val="00992F2A"/>
    <w:rsid w:val="00994DE5"/>
    <w:rsid w:val="00995867"/>
    <w:rsid w:val="009969C6"/>
    <w:rsid w:val="00997562"/>
    <w:rsid w:val="009A1F90"/>
    <w:rsid w:val="009A469E"/>
    <w:rsid w:val="009A58F8"/>
    <w:rsid w:val="009A7F2E"/>
    <w:rsid w:val="009B04E3"/>
    <w:rsid w:val="009B1C6D"/>
    <w:rsid w:val="009B32DC"/>
    <w:rsid w:val="009B4FAA"/>
    <w:rsid w:val="009B5DEE"/>
    <w:rsid w:val="009C1BB2"/>
    <w:rsid w:val="009C245C"/>
    <w:rsid w:val="009C4D91"/>
    <w:rsid w:val="009C4E6A"/>
    <w:rsid w:val="009C60AC"/>
    <w:rsid w:val="009C6167"/>
    <w:rsid w:val="009C7E56"/>
    <w:rsid w:val="009D2A13"/>
    <w:rsid w:val="009D41D1"/>
    <w:rsid w:val="009D42FF"/>
    <w:rsid w:val="009D62D3"/>
    <w:rsid w:val="009E0A45"/>
    <w:rsid w:val="009E36D9"/>
    <w:rsid w:val="009E741D"/>
    <w:rsid w:val="009F23FF"/>
    <w:rsid w:val="009F2C01"/>
    <w:rsid w:val="009F2D63"/>
    <w:rsid w:val="00A019E8"/>
    <w:rsid w:val="00A0714F"/>
    <w:rsid w:val="00A12DF0"/>
    <w:rsid w:val="00A139DF"/>
    <w:rsid w:val="00A1404E"/>
    <w:rsid w:val="00A17416"/>
    <w:rsid w:val="00A17953"/>
    <w:rsid w:val="00A24FFD"/>
    <w:rsid w:val="00A26B63"/>
    <w:rsid w:val="00A271A2"/>
    <w:rsid w:val="00A31126"/>
    <w:rsid w:val="00A3151D"/>
    <w:rsid w:val="00A31DA0"/>
    <w:rsid w:val="00A3479C"/>
    <w:rsid w:val="00A36C5F"/>
    <w:rsid w:val="00A41B8B"/>
    <w:rsid w:val="00A428D8"/>
    <w:rsid w:val="00A447A9"/>
    <w:rsid w:val="00A44E6D"/>
    <w:rsid w:val="00A4602A"/>
    <w:rsid w:val="00A53C44"/>
    <w:rsid w:val="00A54084"/>
    <w:rsid w:val="00A54645"/>
    <w:rsid w:val="00A54F6E"/>
    <w:rsid w:val="00A566BD"/>
    <w:rsid w:val="00A61167"/>
    <w:rsid w:val="00A62AEF"/>
    <w:rsid w:val="00A64BF2"/>
    <w:rsid w:val="00A64C1C"/>
    <w:rsid w:val="00A65636"/>
    <w:rsid w:val="00A65F4C"/>
    <w:rsid w:val="00A67868"/>
    <w:rsid w:val="00A67D3C"/>
    <w:rsid w:val="00A70CB8"/>
    <w:rsid w:val="00A728A4"/>
    <w:rsid w:val="00A759A7"/>
    <w:rsid w:val="00A76A0B"/>
    <w:rsid w:val="00A8420A"/>
    <w:rsid w:val="00A8429A"/>
    <w:rsid w:val="00A8503B"/>
    <w:rsid w:val="00A85BF5"/>
    <w:rsid w:val="00A91004"/>
    <w:rsid w:val="00A91395"/>
    <w:rsid w:val="00A91991"/>
    <w:rsid w:val="00A925E9"/>
    <w:rsid w:val="00A94B10"/>
    <w:rsid w:val="00A94E43"/>
    <w:rsid w:val="00A979BA"/>
    <w:rsid w:val="00AA0F74"/>
    <w:rsid w:val="00AA260C"/>
    <w:rsid w:val="00AA2F5E"/>
    <w:rsid w:val="00AA3D81"/>
    <w:rsid w:val="00AA4376"/>
    <w:rsid w:val="00AA4E90"/>
    <w:rsid w:val="00AA4F09"/>
    <w:rsid w:val="00AA50BB"/>
    <w:rsid w:val="00AA6B75"/>
    <w:rsid w:val="00AB0B1F"/>
    <w:rsid w:val="00AB22AB"/>
    <w:rsid w:val="00AB30C5"/>
    <w:rsid w:val="00AB312B"/>
    <w:rsid w:val="00AB3946"/>
    <w:rsid w:val="00AB614F"/>
    <w:rsid w:val="00AC01F1"/>
    <w:rsid w:val="00AC0C6B"/>
    <w:rsid w:val="00AC102D"/>
    <w:rsid w:val="00AC38DB"/>
    <w:rsid w:val="00AC7621"/>
    <w:rsid w:val="00AC7D07"/>
    <w:rsid w:val="00AD0D51"/>
    <w:rsid w:val="00AD5A65"/>
    <w:rsid w:val="00AD6221"/>
    <w:rsid w:val="00AE4E43"/>
    <w:rsid w:val="00AF1562"/>
    <w:rsid w:val="00AF1FEA"/>
    <w:rsid w:val="00AF2824"/>
    <w:rsid w:val="00AF2FF2"/>
    <w:rsid w:val="00AF6250"/>
    <w:rsid w:val="00AF6984"/>
    <w:rsid w:val="00AF70DF"/>
    <w:rsid w:val="00B033B9"/>
    <w:rsid w:val="00B03A37"/>
    <w:rsid w:val="00B03F68"/>
    <w:rsid w:val="00B1084A"/>
    <w:rsid w:val="00B2016F"/>
    <w:rsid w:val="00B21B5B"/>
    <w:rsid w:val="00B22C13"/>
    <w:rsid w:val="00B2338C"/>
    <w:rsid w:val="00B23D26"/>
    <w:rsid w:val="00B2538C"/>
    <w:rsid w:val="00B25AD9"/>
    <w:rsid w:val="00B31EB9"/>
    <w:rsid w:val="00B33756"/>
    <w:rsid w:val="00B35177"/>
    <w:rsid w:val="00B35FDB"/>
    <w:rsid w:val="00B36DCF"/>
    <w:rsid w:val="00B419F7"/>
    <w:rsid w:val="00B41C17"/>
    <w:rsid w:val="00B5081B"/>
    <w:rsid w:val="00B514B7"/>
    <w:rsid w:val="00B51566"/>
    <w:rsid w:val="00B51D77"/>
    <w:rsid w:val="00B51DED"/>
    <w:rsid w:val="00B53B94"/>
    <w:rsid w:val="00B54C77"/>
    <w:rsid w:val="00B56C5C"/>
    <w:rsid w:val="00B656D6"/>
    <w:rsid w:val="00B73A1A"/>
    <w:rsid w:val="00B774E0"/>
    <w:rsid w:val="00B7752B"/>
    <w:rsid w:val="00B846D7"/>
    <w:rsid w:val="00B8483A"/>
    <w:rsid w:val="00B86B2C"/>
    <w:rsid w:val="00B9073A"/>
    <w:rsid w:val="00B90B55"/>
    <w:rsid w:val="00B93895"/>
    <w:rsid w:val="00B966A9"/>
    <w:rsid w:val="00BA076B"/>
    <w:rsid w:val="00BA11AB"/>
    <w:rsid w:val="00BA5B93"/>
    <w:rsid w:val="00BA6794"/>
    <w:rsid w:val="00BA6B32"/>
    <w:rsid w:val="00BB1611"/>
    <w:rsid w:val="00BB1CCC"/>
    <w:rsid w:val="00BB4610"/>
    <w:rsid w:val="00BB68E1"/>
    <w:rsid w:val="00BB7050"/>
    <w:rsid w:val="00BC0DD5"/>
    <w:rsid w:val="00BC42DD"/>
    <w:rsid w:val="00BC67BC"/>
    <w:rsid w:val="00BE172F"/>
    <w:rsid w:val="00BE2835"/>
    <w:rsid w:val="00BE51F3"/>
    <w:rsid w:val="00BE5538"/>
    <w:rsid w:val="00BE79B7"/>
    <w:rsid w:val="00BF0DBF"/>
    <w:rsid w:val="00BF1107"/>
    <w:rsid w:val="00BF2089"/>
    <w:rsid w:val="00BF31B2"/>
    <w:rsid w:val="00BF3627"/>
    <w:rsid w:val="00BF6C08"/>
    <w:rsid w:val="00BF744A"/>
    <w:rsid w:val="00C0279F"/>
    <w:rsid w:val="00C03361"/>
    <w:rsid w:val="00C036CC"/>
    <w:rsid w:val="00C065DE"/>
    <w:rsid w:val="00C103E2"/>
    <w:rsid w:val="00C10BB6"/>
    <w:rsid w:val="00C13DF1"/>
    <w:rsid w:val="00C148CA"/>
    <w:rsid w:val="00C16ECF"/>
    <w:rsid w:val="00C2395E"/>
    <w:rsid w:val="00C32012"/>
    <w:rsid w:val="00C32DE2"/>
    <w:rsid w:val="00C33852"/>
    <w:rsid w:val="00C42147"/>
    <w:rsid w:val="00C43463"/>
    <w:rsid w:val="00C4465E"/>
    <w:rsid w:val="00C4542D"/>
    <w:rsid w:val="00C53EA6"/>
    <w:rsid w:val="00C542C8"/>
    <w:rsid w:val="00C56714"/>
    <w:rsid w:val="00C60A4C"/>
    <w:rsid w:val="00C618F1"/>
    <w:rsid w:val="00C62CF8"/>
    <w:rsid w:val="00C62EF5"/>
    <w:rsid w:val="00C6389D"/>
    <w:rsid w:val="00C64287"/>
    <w:rsid w:val="00C76262"/>
    <w:rsid w:val="00C80811"/>
    <w:rsid w:val="00C834EA"/>
    <w:rsid w:val="00C8437F"/>
    <w:rsid w:val="00C86677"/>
    <w:rsid w:val="00C95D7D"/>
    <w:rsid w:val="00CA2CEE"/>
    <w:rsid w:val="00CA381E"/>
    <w:rsid w:val="00CA5F0B"/>
    <w:rsid w:val="00CA69D0"/>
    <w:rsid w:val="00CA7856"/>
    <w:rsid w:val="00CA7A3E"/>
    <w:rsid w:val="00CB1515"/>
    <w:rsid w:val="00CB42CC"/>
    <w:rsid w:val="00CB5C2B"/>
    <w:rsid w:val="00CB736E"/>
    <w:rsid w:val="00CC1AAC"/>
    <w:rsid w:val="00CC1ED5"/>
    <w:rsid w:val="00CC26B5"/>
    <w:rsid w:val="00CC6354"/>
    <w:rsid w:val="00CC706B"/>
    <w:rsid w:val="00CC7C91"/>
    <w:rsid w:val="00CD264C"/>
    <w:rsid w:val="00CD4DA6"/>
    <w:rsid w:val="00CD6C4D"/>
    <w:rsid w:val="00CD7854"/>
    <w:rsid w:val="00CE2F01"/>
    <w:rsid w:val="00CE5242"/>
    <w:rsid w:val="00CE5EFF"/>
    <w:rsid w:val="00CE688D"/>
    <w:rsid w:val="00CE71C8"/>
    <w:rsid w:val="00CE7A64"/>
    <w:rsid w:val="00CF22AD"/>
    <w:rsid w:val="00CF2F05"/>
    <w:rsid w:val="00CF6604"/>
    <w:rsid w:val="00D052C6"/>
    <w:rsid w:val="00D05A4A"/>
    <w:rsid w:val="00D06267"/>
    <w:rsid w:val="00D06DDE"/>
    <w:rsid w:val="00D11FB2"/>
    <w:rsid w:val="00D1739C"/>
    <w:rsid w:val="00D17831"/>
    <w:rsid w:val="00D20E93"/>
    <w:rsid w:val="00D277C9"/>
    <w:rsid w:val="00D31AFB"/>
    <w:rsid w:val="00D34702"/>
    <w:rsid w:val="00D34FC5"/>
    <w:rsid w:val="00D358D8"/>
    <w:rsid w:val="00D37ABB"/>
    <w:rsid w:val="00D47B47"/>
    <w:rsid w:val="00D52FD1"/>
    <w:rsid w:val="00D5608B"/>
    <w:rsid w:val="00D60E03"/>
    <w:rsid w:val="00D62669"/>
    <w:rsid w:val="00D62E6E"/>
    <w:rsid w:val="00D64361"/>
    <w:rsid w:val="00D649BA"/>
    <w:rsid w:val="00D66493"/>
    <w:rsid w:val="00D70125"/>
    <w:rsid w:val="00D71057"/>
    <w:rsid w:val="00D7106D"/>
    <w:rsid w:val="00D7208E"/>
    <w:rsid w:val="00D7537F"/>
    <w:rsid w:val="00D777C5"/>
    <w:rsid w:val="00D779E9"/>
    <w:rsid w:val="00D77FD9"/>
    <w:rsid w:val="00D81172"/>
    <w:rsid w:val="00D844FE"/>
    <w:rsid w:val="00D84F83"/>
    <w:rsid w:val="00D90E2B"/>
    <w:rsid w:val="00D920B7"/>
    <w:rsid w:val="00D92914"/>
    <w:rsid w:val="00D93B17"/>
    <w:rsid w:val="00D95278"/>
    <w:rsid w:val="00D96CA8"/>
    <w:rsid w:val="00D975AB"/>
    <w:rsid w:val="00DA1012"/>
    <w:rsid w:val="00DA1D6B"/>
    <w:rsid w:val="00DA3369"/>
    <w:rsid w:val="00DA4432"/>
    <w:rsid w:val="00DA7BB9"/>
    <w:rsid w:val="00DB1AE0"/>
    <w:rsid w:val="00DB287C"/>
    <w:rsid w:val="00DB3FD3"/>
    <w:rsid w:val="00DC00DD"/>
    <w:rsid w:val="00DC08FA"/>
    <w:rsid w:val="00DC0CE4"/>
    <w:rsid w:val="00DC25CE"/>
    <w:rsid w:val="00DC7EC7"/>
    <w:rsid w:val="00DD27E2"/>
    <w:rsid w:val="00DD3E86"/>
    <w:rsid w:val="00DD40AD"/>
    <w:rsid w:val="00DD677E"/>
    <w:rsid w:val="00DD7503"/>
    <w:rsid w:val="00DE1ED6"/>
    <w:rsid w:val="00DE39AD"/>
    <w:rsid w:val="00DE3BD4"/>
    <w:rsid w:val="00DE566E"/>
    <w:rsid w:val="00DE6647"/>
    <w:rsid w:val="00DF0FE1"/>
    <w:rsid w:val="00DF2A7E"/>
    <w:rsid w:val="00DF336F"/>
    <w:rsid w:val="00DF551D"/>
    <w:rsid w:val="00DF557B"/>
    <w:rsid w:val="00DF572D"/>
    <w:rsid w:val="00DF667A"/>
    <w:rsid w:val="00DF6FED"/>
    <w:rsid w:val="00E0004D"/>
    <w:rsid w:val="00E01E97"/>
    <w:rsid w:val="00E03584"/>
    <w:rsid w:val="00E0530F"/>
    <w:rsid w:val="00E05831"/>
    <w:rsid w:val="00E103FB"/>
    <w:rsid w:val="00E10969"/>
    <w:rsid w:val="00E11F13"/>
    <w:rsid w:val="00E125CF"/>
    <w:rsid w:val="00E126E5"/>
    <w:rsid w:val="00E12E22"/>
    <w:rsid w:val="00E22068"/>
    <w:rsid w:val="00E247B5"/>
    <w:rsid w:val="00E2516E"/>
    <w:rsid w:val="00E268E2"/>
    <w:rsid w:val="00E26B91"/>
    <w:rsid w:val="00E2701D"/>
    <w:rsid w:val="00E27C25"/>
    <w:rsid w:val="00E30499"/>
    <w:rsid w:val="00E32DD0"/>
    <w:rsid w:val="00E33860"/>
    <w:rsid w:val="00E34975"/>
    <w:rsid w:val="00E34F23"/>
    <w:rsid w:val="00E3615C"/>
    <w:rsid w:val="00E37FCC"/>
    <w:rsid w:val="00E40C8D"/>
    <w:rsid w:val="00E410EB"/>
    <w:rsid w:val="00E4163F"/>
    <w:rsid w:val="00E4250F"/>
    <w:rsid w:val="00E478D4"/>
    <w:rsid w:val="00E47FC8"/>
    <w:rsid w:val="00E509C0"/>
    <w:rsid w:val="00E51FC6"/>
    <w:rsid w:val="00E55905"/>
    <w:rsid w:val="00E62639"/>
    <w:rsid w:val="00E657C9"/>
    <w:rsid w:val="00E672C7"/>
    <w:rsid w:val="00E6762C"/>
    <w:rsid w:val="00E72CB3"/>
    <w:rsid w:val="00E75CDC"/>
    <w:rsid w:val="00E76CE7"/>
    <w:rsid w:val="00E76D4B"/>
    <w:rsid w:val="00E803B8"/>
    <w:rsid w:val="00E80ED8"/>
    <w:rsid w:val="00E82BC4"/>
    <w:rsid w:val="00E83736"/>
    <w:rsid w:val="00E84AC8"/>
    <w:rsid w:val="00E86BC4"/>
    <w:rsid w:val="00E920EE"/>
    <w:rsid w:val="00E92797"/>
    <w:rsid w:val="00E92CAA"/>
    <w:rsid w:val="00E94E58"/>
    <w:rsid w:val="00E9507B"/>
    <w:rsid w:val="00E9549B"/>
    <w:rsid w:val="00EA1E01"/>
    <w:rsid w:val="00EA232F"/>
    <w:rsid w:val="00EA4127"/>
    <w:rsid w:val="00EA427B"/>
    <w:rsid w:val="00EA4983"/>
    <w:rsid w:val="00EA4C92"/>
    <w:rsid w:val="00EA62D6"/>
    <w:rsid w:val="00EA64E7"/>
    <w:rsid w:val="00EA6E2C"/>
    <w:rsid w:val="00EA7C8E"/>
    <w:rsid w:val="00EA7F4D"/>
    <w:rsid w:val="00EB16C1"/>
    <w:rsid w:val="00EB4F33"/>
    <w:rsid w:val="00EB69DA"/>
    <w:rsid w:val="00EC071F"/>
    <w:rsid w:val="00ED04D7"/>
    <w:rsid w:val="00ED1142"/>
    <w:rsid w:val="00ED311E"/>
    <w:rsid w:val="00ED33E1"/>
    <w:rsid w:val="00ED50B5"/>
    <w:rsid w:val="00ED7F7F"/>
    <w:rsid w:val="00EE2296"/>
    <w:rsid w:val="00EE5EFC"/>
    <w:rsid w:val="00EF044C"/>
    <w:rsid w:val="00EF0B2C"/>
    <w:rsid w:val="00EF175D"/>
    <w:rsid w:val="00EF46EF"/>
    <w:rsid w:val="00EF5090"/>
    <w:rsid w:val="00EF7DBE"/>
    <w:rsid w:val="00EF7FCE"/>
    <w:rsid w:val="00F0209C"/>
    <w:rsid w:val="00F03319"/>
    <w:rsid w:val="00F041DD"/>
    <w:rsid w:val="00F045FB"/>
    <w:rsid w:val="00F06AE9"/>
    <w:rsid w:val="00F1145F"/>
    <w:rsid w:val="00F171FD"/>
    <w:rsid w:val="00F178B3"/>
    <w:rsid w:val="00F23034"/>
    <w:rsid w:val="00F23E7D"/>
    <w:rsid w:val="00F261A0"/>
    <w:rsid w:val="00F277A1"/>
    <w:rsid w:val="00F3009F"/>
    <w:rsid w:val="00F30FCA"/>
    <w:rsid w:val="00F336B6"/>
    <w:rsid w:val="00F338A5"/>
    <w:rsid w:val="00F33C9F"/>
    <w:rsid w:val="00F34F0B"/>
    <w:rsid w:val="00F360DD"/>
    <w:rsid w:val="00F404F4"/>
    <w:rsid w:val="00F430A0"/>
    <w:rsid w:val="00F45D68"/>
    <w:rsid w:val="00F546E5"/>
    <w:rsid w:val="00F55316"/>
    <w:rsid w:val="00F554D2"/>
    <w:rsid w:val="00F60A11"/>
    <w:rsid w:val="00F60FCC"/>
    <w:rsid w:val="00F61472"/>
    <w:rsid w:val="00F63064"/>
    <w:rsid w:val="00F7476F"/>
    <w:rsid w:val="00F74A52"/>
    <w:rsid w:val="00F77E37"/>
    <w:rsid w:val="00F82F63"/>
    <w:rsid w:val="00F842AB"/>
    <w:rsid w:val="00F85791"/>
    <w:rsid w:val="00F86557"/>
    <w:rsid w:val="00F9062B"/>
    <w:rsid w:val="00F91B75"/>
    <w:rsid w:val="00F92030"/>
    <w:rsid w:val="00F9447B"/>
    <w:rsid w:val="00F94CB3"/>
    <w:rsid w:val="00FA1518"/>
    <w:rsid w:val="00FA24BD"/>
    <w:rsid w:val="00FA25AE"/>
    <w:rsid w:val="00FA2F7B"/>
    <w:rsid w:val="00FA2FA7"/>
    <w:rsid w:val="00FA6849"/>
    <w:rsid w:val="00FB15C6"/>
    <w:rsid w:val="00FB1988"/>
    <w:rsid w:val="00FB273C"/>
    <w:rsid w:val="00FB32E0"/>
    <w:rsid w:val="00FC2A5D"/>
    <w:rsid w:val="00FC3940"/>
    <w:rsid w:val="00FC66AA"/>
    <w:rsid w:val="00FC704E"/>
    <w:rsid w:val="00FD0689"/>
    <w:rsid w:val="00FD18BF"/>
    <w:rsid w:val="00FD2B81"/>
    <w:rsid w:val="00FD4B5E"/>
    <w:rsid w:val="00FD7C8D"/>
    <w:rsid w:val="00FE0208"/>
    <w:rsid w:val="00FE34F2"/>
    <w:rsid w:val="00FE37A5"/>
    <w:rsid w:val="00FE5805"/>
    <w:rsid w:val="00FE799D"/>
    <w:rsid w:val="00FE7A58"/>
    <w:rsid w:val="00FF0575"/>
    <w:rsid w:val="00FF14B4"/>
    <w:rsid w:val="00FF47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B2284"/>
    <w:pPr>
      <w:spacing w:after="200" w:line="276" w:lineRule="auto"/>
    </w:pPr>
    <w:rPr>
      <w:sz w:val="22"/>
      <w:szCs w:val="22"/>
      <w:lang w:eastAsia="en-US"/>
    </w:rPr>
  </w:style>
  <w:style w:type="paragraph" w:styleId="Virsraksts1">
    <w:name w:val="heading 1"/>
    <w:basedOn w:val="Parasts"/>
    <w:link w:val="Virsraksts1Rakstz"/>
    <w:uiPriority w:val="9"/>
    <w:qFormat/>
    <w:rsid w:val="001D3187"/>
    <w:pPr>
      <w:spacing w:after="0" w:line="240" w:lineRule="auto"/>
      <w:outlineLvl w:val="0"/>
    </w:pPr>
    <w:rPr>
      <w:rFonts w:ascii="Tahoma" w:hAnsi="Tahoma"/>
      <w:b/>
      <w:bCs/>
      <w:kern w:val="36"/>
      <w:sz w:val="38"/>
      <w:szCs w:val="3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1D3187"/>
    <w:rPr>
      <w:rFonts w:ascii="Tahoma" w:hAnsi="Tahoma" w:cs="Tahoma"/>
      <w:b/>
      <w:bCs/>
      <w:kern w:val="36"/>
      <w:sz w:val="38"/>
      <w:szCs w:val="38"/>
    </w:rPr>
  </w:style>
  <w:style w:type="paragraph" w:customStyle="1" w:styleId="naisf">
    <w:name w:val="naisf"/>
    <w:basedOn w:val="Parasts"/>
    <w:rsid w:val="000B2284"/>
    <w:pPr>
      <w:spacing w:before="100" w:beforeAutospacing="1" w:after="100" w:afterAutospacing="1" w:line="240" w:lineRule="auto"/>
    </w:pPr>
    <w:rPr>
      <w:rFonts w:ascii="Times New Roman" w:hAnsi="Times New Roman"/>
      <w:sz w:val="24"/>
      <w:szCs w:val="24"/>
      <w:lang w:eastAsia="lv-LV"/>
    </w:rPr>
  </w:style>
  <w:style w:type="paragraph" w:styleId="Galvene">
    <w:name w:val="header"/>
    <w:basedOn w:val="Parasts"/>
    <w:link w:val="GalveneRakstz"/>
    <w:uiPriority w:val="99"/>
    <w:unhideWhenUsed/>
    <w:rsid w:val="000B2284"/>
    <w:pPr>
      <w:tabs>
        <w:tab w:val="center" w:pos="4153"/>
        <w:tab w:val="right" w:pos="8306"/>
      </w:tabs>
    </w:pPr>
    <w:rPr>
      <w:sz w:val="20"/>
      <w:szCs w:val="20"/>
    </w:rPr>
  </w:style>
  <w:style w:type="character" w:customStyle="1" w:styleId="GalveneRakstz">
    <w:name w:val="Galvene Rakstz."/>
    <w:link w:val="Galvene"/>
    <w:uiPriority w:val="99"/>
    <w:locked/>
    <w:rsid w:val="000B2284"/>
    <w:rPr>
      <w:rFonts w:ascii="Calibri" w:eastAsia="Times New Roman" w:hAnsi="Calibri" w:cs="Times New Roman"/>
    </w:rPr>
  </w:style>
  <w:style w:type="paragraph" w:styleId="Kjene">
    <w:name w:val="footer"/>
    <w:basedOn w:val="Parasts"/>
    <w:link w:val="KjeneRakstz"/>
    <w:uiPriority w:val="99"/>
    <w:unhideWhenUsed/>
    <w:rsid w:val="000B2284"/>
    <w:pPr>
      <w:tabs>
        <w:tab w:val="center" w:pos="4153"/>
        <w:tab w:val="right" w:pos="8306"/>
      </w:tabs>
    </w:pPr>
    <w:rPr>
      <w:sz w:val="20"/>
      <w:szCs w:val="20"/>
    </w:rPr>
  </w:style>
  <w:style w:type="character" w:customStyle="1" w:styleId="KjeneRakstz">
    <w:name w:val="Kājene Rakstz."/>
    <w:link w:val="Kjene"/>
    <w:uiPriority w:val="99"/>
    <w:locked/>
    <w:rsid w:val="000B2284"/>
    <w:rPr>
      <w:rFonts w:ascii="Calibri" w:eastAsia="Times New Roman" w:hAnsi="Calibri" w:cs="Times New Roman"/>
    </w:rPr>
  </w:style>
  <w:style w:type="character" w:styleId="Hipersaite">
    <w:name w:val="Hyperlink"/>
    <w:uiPriority w:val="99"/>
    <w:unhideWhenUsed/>
    <w:rsid w:val="000B2284"/>
    <w:rPr>
      <w:rFonts w:cs="Times New Roman"/>
      <w:color w:val="0000FF"/>
      <w:u w:val="single"/>
    </w:rPr>
  </w:style>
  <w:style w:type="paragraph" w:customStyle="1" w:styleId="StyleRight">
    <w:name w:val="Style Right"/>
    <w:basedOn w:val="Parasts"/>
    <w:rsid w:val="000B2284"/>
    <w:pPr>
      <w:spacing w:after="120" w:line="240" w:lineRule="auto"/>
      <w:ind w:firstLine="720"/>
      <w:jc w:val="right"/>
    </w:pPr>
    <w:rPr>
      <w:rFonts w:ascii="Times New Roman" w:hAnsi="Times New Roman"/>
      <w:sz w:val="28"/>
      <w:szCs w:val="28"/>
    </w:rPr>
  </w:style>
  <w:style w:type="paragraph" w:styleId="Paraststmeklis">
    <w:name w:val="Normal (Web)"/>
    <w:basedOn w:val="Parasts"/>
    <w:uiPriority w:val="99"/>
    <w:unhideWhenUsed/>
    <w:rsid w:val="000B2284"/>
    <w:pPr>
      <w:spacing w:before="100" w:beforeAutospacing="1" w:after="100" w:afterAutospacing="1" w:line="240" w:lineRule="auto"/>
    </w:pPr>
    <w:rPr>
      <w:rFonts w:ascii="Verdana" w:hAnsi="Verdana"/>
      <w:sz w:val="18"/>
      <w:szCs w:val="18"/>
      <w:lang w:val="en-US"/>
    </w:rPr>
  </w:style>
  <w:style w:type="character" w:styleId="Izteiksmgs">
    <w:name w:val="Strong"/>
    <w:uiPriority w:val="22"/>
    <w:qFormat/>
    <w:rsid w:val="000B2284"/>
    <w:rPr>
      <w:rFonts w:cs="Times New Roman"/>
      <w:b/>
      <w:bCs/>
    </w:rPr>
  </w:style>
  <w:style w:type="paragraph" w:customStyle="1" w:styleId="Char">
    <w:name w:val="Char"/>
    <w:basedOn w:val="Parasts"/>
    <w:next w:val="Parasts"/>
    <w:rsid w:val="00E12E22"/>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Parasts"/>
    <w:uiPriority w:val="34"/>
    <w:qFormat/>
    <w:rsid w:val="008C7255"/>
    <w:pPr>
      <w:ind w:left="720"/>
      <w:contextualSpacing/>
    </w:pPr>
  </w:style>
  <w:style w:type="paragraph" w:customStyle="1" w:styleId="Char1">
    <w:name w:val="Char1"/>
    <w:basedOn w:val="Parasts"/>
    <w:next w:val="Parasts"/>
    <w:rsid w:val="00A3479C"/>
    <w:pPr>
      <w:spacing w:before="120" w:after="160" w:line="240" w:lineRule="exact"/>
      <w:ind w:firstLine="720"/>
      <w:jc w:val="both"/>
    </w:pPr>
    <w:rPr>
      <w:rFonts w:ascii="Verdana" w:hAnsi="Verdana"/>
      <w:sz w:val="20"/>
      <w:szCs w:val="20"/>
      <w:lang w:val="en-US"/>
    </w:rPr>
  </w:style>
  <w:style w:type="paragraph" w:customStyle="1" w:styleId="naisnod">
    <w:name w:val="naisnod"/>
    <w:basedOn w:val="Parasts"/>
    <w:rsid w:val="00D1739C"/>
    <w:pPr>
      <w:spacing w:before="150" w:after="150" w:line="240" w:lineRule="auto"/>
      <w:jc w:val="center"/>
    </w:pPr>
    <w:rPr>
      <w:rFonts w:ascii="Times New Roman" w:hAnsi="Times New Roman"/>
      <w:b/>
      <w:bCs/>
      <w:sz w:val="24"/>
      <w:szCs w:val="24"/>
      <w:lang w:eastAsia="lv-LV"/>
    </w:rPr>
  </w:style>
  <w:style w:type="paragraph" w:customStyle="1" w:styleId="naislab">
    <w:name w:val="naislab"/>
    <w:basedOn w:val="Parasts"/>
    <w:rsid w:val="00D1739C"/>
    <w:pPr>
      <w:spacing w:before="75" w:after="75" w:line="240" w:lineRule="auto"/>
      <w:jc w:val="right"/>
    </w:pPr>
    <w:rPr>
      <w:rFonts w:ascii="Times New Roman" w:hAnsi="Times New Roman"/>
      <w:sz w:val="24"/>
      <w:szCs w:val="24"/>
      <w:lang w:eastAsia="lv-LV"/>
    </w:rPr>
  </w:style>
  <w:style w:type="paragraph" w:customStyle="1" w:styleId="naiskr">
    <w:name w:val="naiskr"/>
    <w:basedOn w:val="Parasts"/>
    <w:rsid w:val="00D1739C"/>
    <w:pPr>
      <w:spacing w:before="75" w:after="75" w:line="240" w:lineRule="auto"/>
    </w:pPr>
    <w:rPr>
      <w:rFonts w:ascii="Times New Roman" w:hAnsi="Times New Roman"/>
      <w:sz w:val="24"/>
      <w:szCs w:val="24"/>
      <w:lang w:eastAsia="lv-LV"/>
    </w:rPr>
  </w:style>
  <w:style w:type="paragraph" w:customStyle="1" w:styleId="naisc">
    <w:name w:val="naisc"/>
    <w:basedOn w:val="Parasts"/>
    <w:rsid w:val="00D1739C"/>
    <w:pPr>
      <w:spacing w:before="75" w:after="75" w:line="240" w:lineRule="auto"/>
      <w:jc w:val="center"/>
    </w:pPr>
    <w:rPr>
      <w:rFonts w:ascii="Times New Roman" w:hAnsi="Times New Roman"/>
      <w:sz w:val="24"/>
      <w:szCs w:val="24"/>
      <w:lang w:eastAsia="lv-LV"/>
    </w:rPr>
  </w:style>
  <w:style w:type="table" w:styleId="Reatabula">
    <w:name w:val="Table Grid"/>
    <w:basedOn w:val="Parastatabula"/>
    <w:uiPriority w:val="59"/>
    <w:rsid w:val="007D35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pant">
    <w:name w:val="naispant"/>
    <w:basedOn w:val="Parasts"/>
    <w:rsid w:val="00272A2F"/>
    <w:pPr>
      <w:spacing w:before="300" w:after="150" w:line="240" w:lineRule="auto"/>
      <w:ind w:left="375" w:firstLine="375"/>
      <w:jc w:val="both"/>
    </w:pPr>
    <w:rPr>
      <w:rFonts w:ascii="Times New Roman" w:hAnsi="Times New Roman"/>
      <w:b/>
      <w:bCs/>
      <w:sz w:val="24"/>
      <w:szCs w:val="24"/>
      <w:lang w:eastAsia="lv-LV"/>
    </w:rPr>
  </w:style>
  <w:style w:type="paragraph" w:styleId="Pamattekstsaratkpi">
    <w:name w:val="Body Text Indent"/>
    <w:basedOn w:val="Parasts"/>
    <w:link w:val="PamattekstsaratkpiRakstz"/>
    <w:uiPriority w:val="99"/>
    <w:rsid w:val="00DB1AE0"/>
    <w:pPr>
      <w:spacing w:after="0" w:line="240" w:lineRule="auto"/>
      <w:ind w:firstLine="720"/>
      <w:jc w:val="both"/>
    </w:pPr>
    <w:rPr>
      <w:rFonts w:ascii="Times New Roman" w:hAnsi="Times New Roman"/>
      <w:sz w:val="24"/>
      <w:szCs w:val="24"/>
      <w:lang w:eastAsia="ru-RU"/>
    </w:rPr>
  </w:style>
  <w:style w:type="character" w:customStyle="1" w:styleId="PamattekstsaratkpiRakstz">
    <w:name w:val="Pamatteksts ar atkāpi Rakstz."/>
    <w:link w:val="Pamattekstsaratkpi"/>
    <w:uiPriority w:val="99"/>
    <w:locked/>
    <w:rsid w:val="00DB1AE0"/>
    <w:rPr>
      <w:rFonts w:ascii="Times New Roman" w:hAnsi="Times New Roman" w:cs="Times New Roman"/>
      <w:sz w:val="24"/>
      <w:szCs w:val="24"/>
      <w:lang w:eastAsia="ru-RU"/>
    </w:rPr>
  </w:style>
  <w:style w:type="paragraph" w:styleId="Vresteksts">
    <w:name w:val="footnote text"/>
    <w:basedOn w:val="Parasts"/>
    <w:link w:val="VrestekstsRakstz"/>
    <w:uiPriority w:val="99"/>
    <w:semiHidden/>
    <w:rsid w:val="00052839"/>
    <w:pPr>
      <w:spacing w:after="0" w:line="240" w:lineRule="auto"/>
    </w:pPr>
    <w:rPr>
      <w:rFonts w:ascii="Times New Roman" w:hAnsi="Times New Roman"/>
      <w:sz w:val="20"/>
      <w:szCs w:val="20"/>
      <w:lang w:eastAsia="ru-RU"/>
    </w:rPr>
  </w:style>
  <w:style w:type="character" w:customStyle="1" w:styleId="VrestekstsRakstz">
    <w:name w:val="Vēres teksts Rakstz."/>
    <w:link w:val="Vresteksts"/>
    <w:uiPriority w:val="99"/>
    <w:semiHidden/>
    <w:locked/>
    <w:rsid w:val="00052839"/>
    <w:rPr>
      <w:rFonts w:ascii="Times New Roman" w:hAnsi="Times New Roman" w:cs="Times New Roman"/>
      <w:lang w:eastAsia="ru-RU"/>
    </w:rPr>
  </w:style>
  <w:style w:type="character" w:styleId="Vresatsauce">
    <w:name w:val="footnote reference"/>
    <w:uiPriority w:val="99"/>
    <w:semiHidden/>
    <w:rsid w:val="00052839"/>
    <w:rPr>
      <w:rFonts w:cs="Times New Roman"/>
      <w:vertAlign w:val="superscript"/>
    </w:rPr>
  </w:style>
  <w:style w:type="character" w:customStyle="1" w:styleId="iil-resultnotpaid1">
    <w:name w:val="iil-resultnotpaid1"/>
    <w:rsid w:val="004F7276"/>
    <w:rPr>
      <w:rFonts w:ascii="Arial" w:hAnsi="Arial" w:cs="Arial"/>
      <w:color w:val="0F1478"/>
      <w:sz w:val="15"/>
      <w:szCs w:val="15"/>
    </w:rPr>
  </w:style>
  <w:style w:type="paragraph" w:styleId="Pamatteksts">
    <w:name w:val="Body Text"/>
    <w:basedOn w:val="Parasts"/>
    <w:link w:val="PamattekstsRakstz"/>
    <w:uiPriority w:val="99"/>
    <w:unhideWhenUsed/>
    <w:rsid w:val="00E47FC8"/>
    <w:pPr>
      <w:spacing w:after="120"/>
    </w:pPr>
  </w:style>
  <w:style w:type="character" w:customStyle="1" w:styleId="PamattekstsRakstz">
    <w:name w:val="Pamatteksts Rakstz."/>
    <w:link w:val="Pamatteksts"/>
    <w:uiPriority w:val="99"/>
    <w:locked/>
    <w:rsid w:val="00E47FC8"/>
    <w:rPr>
      <w:rFonts w:cs="Times New Roman"/>
      <w:sz w:val="22"/>
      <w:szCs w:val="22"/>
      <w:lang w:eastAsia="en-US"/>
    </w:rPr>
  </w:style>
  <w:style w:type="paragraph" w:styleId="Balonteksts">
    <w:name w:val="Balloon Text"/>
    <w:basedOn w:val="Parasts"/>
    <w:link w:val="BalontekstsRakstz"/>
    <w:uiPriority w:val="99"/>
    <w:semiHidden/>
    <w:unhideWhenUsed/>
    <w:rsid w:val="004F7C29"/>
    <w:pPr>
      <w:spacing w:after="0" w:line="240" w:lineRule="auto"/>
    </w:pPr>
    <w:rPr>
      <w:rFonts w:ascii="Tahoma" w:hAnsi="Tahoma"/>
      <w:sz w:val="16"/>
      <w:szCs w:val="16"/>
    </w:rPr>
  </w:style>
  <w:style w:type="character" w:customStyle="1" w:styleId="BalontekstsRakstz">
    <w:name w:val="Balonteksts Rakstz."/>
    <w:link w:val="Balonteksts"/>
    <w:uiPriority w:val="99"/>
    <w:semiHidden/>
    <w:locked/>
    <w:rsid w:val="004F7C29"/>
    <w:rPr>
      <w:rFonts w:ascii="Tahoma" w:hAnsi="Tahoma" w:cs="Tahoma"/>
      <w:sz w:val="16"/>
      <w:szCs w:val="16"/>
      <w:lang w:eastAsia="en-US"/>
    </w:rPr>
  </w:style>
  <w:style w:type="paragraph" w:styleId="Pamattekstaatkpe3">
    <w:name w:val="Body Text Indent 3"/>
    <w:basedOn w:val="Parasts"/>
    <w:link w:val="Pamattekstaatkpe3Rakstz"/>
    <w:uiPriority w:val="99"/>
    <w:semiHidden/>
    <w:unhideWhenUsed/>
    <w:rsid w:val="00225AF9"/>
    <w:pPr>
      <w:spacing w:after="120"/>
      <w:ind w:left="283"/>
    </w:pPr>
    <w:rPr>
      <w:sz w:val="16"/>
      <w:szCs w:val="16"/>
    </w:rPr>
  </w:style>
  <w:style w:type="character" w:customStyle="1" w:styleId="Pamattekstaatkpe3Rakstz">
    <w:name w:val="Pamatteksta atkāpe 3 Rakstz."/>
    <w:link w:val="Pamattekstaatkpe3"/>
    <w:uiPriority w:val="99"/>
    <w:semiHidden/>
    <w:locked/>
    <w:rsid w:val="00225AF9"/>
    <w:rPr>
      <w:rFonts w:cs="Times New Roman"/>
      <w:sz w:val="16"/>
      <w:szCs w:val="16"/>
      <w:lang w:eastAsia="en-US"/>
    </w:rPr>
  </w:style>
  <w:style w:type="character" w:styleId="Izmantotahipersaite">
    <w:name w:val="FollowedHyperlink"/>
    <w:uiPriority w:val="99"/>
    <w:semiHidden/>
    <w:unhideWhenUsed/>
    <w:rsid w:val="007D2504"/>
    <w:rPr>
      <w:rFonts w:cs="Times New Roman"/>
      <w:color w:val="800080"/>
      <w:u w:val="single"/>
    </w:rPr>
  </w:style>
  <w:style w:type="paragraph" w:customStyle="1" w:styleId="msonospacing0">
    <w:name w:val="msonospacing"/>
    <w:basedOn w:val="Parasts"/>
    <w:rsid w:val="00592C6E"/>
    <w:pPr>
      <w:spacing w:after="0" w:line="240" w:lineRule="auto"/>
    </w:pPr>
    <w:rPr>
      <w:lang w:eastAsia="lv-LV"/>
    </w:rPr>
  </w:style>
  <w:style w:type="character" w:styleId="Komentraatsauce">
    <w:name w:val="annotation reference"/>
    <w:uiPriority w:val="99"/>
    <w:semiHidden/>
    <w:unhideWhenUsed/>
    <w:rsid w:val="002F352D"/>
    <w:rPr>
      <w:rFonts w:cs="Times New Roman"/>
      <w:sz w:val="16"/>
      <w:szCs w:val="16"/>
    </w:rPr>
  </w:style>
  <w:style w:type="paragraph" w:styleId="Komentrateksts">
    <w:name w:val="annotation text"/>
    <w:basedOn w:val="Parasts"/>
    <w:link w:val="KomentratekstsRakstz"/>
    <w:uiPriority w:val="99"/>
    <w:unhideWhenUsed/>
    <w:rsid w:val="002F352D"/>
    <w:pPr>
      <w:spacing w:after="0" w:line="240" w:lineRule="auto"/>
    </w:pPr>
    <w:rPr>
      <w:rFonts w:ascii="Times New Roman" w:hAnsi="Times New Roman" w:cs="Arial Unicode MS"/>
      <w:sz w:val="20"/>
      <w:szCs w:val="20"/>
      <w:lang w:bidi="lo-LA"/>
    </w:rPr>
  </w:style>
  <w:style w:type="character" w:customStyle="1" w:styleId="KomentratekstsRakstz">
    <w:name w:val="Komentāra teksts Rakstz."/>
    <w:link w:val="Komentrateksts"/>
    <w:uiPriority w:val="99"/>
    <w:rsid w:val="002F352D"/>
    <w:rPr>
      <w:rFonts w:ascii="Times New Roman" w:hAnsi="Times New Roman" w:cs="Arial Unicode MS"/>
      <w:lang w:bidi="lo-LA"/>
    </w:rPr>
  </w:style>
  <w:style w:type="paragraph" w:styleId="Komentratma">
    <w:name w:val="annotation subject"/>
    <w:basedOn w:val="Komentrateksts"/>
    <w:next w:val="Komentrateksts"/>
    <w:link w:val="KomentratmaRakstz"/>
    <w:uiPriority w:val="99"/>
    <w:semiHidden/>
    <w:unhideWhenUsed/>
    <w:rsid w:val="00146EF5"/>
    <w:pPr>
      <w:spacing w:after="200" w:line="276" w:lineRule="auto"/>
    </w:pPr>
    <w:rPr>
      <w:b/>
      <w:bCs/>
    </w:rPr>
  </w:style>
  <w:style w:type="character" w:customStyle="1" w:styleId="KomentratmaRakstz">
    <w:name w:val="Komentāra tēma Rakstz."/>
    <w:link w:val="Komentratma"/>
    <w:uiPriority w:val="99"/>
    <w:semiHidden/>
    <w:rsid w:val="00146EF5"/>
    <w:rPr>
      <w:rFonts w:ascii="Times New Roman" w:hAnsi="Times New Roman" w:cs="Arial Unicode MS"/>
      <w:b/>
      <w:bCs/>
      <w:lang w:eastAsia="en-US" w:bidi="lo-LA"/>
    </w:rPr>
  </w:style>
  <w:style w:type="paragraph" w:customStyle="1" w:styleId="Prskatjums1">
    <w:name w:val="Pārskatījums1"/>
    <w:hidden/>
    <w:uiPriority w:val="99"/>
    <w:semiHidden/>
    <w:rsid w:val="00EB69DA"/>
    <w:rPr>
      <w:sz w:val="22"/>
      <w:szCs w:val="22"/>
      <w:lang w:eastAsia="en-US"/>
    </w:rPr>
  </w:style>
  <w:style w:type="paragraph" w:customStyle="1" w:styleId="articleti">
    <w:name w:val="articleti"/>
    <w:basedOn w:val="Parasts"/>
    <w:rsid w:val="004A16C4"/>
    <w:pPr>
      <w:spacing w:before="100" w:beforeAutospacing="1" w:after="100" w:afterAutospacing="1" w:line="240" w:lineRule="auto"/>
      <w:jc w:val="center"/>
    </w:pPr>
    <w:rPr>
      <w:rFonts w:ascii="Times New Roman" w:hAnsi="Times New Roman"/>
      <w:i/>
      <w:iCs/>
      <w:sz w:val="24"/>
      <w:szCs w:val="24"/>
      <w:lang w:eastAsia="lv-LV"/>
    </w:rPr>
  </w:style>
  <w:style w:type="paragraph" w:customStyle="1" w:styleId="articlesti">
    <w:name w:val="articlesti"/>
    <w:basedOn w:val="Parasts"/>
    <w:rsid w:val="004A16C4"/>
    <w:pPr>
      <w:spacing w:before="100" w:beforeAutospacing="1" w:after="100" w:afterAutospacing="1" w:line="240" w:lineRule="auto"/>
      <w:jc w:val="center"/>
    </w:pPr>
    <w:rPr>
      <w:rFonts w:ascii="Times New Roman" w:hAnsi="Times New Roman"/>
      <w:b/>
      <w:bCs/>
      <w:sz w:val="24"/>
      <w:szCs w:val="24"/>
      <w:lang w:eastAsia="lv-LV"/>
    </w:rPr>
  </w:style>
  <w:style w:type="paragraph" w:styleId="Sarakstarindkopa">
    <w:name w:val="List Paragraph"/>
    <w:basedOn w:val="Parasts"/>
    <w:uiPriority w:val="34"/>
    <w:qFormat/>
    <w:rsid w:val="00063880"/>
    <w:pPr>
      <w:ind w:left="720"/>
      <w:contextualSpacing/>
    </w:pPr>
  </w:style>
  <w:style w:type="paragraph" w:styleId="Prskatjums">
    <w:name w:val="Revision"/>
    <w:hidden/>
    <w:uiPriority w:val="99"/>
    <w:semiHidden/>
    <w:rsid w:val="00F041D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B2284"/>
    <w:pPr>
      <w:spacing w:after="200" w:line="276" w:lineRule="auto"/>
    </w:pPr>
    <w:rPr>
      <w:sz w:val="22"/>
      <w:szCs w:val="22"/>
      <w:lang w:eastAsia="en-US"/>
    </w:rPr>
  </w:style>
  <w:style w:type="paragraph" w:styleId="Virsraksts1">
    <w:name w:val="heading 1"/>
    <w:basedOn w:val="Parasts"/>
    <w:link w:val="Virsraksts1Rakstz"/>
    <w:uiPriority w:val="9"/>
    <w:qFormat/>
    <w:rsid w:val="001D3187"/>
    <w:pPr>
      <w:spacing w:after="0" w:line="240" w:lineRule="auto"/>
      <w:outlineLvl w:val="0"/>
    </w:pPr>
    <w:rPr>
      <w:rFonts w:ascii="Tahoma" w:hAnsi="Tahoma"/>
      <w:b/>
      <w:bCs/>
      <w:kern w:val="36"/>
      <w:sz w:val="38"/>
      <w:szCs w:val="3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1D3187"/>
    <w:rPr>
      <w:rFonts w:ascii="Tahoma" w:hAnsi="Tahoma" w:cs="Tahoma"/>
      <w:b/>
      <w:bCs/>
      <w:kern w:val="36"/>
      <w:sz w:val="38"/>
      <w:szCs w:val="38"/>
    </w:rPr>
  </w:style>
  <w:style w:type="paragraph" w:customStyle="1" w:styleId="naisf">
    <w:name w:val="naisf"/>
    <w:basedOn w:val="Parasts"/>
    <w:rsid w:val="000B2284"/>
    <w:pPr>
      <w:spacing w:before="100" w:beforeAutospacing="1" w:after="100" w:afterAutospacing="1" w:line="240" w:lineRule="auto"/>
    </w:pPr>
    <w:rPr>
      <w:rFonts w:ascii="Times New Roman" w:hAnsi="Times New Roman"/>
      <w:sz w:val="24"/>
      <w:szCs w:val="24"/>
      <w:lang w:eastAsia="lv-LV"/>
    </w:rPr>
  </w:style>
  <w:style w:type="paragraph" w:styleId="Galvene">
    <w:name w:val="header"/>
    <w:basedOn w:val="Parasts"/>
    <w:link w:val="GalveneRakstz"/>
    <w:uiPriority w:val="99"/>
    <w:unhideWhenUsed/>
    <w:rsid w:val="000B2284"/>
    <w:pPr>
      <w:tabs>
        <w:tab w:val="center" w:pos="4153"/>
        <w:tab w:val="right" w:pos="8306"/>
      </w:tabs>
    </w:pPr>
    <w:rPr>
      <w:sz w:val="20"/>
      <w:szCs w:val="20"/>
    </w:rPr>
  </w:style>
  <w:style w:type="character" w:customStyle="1" w:styleId="GalveneRakstz">
    <w:name w:val="Galvene Rakstz."/>
    <w:link w:val="Galvene"/>
    <w:uiPriority w:val="99"/>
    <w:locked/>
    <w:rsid w:val="000B2284"/>
    <w:rPr>
      <w:rFonts w:ascii="Calibri" w:eastAsia="Times New Roman" w:hAnsi="Calibri" w:cs="Times New Roman"/>
    </w:rPr>
  </w:style>
  <w:style w:type="paragraph" w:styleId="Kjene">
    <w:name w:val="footer"/>
    <w:basedOn w:val="Parasts"/>
    <w:link w:val="KjeneRakstz"/>
    <w:uiPriority w:val="99"/>
    <w:unhideWhenUsed/>
    <w:rsid w:val="000B2284"/>
    <w:pPr>
      <w:tabs>
        <w:tab w:val="center" w:pos="4153"/>
        <w:tab w:val="right" w:pos="8306"/>
      </w:tabs>
    </w:pPr>
    <w:rPr>
      <w:sz w:val="20"/>
      <w:szCs w:val="20"/>
    </w:rPr>
  </w:style>
  <w:style w:type="character" w:customStyle="1" w:styleId="KjeneRakstz">
    <w:name w:val="Kājene Rakstz."/>
    <w:link w:val="Kjene"/>
    <w:uiPriority w:val="99"/>
    <w:locked/>
    <w:rsid w:val="000B2284"/>
    <w:rPr>
      <w:rFonts w:ascii="Calibri" w:eastAsia="Times New Roman" w:hAnsi="Calibri" w:cs="Times New Roman"/>
    </w:rPr>
  </w:style>
  <w:style w:type="character" w:styleId="Hipersaite">
    <w:name w:val="Hyperlink"/>
    <w:uiPriority w:val="99"/>
    <w:unhideWhenUsed/>
    <w:rsid w:val="000B2284"/>
    <w:rPr>
      <w:rFonts w:cs="Times New Roman"/>
      <w:color w:val="0000FF"/>
      <w:u w:val="single"/>
    </w:rPr>
  </w:style>
  <w:style w:type="paragraph" w:customStyle="1" w:styleId="StyleRight">
    <w:name w:val="Style Right"/>
    <w:basedOn w:val="Parasts"/>
    <w:rsid w:val="000B2284"/>
    <w:pPr>
      <w:spacing w:after="120" w:line="240" w:lineRule="auto"/>
      <w:ind w:firstLine="720"/>
      <w:jc w:val="right"/>
    </w:pPr>
    <w:rPr>
      <w:rFonts w:ascii="Times New Roman" w:hAnsi="Times New Roman"/>
      <w:sz w:val="28"/>
      <w:szCs w:val="28"/>
    </w:rPr>
  </w:style>
  <w:style w:type="paragraph" w:styleId="Paraststmeklis">
    <w:name w:val="Normal (Web)"/>
    <w:basedOn w:val="Parasts"/>
    <w:uiPriority w:val="99"/>
    <w:unhideWhenUsed/>
    <w:rsid w:val="000B2284"/>
    <w:pPr>
      <w:spacing w:before="100" w:beforeAutospacing="1" w:after="100" w:afterAutospacing="1" w:line="240" w:lineRule="auto"/>
    </w:pPr>
    <w:rPr>
      <w:rFonts w:ascii="Verdana" w:hAnsi="Verdana"/>
      <w:sz w:val="18"/>
      <w:szCs w:val="18"/>
      <w:lang w:val="en-US"/>
    </w:rPr>
  </w:style>
  <w:style w:type="character" w:styleId="Izteiksmgs">
    <w:name w:val="Strong"/>
    <w:uiPriority w:val="22"/>
    <w:qFormat/>
    <w:rsid w:val="000B2284"/>
    <w:rPr>
      <w:rFonts w:cs="Times New Roman"/>
      <w:b/>
      <w:bCs/>
    </w:rPr>
  </w:style>
  <w:style w:type="paragraph" w:customStyle="1" w:styleId="Char">
    <w:name w:val="Char"/>
    <w:basedOn w:val="Parasts"/>
    <w:next w:val="Parasts"/>
    <w:rsid w:val="00E12E22"/>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Parasts"/>
    <w:uiPriority w:val="34"/>
    <w:qFormat/>
    <w:rsid w:val="008C7255"/>
    <w:pPr>
      <w:ind w:left="720"/>
      <w:contextualSpacing/>
    </w:pPr>
  </w:style>
  <w:style w:type="paragraph" w:customStyle="1" w:styleId="Char1">
    <w:name w:val="Char1"/>
    <w:basedOn w:val="Parasts"/>
    <w:next w:val="Parasts"/>
    <w:rsid w:val="00A3479C"/>
    <w:pPr>
      <w:spacing w:before="120" w:after="160" w:line="240" w:lineRule="exact"/>
      <w:ind w:firstLine="720"/>
      <w:jc w:val="both"/>
    </w:pPr>
    <w:rPr>
      <w:rFonts w:ascii="Verdana" w:hAnsi="Verdana"/>
      <w:sz w:val="20"/>
      <w:szCs w:val="20"/>
      <w:lang w:val="en-US"/>
    </w:rPr>
  </w:style>
  <w:style w:type="paragraph" w:customStyle="1" w:styleId="naisnod">
    <w:name w:val="naisnod"/>
    <w:basedOn w:val="Parasts"/>
    <w:rsid w:val="00D1739C"/>
    <w:pPr>
      <w:spacing w:before="150" w:after="150" w:line="240" w:lineRule="auto"/>
      <w:jc w:val="center"/>
    </w:pPr>
    <w:rPr>
      <w:rFonts w:ascii="Times New Roman" w:hAnsi="Times New Roman"/>
      <w:b/>
      <w:bCs/>
      <w:sz w:val="24"/>
      <w:szCs w:val="24"/>
      <w:lang w:eastAsia="lv-LV"/>
    </w:rPr>
  </w:style>
  <w:style w:type="paragraph" w:customStyle="1" w:styleId="naislab">
    <w:name w:val="naislab"/>
    <w:basedOn w:val="Parasts"/>
    <w:rsid w:val="00D1739C"/>
    <w:pPr>
      <w:spacing w:before="75" w:after="75" w:line="240" w:lineRule="auto"/>
      <w:jc w:val="right"/>
    </w:pPr>
    <w:rPr>
      <w:rFonts w:ascii="Times New Roman" w:hAnsi="Times New Roman"/>
      <w:sz w:val="24"/>
      <w:szCs w:val="24"/>
      <w:lang w:eastAsia="lv-LV"/>
    </w:rPr>
  </w:style>
  <w:style w:type="paragraph" w:customStyle="1" w:styleId="naiskr">
    <w:name w:val="naiskr"/>
    <w:basedOn w:val="Parasts"/>
    <w:rsid w:val="00D1739C"/>
    <w:pPr>
      <w:spacing w:before="75" w:after="75" w:line="240" w:lineRule="auto"/>
    </w:pPr>
    <w:rPr>
      <w:rFonts w:ascii="Times New Roman" w:hAnsi="Times New Roman"/>
      <w:sz w:val="24"/>
      <w:szCs w:val="24"/>
      <w:lang w:eastAsia="lv-LV"/>
    </w:rPr>
  </w:style>
  <w:style w:type="paragraph" w:customStyle="1" w:styleId="naisc">
    <w:name w:val="naisc"/>
    <w:basedOn w:val="Parasts"/>
    <w:rsid w:val="00D1739C"/>
    <w:pPr>
      <w:spacing w:before="75" w:after="75" w:line="240" w:lineRule="auto"/>
      <w:jc w:val="center"/>
    </w:pPr>
    <w:rPr>
      <w:rFonts w:ascii="Times New Roman" w:hAnsi="Times New Roman"/>
      <w:sz w:val="24"/>
      <w:szCs w:val="24"/>
      <w:lang w:eastAsia="lv-LV"/>
    </w:rPr>
  </w:style>
  <w:style w:type="table" w:styleId="Reatabula">
    <w:name w:val="Table Grid"/>
    <w:basedOn w:val="Parastatabula"/>
    <w:uiPriority w:val="59"/>
    <w:rsid w:val="007D35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pant">
    <w:name w:val="naispant"/>
    <w:basedOn w:val="Parasts"/>
    <w:rsid w:val="00272A2F"/>
    <w:pPr>
      <w:spacing w:before="300" w:after="150" w:line="240" w:lineRule="auto"/>
      <w:ind w:left="375" w:firstLine="375"/>
      <w:jc w:val="both"/>
    </w:pPr>
    <w:rPr>
      <w:rFonts w:ascii="Times New Roman" w:hAnsi="Times New Roman"/>
      <w:b/>
      <w:bCs/>
      <w:sz w:val="24"/>
      <w:szCs w:val="24"/>
      <w:lang w:eastAsia="lv-LV"/>
    </w:rPr>
  </w:style>
  <w:style w:type="paragraph" w:styleId="Pamattekstsaratkpi">
    <w:name w:val="Body Text Indent"/>
    <w:basedOn w:val="Parasts"/>
    <w:link w:val="PamattekstsaratkpiRakstz"/>
    <w:uiPriority w:val="99"/>
    <w:rsid w:val="00DB1AE0"/>
    <w:pPr>
      <w:spacing w:after="0" w:line="240" w:lineRule="auto"/>
      <w:ind w:firstLine="720"/>
      <w:jc w:val="both"/>
    </w:pPr>
    <w:rPr>
      <w:rFonts w:ascii="Times New Roman" w:hAnsi="Times New Roman"/>
      <w:sz w:val="24"/>
      <w:szCs w:val="24"/>
      <w:lang w:eastAsia="ru-RU"/>
    </w:rPr>
  </w:style>
  <w:style w:type="character" w:customStyle="1" w:styleId="PamattekstsaratkpiRakstz">
    <w:name w:val="Pamatteksts ar atkāpi Rakstz."/>
    <w:link w:val="Pamattekstsaratkpi"/>
    <w:uiPriority w:val="99"/>
    <w:locked/>
    <w:rsid w:val="00DB1AE0"/>
    <w:rPr>
      <w:rFonts w:ascii="Times New Roman" w:hAnsi="Times New Roman" w:cs="Times New Roman"/>
      <w:sz w:val="24"/>
      <w:szCs w:val="24"/>
      <w:lang w:eastAsia="ru-RU"/>
    </w:rPr>
  </w:style>
  <w:style w:type="paragraph" w:styleId="Vresteksts">
    <w:name w:val="footnote text"/>
    <w:basedOn w:val="Parasts"/>
    <w:link w:val="VrestekstsRakstz"/>
    <w:uiPriority w:val="99"/>
    <w:semiHidden/>
    <w:rsid w:val="00052839"/>
    <w:pPr>
      <w:spacing w:after="0" w:line="240" w:lineRule="auto"/>
    </w:pPr>
    <w:rPr>
      <w:rFonts w:ascii="Times New Roman" w:hAnsi="Times New Roman"/>
      <w:sz w:val="20"/>
      <w:szCs w:val="20"/>
      <w:lang w:eastAsia="ru-RU"/>
    </w:rPr>
  </w:style>
  <w:style w:type="character" w:customStyle="1" w:styleId="VrestekstsRakstz">
    <w:name w:val="Vēres teksts Rakstz."/>
    <w:link w:val="Vresteksts"/>
    <w:uiPriority w:val="99"/>
    <w:semiHidden/>
    <w:locked/>
    <w:rsid w:val="00052839"/>
    <w:rPr>
      <w:rFonts w:ascii="Times New Roman" w:hAnsi="Times New Roman" w:cs="Times New Roman"/>
      <w:lang w:eastAsia="ru-RU"/>
    </w:rPr>
  </w:style>
  <w:style w:type="character" w:styleId="Vresatsauce">
    <w:name w:val="footnote reference"/>
    <w:uiPriority w:val="99"/>
    <w:semiHidden/>
    <w:rsid w:val="00052839"/>
    <w:rPr>
      <w:rFonts w:cs="Times New Roman"/>
      <w:vertAlign w:val="superscript"/>
    </w:rPr>
  </w:style>
  <w:style w:type="character" w:customStyle="1" w:styleId="iil-resultnotpaid1">
    <w:name w:val="iil-resultnotpaid1"/>
    <w:rsid w:val="004F7276"/>
    <w:rPr>
      <w:rFonts w:ascii="Arial" w:hAnsi="Arial" w:cs="Arial"/>
      <w:color w:val="0F1478"/>
      <w:sz w:val="15"/>
      <w:szCs w:val="15"/>
    </w:rPr>
  </w:style>
  <w:style w:type="paragraph" w:styleId="Pamatteksts">
    <w:name w:val="Body Text"/>
    <w:basedOn w:val="Parasts"/>
    <w:link w:val="PamattekstsRakstz"/>
    <w:uiPriority w:val="99"/>
    <w:unhideWhenUsed/>
    <w:rsid w:val="00E47FC8"/>
    <w:pPr>
      <w:spacing w:after="120"/>
    </w:pPr>
  </w:style>
  <w:style w:type="character" w:customStyle="1" w:styleId="PamattekstsRakstz">
    <w:name w:val="Pamatteksts Rakstz."/>
    <w:link w:val="Pamatteksts"/>
    <w:uiPriority w:val="99"/>
    <w:locked/>
    <w:rsid w:val="00E47FC8"/>
    <w:rPr>
      <w:rFonts w:cs="Times New Roman"/>
      <w:sz w:val="22"/>
      <w:szCs w:val="22"/>
      <w:lang w:eastAsia="en-US"/>
    </w:rPr>
  </w:style>
  <w:style w:type="paragraph" w:styleId="Balonteksts">
    <w:name w:val="Balloon Text"/>
    <w:basedOn w:val="Parasts"/>
    <w:link w:val="BalontekstsRakstz"/>
    <w:uiPriority w:val="99"/>
    <w:semiHidden/>
    <w:unhideWhenUsed/>
    <w:rsid w:val="004F7C29"/>
    <w:pPr>
      <w:spacing w:after="0" w:line="240" w:lineRule="auto"/>
    </w:pPr>
    <w:rPr>
      <w:rFonts w:ascii="Tahoma" w:hAnsi="Tahoma"/>
      <w:sz w:val="16"/>
      <w:szCs w:val="16"/>
    </w:rPr>
  </w:style>
  <w:style w:type="character" w:customStyle="1" w:styleId="BalontekstsRakstz">
    <w:name w:val="Balonteksts Rakstz."/>
    <w:link w:val="Balonteksts"/>
    <w:uiPriority w:val="99"/>
    <w:semiHidden/>
    <w:locked/>
    <w:rsid w:val="004F7C29"/>
    <w:rPr>
      <w:rFonts w:ascii="Tahoma" w:hAnsi="Tahoma" w:cs="Tahoma"/>
      <w:sz w:val="16"/>
      <w:szCs w:val="16"/>
      <w:lang w:eastAsia="en-US"/>
    </w:rPr>
  </w:style>
  <w:style w:type="paragraph" w:styleId="Pamattekstaatkpe3">
    <w:name w:val="Body Text Indent 3"/>
    <w:basedOn w:val="Parasts"/>
    <w:link w:val="Pamattekstaatkpe3Rakstz"/>
    <w:uiPriority w:val="99"/>
    <w:semiHidden/>
    <w:unhideWhenUsed/>
    <w:rsid w:val="00225AF9"/>
    <w:pPr>
      <w:spacing w:after="120"/>
      <w:ind w:left="283"/>
    </w:pPr>
    <w:rPr>
      <w:sz w:val="16"/>
      <w:szCs w:val="16"/>
    </w:rPr>
  </w:style>
  <w:style w:type="character" w:customStyle="1" w:styleId="Pamattekstaatkpe3Rakstz">
    <w:name w:val="Pamatteksta atkāpe 3 Rakstz."/>
    <w:link w:val="Pamattekstaatkpe3"/>
    <w:uiPriority w:val="99"/>
    <w:semiHidden/>
    <w:locked/>
    <w:rsid w:val="00225AF9"/>
    <w:rPr>
      <w:rFonts w:cs="Times New Roman"/>
      <w:sz w:val="16"/>
      <w:szCs w:val="16"/>
      <w:lang w:eastAsia="en-US"/>
    </w:rPr>
  </w:style>
  <w:style w:type="character" w:styleId="Izmantotahipersaite">
    <w:name w:val="FollowedHyperlink"/>
    <w:uiPriority w:val="99"/>
    <w:semiHidden/>
    <w:unhideWhenUsed/>
    <w:rsid w:val="007D2504"/>
    <w:rPr>
      <w:rFonts w:cs="Times New Roman"/>
      <w:color w:val="800080"/>
      <w:u w:val="single"/>
    </w:rPr>
  </w:style>
  <w:style w:type="paragraph" w:customStyle="1" w:styleId="msonospacing0">
    <w:name w:val="msonospacing"/>
    <w:basedOn w:val="Parasts"/>
    <w:rsid w:val="00592C6E"/>
    <w:pPr>
      <w:spacing w:after="0" w:line="240" w:lineRule="auto"/>
    </w:pPr>
    <w:rPr>
      <w:lang w:eastAsia="lv-LV"/>
    </w:rPr>
  </w:style>
  <w:style w:type="character" w:styleId="Komentraatsauce">
    <w:name w:val="annotation reference"/>
    <w:uiPriority w:val="99"/>
    <w:semiHidden/>
    <w:unhideWhenUsed/>
    <w:rsid w:val="002F352D"/>
    <w:rPr>
      <w:rFonts w:cs="Times New Roman"/>
      <w:sz w:val="16"/>
      <w:szCs w:val="16"/>
    </w:rPr>
  </w:style>
  <w:style w:type="paragraph" w:styleId="Komentrateksts">
    <w:name w:val="annotation text"/>
    <w:basedOn w:val="Parasts"/>
    <w:link w:val="KomentratekstsRakstz"/>
    <w:uiPriority w:val="99"/>
    <w:unhideWhenUsed/>
    <w:rsid w:val="002F352D"/>
    <w:pPr>
      <w:spacing w:after="0" w:line="240" w:lineRule="auto"/>
    </w:pPr>
    <w:rPr>
      <w:rFonts w:ascii="Times New Roman" w:hAnsi="Times New Roman" w:cs="Arial Unicode MS"/>
      <w:sz w:val="20"/>
      <w:szCs w:val="20"/>
      <w:lang w:bidi="lo-LA"/>
    </w:rPr>
  </w:style>
  <w:style w:type="character" w:customStyle="1" w:styleId="KomentratekstsRakstz">
    <w:name w:val="Komentāra teksts Rakstz."/>
    <w:link w:val="Komentrateksts"/>
    <w:uiPriority w:val="99"/>
    <w:rsid w:val="002F352D"/>
    <w:rPr>
      <w:rFonts w:ascii="Times New Roman" w:hAnsi="Times New Roman" w:cs="Arial Unicode MS"/>
      <w:lang w:bidi="lo-LA"/>
    </w:rPr>
  </w:style>
  <w:style w:type="paragraph" w:styleId="Komentratma">
    <w:name w:val="annotation subject"/>
    <w:basedOn w:val="Komentrateksts"/>
    <w:next w:val="Komentrateksts"/>
    <w:link w:val="KomentratmaRakstz"/>
    <w:uiPriority w:val="99"/>
    <w:semiHidden/>
    <w:unhideWhenUsed/>
    <w:rsid w:val="00146EF5"/>
    <w:pPr>
      <w:spacing w:after="200" w:line="276" w:lineRule="auto"/>
    </w:pPr>
    <w:rPr>
      <w:b/>
      <w:bCs/>
    </w:rPr>
  </w:style>
  <w:style w:type="character" w:customStyle="1" w:styleId="KomentratmaRakstz">
    <w:name w:val="Komentāra tēma Rakstz."/>
    <w:link w:val="Komentratma"/>
    <w:uiPriority w:val="99"/>
    <w:semiHidden/>
    <w:rsid w:val="00146EF5"/>
    <w:rPr>
      <w:rFonts w:ascii="Times New Roman" w:hAnsi="Times New Roman" w:cs="Arial Unicode MS"/>
      <w:b/>
      <w:bCs/>
      <w:lang w:eastAsia="en-US" w:bidi="lo-LA"/>
    </w:rPr>
  </w:style>
  <w:style w:type="paragraph" w:customStyle="1" w:styleId="Prskatjums1">
    <w:name w:val="Pārskatījums1"/>
    <w:hidden/>
    <w:uiPriority w:val="99"/>
    <w:semiHidden/>
    <w:rsid w:val="00EB69DA"/>
    <w:rPr>
      <w:sz w:val="22"/>
      <w:szCs w:val="22"/>
      <w:lang w:eastAsia="en-US"/>
    </w:rPr>
  </w:style>
  <w:style w:type="paragraph" w:customStyle="1" w:styleId="articleti">
    <w:name w:val="articleti"/>
    <w:basedOn w:val="Parasts"/>
    <w:rsid w:val="004A16C4"/>
    <w:pPr>
      <w:spacing w:before="100" w:beforeAutospacing="1" w:after="100" w:afterAutospacing="1" w:line="240" w:lineRule="auto"/>
      <w:jc w:val="center"/>
    </w:pPr>
    <w:rPr>
      <w:rFonts w:ascii="Times New Roman" w:hAnsi="Times New Roman"/>
      <w:i/>
      <w:iCs/>
      <w:sz w:val="24"/>
      <w:szCs w:val="24"/>
      <w:lang w:eastAsia="lv-LV"/>
    </w:rPr>
  </w:style>
  <w:style w:type="paragraph" w:customStyle="1" w:styleId="articlesti">
    <w:name w:val="articlesti"/>
    <w:basedOn w:val="Parasts"/>
    <w:rsid w:val="004A16C4"/>
    <w:pPr>
      <w:spacing w:before="100" w:beforeAutospacing="1" w:after="100" w:afterAutospacing="1" w:line="240" w:lineRule="auto"/>
      <w:jc w:val="center"/>
    </w:pPr>
    <w:rPr>
      <w:rFonts w:ascii="Times New Roman" w:hAnsi="Times New Roman"/>
      <w:b/>
      <w:bCs/>
      <w:sz w:val="24"/>
      <w:szCs w:val="24"/>
      <w:lang w:eastAsia="lv-LV"/>
    </w:rPr>
  </w:style>
  <w:style w:type="paragraph" w:styleId="Sarakstarindkopa">
    <w:name w:val="List Paragraph"/>
    <w:basedOn w:val="Parasts"/>
    <w:uiPriority w:val="34"/>
    <w:qFormat/>
    <w:rsid w:val="00063880"/>
    <w:pPr>
      <w:ind w:left="720"/>
      <w:contextualSpacing/>
    </w:pPr>
  </w:style>
  <w:style w:type="paragraph" w:styleId="Prskatjums">
    <w:name w:val="Revision"/>
    <w:hidden/>
    <w:uiPriority w:val="99"/>
    <w:semiHidden/>
    <w:rsid w:val="00F041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451">
      <w:bodyDiv w:val="1"/>
      <w:marLeft w:val="0"/>
      <w:marRight w:val="0"/>
      <w:marTop w:val="0"/>
      <w:marBottom w:val="0"/>
      <w:divBdr>
        <w:top w:val="none" w:sz="0" w:space="0" w:color="auto"/>
        <w:left w:val="none" w:sz="0" w:space="0" w:color="auto"/>
        <w:bottom w:val="none" w:sz="0" w:space="0" w:color="auto"/>
        <w:right w:val="none" w:sz="0" w:space="0" w:color="auto"/>
      </w:divBdr>
      <w:divsChild>
        <w:div w:id="901016025">
          <w:marLeft w:val="0"/>
          <w:marRight w:val="0"/>
          <w:marTop w:val="0"/>
          <w:marBottom w:val="0"/>
          <w:divBdr>
            <w:top w:val="none" w:sz="0" w:space="0" w:color="auto"/>
            <w:left w:val="none" w:sz="0" w:space="0" w:color="auto"/>
            <w:bottom w:val="none" w:sz="0" w:space="0" w:color="auto"/>
            <w:right w:val="none" w:sz="0" w:space="0" w:color="auto"/>
          </w:divBdr>
        </w:div>
      </w:divsChild>
    </w:div>
    <w:div w:id="197395549">
      <w:bodyDiv w:val="1"/>
      <w:marLeft w:val="0"/>
      <w:marRight w:val="0"/>
      <w:marTop w:val="0"/>
      <w:marBottom w:val="0"/>
      <w:divBdr>
        <w:top w:val="none" w:sz="0" w:space="0" w:color="auto"/>
        <w:left w:val="none" w:sz="0" w:space="0" w:color="auto"/>
        <w:bottom w:val="none" w:sz="0" w:space="0" w:color="auto"/>
        <w:right w:val="none" w:sz="0" w:space="0" w:color="auto"/>
      </w:divBdr>
      <w:divsChild>
        <w:div w:id="1312979937">
          <w:marLeft w:val="0"/>
          <w:marRight w:val="0"/>
          <w:marTop w:val="0"/>
          <w:marBottom w:val="0"/>
          <w:divBdr>
            <w:top w:val="none" w:sz="0" w:space="0" w:color="auto"/>
            <w:left w:val="none" w:sz="0" w:space="0" w:color="auto"/>
            <w:bottom w:val="none" w:sz="0" w:space="0" w:color="auto"/>
            <w:right w:val="none" w:sz="0" w:space="0" w:color="auto"/>
          </w:divBdr>
          <w:divsChild>
            <w:div w:id="1262882946">
              <w:marLeft w:val="0"/>
              <w:marRight w:val="0"/>
              <w:marTop w:val="0"/>
              <w:marBottom w:val="0"/>
              <w:divBdr>
                <w:top w:val="none" w:sz="0" w:space="0" w:color="auto"/>
                <w:left w:val="none" w:sz="0" w:space="0" w:color="auto"/>
                <w:bottom w:val="none" w:sz="0" w:space="0" w:color="auto"/>
                <w:right w:val="none" w:sz="0" w:space="0" w:color="auto"/>
              </w:divBdr>
              <w:divsChild>
                <w:div w:id="1388382864">
                  <w:marLeft w:val="0"/>
                  <w:marRight w:val="0"/>
                  <w:marTop w:val="0"/>
                  <w:marBottom w:val="0"/>
                  <w:divBdr>
                    <w:top w:val="none" w:sz="0" w:space="0" w:color="auto"/>
                    <w:left w:val="none" w:sz="0" w:space="0" w:color="auto"/>
                    <w:bottom w:val="none" w:sz="0" w:space="0" w:color="auto"/>
                    <w:right w:val="none" w:sz="0" w:space="0" w:color="auto"/>
                  </w:divBdr>
                  <w:divsChild>
                    <w:div w:id="160315958">
                      <w:marLeft w:val="0"/>
                      <w:marRight w:val="0"/>
                      <w:marTop w:val="0"/>
                      <w:marBottom w:val="0"/>
                      <w:divBdr>
                        <w:top w:val="none" w:sz="0" w:space="0" w:color="auto"/>
                        <w:left w:val="none" w:sz="0" w:space="0" w:color="auto"/>
                        <w:bottom w:val="none" w:sz="0" w:space="0" w:color="auto"/>
                        <w:right w:val="none" w:sz="0" w:space="0" w:color="auto"/>
                      </w:divBdr>
                      <w:divsChild>
                        <w:div w:id="1167817791">
                          <w:marLeft w:val="0"/>
                          <w:marRight w:val="0"/>
                          <w:marTop w:val="0"/>
                          <w:marBottom w:val="0"/>
                          <w:divBdr>
                            <w:top w:val="none" w:sz="0" w:space="0" w:color="auto"/>
                            <w:left w:val="none" w:sz="0" w:space="0" w:color="auto"/>
                            <w:bottom w:val="none" w:sz="0" w:space="0" w:color="auto"/>
                            <w:right w:val="none" w:sz="0" w:space="0" w:color="auto"/>
                          </w:divBdr>
                          <w:divsChild>
                            <w:div w:id="20017355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916453">
      <w:bodyDiv w:val="1"/>
      <w:marLeft w:val="0"/>
      <w:marRight w:val="0"/>
      <w:marTop w:val="0"/>
      <w:marBottom w:val="0"/>
      <w:divBdr>
        <w:top w:val="none" w:sz="0" w:space="0" w:color="auto"/>
        <w:left w:val="none" w:sz="0" w:space="0" w:color="auto"/>
        <w:bottom w:val="none" w:sz="0" w:space="0" w:color="auto"/>
        <w:right w:val="none" w:sz="0" w:space="0" w:color="auto"/>
      </w:divBdr>
    </w:div>
    <w:div w:id="794367420">
      <w:bodyDiv w:val="1"/>
      <w:marLeft w:val="0"/>
      <w:marRight w:val="0"/>
      <w:marTop w:val="0"/>
      <w:marBottom w:val="0"/>
      <w:divBdr>
        <w:top w:val="none" w:sz="0" w:space="0" w:color="auto"/>
        <w:left w:val="none" w:sz="0" w:space="0" w:color="auto"/>
        <w:bottom w:val="none" w:sz="0" w:space="0" w:color="auto"/>
        <w:right w:val="none" w:sz="0" w:space="0" w:color="auto"/>
      </w:divBdr>
    </w:div>
    <w:div w:id="904223709">
      <w:marLeft w:val="0"/>
      <w:marRight w:val="0"/>
      <w:marTop w:val="0"/>
      <w:marBottom w:val="0"/>
      <w:divBdr>
        <w:top w:val="none" w:sz="0" w:space="0" w:color="auto"/>
        <w:left w:val="none" w:sz="0" w:space="0" w:color="auto"/>
        <w:bottom w:val="none" w:sz="0" w:space="0" w:color="auto"/>
        <w:right w:val="none" w:sz="0" w:space="0" w:color="auto"/>
      </w:divBdr>
    </w:div>
    <w:div w:id="904223710">
      <w:marLeft w:val="0"/>
      <w:marRight w:val="0"/>
      <w:marTop w:val="0"/>
      <w:marBottom w:val="0"/>
      <w:divBdr>
        <w:top w:val="none" w:sz="0" w:space="0" w:color="auto"/>
        <w:left w:val="none" w:sz="0" w:space="0" w:color="auto"/>
        <w:bottom w:val="none" w:sz="0" w:space="0" w:color="auto"/>
        <w:right w:val="none" w:sz="0" w:space="0" w:color="auto"/>
      </w:divBdr>
    </w:div>
    <w:div w:id="904223711">
      <w:marLeft w:val="0"/>
      <w:marRight w:val="0"/>
      <w:marTop w:val="0"/>
      <w:marBottom w:val="0"/>
      <w:divBdr>
        <w:top w:val="none" w:sz="0" w:space="0" w:color="auto"/>
        <w:left w:val="none" w:sz="0" w:space="0" w:color="auto"/>
        <w:bottom w:val="none" w:sz="0" w:space="0" w:color="auto"/>
        <w:right w:val="none" w:sz="0" w:space="0" w:color="auto"/>
      </w:divBdr>
    </w:div>
    <w:div w:id="904223712">
      <w:marLeft w:val="0"/>
      <w:marRight w:val="0"/>
      <w:marTop w:val="0"/>
      <w:marBottom w:val="0"/>
      <w:divBdr>
        <w:top w:val="none" w:sz="0" w:space="0" w:color="auto"/>
        <w:left w:val="none" w:sz="0" w:space="0" w:color="auto"/>
        <w:bottom w:val="none" w:sz="0" w:space="0" w:color="auto"/>
        <w:right w:val="none" w:sz="0" w:space="0" w:color="auto"/>
      </w:divBdr>
    </w:div>
    <w:div w:id="904223713">
      <w:marLeft w:val="0"/>
      <w:marRight w:val="0"/>
      <w:marTop w:val="0"/>
      <w:marBottom w:val="0"/>
      <w:divBdr>
        <w:top w:val="none" w:sz="0" w:space="0" w:color="auto"/>
        <w:left w:val="none" w:sz="0" w:space="0" w:color="auto"/>
        <w:bottom w:val="none" w:sz="0" w:space="0" w:color="auto"/>
        <w:right w:val="none" w:sz="0" w:space="0" w:color="auto"/>
      </w:divBdr>
    </w:div>
    <w:div w:id="904223714">
      <w:marLeft w:val="0"/>
      <w:marRight w:val="0"/>
      <w:marTop w:val="0"/>
      <w:marBottom w:val="0"/>
      <w:divBdr>
        <w:top w:val="none" w:sz="0" w:space="0" w:color="auto"/>
        <w:left w:val="none" w:sz="0" w:space="0" w:color="auto"/>
        <w:bottom w:val="none" w:sz="0" w:space="0" w:color="auto"/>
        <w:right w:val="none" w:sz="0" w:space="0" w:color="auto"/>
      </w:divBdr>
    </w:div>
    <w:div w:id="904223715">
      <w:marLeft w:val="0"/>
      <w:marRight w:val="0"/>
      <w:marTop w:val="0"/>
      <w:marBottom w:val="0"/>
      <w:divBdr>
        <w:top w:val="none" w:sz="0" w:space="0" w:color="auto"/>
        <w:left w:val="none" w:sz="0" w:space="0" w:color="auto"/>
        <w:bottom w:val="none" w:sz="0" w:space="0" w:color="auto"/>
        <w:right w:val="none" w:sz="0" w:space="0" w:color="auto"/>
      </w:divBdr>
    </w:div>
    <w:div w:id="904223716">
      <w:marLeft w:val="0"/>
      <w:marRight w:val="0"/>
      <w:marTop w:val="0"/>
      <w:marBottom w:val="0"/>
      <w:divBdr>
        <w:top w:val="none" w:sz="0" w:space="0" w:color="auto"/>
        <w:left w:val="none" w:sz="0" w:space="0" w:color="auto"/>
        <w:bottom w:val="none" w:sz="0" w:space="0" w:color="auto"/>
        <w:right w:val="none" w:sz="0" w:space="0" w:color="auto"/>
      </w:divBdr>
    </w:div>
    <w:div w:id="904223717">
      <w:marLeft w:val="0"/>
      <w:marRight w:val="0"/>
      <w:marTop w:val="0"/>
      <w:marBottom w:val="0"/>
      <w:divBdr>
        <w:top w:val="none" w:sz="0" w:space="0" w:color="auto"/>
        <w:left w:val="none" w:sz="0" w:space="0" w:color="auto"/>
        <w:bottom w:val="none" w:sz="0" w:space="0" w:color="auto"/>
        <w:right w:val="none" w:sz="0" w:space="0" w:color="auto"/>
      </w:divBdr>
    </w:div>
    <w:div w:id="1287852905">
      <w:bodyDiv w:val="1"/>
      <w:marLeft w:val="0"/>
      <w:marRight w:val="0"/>
      <w:marTop w:val="0"/>
      <w:marBottom w:val="0"/>
      <w:divBdr>
        <w:top w:val="none" w:sz="0" w:space="0" w:color="auto"/>
        <w:left w:val="none" w:sz="0" w:space="0" w:color="auto"/>
        <w:bottom w:val="none" w:sz="0" w:space="0" w:color="auto"/>
        <w:right w:val="none" w:sz="0" w:space="0" w:color="auto"/>
      </w:divBdr>
    </w:div>
    <w:div w:id="1738164790">
      <w:bodyDiv w:val="1"/>
      <w:marLeft w:val="0"/>
      <w:marRight w:val="0"/>
      <w:marTop w:val="0"/>
      <w:marBottom w:val="0"/>
      <w:divBdr>
        <w:top w:val="none" w:sz="0" w:space="0" w:color="auto"/>
        <w:left w:val="none" w:sz="0" w:space="0" w:color="auto"/>
        <w:bottom w:val="none" w:sz="0" w:space="0" w:color="auto"/>
        <w:right w:val="none" w:sz="0" w:space="0" w:color="auto"/>
      </w:divBdr>
      <w:divsChild>
        <w:div w:id="2104839096">
          <w:marLeft w:val="0"/>
          <w:marRight w:val="0"/>
          <w:marTop w:val="0"/>
          <w:marBottom w:val="0"/>
          <w:divBdr>
            <w:top w:val="none" w:sz="0" w:space="0" w:color="auto"/>
            <w:left w:val="none" w:sz="0" w:space="0" w:color="auto"/>
            <w:bottom w:val="none" w:sz="0" w:space="0" w:color="auto"/>
            <w:right w:val="none" w:sz="0" w:space="0" w:color="auto"/>
          </w:divBdr>
          <w:divsChild>
            <w:div w:id="1783189216">
              <w:marLeft w:val="0"/>
              <w:marRight w:val="0"/>
              <w:marTop w:val="0"/>
              <w:marBottom w:val="0"/>
              <w:divBdr>
                <w:top w:val="none" w:sz="0" w:space="0" w:color="auto"/>
                <w:left w:val="none" w:sz="0" w:space="0" w:color="auto"/>
                <w:bottom w:val="none" w:sz="0" w:space="0" w:color="auto"/>
                <w:right w:val="none" w:sz="0" w:space="0" w:color="auto"/>
              </w:divBdr>
              <w:divsChild>
                <w:div w:id="59525071">
                  <w:marLeft w:val="0"/>
                  <w:marRight w:val="0"/>
                  <w:marTop w:val="0"/>
                  <w:marBottom w:val="0"/>
                  <w:divBdr>
                    <w:top w:val="none" w:sz="0" w:space="0" w:color="auto"/>
                    <w:left w:val="none" w:sz="0" w:space="0" w:color="auto"/>
                    <w:bottom w:val="none" w:sz="0" w:space="0" w:color="auto"/>
                    <w:right w:val="none" w:sz="0" w:space="0" w:color="auto"/>
                  </w:divBdr>
                  <w:divsChild>
                    <w:div w:id="1332026660">
                      <w:marLeft w:val="0"/>
                      <w:marRight w:val="0"/>
                      <w:marTop w:val="0"/>
                      <w:marBottom w:val="0"/>
                      <w:divBdr>
                        <w:top w:val="none" w:sz="0" w:space="0" w:color="auto"/>
                        <w:left w:val="none" w:sz="0" w:space="0" w:color="auto"/>
                        <w:bottom w:val="none" w:sz="0" w:space="0" w:color="auto"/>
                        <w:right w:val="none" w:sz="0" w:space="0" w:color="auto"/>
                      </w:divBdr>
                      <w:divsChild>
                        <w:div w:id="109400162">
                          <w:marLeft w:val="0"/>
                          <w:marRight w:val="0"/>
                          <w:marTop w:val="0"/>
                          <w:marBottom w:val="0"/>
                          <w:divBdr>
                            <w:top w:val="none" w:sz="0" w:space="0" w:color="auto"/>
                            <w:left w:val="none" w:sz="0" w:space="0" w:color="auto"/>
                            <w:bottom w:val="none" w:sz="0" w:space="0" w:color="auto"/>
                            <w:right w:val="none" w:sz="0" w:space="0" w:color="auto"/>
                          </w:divBdr>
                          <w:divsChild>
                            <w:div w:id="7032183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696787">
      <w:bodyDiv w:val="1"/>
      <w:marLeft w:val="0"/>
      <w:marRight w:val="0"/>
      <w:marTop w:val="0"/>
      <w:marBottom w:val="0"/>
      <w:divBdr>
        <w:top w:val="none" w:sz="0" w:space="0" w:color="auto"/>
        <w:left w:val="none" w:sz="0" w:space="0" w:color="auto"/>
        <w:bottom w:val="none" w:sz="0" w:space="0" w:color="auto"/>
        <w:right w:val="none" w:sz="0" w:space="0" w:color="auto"/>
      </w:divBdr>
    </w:div>
    <w:div w:id="179093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ina.Feldmane@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42D6-3849-4B3A-A7C0-622344EB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6029</Characters>
  <Application>Microsoft Office Word</Application>
  <DocSecurity>4</DocSecurity>
  <Lines>50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2008. gada 17.marta noteikumos Nr.176 „Noteikumi par īpaša dokumenta formu un saturu krimināltiesiskajā sadarbībā ar Eiropas Savienības dalībvalstīm”” sākotnējās ietekmes novērtējuma ziņoju</vt:lpstr>
      <vt:lpstr>Likumprojekta „Grozījumi Krimināllikumā” anotācija</vt:lpstr>
    </vt:vector>
  </TitlesOfParts>
  <Company>Tieslietu ministrija</Company>
  <LinksUpToDate>false</LinksUpToDate>
  <CharactersWithSpaces>6868</CharactersWithSpaces>
  <SharedDoc>false</SharedDoc>
  <HLinks>
    <vt:vector size="6" baseType="variant">
      <vt:variant>
        <vt:i4>5636216</vt:i4>
      </vt:variant>
      <vt:variant>
        <vt:i4>0</vt:i4>
      </vt:variant>
      <vt:variant>
        <vt:i4>0</vt:i4>
      </vt:variant>
      <vt:variant>
        <vt:i4>5</vt:i4>
      </vt:variant>
      <vt:variant>
        <vt:lpwstr>mailto:elina.feldmane@tm.gov.lv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17.marta noteikumos Nr.176 „Noteikumi par īpaša dokumenta formu un saturu krimināltiesiskajā sadarbībā ar Eiropas Savienības dalībvalstīm”” sākotnējās ietekmes novērtējuma ziņojums (anotācija)</dc:title>
  <dc:subject>Anotācija</dc:subject>
  <dc:creator>Elīna Feldmane</dc:creator>
  <dc:description>Elina.Feldmane@tm.gov.lv 
67046102</dc:description>
  <cp:lastModifiedBy>Elina Feldmane</cp:lastModifiedBy>
  <cp:revision>2</cp:revision>
  <cp:lastPrinted>2015-02-12T14:46:00Z</cp:lastPrinted>
  <dcterms:created xsi:type="dcterms:W3CDTF">2015-02-12T14:46:00Z</dcterms:created>
  <dcterms:modified xsi:type="dcterms:W3CDTF">2015-02-12T14:46:00Z</dcterms:modified>
</cp:coreProperties>
</file>