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0165D" w14:textId="77777777" w:rsidR="00D60109" w:rsidRPr="00A910DE" w:rsidRDefault="00FC65BB" w:rsidP="00A910DE">
      <w:pPr>
        <w:ind w:firstLine="567"/>
        <w:jc w:val="right"/>
        <w:outlineLvl w:val="2"/>
        <w:rPr>
          <w:bCs/>
          <w:sz w:val="28"/>
          <w:szCs w:val="28"/>
        </w:rPr>
      </w:pPr>
      <w:r w:rsidRPr="00A910DE">
        <w:rPr>
          <w:bCs/>
          <w:sz w:val="28"/>
          <w:szCs w:val="28"/>
        </w:rPr>
        <w:t>Likumprojekts</w:t>
      </w:r>
    </w:p>
    <w:p w14:paraId="7980165E" w14:textId="77777777" w:rsidR="00FC65BB" w:rsidRDefault="00FC65BB" w:rsidP="00A910DE">
      <w:pPr>
        <w:ind w:firstLine="567"/>
        <w:jc w:val="right"/>
        <w:outlineLvl w:val="2"/>
        <w:rPr>
          <w:bCs/>
          <w:sz w:val="28"/>
          <w:szCs w:val="28"/>
        </w:rPr>
      </w:pPr>
    </w:p>
    <w:p w14:paraId="79801660" w14:textId="77777777" w:rsidR="00F83D0E" w:rsidRPr="00185C76" w:rsidRDefault="00F83D0E" w:rsidP="00A910DE">
      <w:pPr>
        <w:jc w:val="center"/>
        <w:outlineLvl w:val="2"/>
        <w:rPr>
          <w:b/>
          <w:bCs/>
          <w:sz w:val="28"/>
          <w:szCs w:val="28"/>
        </w:rPr>
      </w:pPr>
      <w:r w:rsidRPr="00185C76">
        <w:rPr>
          <w:b/>
          <w:bCs/>
          <w:sz w:val="28"/>
          <w:szCs w:val="28"/>
        </w:rPr>
        <w:t xml:space="preserve">Grozījumi </w:t>
      </w:r>
      <w:r w:rsidR="00B87CEE">
        <w:rPr>
          <w:b/>
          <w:bCs/>
          <w:sz w:val="28"/>
          <w:szCs w:val="28"/>
        </w:rPr>
        <w:t>Civilprocesa</w:t>
      </w:r>
      <w:r w:rsidRPr="00185C76">
        <w:rPr>
          <w:b/>
          <w:bCs/>
          <w:sz w:val="28"/>
          <w:szCs w:val="28"/>
        </w:rPr>
        <w:t xml:space="preserve"> likumā</w:t>
      </w:r>
    </w:p>
    <w:p w14:paraId="79801661" w14:textId="77777777" w:rsidR="00F83D0E" w:rsidRDefault="00F83D0E" w:rsidP="00A910DE">
      <w:pPr>
        <w:ind w:firstLine="567"/>
        <w:jc w:val="center"/>
        <w:outlineLvl w:val="2"/>
        <w:rPr>
          <w:bCs/>
          <w:sz w:val="28"/>
          <w:szCs w:val="28"/>
        </w:rPr>
      </w:pPr>
    </w:p>
    <w:p w14:paraId="79801663" w14:textId="7238366C" w:rsidR="00BD5B30" w:rsidRDefault="00F83D0E" w:rsidP="00A910DE">
      <w:pPr>
        <w:ind w:firstLine="720"/>
        <w:jc w:val="both"/>
        <w:rPr>
          <w:sz w:val="28"/>
          <w:szCs w:val="28"/>
        </w:rPr>
      </w:pPr>
      <w:r w:rsidRPr="00185C76">
        <w:rPr>
          <w:sz w:val="28"/>
          <w:szCs w:val="28"/>
        </w:rPr>
        <w:t xml:space="preserve">Izdarīt </w:t>
      </w:r>
      <w:r w:rsidR="00BD5B30">
        <w:rPr>
          <w:sz w:val="28"/>
          <w:szCs w:val="28"/>
        </w:rPr>
        <w:t>Civilprocesa</w:t>
      </w:r>
      <w:r w:rsidRPr="00185C76">
        <w:rPr>
          <w:sz w:val="28"/>
          <w:szCs w:val="28"/>
        </w:rPr>
        <w:t xml:space="preserve"> likumā (Latvijas Republikas Saeimas un Ministru Kabineta Ziņotājs, </w:t>
      </w:r>
      <w:r w:rsidR="00BD5B30">
        <w:rPr>
          <w:sz w:val="28"/>
          <w:szCs w:val="28"/>
        </w:rPr>
        <w:t>1998, 23.</w:t>
      </w:r>
      <w:r w:rsidR="0013266E">
        <w:rPr>
          <w:sz w:val="28"/>
          <w:szCs w:val="28"/>
        </w:rPr>
        <w:t> </w:t>
      </w:r>
      <w:r w:rsidR="00BD5B30">
        <w:rPr>
          <w:sz w:val="28"/>
          <w:szCs w:val="28"/>
        </w:rPr>
        <w:t>nr.; 2001, 15.</w:t>
      </w:r>
      <w:r w:rsidR="0013266E">
        <w:rPr>
          <w:sz w:val="28"/>
          <w:szCs w:val="28"/>
        </w:rPr>
        <w:t> </w:t>
      </w:r>
      <w:r w:rsidR="00BD5B30">
        <w:rPr>
          <w:sz w:val="28"/>
          <w:szCs w:val="28"/>
        </w:rPr>
        <w:t>nr.; 2002, 24.</w:t>
      </w:r>
      <w:r w:rsidR="0013266E">
        <w:rPr>
          <w:sz w:val="28"/>
          <w:szCs w:val="28"/>
        </w:rPr>
        <w:t> </w:t>
      </w:r>
      <w:r w:rsidR="00BD5B30">
        <w:rPr>
          <w:sz w:val="28"/>
          <w:szCs w:val="28"/>
        </w:rPr>
        <w:t>nr.; 2003, 15.</w:t>
      </w:r>
      <w:r w:rsidR="0013266E">
        <w:rPr>
          <w:sz w:val="28"/>
          <w:szCs w:val="28"/>
        </w:rPr>
        <w:t> </w:t>
      </w:r>
      <w:r w:rsidR="00BD5B30">
        <w:rPr>
          <w:sz w:val="28"/>
          <w:szCs w:val="28"/>
        </w:rPr>
        <w:t>nr.; 2004, 6., 10., 14., 20.</w:t>
      </w:r>
      <w:r w:rsidR="0013266E">
        <w:rPr>
          <w:sz w:val="28"/>
          <w:szCs w:val="28"/>
        </w:rPr>
        <w:t> </w:t>
      </w:r>
      <w:r w:rsidR="00BD5B30">
        <w:rPr>
          <w:sz w:val="28"/>
          <w:szCs w:val="28"/>
        </w:rPr>
        <w:t>nr.; 2005, 7., 14.</w:t>
      </w:r>
      <w:r w:rsidR="0013266E">
        <w:rPr>
          <w:sz w:val="28"/>
          <w:szCs w:val="28"/>
        </w:rPr>
        <w:t> </w:t>
      </w:r>
      <w:r w:rsidR="00BD5B30">
        <w:rPr>
          <w:sz w:val="28"/>
          <w:szCs w:val="28"/>
        </w:rPr>
        <w:t>nr.; 2006, 1., 13., 20., 24.</w:t>
      </w:r>
      <w:r w:rsidR="0013266E">
        <w:rPr>
          <w:sz w:val="28"/>
          <w:szCs w:val="28"/>
        </w:rPr>
        <w:t> </w:t>
      </w:r>
      <w:r w:rsidR="00BD5B30">
        <w:rPr>
          <w:sz w:val="28"/>
          <w:szCs w:val="28"/>
        </w:rPr>
        <w:t>nr.; 2007, 3., 24.</w:t>
      </w:r>
      <w:r w:rsidR="0013266E">
        <w:rPr>
          <w:sz w:val="28"/>
          <w:szCs w:val="28"/>
        </w:rPr>
        <w:t> </w:t>
      </w:r>
      <w:r w:rsidR="00BD5B30">
        <w:rPr>
          <w:sz w:val="28"/>
          <w:szCs w:val="28"/>
        </w:rPr>
        <w:t>nr.; 2008, 13.</w:t>
      </w:r>
      <w:r w:rsidR="0013266E">
        <w:rPr>
          <w:sz w:val="28"/>
          <w:szCs w:val="28"/>
        </w:rPr>
        <w:t> </w:t>
      </w:r>
      <w:r w:rsidR="00BD5B30">
        <w:rPr>
          <w:sz w:val="28"/>
          <w:szCs w:val="28"/>
        </w:rPr>
        <w:t>nr.; 2009, 2., 6., 14.</w:t>
      </w:r>
      <w:r w:rsidR="0013266E">
        <w:rPr>
          <w:sz w:val="28"/>
          <w:szCs w:val="28"/>
        </w:rPr>
        <w:t> </w:t>
      </w:r>
      <w:r w:rsidR="00BD5B30">
        <w:rPr>
          <w:sz w:val="28"/>
          <w:szCs w:val="28"/>
        </w:rPr>
        <w:t>nr.; Latvijas Vēstnesis, 2009, 205.</w:t>
      </w:r>
      <w:r w:rsidR="0013266E">
        <w:rPr>
          <w:sz w:val="28"/>
          <w:szCs w:val="28"/>
        </w:rPr>
        <w:t> </w:t>
      </w:r>
      <w:r w:rsidR="00BD5B30">
        <w:rPr>
          <w:sz w:val="28"/>
          <w:szCs w:val="28"/>
        </w:rPr>
        <w:t>nr.; 2010, 166., 183., 206.</w:t>
      </w:r>
      <w:r w:rsidR="0013266E">
        <w:rPr>
          <w:sz w:val="28"/>
          <w:szCs w:val="28"/>
        </w:rPr>
        <w:t> </w:t>
      </w:r>
      <w:r w:rsidR="00BD5B30">
        <w:rPr>
          <w:sz w:val="28"/>
          <w:szCs w:val="28"/>
        </w:rPr>
        <w:t>nr.; 2011, 16., 95., 132., 148.</w:t>
      </w:r>
      <w:r w:rsidR="0013266E">
        <w:rPr>
          <w:sz w:val="28"/>
          <w:szCs w:val="28"/>
        </w:rPr>
        <w:t> </w:t>
      </w:r>
      <w:r w:rsidR="00BD5B30">
        <w:rPr>
          <w:sz w:val="28"/>
          <w:szCs w:val="28"/>
        </w:rPr>
        <w:t>nr.; 2012, 50., 63., 100., 190., 197.</w:t>
      </w:r>
      <w:r w:rsidR="0013266E">
        <w:rPr>
          <w:sz w:val="28"/>
          <w:szCs w:val="28"/>
        </w:rPr>
        <w:t> </w:t>
      </w:r>
      <w:r w:rsidR="00BD5B30">
        <w:rPr>
          <w:sz w:val="28"/>
          <w:szCs w:val="28"/>
        </w:rPr>
        <w:t xml:space="preserve">nr.; 2013, 87., </w:t>
      </w:r>
      <w:r w:rsidR="00515C4D">
        <w:rPr>
          <w:sz w:val="28"/>
          <w:szCs w:val="28"/>
        </w:rPr>
        <w:t xml:space="preserve">92., </w:t>
      </w:r>
      <w:r w:rsidR="00BD5B30">
        <w:rPr>
          <w:sz w:val="28"/>
          <w:szCs w:val="28"/>
        </w:rPr>
        <w:t>112., 188.</w:t>
      </w:r>
      <w:r w:rsidR="0013266E">
        <w:rPr>
          <w:sz w:val="28"/>
          <w:szCs w:val="28"/>
        </w:rPr>
        <w:t> </w:t>
      </w:r>
      <w:r w:rsidR="00BD5B30">
        <w:rPr>
          <w:sz w:val="28"/>
          <w:szCs w:val="28"/>
        </w:rPr>
        <w:t>nr.</w:t>
      </w:r>
      <w:r w:rsidR="009F7695">
        <w:rPr>
          <w:sz w:val="28"/>
          <w:szCs w:val="28"/>
        </w:rPr>
        <w:t xml:space="preserve">; 2014, </w:t>
      </w:r>
      <w:r w:rsidR="00515C4D">
        <w:rPr>
          <w:sz w:val="28"/>
          <w:szCs w:val="28"/>
        </w:rPr>
        <w:t xml:space="preserve">2., </w:t>
      </w:r>
      <w:r w:rsidR="009F7695">
        <w:rPr>
          <w:sz w:val="28"/>
          <w:szCs w:val="28"/>
        </w:rPr>
        <w:t>41., 63., 108., 194., 228</w:t>
      </w:r>
      <w:r w:rsidR="00ED31A3">
        <w:rPr>
          <w:sz w:val="28"/>
          <w:szCs w:val="28"/>
        </w:rPr>
        <w:t>.</w:t>
      </w:r>
      <w:r w:rsidR="00515C4D">
        <w:rPr>
          <w:sz w:val="28"/>
          <w:szCs w:val="28"/>
        </w:rPr>
        <w:t>, 238.</w:t>
      </w:r>
      <w:r w:rsidR="00F22542">
        <w:rPr>
          <w:sz w:val="28"/>
          <w:szCs w:val="28"/>
        </w:rPr>
        <w:t xml:space="preserve"> </w:t>
      </w:r>
      <w:r w:rsidR="00ED31A3">
        <w:rPr>
          <w:sz w:val="28"/>
          <w:szCs w:val="28"/>
        </w:rPr>
        <w:t>nr.; 2015, 42., 91.</w:t>
      </w:r>
      <w:r w:rsidR="0013266E">
        <w:rPr>
          <w:sz w:val="28"/>
          <w:szCs w:val="28"/>
        </w:rPr>
        <w:t> </w:t>
      </w:r>
      <w:r w:rsidR="00ED31A3">
        <w:rPr>
          <w:sz w:val="28"/>
          <w:szCs w:val="28"/>
        </w:rPr>
        <w:t>nr.</w:t>
      </w:r>
      <w:r w:rsidR="00BD5B30">
        <w:rPr>
          <w:sz w:val="28"/>
          <w:szCs w:val="28"/>
        </w:rPr>
        <w:t>) šādus grozījumus:</w:t>
      </w:r>
    </w:p>
    <w:p w14:paraId="2062044A" w14:textId="77777777" w:rsidR="00F22542" w:rsidRPr="000743EE" w:rsidRDefault="00F22542" w:rsidP="00A910DE">
      <w:pPr>
        <w:jc w:val="both"/>
        <w:rPr>
          <w:sz w:val="28"/>
          <w:szCs w:val="28"/>
        </w:rPr>
      </w:pPr>
    </w:p>
    <w:p w14:paraId="79801666" w14:textId="741CF7BE" w:rsidR="000B765B" w:rsidRPr="00F22542" w:rsidRDefault="00BD35A4" w:rsidP="00A91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3659" w:rsidRPr="00F22542">
        <w:rPr>
          <w:sz w:val="28"/>
          <w:szCs w:val="28"/>
        </w:rPr>
        <w:t xml:space="preserve">Papildināt </w:t>
      </w:r>
      <w:r w:rsidR="000B765B" w:rsidRPr="00F22542">
        <w:rPr>
          <w:sz w:val="28"/>
          <w:szCs w:val="28"/>
        </w:rPr>
        <w:t>33.</w:t>
      </w:r>
      <w:r w:rsidR="00FC0C6B">
        <w:rPr>
          <w:sz w:val="28"/>
          <w:szCs w:val="28"/>
        </w:rPr>
        <w:t> </w:t>
      </w:r>
      <w:r w:rsidR="00685D3A" w:rsidRPr="00F22542">
        <w:rPr>
          <w:sz w:val="28"/>
          <w:szCs w:val="28"/>
        </w:rPr>
        <w:t>p</w:t>
      </w:r>
      <w:r w:rsidR="00BB3659" w:rsidRPr="00F22542">
        <w:rPr>
          <w:sz w:val="28"/>
          <w:szCs w:val="28"/>
        </w:rPr>
        <w:t>anta trešo daļu ar 4.</w:t>
      </w:r>
      <w:r w:rsidR="00FC0C6B">
        <w:rPr>
          <w:sz w:val="28"/>
          <w:szCs w:val="28"/>
        </w:rPr>
        <w:t> </w:t>
      </w:r>
      <w:r w:rsidR="00BB3659" w:rsidRPr="00F22542">
        <w:rPr>
          <w:sz w:val="28"/>
          <w:szCs w:val="28"/>
        </w:rPr>
        <w:t xml:space="preserve">punktu šādā </w:t>
      </w:r>
      <w:r w:rsidR="00685D3A" w:rsidRPr="00F22542">
        <w:rPr>
          <w:sz w:val="28"/>
          <w:szCs w:val="28"/>
        </w:rPr>
        <w:t>redakcijā</w:t>
      </w:r>
      <w:r w:rsidR="000B765B" w:rsidRPr="00F22542">
        <w:rPr>
          <w:sz w:val="28"/>
          <w:szCs w:val="28"/>
        </w:rPr>
        <w:t>:</w:t>
      </w:r>
    </w:p>
    <w:p w14:paraId="4F2FFA2A" w14:textId="77777777" w:rsidR="00A910DE" w:rsidRDefault="00A910DE" w:rsidP="00A910DE">
      <w:pPr>
        <w:pStyle w:val="ListParagraph"/>
        <w:ind w:left="0" w:firstLine="720"/>
        <w:jc w:val="both"/>
        <w:rPr>
          <w:sz w:val="28"/>
          <w:szCs w:val="28"/>
        </w:rPr>
      </w:pPr>
    </w:p>
    <w:p w14:paraId="79801667" w14:textId="1677C470" w:rsidR="007B0DE1" w:rsidRDefault="00A910DE" w:rsidP="00A910DE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85D3A">
        <w:rPr>
          <w:sz w:val="28"/>
          <w:szCs w:val="28"/>
        </w:rPr>
        <w:t>4</w:t>
      </w:r>
      <w:r w:rsidR="00C73381">
        <w:rPr>
          <w:sz w:val="28"/>
          <w:szCs w:val="28"/>
        </w:rPr>
        <w:t xml:space="preserve">) </w:t>
      </w:r>
      <w:r w:rsidR="00B717D3">
        <w:rPr>
          <w:sz w:val="28"/>
          <w:szCs w:val="28"/>
        </w:rPr>
        <w:t xml:space="preserve">izdevumi </w:t>
      </w:r>
      <w:r w:rsidR="00C73381">
        <w:rPr>
          <w:sz w:val="28"/>
          <w:szCs w:val="28"/>
        </w:rPr>
        <w:t>par valsts nodrošināto juridisko palīdzību</w:t>
      </w:r>
      <w:r w:rsidR="00A01D6B">
        <w:rPr>
          <w:sz w:val="28"/>
          <w:szCs w:val="28"/>
        </w:rPr>
        <w:t xml:space="preserve"> </w:t>
      </w:r>
      <w:r w:rsidR="003A4CB7" w:rsidRPr="00FC2C8B">
        <w:rPr>
          <w:sz w:val="28"/>
          <w:szCs w:val="28"/>
        </w:rPr>
        <w:t>(</w:t>
      </w:r>
      <w:r w:rsidR="009F7695">
        <w:rPr>
          <w:sz w:val="28"/>
          <w:szCs w:val="28"/>
        </w:rPr>
        <w:t>izdevumi par valsts nodrošinātās juridiskās</w:t>
      </w:r>
      <w:r w:rsidR="00FC2C8B" w:rsidRPr="00FC2C8B">
        <w:rPr>
          <w:sz w:val="28"/>
          <w:szCs w:val="28"/>
        </w:rPr>
        <w:t xml:space="preserve"> palīdzības sniegšanu un </w:t>
      </w:r>
      <w:r w:rsidR="008429F7">
        <w:rPr>
          <w:sz w:val="28"/>
          <w:szCs w:val="28"/>
        </w:rPr>
        <w:t>ar to</w:t>
      </w:r>
      <w:r w:rsidR="00FC2C8B">
        <w:rPr>
          <w:sz w:val="28"/>
          <w:szCs w:val="28"/>
        </w:rPr>
        <w:t xml:space="preserve"> saistītie atlīdzināmie izdevumi).</w:t>
      </w:r>
      <w:r>
        <w:rPr>
          <w:sz w:val="28"/>
          <w:szCs w:val="28"/>
        </w:rPr>
        <w:t>"</w:t>
      </w:r>
    </w:p>
    <w:p w14:paraId="79801668" w14:textId="77777777" w:rsidR="00B02238" w:rsidRDefault="00B02238" w:rsidP="00A910DE">
      <w:pPr>
        <w:pStyle w:val="ListParagraph"/>
        <w:ind w:left="0"/>
        <w:jc w:val="both"/>
        <w:rPr>
          <w:sz w:val="28"/>
          <w:szCs w:val="28"/>
        </w:rPr>
      </w:pPr>
    </w:p>
    <w:p w14:paraId="79801669" w14:textId="2B6DCCAE" w:rsidR="00B02238" w:rsidRPr="00F22542" w:rsidRDefault="00BD35A4" w:rsidP="00A910D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B02238" w:rsidRPr="00F22542">
        <w:rPr>
          <w:bCs/>
          <w:sz w:val="28"/>
          <w:szCs w:val="28"/>
        </w:rPr>
        <w:t>Papildināt 43.</w:t>
      </w:r>
      <w:r w:rsidR="00FC0C6B">
        <w:rPr>
          <w:bCs/>
          <w:sz w:val="28"/>
          <w:szCs w:val="28"/>
        </w:rPr>
        <w:t> </w:t>
      </w:r>
      <w:r w:rsidR="00B02238" w:rsidRPr="00F22542">
        <w:rPr>
          <w:bCs/>
          <w:sz w:val="28"/>
          <w:szCs w:val="28"/>
        </w:rPr>
        <w:t xml:space="preserve">panta pirmo daļu ar </w:t>
      </w:r>
      <w:r w:rsidR="008429F7" w:rsidRPr="00F22542">
        <w:rPr>
          <w:bCs/>
          <w:sz w:val="28"/>
          <w:szCs w:val="28"/>
        </w:rPr>
        <w:t>16</w:t>
      </w:r>
      <w:r w:rsidR="00B02238" w:rsidRPr="00F22542">
        <w:rPr>
          <w:bCs/>
          <w:sz w:val="28"/>
          <w:szCs w:val="28"/>
        </w:rPr>
        <w:t>.</w:t>
      </w:r>
      <w:r w:rsidR="00FC0C6B">
        <w:rPr>
          <w:bCs/>
          <w:sz w:val="28"/>
          <w:szCs w:val="28"/>
        </w:rPr>
        <w:t> </w:t>
      </w:r>
      <w:r w:rsidR="00B02238" w:rsidRPr="00F22542">
        <w:rPr>
          <w:bCs/>
          <w:sz w:val="28"/>
          <w:szCs w:val="28"/>
        </w:rPr>
        <w:t>punktu šādā redakcijā:</w:t>
      </w:r>
    </w:p>
    <w:p w14:paraId="439C3BCC" w14:textId="77777777" w:rsidR="00A910DE" w:rsidRDefault="00A910DE" w:rsidP="00A910DE">
      <w:pPr>
        <w:pStyle w:val="naispant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7980166A" w14:textId="45C76131" w:rsidR="00B02238" w:rsidRDefault="00A910DE" w:rsidP="00A910DE">
      <w:pPr>
        <w:pStyle w:val="naispant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"</w:t>
      </w:r>
      <w:r w:rsidR="008429F7">
        <w:rPr>
          <w:rFonts w:eastAsia="Calibri"/>
          <w:sz w:val="28"/>
          <w:szCs w:val="28"/>
          <w:lang w:eastAsia="en-US"/>
        </w:rPr>
        <w:t>16</w:t>
      </w:r>
      <w:r w:rsidR="00B02238" w:rsidRPr="00203D72">
        <w:rPr>
          <w:rFonts w:eastAsia="Calibri"/>
          <w:sz w:val="28"/>
          <w:szCs w:val="28"/>
          <w:lang w:eastAsia="en-US"/>
        </w:rPr>
        <w:t>)</w:t>
      </w:r>
      <w:r w:rsidR="00BD35A4">
        <w:rPr>
          <w:rFonts w:eastAsia="Calibri"/>
          <w:sz w:val="28"/>
          <w:szCs w:val="28"/>
          <w:lang w:eastAsia="en-US"/>
        </w:rPr>
        <w:t xml:space="preserve"> </w:t>
      </w:r>
      <w:r w:rsidR="00B02238">
        <w:rPr>
          <w:rFonts w:eastAsia="Calibri"/>
          <w:sz w:val="28"/>
          <w:szCs w:val="28"/>
          <w:lang w:eastAsia="en-US"/>
        </w:rPr>
        <w:t>persona</w:t>
      </w:r>
      <w:r w:rsidR="002F6B8F">
        <w:rPr>
          <w:rFonts w:eastAsia="Calibri"/>
          <w:sz w:val="28"/>
          <w:szCs w:val="28"/>
          <w:lang w:eastAsia="en-US"/>
        </w:rPr>
        <w:t>s</w:t>
      </w:r>
      <w:r w:rsidR="00B02238">
        <w:rPr>
          <w:rFonts w:eastAsia="Calibri"/>
          <w:sz w:val="28"/>
          <w:szCs w:val="28"/>
          <w:lang w:eastAsia="en-US"/>
        </w:rPr>
        <w:t xml:space="preserve">, </w:t>
      </w:r>
      <w:r w:rsidR="00B1288F">
        <w:rPr>
          <w:rFonts w:eastAsia="Calibri"/>
          <w:sz w:val="28"/>
          <w:szCs w:val="28"/>
          <w:lang w:eastAsia="en-US"/>
        </w:rPr>
        <w:t>kas</w:t>
      </w:r>
      <w:r w:rsidR="00B02238">
        <w:rPr>
          <w:rFonts w:eastAsia="Calibri"/>
          <w:sz w:val="28"/>
          <w:szCs w:val="28"/>
          <w:lang w:eastAsia="en-US"/>
        </w:rPr>
        <w:t xml:space="preserve"> šajā lietā </w:t>
      </w:r>
      <w:r w:rsidR="002F6B8F">
        <w:rPr>
          <w:rFonts w:eastAsia="Calibri"/>
          <w:sz w:val="28"/>
          <w:szCs w:val="28"/>
          <w:lang w:eastAsia="en-US"/>
        </w:rPr>
        <w:t>saņem</w:t>
      </w:r>
      <w:r w:rsidR="00B02238">
        <w:rPr>
          <w:rFonts w:eastAsia="Calibri"/>
          <w:sz w:val="28"/>
          <w:szCs w:val="28"/>
          <w:lang w:eastAsia="en-US"/>
        </w:rPr>
        <w:t xml:space="preserve"> valsts nodrošināt</w:t>
      </w:r>
      <w:r w:rsidR="002F6B8F">
        <w:rPr>
          <w:rFonts w:eastAsia="Calibri"/>
          <w:sz w:val="28"/>
          <w:szCs w:val="28"/>
          <w:lang w:eastAsia="en-US"/>
        </w:rPr>
        <w:t>o</w:t>
      </w:r>
      <w:r w:rsidR="00B02238">
        <w:rPr>
          <w:rFonts w:eastAsia="Calibri"/>
          <w:sz w:val="28"/>
          <w:szCs w:val="28"/>
          <w:lang w:eastAsia="en-US"/>
        </w:rPr>
        <w:t xml:space="preserve"> juridisk</w:t>
      </w:r>
      <w:r w:rsidR="002F6B8F">
        <w:rPr>
          <w:rFonts w:eastAsia="Calibri"/>
          <w:sz w:val="28"/>
          <w:szCs w:val="28"/>
          <w:lang w:eastAsia="en-US"/>
        </w:rPr>
        <w:t>o</w:t>
      </w:r>
      <w:r w:rsidR="00B02238">
        <w:rPr>
          <w:rFonts w:eastAsia="Calibri"/>
          <w:sz w:val="28"/>
          <w:szCs w:val="28"/>
          <w:lang w:eastAsia="en-US"/>
        </w:rPr>
        <w:t xml:space="preserve"> palīdzīb</w:t>
      </w:r>
      <w:r w:rsidR="002F6B8F">
        <w:rPr>
          <w:rFonts w:eastAsia="Calibri"/>
          <w:sz w:val="28"/>
          <w:szCs w:val="28"/>
          <w:lang w:eastAsia="en-US"/>
        </w:rPr>
        <w:t>u</w:t>
      </w:r>
      <w:r w:rsidR="00B0223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"</w:t>
      </w:r>
    </w:p>
    <w:p w14:paraId="7980166B" w14:textId="77777777" w:rsidR="00492A3B" w:rsidRDefault="00492A3B" w:rsidP="00A910DE">
      <w:pPr>
        <w:jc w:val="both"/>
        <w:rPr>
          <w:sz w:val="28"/>
          <w:szCs w:val="28"/>
        </w:rPr>
      </w:pPr>
    </w:p>
    <w:p w14:paraId="7980166C" w14:textId="0CE866DA" w:rsidR="00492A3B" w:rsidRPr="00F22542" w:rsidRDefault="00BD35A4" w:rsidP="00A91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A7689" w:rsidRPr="00F22542">
        <w:rPr>
          <w:sz w:val="28"/>
          <w:szCs w:val="28"/>
        </w:rPr>
        <w:t>Papildināt likumu ar 44</w:t>
      </w:r>
      <w:r w:rsidR="00492A3B" w:rsidRPr="00F22542">
        <w:rPr>
          <w:sz w:val="28"/>
          <w:szCs w:val="28"/>
        </w:rPr>
        <w:t>.</w:t>
      </w:r>
      <w:r w:rsidR="00492A3B" w:rsidRPr="00F22542">
        <w:rPr>
          <w:sz w:val="28"/>
          <w:szCs w:val="28"/>
          <w:vertAlign w:val="superscript"/>
        </w:rPr>
        <w:t>1</w:t>
      </w:r>
      <w:r w:rsidR="00B1288F" w:rsidRPr="00B1288F">
        <w:rPr>
          <w:sz w:val="28"/>
          <w:szCs w:val="28"/>
        </w:rPr>
        <w:t> </w:t>
      </w:r>
      <w:r w:rsidR="00492A3B" w:rsidRPr="00F22542">
        <w:rPr>
          <w:sz w:val="28"/>
          <w:szCs w:val="28"/>
        </w:rPr>
        <w:t>pantu šādā redakcijā:</w:t>
      </w:r>
    </w:p>
    <w:p w14:paraId="5BAEE2F7" w14:textId="77777777" w:rsidR="00A910DE" w:rsidRDefault="00A910DE" w:rsidP="00A910DE">
      <w:pPr>
        <w:ind w:firstLine="720"/>
        <w:jc w:val="both"/>
        <w:rPr>
          <w:sz w:val="28"/>
          <w:szCs w:val="28"/>
        </w:rPr>
      </w:pPr>
    </w:p>
    <w:p w14:paraId="7980166D" w14:textId="4ABE68B3" w:rsidR="00492A3B" w:rsidRDefault="00A910DE" w:rsidP="00A910D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EA7689">
        <w:rPr>
          <w:b/>
          <w:sz w:val="28"/>
          <w:szCs w:val="28"/>
        </w:rPr>
        <w:t>44</w:t>
      </w:r>
      <w:r w:rsidR="005537DB" w:rsidRPr="005537DB">
        <w:rPr>
          <w:b/>
          <w:sz w:val="28"/>
          <w:szCs w:val="28"/>
        </w:rPr>
        <w:t>.</w:t>
      </w:r>
      <w:r w:rsidR="005537DB" w:rsidRPr="005537DB">
        <w:rPr>
          <w:b/>
          <w:sz w:val="28"/>
          <w:szCs w:val="28"/>
          <w:vertAlign w:val="superscript"/>
        </w:rPr>
        <w:t>1</w:t>
      </w:r>
      <w:r w:rsidR="00B1288F" w:rsidRPr="00B1288F">
        <w:rPr>
          <w:b/>
          <w:sz w:val="28"/>
          <w:szCs w:val="28"/>
        </w:rPr>
        <w:t> </w:t>
      </w:r>
      <w:r w:rsidR="005537DB" w:rsidRPr="005537DB">
        <w:rPr>
          <w:b/>
          <w:sz w:val="28"/>
          <w:szCs w:val="28"/>
        </w:rPr>
        <w:t>pants.</w:t>
      </w:r>
      <w:r w:rsidR="005537DB">
        <w:rPr>
          <w:b/>
          <w:sz w:val="28"/>
          <w:szCs w:val="28"/>
        </w:rPr>
        <w:t xml:space="preserve"> </w:t>
      </w:r>
      <w:r w:rsidR="00C73381">
        <w:rPr>
          <w:b/>
          <w:sz w:val="28"/>
          <w:szCs w:val="28"/>
        </w:rPr>
        <w:t>Izdevumi par valsts nodrošināto juridisko palīdzību</w:t>
      </w:r>
      <w:r w:rsidR="005537DB">
        <w:rPr>
          <w:b/>
          <w:sz w:val="28"/>
          <w:szCs w:val="28"/>
        </w:rPr>
        <w:t xml:space="preserve"> un to atlīdzināšana valstij</w:t>
      </w:r>
    </w:p>
    <w:p w14:paraId="315146B0" w14:textId="2E51FF89" w:rsidR="00BD35A4" w:rsidRDefault="00BD35A4" w:rsidP="00A910DE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(1) </w:t>
      </w:r>
      <w:r w:rsidR="0007160A">
        <w:rPr>
          <w:sz w:val="28"/>
          <w:szCs w:val="28"/>
        </w:rPr>
        <w:t>I</w:t>
      </w:r>
      <w:r w:rsidR="00157864">
        <w:rPr>
          <w:sz w:val="28"/>
          <w:szCs w:val="28"/>
        </w:rPr>
        <w:t>zdevumus</w:t>
      </w:r>
      <w:r w:rsidR="005537DB">
        <w:rPr>
          <w:sz w:val="28"/>
          <w:szCs w:val="28"/>
        </w:rPr>
        <w:t xml:space="preserve"> </w:t>
      </w:r>
      <w:r w:rsidR="00157864">
        <w:rPr>
          <w:sz w:val="28"/>
          <w:szCs w:val="28"/>
        </w:rPr>
        <w:t>par valsts nodrošināto juridisko palīdzību</w:t>
      </w:r>
      <w:r w:rsidR="005537DB">
        <w:rPr>
          <w:sz w:val="28"/>
          <w:szCs w:val="28"/>
        </w:rPr>
        <w:t xml:space="preserve"> t</w:t>
      </w:r>
      <w:r w:rsidR="00CF770B">
        <w:rPr>
          <w:sz w:val="28"/>
          <w:szCs w:val="28"/>
        </w:rPr>
        <w:t xml:space="preserve">iesa, taisot nolēmumu, piedzen </w:t>
      </w:r>
      <w:r w:rsidR="005537DB" w:rsidRPr="00CF770B">
        <w:rPr>
          <w:sz w:val="28"/>
          <w:szCs w:val="28"/>
        </w:rPr>
        <w:t xml:space="preserve">atbilstoši </w:t>
      </w:r>
      <w:r w:rsidR="003D7A99" w:rsidRPr="00CF770B">
        <w:rPr>
          <w:sz w:val="28"/>
          <w:szCs w:val="28"/>
        </w:rPr>
        <w:t>šā likuma 42.</w:t>
      </w:r>
      <w:r w:rsidR="00FC0C6B">
        <w:rPr>
          <w:sz w:val="28"/>
          <w:szCs w:val="28"/>
        </w:rPr>
        <w:t> </w:t>
      </w:r>
      <w:r w:rsidR="003D7A99" w:rsidRPr="00CF770B">
        <w:rPr>
          <w:sz w:val="28"/>
          <w:szCs w:val="28"/>
        </w:rPr>
        <w:t>pant</w:t>
      </w:r>
      <w:r w:rsidR="00B1288F">
        <w:rPr>
          <w:sz w:val="28"/>
          <w:szCs w:val="28"/>
        </w:rPr>
        <w:t>ā minētajiem</w:t>
      </w:r>
      <w:r w:rsidR="003D7A99" w:rsidRPr="00CF770B">
        <w:rPr>
          <w:sz w:val="28"/>
          <w:szCs w:val="28"/>
        </w:rPr>
        <w:t xml:space="preserve"> nosacījumiem</w:t>
      </w:r>
      <w:r w:rsidR="00CF770B">
        <w:rPr>
          <w:sz w:val="28"/>
          <w:szCs w:val="28"/>
        </w:rPr>
        <w:t>.</w:t>
      </w:r>
    </w:p>
    <w:p w14:paraId="3A85FE7A" w14:textId="652A03DE" w:rsidR="00BD35A4" w:rsidRPr="00402025" w:rsidRDefault="00BD35A4" w:rsidP="00A910DE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(2) </w:t>
      </w:r>
      <w:r w:rsidR="00402025">
        <w:rPr>
          <w:sz w:val="28"/>
          <w:szCs w:val="28"/>
        </w:rPr>
        <w:t>Ziņas par</w:t>
      </w:r>
      <w:r w:rsidR="007319CA">
        <w:rPr>
          <w:sz w:val="28"/>
          <w:szCs w:val="28"/>
        </w:rPr>
        <w:t xml:space="preserve"> valsts</w:t>
      </w:r>
      <w:r w:rsidR="00402025">
        <w:rPr>
          <w:sz w:val="28"/>
          <w:szCs w:val="28"/>
        </w:rPr>
        <w:t xml:space="preserve"> nodrošinātās juridiskās palīdzības</w:t>
      </w:r>
      <w:r w:rsidR="00157864">
        <w:rPr>
          <w:sz w:val="28"/>
          <w:szCs w:val="28"/>
        </w:rPr>
        <w:t xml:space="preserve"> izdevumu</w:t>
      </w:r>
      <w:r w:rsidR="00402025">
        <w:rPr>
          <w:sz w:val="28"/>
          <w:szCs w:val="28"/>
        </w:rPr>
        <w:t xml:space="preserve"> apmēru tiesa iegūst no </w:t>
      </w:r>
      <w:r w:rsidR="008B7086" w:rsidRPr="00402025">
        <w:rPr>
          <w:sz w:val="28"/>
          <w:szCs w:val="28"/>
        </w:rPr>
        <w:t>valsts nodrošinātās juridiskās palīdzības reģistr</w:t>
      </w:r>
      <w:r w:rsidR="007319CA">
        <w:rPr>
          <w:sz w:val="28"/>
          <w:szCs w:val="28"/>
        </w:rPr>
        <w:t>a</w:t>
      </w:r>
      <w:r w:rsidR="00402025">
        <w:rPr>
          <w:sz w:val="28"/>
          <w:szCs w:val="28"/>
        </w:rPr>
        <w:t xml:space="preserve"> </w:t>
      </w:r>
      <w:r w:rsidR="00752020">
        <w:rPr>
          <w:sz w:val="28"/>
          <w:szCs w:val="28"/>
        </w:rPr>
        <w:t>un</w:t>
      </w:r>
      <w:r w:rsidR="00402025">
        <w:rPr>
          <w:sz w:val="28"/>
          <w:szCs w:val="28"/>
        </w:rPr>
        <w:t xml:space="preserve"> no valsts nodrošinātās juridiskās pa</w:t>
      </w:r>
      <w:r w:rsidR="007319CA">
        <w:rPr>
          <w:sz w:val="28"/>
          <w:szCs w:val="28"/>
        </w:rPr>
        <w:t>līdzības sniedzēja iesniegtā paziņojuma</w:t>
      </w:r>
      <w:r w:rsidR="00402025">
        <w:rPr>
          <w:sz w:val="28"/>
          <w:szCs w:val="28"/>
        </w:rPr>
        <w:t xml:space="preserve"> par valsts nodrošinātās juridiskās palīdzības sniegšanu civillietās, ja šīs ziņas nav iekļautas </w:t>
      </w:r>
      <w:r w:rsidR="00402025" w:rsidRPr="00402025">
        <w:rPr>
          <w:sz w:val="28"/>
          <w:szCs w:val="28"/>
        </w:rPr>
        <w:t>valsts nodrošinātās juridiskās palīdzības reģistr</w:t>
      </w:r>
      <w:r w:rsidR="00402025">
        <w:rPr>
          <w:sz w:val="28"/>
          <w:szCs w:val="28"/>
        </w:rPr>
        <w:t>ā.</w:t>
      </w:r>
    </w:p>
    <w:p w14:paraId="79801670" w14:textId="57E8E083" w:rsidR="00FF4624" w:rsidRPr="00191032" w:rsidRDefault="00BD35A4" w:rsidP="00A910DE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(3) </w:t>
      </w:r>
      <w:r w:rsidR="003D7A99" w:rsidRPr="00191032">
        <w:rPr>
          <w:sz w:val="28"/>
          <w:szCs w:val="28"/>
        </w:rPr>
        <w:t>Ja puse</w:t>
      </w:r>
      <w:r w:rsidR="00A75EED">
        <w:rPr>
          <w:sz w:val="28"/>
          <w:szCs w:val="28"/>
        </w:rPr>
        <w:t xml:space="preserve">, no kuras </w:t>
      </w:r>
      <w:r w:rsidR="00B1288F">
        <w:rPr>
          <w:sz w:val="28"/>
          <w:szCs w:val="28"/>
        </w:rPr>
        <w:t xml:space="preserve">saskaņā ar šā panta pirmo daļu </w:t>
      </w:r>
      <w:r w:rsidR="00A75EED">
        <w:rPr>
          <w:sz w:val="28"/>
          <w:szCs w:val="28"/>
        </w:rPr>
        <w:t xml:space="preserve">būtu jāpiedzen </w:t>
      </w:r>
      <w:r w:rsidR="00157864">
        <w:rPr>
          <w:sz w:val="28"/>
          <w:szCs w:val="28"/>
        </w:rPr>
        <w:t>izdevumi par valsts nodrošināto juridisko palīdzību</w:t>
      </w:r>
      <w:r w:rsidR="00A75EED">
        <w:rPr>
          <w:sz w:val="28"/>
          <w:szCs w:val="28"/>
        </w:rPr>
        <w:t>,</w:t>
      </w:r>
      <w:r w:rsidR="003D7A99" w:rsidRPr="00191032">
        <w:rPr>
          <w:sz w:val="28"/>
          <w:szCs w:val="28"/>
        </w:rPr>
        <w:t xml:space="preserve"> </w:t>
      </w:r>
      <w:r w:rsidR="00B1288F">
        <w:rPr>
          <w:sz w:val="28"/>
          <w:szCs w:val="28"/>
        </w:rPr>
        <w:t xml:space="preserve">ir </w:t>
      </w:r>
      <w:r w:rsidR="003D7A99" w:rsidRPr="00191032">
        <w:rPr>
          <w:sz w:val="28"/>
          <w:szCs w:val="28"/>
        </w:rPr>
        <w:t>atbrīvota no tiesas izdevumu samaksas, tad ar valsts nodrošinātās juridiskās palīdzības sniegšanu saistītos izdevumus uzņemas valsts.</w:t>
      </w:r>
      <w:r w:rsidR="00A910DE">
        <w:rPr>
          <w:sz w:val="28"/>
          <w:szCs w:val="28"/>
        </w:rPr>
        <w:t>"</w:t>
      </w:r>
      <w:r w:rsidR="00B1288F">
        <w:rPr>
          <w:sz w:val="28"/>
          <w:szCs w:val="28"/>
        </w:rPr>
        <w:t xml:space="preserve"> </w:t>
      </w:r>
    </w:p>
    <w:p w14:paraId="79801671" w14:textId="50DAB405" w:rsidR="002B1345" w:rsidRDefault="002B1345" w:rsidP="00A910DE">
      <w:pPr>
        <w:pStyle w:val="naispant"/>
        <w:tabs>
          <w:tab w:val="left" w:pos="0"/>
          <w:tab w:val="left" w:pos="426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79801672" w14:textId="16990538" w:rsidR="002B1345" w:rsidRDefault="00BD35A4" w:rsidP="00A910DE">
      <w:pPr>
        <w:pStyle w:val="naispant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</w:t>
      </w:r>
      <w:r w:rsidR="002B1345">
        <w:rPr>
          <w:rFonts w:eastAsia="Calibri"/>
          <w:sz w:val="28"/>
          <w:szCs w:val="28"/>
          <w:lang w:eastAsia="en-US"/>
        </w:rPr>
        <w:t>Izteikt 85.</w:t>
      </w:r>
      <w:r w:rsidR="00132EF5">
        <w:rPr>
          <w:rFonts w:eastAsia="Calibri"/>
          <w:sz w:val="28"/>
          <w:szCs w:val="28"/>
          <w:lang w:eastAsia="en-US"/>
        </w:rPr>
        <w:t> </w:t>
      </w:r>
      <w:r w:rsidR="002B1345">
        <w:rPr>
          <w:rFonts w:eastAsia="Calibri"/>
          <w:sz w:val="28"/>
          <w:szCs w:val="28"/>
          <w:lang w:eastAsia="en-US"/>
        </w:rPr>
        <w:t>panta trešo daļu šādā redakcijā:</w:t>
      </w:r>
    </w:p>
    <w:p w14:paraId="3946D891" w14:textId="77777777" w:rsidR="00A910DE" w:rsidRDefault="00A910DE" w:rsidP="00A910DE">
      <w:pPr>
        <w:ind w:firstLine="720"/>
        <w:jc w:val="both"/>
        <w:rPr>
          <w:sz w:val="28"/>
          <w:szCs w:val="28"/>
        </w:rPr>
      </w:pPr>
    </w:p>
    <w:p w14:paraId="79801673" w14:textId="1C174605" w:rsidR="002B1345" w:rsidRDefault="00A910DE" w:rsidP="00A91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B1345">
        <w:rPr>
          <w:sz w:val="28"/>
          <w:szCs w:val="28"/>
        </w:rPr>
        <w:t>(3)</w:t>
      </w:r>
      <w:r w:rsidR="00BD35A4">
        <w:rPr>
          <w:sz w:val="28"/>
          <w:szCs w:val="28"/>
        </w:rPr>
        <w:t> </w:t>
      </w:r>
      <w:r w:rsidR="002B1345" w:rsidRPr="002B1345">
        <w:rPr>
          <w:color w:val="0D0D0D"/>
          <w:sz w:val="28"/>
          <w:szCs w:val="28"/>
        </w:rPr>
        <w:t xml:space="preserve">Advokāta pilnvarojumu juridiskās </w:t>
      </w:r>
      <w:r w:rsidR="002B1345" w:rsidRPr="002B1345">
        <w:rPr>
          <w:sz w:val="28"/>
          <w:szCs w:val="28"/>
        </w:rPr>
        <w:t xml:space="preserve">palīdzības sniegšanai apliecina orderis. Valsts nodrošinātās juridiskās palīdzības sniedzēja pilnvarojumu juridiskās palīdzības sniegšanai apliecina </w:t>
      </w:r>
      <w:r w:rsidR="002B1345" w:rsidRPr="002B1345">
        <w:rPr>
          <w:color w:val="0D0D0D"/>
          <w:sz w:val="28"/>
          <w:szCs w:val="28"/>
        </w:rPr>
        <w:t>par</w:t>
      </w:r>
      <w:r w:rsidR="00334539">
        <w:rPr>
          <w:color w:val="0D0D0D"/>
          <w:sz w:val="28"/>
          <w:szCs w:val="28"/>
        </w:rPr>
        <w:t xml:space="preserve"> </w:t>
      </w:r>
      <w:r w:rsidR="002B1345" w:rsidRPr="002B1345">
        <w:rPr>
          <w:color w:val="0D0D0D"/>
          <w:sz w:val="28"/>
          <w:szCs w:val="28"/>
        </w:rPr>
        <w:t xml:space="preserve">juridiskās palīdzības </w:t>
      </w:r>
      <w:r w:rsidR="002B1345" w:rsidRPr="002B1345">
        <w:rPr>
          <w:color w:val="0D0D0D"/>
          <w:sz w:val="28"/>
          <w:szCs w:val="28"/>
        </w:rPr>
        <w:lastRenderedPageBreak/>
        <w:t xml:space="preserve">nodrošināšanu atbildīgās </w:t>
      </w:r>
      <w:r w:rsidR="00EA2EC1">
        <w:rPr>
          <w:color w:val="0D0D0D"/>
          <w:sz w:val="28"/>
          <w:szCs w:val="28"/>
        </w:rPr>
        <w:t xml:space="preserve">valsts </w:t>
      </w:r>
      <w:r w:rsidR="002B1345" w:rsidRPr="002B1345">
        <w:rPr>
          <w:color w:val="0D0D0D"/>
          <w:sz w:val="28"/>
          <w:szCs w:val="28"/>
        </w:rPr>
        <w:t>institūcijas izdots norīkojums.</w:t>
      </w:r>
      <w:r w:rsidR="002B1345" w:rsidRPr="002B1345">
        <w:rPr>
          <w:sz w:val="28"/>
          <w:szCs w:val="28"/>
        </w:rPr>
        <w:t xml:space="preserve"> Ja advokāts vai valsts nodrošinātās juridiskās palīdzības sniedzējs uzstājas kā puses pilnvarots pārstāvis, šo pilnvarojumu apliecina ar rakstveida pilnvaru.</w:t>
      </w:r>
      <w:r>
        <w:rPr>
          <w:sz w:val="28"/>
          <w:szCs w:val="28"/>
        </w:rPr>
        <w:t>"</w:t>
      </w:r>
    </w:p>
    <w:p w14:paraId="79801674" w14:textId="77777777" w:rsidR="00017747" w:rsidRDefault="00017747" w:rsidP="00A910DE">
      <w:pPr>
        <w:jc w:val="both"/>
        <w:rPr>
          <w:sz w:val="28"/>
          <w:szCs w:val="28"/>
        </w:rPr>
      </w:pPr>
    </w:p>
    <w:p w14:paraId="79801676" w14:textId="0769F27D" w:rsidR="00C55F9D" w:rsidRDefault="00BD35A4" w:rsidP="00A910DE">
      <w:pPr>
        <w:pStyle w:val="naispant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</w:t>
      </w:r>
      <w:r w:rsidR="00031D0E">
        <w:rPr>
          <w:rFonts w:eastAsia="Calibri"/>
          <w:sz w:val="28"/>
          <w:szCs w:val="28"/>
          <w:lang w:eastAsia="en-US"/>
        </w:rPr>
        <w:t xml:space="preserve">Papildināt pārejas noteikumus ar </w:t>
      </w:r>
      <w:r w:rsidR="009F7695">
        <w:rPr>
          <w:rFonts w:eastAsia="Calibri"/>
          <w:sz w:val="28"/>
          <w:szCs w:val="28"/>
          <w:lang w:eastAsia="en-US"/>
        </w:rPr>
        <w:t>1</w:t>
      </w:r>
      <w:r w:rsidR="00F22542">
        <w:rPr>
          <w:rFonts w:eastAsia="Calibri"/>
          <w:sz w:val="28"/>
          <w:szCs w:val="28"/>
          <w:lang w:eastAsia="en-US"/>
        </w:rPr>
        <w:t>06</w:t>
      </w:r>
      <w:r w:rsidR="00031D0E">
        <w:rPr>
          <w:rFonts w:eastAsia="Calibri"/>
          <w:sz w:val="28"/>
          <w:szCs w:val="28"/>
          <w:lang w:eastAsia="en-US"/>
        </w:rPr>
        <w:t>.</w:t>
      </w:r>
      <w:r w:rsidR="00132EF5">
        <w:rPr>
          <w:rFonts w:eastAsia="Calibri"/>
          <w:sz w:val="28"/>
          <w:szCs w:val="28"/>
          <w:lang w:eastAsia="en-US"/>
        </w:rPr>
        <w:t> </w:t>
      </w:r>
      <w:r w:rsidR="00031D0E">
        <w:rPr>
          <w:rFonts w:eastAsia="Calibri"/>
          <w:sz w:val="28"/>
          <w:szCs w:val="28"/>
          <w:lang w:eastAsia="en-US"/>
        </w:rPr>
        <w:t>punktu šādā redakcijā:</w:t>
      </w:r>
    </w:p>
    <w:p w14:paraId="18E6671D" w14:textId="77777777" w:rsidR="00A910DE" w:rsidRDefault="00A910DE" w:rsidP="00A910DE">
      <w:pPr>
        <w:pStyle w:val="naispant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79801677" w14:textId="1AC4F9D2" w:rsidR="00031D0E" w:rsidRDefault="00A910DE" w:rsidP="00A910DE">
      <w:pPr>
        <w:pStyle w:val="naispant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6E4B9F">
        <w:rPr>
          <w:rFonts w:eastAsia="Calibri"/>
          <w:sz w:val="28"/>
          <w:szCs w:val="28"/>
          <w:lang w:eastAsia="en-US"/>
        </w:rPr>
        <w:t>106</w:t>
      </w:r>
      <w:r w:rsidR="00031D0E">
        <w:rPr>
          <w:rFonts w:eastAsia="Calibri"/>
          <w:sz w:val="28"/>
          <w:szCs w:val="28"/>
          <w:lang w:eastAsia="en-US"/>
        </w:rPr>
        <w:t>.</w:t>
      </w:r>
      <w:r w:rsidR="00BD35A4">
        <w:rPr>
          <w:rFonts w:eastAsia="Calibri"/>
          <w:sz w:val="28"/>
          <w:szCs w:val="28"/>
          <w:lang w:eastAsia="en-US"/>
        </w:rPr>
        <w:t> </w:t>
      </w:r>
      <w:r w:rsidR="00031D0E">
        <w:rPr>
          <w:rFonts w:eastAsia="Calibri"/>
          <w:sz w:val="28"/>
          <w:szCs w:val="28"/>
          <w:lang w:eastAsia="en-US"/>
        </w:rPr>
        <w:t xml:space="preserve">Šā likuma </w:t>
      </w:r>
      <w:r w:rsidR="00DD637B">
        <w:rPr>
          <w:rFonts w:eastAsia="Calibri"/>
          <w:sz w:val="28"/>
          <w:szCs w:val="28"/>
          <w:lang w:eastAsia="en-US"/>
        </w:rPr>
        <w:t>44</w:t>
      </w:r>
      <w:r w:rsidR="00031D0E" w:rsidRPr="00D60109">
        <w:rPr>
          <w:rFonts w:eastAsia="Calibri"/>
          <w:sz w:val="28"/>
          <w:szCs w:val="28"/>
          <w:lang w:eastAsia="en-US"/>
        </w:rPr>
        <w:t>.</w:t>
      </w:r>
      <w:r w:rsidR="00031D0E" w:rsidRPr="00D6010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132EF5">
        <w:rPr>
          <w:rFonts w:eastAsia="Calibri"/>
          <w:sz w:val="28"/>
          <w:szCs w:val="28"/>
          <w:vertAlign w:val="superscript"/>
          <w:lang w:eastAsia="en-US"/>
        </w:rPr>
        <w:t> </w:t>
      </w:r>
      <w:r w:rsidR="00031D0E" w:rsidRPr="00D60109">
        <w:rPr>
          <w:rFonts w:eastAsia="Calibri"/>
          <w:sz w:val="28"/>
          <w:szCs w:val="28"/>
          <w:lang w:eastAsia="en-US"/>
        </w:rPr>
        <w:t>pant</w:t>
      </w:r>
      <w:r w:rsidR="00160A72" w:rsidRPr="00D60109">
        <w:rPr>
          <w:rFonts w:eastAsia="Calibri"/>
          <w:sz w:val="28"/>
          <w:szCs w:val="28"/>
          <w:lang w:eastAsia="en-US"/>
        </w:rPr>
        <w:t>a noteiku</w:t>
      </w:r>
      <w:r w:rsidR="009F7695">
        <w:rPr>
          <w:rFonts w:eastAsia="Calibri"/>
          <w:sz w:val="28"/>
          <w:szCs w:val="28"/>
          <w:lang w:eastAsia="en-US"/>
        </w:rPr>
        <w:t>mus piemēro</w:t>
      </w:r>
      <w:r w:rsidR="00530AF0">
        <w:rPr>
          <w:rFonts w:eastAsia="Calibri"/>
          <w:sz w:val="28"/>
          <w:szCs w:val="28"/>
          <w:lang w:eastAsia="en-US"/>
        </w:rPr>
        <w:t xml:space="preserve"> lietām, kas ierosinātas pēc </w:t>
      </w:r>
      <w:r w:rsidR="00E50EA0">
        <w:rPr>
          <w:rFonts w:eastAsia="Calibri"/>
          <w:sz w:val="28"/>
          <w:szCs w:val="28"/>
          <w:lang w:eastAsia="en-US"/>
        </w:rPr>
        <w:t>2016</w:t>
      </w:r>
      <w:r w:rsidR="00530AF0">
        <w:rPr>
          <w:rFonts w:eastAsia="Calibri"/>
          <w:sz w:val="28"/>
          <w:szCs w:val="28"/>
          <w:lang w:eastAsia="en-US"/>
        </w:rPr>
        <w:t>.</w:t>
      </w:r>
      <w:r w:rsidR="00132EF5">
        <w:rPr>
          <w:rFonts w:eastAsia="Calibri"/>
          <w:sz w:val="28"/>
          <w:szCs w:val="28"/>
          <w:lang w:eastAsia="en-US"/>
        </w:rPr>
        <w:t> </w:t>
      </w:r>
      <w:r w:rsidR="00E50EA0">
        <w:rPr>
          <w:rFonts w:eastAsia="Calibri"/>
          <w:sz w:val="28"/>
          <w:szCs w:val="28"/>
          <w:lang w:eastAsia="en-US"/>
        </w:rPr>
        <w:t>gada 1.</w:t>
      </w:r>
      <w:r w:rsidR="00132EF5">
        <w:rPr>
          <w:rFonts w:eastAsia="Calibri"/>
          <w:sz w:val="28"/>
          <w:szCs w:val="28"/>
          <w:lang w:eastAsia="en-US"/>
        </w:rPr>
        <w:t> </w:t>
      </w:r>
      <w:r w:rsidR="00E50EA0">
        <w:rPr>
          <w:rFonts w:eastAsia="Calibri"/>
          <w:sz w:val="28"/>
          <w:szCs w:val="28"/>
          <w:lang w:eastAsia="en-US"/>
        </w:rPr>
        <w:t>janvāra</w:t>
      </w:r>
      <w:r w:rsidR="00FC0C6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"</w:t>
      </w:r>
    </w:p>
    <w:p w14:paraId="79801679" w14:textId="77777777" w:rsidR="00CB3033" w:rsidRDefault="00CB3033" w:rsidP="00A910DE">
      <w:pPr>
        <w:pStyle w:val="naispant"/>
        <w:spacing w:before="0" w:beforeAutospacing="0" w:after="0" w:afterAutospacing="0"/>
        <w:ind w:left="1080"/>
        <w:jc w:val="both"/>
        <w:rPr>
          <w:rFonts w:eastAsia="Calibri"/>
          <w:sz w:val="28"/>
          <w:szCs w:val="28"/>
          <w:lang w:eastAsia="en-US"/>
        </w:rPr>
      </w:pPr>
    </w:p>
    <w:p w14:paraId="7980167A" w14:textId="44E438AE" w:rsidR="00FC65BB" w:rsidRDefault="00191032" w:rsidP="00A910DE">
      <w:pPr>
        <w:pStyle w:val="naispant"/>
        <w:spacing w:before="0" w:beforeAutospacing="0" w:after="0" w:afterAutospacing="0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Likums stājas spēkā 201</w:t>
      </w:r>
      <w:r w:rsidR="00D64188">
        <w:rPr>
          <w:rFonts w:eastAsia="Calibri"/>
          <w:sz w:val="28"/>
          <w:szCs w:val="28"/>
          <w:lang w:eastAsia="en-US"/>
        </w:rPr>
        <w:t>6</w:t>
      </w:r>
      <w:r w:rsidR="0058269A">
        <w:rPr>
          <w:rFonts w:eastAsia="Calibri"/>
          <w:sz w:val="28"/>
          <w:szCs w:val="28"/>
          <w:lang w:eastAsia="en-US"/>
        </w:rPr>
        <w:t>.</w:t>
      </w:r>
      <w:r w:rsidR="00132EF5">
        <w:rPr>
          <w:rFonts w:eastAsia="Calibri"/>
          <w:sz w:val="28"/>
          <w:szCs w:val="28"/>
          <w:lang w:eastAsia="en-US"/>
        </w:rPr>
        <w:t> </w:t>
      </w:r>
      <w:r w:rsidR="00FC65BB">
        <w:rPr>
          <w:rFonts w:eastAsia="Calibri"/>
          <w:sz w:val="28"/>
          <w:szCs w:val="28"/>
          <w:lang w:eastAsia="en-US"/>
        </w:rPr>
        <w:t xml:space="preserve">gada </w:t>
      </w:r>
      <w:r w:rsidR="00D64188">
        <w:rPr>
          <w:rFonts w:eastAsia="Calibri"/>
          <w:sz w:val="28"/>
          <w:szCs w:val="28"/>
          <w:lang w:eastAsia="en-US"/>
        </w:rPr>
        <w:t>1.</w:t>
      </w:r>
      <w:r w:rsidR="00132EF5">
        <w:rPr>
          <w:rFonts w:eastAsia="Calibri"/>
          <w:sz w:val="28"/>
          <w:szCs w:val="28"/>
          <w:lang w:eastAsia="en-US"/>
        </w:rPr>
        <w:t> </w:t>
      </w:r>
      <w:r w:rsidR="00D64188">
        <w:rPr>
          <w:rFonts w:eastAsia="Calibri"/>
          <w:sz w:val="28"/>
          <w:szCs w:val="28"/>
          <w:lang w:eastAsia="en-US"/>
        </w:rPr>
        <w:t>janvārī.</w:t>
      </w:r>
    </w:p>
    <w:p w14:paraId="7980167D" w14:textId="77777777" w:rsidR="00FC65BB" w:rsidRDefault="00FC65BB" w:rsidP="00A910DE">
      <w:pPr>
        <w:pStyle w:val="naispant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14:paraId="7980167E" w14:textId="77777777" w:rsidR="00CB3033" w:rsidRDefault="00CB3033" w:rsidP="00A910DE">
      <w:pPr>
        <w:pStyle w:val="naispant"/>
        <w:spacing w:before="0" w:beforeAutospacing="0" w:after="0" w:afterAutospacing="0"/>
        <w:rPr>
          <w:sz w:val="28"/>
          <w:szCs w:val="28"/>
        </w:rPr>
      </w:pPr>
    </w:p>
    <w:p w14:paraId="129A9238" w14:textId="77777777" w:rsidR="00A910DE" w:rsidRPr="00185C76" w:rsidRDefault="00A910DE" w:rsidP="00A910DE">
      <w:pPr>
        <w:pStyle w:val="naispant"/>
        <w:spacing w:before="0" w:beforeAutospacing="0" w:after="0" w:afterAutospacing="0"/>
        <w:rPr>
          <w:sz w:val="28"/>
          <w:szCs w:val="28"/>
        </w:rPr>
      </w:pPr>
    </w:p>
    <w:p w14:paraId="46691CDC" w14:textId="77777777" w:rsidR="008C19A9" w:rsidRDefault="008C19A9" w:rsidP="008C19A9">
      <w:pPr>
        <w:tabs>
          <w:tab w:val="left" w:pos="6237"/>
        </w:tabs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Tieslietu ministra vietā –</w:t>
      </w:r>
    </w:p>
    <w:p w14:paraId="4985106B" w14:textId="77777777" w:rsidR="008C19A9" w:rsidRDefault="008C19A9" w:rsidP="008C19A9">
      <w:pPr>
        <w:tabs>
          <w:tab w:val="left" w:pos="6237"/>
        </w:tabs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labklājības ministrs</w:t>
      </w:r>
    </w:p>
    <w:p w14:paraId="10D3B350" w14:textId="77777777" w:rsidR="008C19A9" w:rsidRPr="00185C76" w:rsidRDefault="008C19A9" w:rsidP="008C19A9">
      <w:pPr>
        <w:tabs>
          <w:tab w:val="left" w:pos="6237"/>
        </w:tabs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Uldis Augulis</w:t>
      </w:r>
    </w:p>
    <w:p w14:paraId="7980167F" w14:textId="4B2060DB" w:rsidR="00F83D0E" w:rsidRPr="00185C76" w:rsidRDefault="00F83D0E" w:rsidP="0022746D">
      <w:pPr>
        <w:tabs>
          <w:tab w:val="left" w:pos="6237"/>
        </w:tabs>
        <w:ind w:firstLine="709"/>
        <w:jc w:val="both"/>
        <w:rPr>
          <w:rFonts w:eastAsia="Times New Roman"/>
          <w:sz w:val="28"/>
          <w:szCs w:val="28"/>
          <w:lang w:eastAsia="lv-LV"/>
        </w:rPr>
      </w:pPr>
      <w:bookmarkStart w:id="0" w:name="_GoBack"/>
      <w:bookmarkEnd w:id="0"/>
    </w:p>
    <w:sectPr w:rsidR="00F83D0E" w:rsidRPr="00185C76" w:rsidSect="00321014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0168B" w14:textId="77777777" w:rsidR="00F83D0E" w:rsidRDefault="00F83D0E" w:rsidP="00F83D0E">
      <w:r>
        <w:separator/>
      </w:r>
    </w:p>
  </w:endnote>
  <w:endnote w:type="continuationSeparator" w:id="0">
    <w:p w14:paraId="7980168C" w14:textId="77777777" w:rsidR="00F83D0E" w:rsidRDefault="00F83D0E" w:rsidP="00F8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39F14" w14:textId="77777777" w:rsidR="00A910DE" w:rsidRPr="00A910DE" w:rsidRDefault="00A910DE" w:rsidP="00A910DE">
    <w:pPr>
      <w:pStyle w:val="Footer"/>
      <w:rPr>
        <w:sz w:val="16"/>
        <w:szCs w:val="16"/>
      </w:rPr>
    </w:pPr>
    <w:r w:rsidRPr="00A910DE">
      <w:rPr>
        <w:sz w:val="16"/>
        <w:szCs w:val="16"/>
      </w:rPr>
      <w:t>L1098_5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84238" w14:textId="4765D264" w:rsidR="00A910DE" w:rsidRPr="00A910DE" w:rsidRDefault="00A910DE">
    <w:pPr>
      <w:pStyle w:val="Footer"/>
      <w:rPr>
        <w:sz w:val="16"/>
        <w:szCs w:val="16"/>
      </w:rPr>
    </w:pPr>
    <w:proofErr w:type="spellStart"/>
    <w:r w:rsidRPr="00A910DE">
      <w:rPr>
        <w:sz w:val="16"/>
        <w:szCs w:val="16"/>
      </w:rPr>
      <w:t>L1098_5</w:t>
    </w:r>
    <w:proofErr w:type="spellEnd"/>
    <w:r w:rsidR="009026F9">
      <w:rPr>
        <w:sz w:val="16"/>
        <w:szCs w:val="16"/>
      </w:rPr>
      <w:t xml:space="preserve"> </w:t>
    </w:r>
    <w:proofErr w:type="spellStart"/>
    <w:r w:rsidR="009026F9">
      <w:rPr>
        <w:sz w:val="16"/>
        <w:szCs w:val="16"/>
      </w:rPr>
      <w:t>v_sk</w:t>
    </w:r>
    <w:proofErr w:type="spellEnd"/>
    <w:r w:rsidR="009026F9">
      <w:rPr>
        <w:sz w:val="16"/>
        <w:szCs w:val="16"/>
      </w:rPr>
      <w:t xml:space="preserve">. = </w:t>
    </w:r>
    <w:r w:rsidR="009026F9">
      <w:rPr>
        <w:sz w:val="16"/>
        <w:szCs w:val="16"/>
      </w:rPr>
      <w:fldChar w:fldCharType="begin"/>
    </w:r>
    <w:r w:rsidR="009026F9">
      <w:rPr>
        <w:sz w:val="16"/>
        <w:szCs w:val="16"/>
      </w:rPr>
      <w:instrText xml:space="preserve"> NUMWORDS  \* MERGEFORMAT </w:instrText>
    </w:r>
    <w:r w:rsidR="009026F9">
      <w:rPr>
        <w:sz w:val="16"/>
        <w:szCs w:val="16"/>
      </w:rPr>
      <w:fldChar w:fldCharType="separate"/>
    </w:r>
    <w:r w:rsidR="008C19A9">
      <w:rPr>
        <w:noProof/>
        <w:sz w:val="16"/>
        <w:szCs w:val="16"/>
      </w:rPr>
      <w:t>359</w:t>
    </w:r>
    <w:r w:rsidR="009026F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01689" w14:textId="77777777" w:rsidR="00F83D0E" w:rsidRDefault="00F83D0E" w:rsidP="00F83D0E">
      <w:r>
        <w:separator/>
      </w:r>
    </w:p>
  </w:footnote>
  <w:footnote w:type="continuationSeparator" w:id="0">
    <w:p w14:paraId="7980168A" w14:textId="77777777" w:rsidR="00F83D0E" w:rsidRDefault="00F83D0E" w:rsidP="00F8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0168D" w14:textId="77777777" w:rsidR="00E36244" w:rsidRDefault="00F651F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19A9">
      <w:rPr>
        <w:noProof/>
      </w:rPr>
      <w:t>2</w:t>
    </w:r>
    <w:r>
      <w:fldChar w:fldCharType="end"/>
    </w:r>
  </w:p>
  <w:p w14:paraId="7980168E" w14:textId="77777777" w:rsidR="00E36244" w:rsidRDefault="008C1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DE5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C4D85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E573B"/>
    <w:multiLevelType w:val="hybridMultilevel"/>
    <w:tmpl w:val="B7AE0CBA"/>
    <w:lvl w:ilvl="0" w:tplc="3F66B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806EB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B79B8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F32AD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920E2"/>
    <w:multiLevelType w:val="hybridMultilevel"/>
    <w:tmpl w:val="ED5A3D10"/>
    <w:lvl w:ilvl="0" w:tplc="5F4085D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9080B"/>
    <w:multiLevelType w:val="hybridMultilevel"/>
    <w:tmpl w:val="52DE6060"/>
    <w:lvl w:ilvl="0" w:tplc="B782761A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4877D2"/>
    <w:multiLevelType w:val="hybridMultilevel"/>
    <w:tmpl w:val="9B021CA4"/>
    <w:lvl w:ilvl="0" w:tplc="3D4CE5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10533A"/>
    <w:multiLevelType w:val="hybridMultilevel"/>
    <w:tmpl w:val="52DE6060"/>
    <w:lvl w:ilvl="0" w:tplc="B782761A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393C3E"/>
    <w:multiLevelType w:val="hybridMultilevel"/>
    <w:tmpl w:val="52DE6060"/>
    <w:lvl w:ilvl="0" w:tplc="B782761A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3510E"/>
    <w:multiLevelType w:val="hybridMultilevel"/>
    <w:tmpl w:val="72AEED6A"/>
    <w:lvl w:ilvl="0" w:tplc="A0C06496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FA3CAB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902BAF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94E48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456AD6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E0F9A"/>
    <w:multiLevelType w:val="hybridMultilevel"/>
    <w:tmpl w:val="52DE6060"/>
    <w:lvl w:ilvl="0" w:tplc="B782761A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0E"/>
    <w:rsid w:val="00014662"/>
    <w:rsid w:val="00017747"/>
    <w:rsid w:val="00031D0E"/>
    <w:rsid w:val="00042D36"/>
    <w:rsid w:val="000678B7"/>
    <w:rsid w:val="0007160A"/>
    <w:rsid w:val="000743EE"/>
    <w:rsid w:val="00081BB6"/>
    <w:rsid w:val="0009142C"/>
    <w:rsid w:val="000B765B"/>
    <w:rsid w:val="000C1354"/>
    <w:rsid w:val="000C63B5"/>
    <w:rsid w:val="000D758D"/>
    <w:rsid w:val="000D7FC8"/>
    <w:rsid w:val="000F3065"/>
    <w:rsid w:val="00115507"/>
    <w:rsid w:val="00115909"/>
    <w:rsid w:val="0013266E"/>
    <w:rsid w:val="00132EF5"/>
    <w:rsid w:val="00135704"/>
    <w:rsid w:val="00150729"/>
    <w:rsid w:val="00157864"/>
    <w:rsid w:val="00160A72"/>
    <w:rsid w:val="00166F20"/>
    <w:rsid w:val="00167A80"/>
    <w:rsid w:val="00185C76"/>
    <w:rsid w:val="0019041C"/>
    <w:rsid w:val="00191032"/>
    <w:rsid w:val="00192A9B"/>
    <w:rsid w:val="001A6116"/>
    <w:rsid w:val="001B2645"/>
    <w:rsid w:val="001E6448"/>
    <w:rsid w:val="001E74E6"/>
    <w:rsid w:val="001F750C"/>
    <w:rsid w:val="00203D72"/>
    <w:rsid w:val="0021298B"/>
    <w:rsid w:val="00225390"/>
    <w:rsid w:val="0022746D"/>
    <w:rsid w:val="00237B46"/>
    <w:rsid w:val="0024578E"/>
    <w:rsid w:val="0026128B"/>
    <w:rsid w:val="002632EF"/>
    <w:rsid w:val="00272C0B"/>
    <w:rsid w:val="00284D82"/>
    <w:rsid w:val="002A203E"/>
    <w:rsid w:val="002A391E"/>
    <w:rsid w:val="002B0908"/>
    <w:rsid w:val="002B1345"/>
    <w:rsid w:val="002B4E6E"/>
    <w:rsid w:val="002C1875"/>
    <w:rsid w:val="002D503A"/>
    <w:rsid w:val="002F6B8F"/>
    <w:rsid w:val="002F7A1C"/>
    <w:rsid w:val="0030026F"/>
    <w:rsid w:val="003016DC"/>
    <w:rsid w:val="00310F38"/>
    <w:rsid w:val="00321014"/>
    <w:rsid w:val="00334539"/>
    <w:rsid w:val="00353052"/>
    <w:rsid w:val="003547A3"/>
    <w:rsid w:val="003741DF"/>
    <w:rsid w:val="00382754"/>
    <w:rsid w:val="00382F68"/>
    <w:rsid w:val="003A4CB7"/>
    <w:rsid w:val="003C1947"/>
    <w:rsid w:val="003D7604"/>
    <w:rsid w:val="003D7A99"/>
    <w:rsid w:val="00402025"/>
    <w:rsid w:val="00420352"/>
    <w:rsid w:val="0042185D"/>
    <w:rsid w:val="004301AE"/>
    <w:rsid w:val="00465925"/>
    <w:rsid w:val="00471EA7"/>
    <w:rsid w:val="0047260E"/>
    <w:rsid w:val="0047583F"/>
    <w:rsid w:val="00492A3B"/>
    <w:rsid w:val="004F4C0F"/>
    <w:rsid w:val="00515C4D"/>
    <w:rsid w:val="00530AF0"/>
    <w:rsid w:val="00534383"/>
    <w:rsid w:val="00534D38"/>
    <w:rsid w:val="00543C04"/>
    <w:rsid w:val="005537DB"/>
    <w:rsid w:val="005639F2"/>
    <w:rsid w:val="00576931"/>
    <w:rsid w:val="00582242"/>
    <w:rsid w:val="0058269A"/>
    <w:rsid w:val="005C0342"/>
    <w:rsid w:val="005C0F53"/>
    <w:rsid w:val="005D47C8"/>
    <w:rsid w:val="00623117"/>
    <w:rsid w:val="00623AB3"/>
    <w:rsid w:val="00655A64"/>
    <w:rsid w:val="00685D3A"/>
    <w:rsid w:val="00687841"/>
    <w:rsid w:val="006B415F"/>
    <w:rsid w:val="006B6BEE"/>
    <w:rsid w:val="006C718D"/>
    <w:rsid w:val="006E2137"/>
    <w:rsid w:val="006E4B9F"/>
    <w:rsid w:val="00711EFE"/>
    <w:rsid w:val="00716C64"/>
    <w:rsid w:val="00721AD8"/>
    <w:rsid w:val="00724008"/>
    <w:rsid w:val="007319CA"/>
    <w:rsid w:val="00752020"/>
    <w:rsid w:val="0075728E"/>
    <w:rsid w:val="0076267D"/>
    <w:rsid w:val="0076487B"/>
    <w:rsid w:val="00780E41"/>
    <w:rsid w:val="00782F0B"/>
    <w:rsid w:val="00785165"/>
    <w:rsid w:val="007920E8"/>
    <w:rsid w:val="00797482"/>
    <w:rsid w:val="007A30FA"/>
    <w:rsid w:val="007A3B0A"/>
    <w:rsid w:val="007B066D"/>
    <w:rsid w:val="007B0DE1"/>
    <w:rsid w:val="007D7661"/>
    <w:rsid w:val="007E5F0D"/>
    <w:rsid w:val="00807408"/>
    <w:rsid w:val="008131C6"/>
    <w:rsid w:val="00820A83"/>
    <w:rsid w:val="00821008"/>
    <w:rsid w:val="008217C2"/>
    <w:rsid w:val="00830159"/>
    <w:rsid w:val="008323AC"/>
    <w:rsid w:val="008324CF"/>
    <w:rsid w:val="008429F7"/>
    <w:rsid w:val="008616FE"/>
    <w:rsid w:val="0088366A"/>
    <w:rsid w:val="0089009E"/>
    <w:rsid w:val="008B7086"/>
    <w:rsid w:val="008C19A9"/>
    <w:rsid w:val="008C6065"/>
    <w:rsid w:val="008D1464"/>
    <w:rsid w:val="008F6A4B"/>
    <w:rsid w:val="009026F9"/>
    <w:rsid w:val="009107B7"/>
    <w:rsid w:val="009312EE"/>
    <w:rsid w:val="009319AB"/>
    <w:rsid w:val="00936552"/>
    <w:rsid w:val="00941A35"/>
    <w:rsid w:val="00944871"/>
    <w:rsid w:val="009547AD"/>
    <w:rsid w:val="0096022E"/>
    <w:rsid w:val="00987C4C"/>
    <w:rsid w:val="009A2EA9"/>
    <w:rsid w:val="009F7695"/>
    <w:rsid w:val="00A00796"/>
    <w:rsid w:val="00A01D6B"/>
    <w:rsid w:val="00A029C6"/>
    <w:rsid w:val="00A0703D"/>
    <w:rsid w:val="00A11FD9"/>
    <w:rsid w:val="00A2608E"/>
    <w:rsid w:val="00A47A24"/>
    <w:rsid w:val="00A50B2D"/>
    <w:rsid w:val="00A656C2"/>
    <w:rsid w:val="00A73982"/>
    <w:rsid w:val="00A75EED"/>
    <w:rsid w:val="00A85C3D"/>
    <w:rsid w:val="00A910DE"/>
    <w:rsid w:val="00AA1509"/>
    <w:rsid w:val="00AA25E7"/>
    <w:rsid w:val="00AA7079"/>
    <w:rsid w:val="00AC3760"/>
    <w:rsid w:val="00AC484C"/>
    <w:rsid w:val="00AD0100"/>
    <w:rsid w:val="00AD374D"/>
    <w:rsid w:val="00AF14B9"/>
    <w:rsid w:val="00AF40BA"/>
    <w:rsid w:val="00B02238"/>
    <w:rsid w:val="00B1288F"/>
    <w:rsid w:val="00B25388"/>
    <w:rsid w:val="00B2756C"/>
    <w:rsid w:val="00B3048A"/>
    <w:rsid w:val="00B30D6E"/>
    <w:rsid w:val="00B332D7"/>
    <w:rsid w:val="00B37B04"/>
    <w:rsid w:val="00B37CFF"/>
    <w:rsid w:val="00B52301"/>
    <w:rsid w:val="00B54CE3"/>
    <w:rsid w:val="00B717D3"/>
    <w:rsid w:val="00B71ED6"/>
    <w:rsid w:val="00B754AD"/>
    <w:rsid w:val="00B8450C"/>
    <w:rsid w:val="00B87CEE"/>
    <w:rsid w:val="00B93651"/>
    <w:rsid w:val="00BB3659"/>
    <w:rsid w:val="00BD35A4"/>
    <w:rsid w:val="00BD5B30"/>
    <w:rsid w:val="00BE683D"/>
    <w:rsid w:val="00C11A16"/>
    <w:rsid w:val="00C21A17"/>
    <w:rsid w:val="00C255CF"/>
    <w:rsid w:val="00C378E8"/>
    <w:rsid w:val="00C55F9D"/>
    <w:rsid w:val="00C578E8"/>
    <w:rsid w:val="00C73381"/>
    <w:rsid w:val="00C76118"/>
    <w:rsid w:val="00C8102C"/>
    <w:rsid w:val="00C9287F"/>
    <w:rsid w:val="00C94EA1"/>
    <w:rsid w:val="00CB3033"/>
    <w:rsid w:val="00CC267A"/>
    <w:rsid w:val="00CF5AC1"/>
    <w:rsid w:val="00CF6589"/>
    <w:rsid w:val="00CF770B"/>
    <w:rsid w:val="00D1095B"/>
    <w:rsid w:val="00D111BC"/>
    <w:rsid w:val="00D138C2"/>
    <w:rsid w:val="00D14CE5"/>
    <w:rsid w:val="00D21B2E"/>
    <w:rsid w:val="00D60109"/>
    <w:rsid w:val="00D64188"/>
    <w:rsid w:val="00DA3559"/>
    <w:rsid w:val="00DB4858"/>
    <w:rsid w:val="00DD637B"/>
    <w:rsid w:val="00E00DEC"/>
    <w:rsid w:val="00E11D34"/>
    <w:rsid w:val="00E144E2"/>
    <w:rsid w:val="00E215BC"/>
    <w:rsid w:val="00E50042"/>
    <w:rsid w:val="00E50EA0"/>
    <w:rsid w:val="00E54B4B"/>
    <w:rsid w:val="00E765CF"/>
    <w:rsid w:val="00E80797"/>
    <w:rsid w:val="00E85D3B"/>
    <w:rsid w:val="00E936BC"/>
    <w:rsid w:val="00E95138"/>
    <w:rsid w:val="00EA2EC1"/>
    <w:rsid w:val="00EA7689"/>
    <w:rsid w:val="00EB3A11"/>
    <w:rsid w:val="00EC4478"/>
    <w:rsid w:val="00ED31A3"/>
    <w:rsid w:val="00EF0061"/>
    <w:rsid w:val="00F009F2"/>
    <w:rsid w:val="00F03B3D"/>
    <w:rsid w:val="00F1328D"/>
    <w:rsid w:val="00F15C86"/>
    <w:rsid w:val="00F17923"/>
    <w:rsid w:val="00F22542"/>
    <w:rsid w:val="00F2777B"/>
    <w:rsid w:val="00F52A40"/>
    <w:rsid w:val="00F5354C"/>
    <w:rsid w:val="00F57066"/>
    <w:rsid w:val="00F651FB"/>
    <w:rsid w:val="00F725E4"/>
    <w:rsid w:val="00F72B1C"/>
    <w:rsid w:val="00F7454C"/>
    <w:rsid w:val="00F82556"/>
    <w:rsid w:val="00F83D0E"/>
    <w:rsid w:val="00F84A46"/>
    <w:rsid w:val="00F90CAA"/>
    <w:rsid w:val="00FB299F"/>
    <w:rsid w:val="00FC0C6B"/>
    <w:rsid w:val="00FC2C8B"/>
    <w:rsid w:val="00FC65BB"/>
    <w:rsid w:val="00FD730A"/>
    <w:rsid w:val="00FE7A8A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9801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F83D0E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83D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D0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3D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0E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rsid w:val="00F83D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6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B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2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87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7F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7FC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F83D0E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83D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D0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3D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0E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rsid w:val="00F83D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6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B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2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87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7F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7FC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958E-4A46-49B9-9340-DD2F538CD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22CABF-69E1-4AA1-8A0C-616F0D61B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4388B-7381-4758-B525-3EE120447E9D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F8FB70C-4316-4442-9768-FA90C60D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2272</Characters>
  <Application>Microsoft Office Word</Application>
  <DocSecurity>0</DocSecurity>
  <Lines>61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„Grozījumi Civilprocesa likumā”</vt:lpstr>
      <vt:lpstr>Likumprojekts „Grozījumi Civilprocesa likumā”</vt:lpstr>
    </vt:vector>
  </TitlesOfParts>
  <Company>Tieslietu ministrija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Civilprocesa likumā”</dc:title>
  <dc:subject>Likumprojekts</dc:subject>
  <dc:creator>Sindija Šube</dc:creator>
  <dc:description>67036838, Sindija.Sube@tm.gov.lv</dc:description>
  <cp:lastModifiedBy>Gita Sniega</cp:lastModifiedBy>
  <cp:revision>15</cp:revision>
  <cp:lastPrinted>2015-07-07T09:27:00Z</cp:lastPrinted>
  <dcterms:created xsi:type="dcterms:W3CDTF">2015-05-26T13:43:00Z</dcterms:created>
  <dcterms:modified xsi:type="dcterms:W3CDTF">2015-07-07T09:27:00Z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