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6F30F" w14:textId="77777777" w:rsidR="004A4BCC" w:rsidRPr="002A3C46" w:rsidRDefault="004A4BCC" w:rsidP="002A3C46">
      <w:pPr>
        <w:widowControl/>
        <w:autoSpaceDE/>
        <w:autoSpaceDN/>
        <w:adjustRightInd/>
        <w:ind w:firstLine="720"/>
        <w:jc w:val="right"/>
        <w:rPr>
          <w:rFonts w:eastAsia="Calibri"/>
          <w:lang w:eastAsia="en-US"/>
        </w:rPr>
      </w:pPr>
      <w:r w:rsidRPr="002A3C46">
        <w:rPr>
          <w:rFonts w:eastAsia="Calibri"/>
          <w:lang w:eastAsia="en-US"/>
        </w:rPr>
        <w:t>(Ministru kabineta</w:t>
      </w:r>
    </w:p>
    <w:p w14:paraId="61C742EA" w14:textId="77777777" w:rsidR="004A4BCC" w:rsidRPr="002A3C46" w:rsidRDefault="004A4BCC" w:rsidP="002A3C46">
      <w:pPr>
        <w:widowControl/>
        <w:autoSpaceDE/>
        <w:autoSpaceDN/>
        <w:adjustRightInd/>
        <w:ind w:firstLine="720"/>
        <w:jc w:val="right"/>
        <w:rPr>
          <w:rFonts w:eastAsia="Calibri"/>
          <w:lang w:eastAsia="en-US"/>
        </w:rPr>
      </w:pPr>
      <w:r w:rsidRPr="002A3C46">
        <w:rPr>
          <w:rFonts w:eastAsia="Calibri"/>
          <w:lang w:eastAsia="en-US"/>
        </w:rPr>
        <w:t>201</w:t>
      </w:r>
      <w:r w:rsidR="00CC4C1B">
        <w:rPr>
          <w:rFonts w:eastAsia="Calibri"/>
          <w:lang w:eastAsia="en-US"/>
        </w:rPr>
        <w:t>5</w:t>
      </w:r>
      <w:r w:rsidRPr="002A3C46">
        <w:rPr>
          <w:rFonts w:eastAsia="Calibri"/>
          <w:lang w:eastAsia="en-US"/>
        </w:rPr>
        <w:t>.gada __._________</w:t>
      </w:r>
    </w:p>
    <w:p w14:paraId="345EFB40" w14:textId="77777777" w:rsidR="004A4BCC" w:rsidRPr="002A3C46" w:rsidRDefault="004A4BCC" w:rsidP="002A3C46">
      <w:pPr>
        <w:widowControl/>
        <w:autoSpaceDE/>
        <w:autoSpaceDN/>
        <w:adjustRightInd/>
        <w:ind w:firstLine="720"/>
        <w:jc w:val="right"/>
        <w:rPr>
          <w:rFonts w:eastAsia="Calibri"/>
          <w:lang w:eastAsia="en-US"/>
        </w:rPr>
      </w:pPr>
      <w:r w:rsidRPr="002A3C46">
        <w:rPr>
          <w:rFonts w:eastAsia="Calibri"/>
          <w:lang w:eastAsia="en-US"/>
        </w:rPr>
        <w:t xml:space="preserve">rīkojums </w:t>
      </w:r>
      <w:proofErr w:type="spellStart"/>
      <w:r w:rsidRPr="002A3C46">
        <w:rPr>
          <w:rFonts w:eastAsia="Calibri"/>
          <w:lang w:eastAsia="en-US"/>
        </w:rPr>
        <w:t>Nr</w:t>
      </w:r>
      <w:proofErr w:type="spellEnd"/>
      <w:r w:rsidRPr="002A3C46">
        <w:rPr>
          <w:rFonts w:eastAsia="Calibri"/>
          <w:lang w:eastAsia="en-US"/>
        </w:rPr>
        <w:t>.__)</w:t>
      </w:r>
    </w:p>
    <w:p w14:paraId="3AD9A3D6" w14:textId="77777777" w:rsidR="004A4BCC" w:rsidRPr="002A3C46" w:rsidRDefault="004A4BCC" w:rsidP="002A3C46">
      <w:pPr>
        <w:pStyle w:val="vir2"/>
        <w:ind w:firstLine="720"/>
        <w:jc w:val="right"/>
        <w:rPr>
          <w:sz w:val="24"/>
          <w:szCs w:val="24"/>
        </w:rPr>
      </w:pPr>
    </w:p>
    <w:p w14:paraId="4A6F1D90" w14:textId="77777777" w:rsidR="004A4BCC" w:rsidRPr="00637CE6" w:rsidRDefault="004A4BCC" w:rsidP="002A3C46">
      <w:pPr>
        <w:tabs>
          <w:tab w:val="left" w:pos="142"/>
        </w:tabs>
        <w:ind w:firstLine="720"/>
        <w:jc w:val="both"/>
        <w:rPr>
          <w:b/>
          <w:lang w:val="x-none"/>
        </w:rPr>
      </w:pPr>
    </w:p>
    <w:p w14:paraId="23CDE878" w14:textId="77777777" w:rsidR="004A4BCC" w:rsidRPr="002A3C46" w:rsidRDefault="004A4BCC" w:rsidP="002A3C46">
      <w:pPr>
        <w:tabs>
          <w:tab w:val="left" w:pos="142"/>
        </w:tabs>
        <w:ind w:firstLine="720"/>
        <w:jc w:val="both"/>
        <w:rPr>
          <w:b/>
        </w:rPr>
      </w:pPr>
    </w:p>
    <w:p w14:paraId="2D5BFE30" w14:textId="77777777" w:rsidR="004A4BCC" w:rsidRPr="002A3C46" w:rsidRDefault="004A4BCC" w:rsidP="002A3C46">
      <w:pPr>
        <w:tabs>
          <w:tab w:val="left" w:pos="142"/>
        </w:tabs>
        <w:ind w:firstLine="720"/>
        <w:jc w:val="both"/>
        <w:rPr>
          <w:b/>
        </w:rPr>
      </w:pPr>
    </w:p>
    <w:p w14:paraId="3D3352ED" w14:textId="77777777" w:rsidR="004A4BCC" w:rsidRPr="002A3C46" w:rsidRDefault="004A4BCC" w:rsidP="002A3C46">
      <w:pPr>
        <w:tabs>
          <w:tab w:val="left" w:pos="142"/>
        </w:tabs>
        <w:ind w:firstLine="720"/>
        <w:jc w:val="both"/>
        <w:rPr>
          <w:b/>
        </w:rPr>
      </w:pPr>
    </w:p>
    <w:p w14:paraId="75011F9E" w14:textId="77777777" w:rsidR="004A4BCC" w:rsidRPr="002A3C46" w:rsidRDefault="004A4BCC" w:rsidP="002A3C46">
      <w:pPr>
        <w:tabs>
          <w:tab w:val="left" w:pos="142"/>
        </w:tabs>
        <w:ind w:firstLine="720"/>
        <w:jc w:val="both"/>
        <w:rPr>
          <w:b/>
        </w:rPr>
      </w:pPr>
    </w:p>
    <w:p w14:paraId="4726E237" w14:textId="77777777" w:rsidR="004A4BCC" w:rsidRPr="002A3C46" w:rsidRDefault="004A4BCC" w:rsidP="002A3C46">
      <w:pPr>
        <w:tabs>
          <w:tab w:val="left" w:pos="142"/>
        </w:tabs>
        <w:ind w:firstLine="720"/>
        <w:jc w:val="both"/>
        <w:rPr>
          <w:b/>
        </w:rPr>
      </w:pPr>
    </w:p>
    <w:p w14:paraId="39C12E86" w14:textId="77777777" w:rsidR="004A4BCC" w:rsidRPr="002A3C46" w:rsidRDefault="004A4BCC" w:rsidP="002A3C46">
      <w:pPr>
        <w:tabs>
          <w:tab w:val="left" w:pos="142"/>
        </w:tabs>
        <w:ind w:firstLine="720"/>
        <w:jc w:val="both"/>
        <w:rPr>
          <w:b/>
        </w:rPr>
      </w:pPr>
    </w:p>
    <w:p w14:paraId="43229CA7" w14:textId="77777777" w:rsidR="004A4BCC" w:rsidRPr="002A3C46" w:rsidRDefault="004A4BCC" w:rsidP="002A3C46">
      <w:pPr>
        <w:tabs>
          <w:tab w:val="left" w:pos="142"/>
        </w:tabs>
        <w:ind w:firstLine="720"/>
        <w:jc w:val="both"/>
        <w:rPr>
          <w:b/>
        </w:rPr>
      </w:pPr>
    </w:p>
    <w:p w14:paraId="21E08192" w14:textId="77777777" w:rsidR="004A4BCC" w:rsidRPr="002A3C46" w:rsidRDefault="004A4BCC" w:rsidP="002A3C46">
      <w:pPr>
        <w:tabs>
          <w:tab w:val="left" w:pos="142"/>
        </w:tabs>
        <w:ind w:firstLine="720"/>
        <w:jc w:val="both"/>
        <w:rPr>
          <w:b/>
        </w:rPr>
      </w:pPr>
    </w:p>
    <w:p w14:paraId="3CD77BC8" w14:textId="77777777" w:rsidR="004A4BCC" w:rsidRPr="002A3C46" w:rsidRDefault="004A4BCC" w:rsidP="002A3C46">
      <w:pPr>
        <w:tabs>
          <w:tab w:val="left" w:pos="142"/>
        </w:tabs>
        <w:ind w:firstLine="720"/>
        <w:jc w:val="both"/>
        <w:rPr>
          <w:b/>
        </w:rPr>
      </w:pPr>
    </w:p>
    <w:p w14:paraId="31B474E9" w14:textId="77777777" w:rsidR="004A4BCC" w:rsidRPr="002A3C46" w:rsidRDefault="004A4BCC" w:rsidP="002A3C46">
      <w:pPr>
        <w:tabs>
          <w:tab w:val="left" w:pos="142"/>
        </w:tabs>
        <w:ind w:firstLine="720"/>
        <w:jc w:val="center"/>
        <w:rPr>
          <w:b/>
        </w:rPr>
      </w:pPr>
      <w:r w:rsidRPr="002A3C46">
        <w:rPr>
          <w:b/>
        </w:rPr>
        <w:t>Tiesu varas un tiesībaizsardzības iestāžu darbinieku cilvēkresursu kapacitātes stiprināšanas un kompetenču attīstīšanas plāns</w:t>
      </w:r>
    </w:p>
    <w:p w14:paraId="72F5CC88" w14:textId="77777777" w:rsidR="004A4BCC" w:rsidRPr="002A3C46" w:rsidRDefault="004A4BCC" w:rsidP="002A3C46">
      <w:pPr>
        <w:tabs>
          <w:tab w:val="left" w:pos="142"/>
        </w:tabs>
        <w:ind w:firstLine="720"/>
        <w:jc w:val="center"/>
        <w:rPr>
          <w:b/>
        </w:rPr>
      </w:pPr>
      <w:r w:rsidRPr="002A3C46">
        <w:rPr>
          <w:b/>
        </w:rPr>
        <w:t>201</w:t>
      </w:r>
      <w:r w:rsidR="005F344D" w:rsidRPr="002A3C46">
        <w:rPr>
          <w:b/>
        </w:rPr>
        <w:t>5</w:t>
      </w:r>
      <w:r w:rsidRPr="002A3C46">
        <w:rPr>
          <w:b/>
        </w:rPr>
        <w:t>.-2020.gadam</w:t>
      </w:r>
    </w:p>
    <w:p w14:paraId="5AB47EF5" w14:textId="77777777" w:rsidR="004A4BCC" w:rsidRPr="002A3C46" w:rsidRDefault="004A4BCC" w:rsidP="002A3C46">
      <w:pPr>
        <w:tabs>
          <w:tab w:val="left" w:pos="142"/>
        </w:tabs>
        <w:ind w:firstLine="720"/>
        <w:jc w:val="center"/>
        <w:rPr>
          <w:b/>
        </w:rPr>
      </w:pPr>
    </w:p>
    <w:p w14:paraId="59775917" w14:textId="77777777" w:rsidR="004A4BCC" w:rsidRPr="002A3C46" w:rsidRDefault="004A4BCC" w:rsidP="002A3C46">
      <w:pPr>
        <w:tabs>
          <w:tab w:val="left" w:pos="142"/>
        </w:tabs>
        <w:ind w:firstLine="720"/>
        <w:jc w:val="both"/>
        <w:rPr>
          <w:b/>
        </w:rPr>
      </w:pPr>
    </w:p>
    <w:p w14:paraId="52A1AA43" w14:textId="77777777" w:rsidR="004A4BCC" w:rsidRPr="002A3C46" w:rsidRDefault="004A4BCC" w:rsidP="002A3C46">
      <w:pPr>
        <w:tabs>
          <w:tab w:val="left" w:pos="142"/>
        </w:tabs>
        <w:ind w:firstLine="720"/>
        <w:jc w:val="both"/>
        <w:rPr>
          <w:b/>
        </w:rPr>
      </w:pPr>
    </w:p>
    <w:p w14:paraId="1F0D9D31" w14:textId="77777777" w:rsidR="004A4BCC" w:rsidRPr="002A3C46" w:rsidRDefault="00CC4C1B" w:rsidP="00CC4C1B">
      <w:pPr>
        <w:tabs>
          <w:tab w:val="left" w:pos="142"/>
          <w:tab w:val="left" w:pos="6780"/>
        </w:tabs>
        <w:ind w:firstLine="720"/>
        <w:jc w:val="both"/>
        <w:rPr>
          <w:b/>
        </w:rPr>
      </w:pPr>
      <w:r>
        <w:rPr>
          <w:b/>
        </w:rPr>
        <w:tab/>
      </w:r>
    </w:p>
    <w:p w14:paraId="685413E6" w14:textId="77777777" w:rsidR="004A4BCC" w:rsidRPr="002A3C46" w:rsidRDefault="004A4BCC" w:rsidP="002A3C46">
      <w:pPr>
        <w:tabs>
          <w:tab w:val="left" w:pos="142"/>
        </w:tabs>
        <w:ind w:firstLine="720"/>
        <w:jc w:val="both"/>
        <w:rPr>
          <w:b/>
        </w:rPr>
      </w:pPr>
    </w:p>
    <w:p w14:paraId="7C8C5A1C" w14:textId="77777777" w:rsidR="004A4BCC" w:rsidRPr="002A3C46" w:rsidRDefault="004A4BCC" w:rsidP="002A3C46">
      <w:pPr>
        <w:tabs>
          <w:tab w:val="left" w:pos="142"/>
        </w:tabs>
        <w:ind w:firstLine="720"/>
        <w:jc w:val="both"/>
        <w:rPr>
          <w:b/>
        </w:rPr>
      </w:pPr>
    </w:p>
    <w:p w14:paraId="2F69D22B" w14:textId="77777777" w:rsidR="004A4BCC" w:rsidRPr="002A3C46" w:rsidRDefault="004A4BCC" w:rsidP="002A3C46">
      <w:pPr>
        <w:tabs>
          <w:tab w:val="left" w:pos="142"/>
        </w:tabs>
        <w:ind w:firstLine="720"/>
        <w:jc w:val="both"/>
        <w:rPr>
          <w:b/>
        </w:rPr>
      </w:pPr>
    </w:p>
    <w:p w14:paraId="09B087FA" w14:textId="77777777" w:rsidR="004A4BCC" w:rsidRPr="002A3C46" w:rsidRDefault="004A4BCC" w:rsidP="002A3C46">
      <w:pPr>
        <w:tabs>
          <w:tab w:val="left" w:pos="142"/>
        </w:tabs>
        <w:ind w:firstLine="720"/>
        <w:jc w:val="both"/>
        <w:rPr>
          <w:b/>
        </w:rPr>
      </w:pPr>
    </w:p>
    <w:p w14:paraId="545D38D1" w14:textId="77777777" w:rsidR="004A4BCC" w:rsidRPr="002A3C46" w:rsidRDefault="004A4BCC" w:rsidP="002A3C46">
      <w:pPr>
        <w:tabs>
          <w:tab w:val="left" w:pos="142"/>
        </w:tabs>
        <w:ind w:firstLine="720"/>
        <w:jc w:val="both"/>
        <w:rPr>
          <w:b/>
        </w:rPr>
      </w:pPr>
    </w:p>
    <w:p w14:paraId="17599035" w14:textId="77777777" w:rsidR="004A4BCC" w:rsidRPr="002A3C46" w:rsidRDefault="004A4BCC" w:rsidP="002A3C46">
      <w:pPr>
        <w:tabs>
          <w:tab w:val="left" w:pos="142"/>
        </w:tabs>
        <w:ind w:firstLine="720"/>
        <w:jc w:val="both"/>
        <w:rPr>
          <w:b/>
        </w:rPr>
      </w:pPr>
    </w:p>
    <w:p w14:paraId="61FDF268" w14:textId="77777777" w:rsidR="004A4BCC" w:rsidRPr="002A3C46" w:rsidRDefault="004A4BCC" w:rsidP="002A3C46">
      <w:pPr>
        <w:tabs>
          <w:tab w:val="left" w:pos="142"/>
        </w:tabs>
        <w:ind w:firstLine="720"/>
        <w:jc w:val="both"/>
        <w:rPr>
          <w:b/>
        </w:rPr>
      </w:pPr>
    </w:p>
    <w:p w14:paraId="66495F9D" w14:textId="77777777" w:rsidR="004A4BCC" w:rsidRPr="002A3C46" w:rsidRDefault="004A4BCC" w:rsidP="002A3C46">
      <w:pPr>
        <w:tabs>
          <w:tab w:val="left" w:pos="142"/>
        </w:tabs>
        <w:ind w:firstLine="720"/>
        <w:jc w:val="both"/>
        <w:rPr>
          <w:b/>
        </w:rPr>
      </w:pPr>
    </w:p>
    <w:p w14:paraId="27E5F017" w14:textId="77777777" w:rsidR="004A4BCC" w:rsidRPr="002A3C46" w:rsidRDefault="004A4BCC" w:rsidP="002A3C46">
      <w:pPr>
        <w:tabs>
          <w:tab w:val="left" w:pos="142"/>
        </w:tabs>
        <w:ind w:firstLine="720"/>
        <w:jc w:val="both"/>
        <w:rPr>
          <w:b/>
        </w:rPr>
      </w:pPr>
    </w:p>
    <w:p w14:paraId="3B3864F8" w14:textId="77777777" w:rsidR="004A4BCC" w:rsidRPr="002A3C46" w:rsidRDefault="004A4BCC" w:rsidP="002A3C46">
      <w:pPr>
        <w:tabs>
          <w:tab w:val="left" w:pos="142"/>
        </w:tabs>
        <w:ind w:firstLine="720"/>
        <w:jc w:val="both"/>
        <w:rPr>
          <w:b/>
        </w:rPr>
      </w:pPr>
    </w:p>
    <w:p w14:paraId="7D8643EC" w14:textId="77777777" w:rsidR="004A4BCC" w:rsidRPr="002A3C46" w:rsidRDefault="004A4BCC" w:rsidP="002A3C46">
      <w:pPr>
        <w:tabs>
          <w:tab w:val="left" w:pos="142"/>
        </w:tabs>
        <w:ind w:firstLine="720"/>
        <w:jc w:val="both"/>
        <w:rPr>
          <w:b/>
        </w:rPr>
      </w:pPr>
    </w:p>
    <w:p w14:paraId="22E8C007" w14:textId="77777777" w:rsidR="004A4BCC" w:rsidRPr="002A3C46" w:rsidRDefault="004A4BCC" w:rsidP="002A3C46">
      <w:pPr>
        <w:tabs>
          <w:tab w:val="left" w:pos="142"/>
        </w:tabs>
        <w:ind w:firstLine="720"/>
        <w:jc w:val="both"/>
        <w:rPr>
          <w:b/>
        </w:rPr>
      </w:pPr>
    </w:p>
    <w:p w14:paraId="561B99CB" w14:textId="77777777" w:rsidR="004A4BCC" w:rsidRPr="002A3C46" w:rsidRDefault="004A4BCC" w:rsidP="002A3C46">
      <w:pPr>
        <w:tabs>
          <w:tab w:val="left" w:pos="142"/>
        </w:tabs>
        <w:ind w:firstLine="720"/>
        <w:jc w:val="both"/>
        <w:rPr>
          <w:b/>
        </w:rPr>
      </w:pPr>
    </w:p>
    <w:p w14:paraId="7BE7E4FF" w14:textId="77777777" w:rsidR="004A4BCC" w:rsidRPr="002A3C46" w:rsidRDefault="004A4BCC" w:rsidP="002A3C46">
      <w:pPr>
        <w:tabs>
          <w:tab w:val="left" w:pos="142"/>
        </w:tabs>
        <w:ind w:firstLine="720"/>
        <w:jc w:val="both"/>
        <w:rPr>
          <w:b/>
        </w:rPr>
      </w:pPr>
    </w:p>
    <w:p w14:paraId="0A490C31" w14:textId="77777777" w:rsidR="004A4BCC" w:rsidRPr="002A3C46" w:rsidRDefault="004A4BCC" w:rsidP="002A3C46">
      <w:pPr>
        <w:tabs>
          <w:tab w:val="left" w:pos="142"/>
        </w:tabs>
        <w:ind w:firstLine="720"/>
        <w:jc w:val="both"/>
        <w:rPr>
          <w:b/>
        </w:rPr>
      </w:pPr>
    </w:p>
    <w:p w14:paraId="2F656987" w14:textId="77777777" w:rsidR="004A4BCC" w:rsidRPr="002A3C46" w:rsidRDefault="004A4BCC" w:rsidP="002A3C46">
      <w:pPr>
        <w:tabs>
          <w:tab w:val="left" w:pos="142"/>
        </w:tabs>
        <w:ind w:firstLine="720"/>
        <w:jc w:val="both"/>
        <w:rPr>
          <w:b/>
        </w:rPr>
      </w:pPr>
    </w:p>
    <w:p w14:paraId="608E1C95" w14:textId="77777777" w:rsidR="004A4BCC" w:rsidRPr="002A3C46" w:rsidRDefault="004A4BCC" w:rsidP="002A3C46">
      <w:pPr>
        <w:tabs>
          <w:tab w:val="left" w:pos="142"/>
        </w:tabs>
        <w:ind w:firstLine="720"/>
        <w:jc w:val="both"/>
        <w:rPr>
          <w:b/>
        </w:rPr>
      </w:pPr>
    </w:p>
    <w:p w14:paraId="46EB7757" w14:textId="77777777" w:rsidR="004A4BCC" w:rsidRPr="002A3C46" w:rsidRDefault="004A4BCC" w:rsidP="002A3C46">
      <w:pPr>
        <w:tabs>
          <w:tab w:val="left" w:pos="142"/>
        </w:tabs>
        <w:ind w:firstLine="720"/>
        <w:jc w:val="both"/>
        <w:rPr>
          <w:b/>
        </w:rPr>
      </w:pPr>
    </w:p>
    <w:p w14:paraId="524E1E12" w14:textId="77777777" w:rsidR="004A4BCC" w:rsidRPr="002A3C46" w:rsidRDefault="004A4BCC" w:rsidP="002A3C46">
      <w:pPr>
        <w:tabs>
          <w:tab w:val="left" w:pos="142"/>
        </w:tabs>
        <w:ind w:firstLine="720"/>
        <w:jc w:val="both"/>
        <w:rPr>
          <w:b/>
        </w:rPr>
      </w:pPr>
    </w:p>
    <w:p w14:paraId="19E46DBC" w14:textId="77777777" w:rsidR="004A4BCC" w:rsidRPr="002A3C46" w:rsidRDefault="004A4BCC" w:rsidP="002A3C46">
      <w:pPr>
        <w:tabs>
          <w:tab w:val="left" w:pos="142"/>
        </w:tabs>
        <w:ind w:firstLine="720"/>
        <w:jc w:val="both"/>
        <w:rPr>
          <w:b/>
        </w:rPr>
      </w:pPr>
    </w:p>
    <w:p w14:paraId="6B528CED" w14:textId="77777777" w:rsidR="004A4BCC" w:rsidRPr="002A3C46" w:rsidRDefault="004A4BCC" w:rsidP="002A3C46">
      <w:pPr>
        <w:tabs>
          <w:tab w:val="left" w:pos="142"/>
        </w:tabs>
        <w:ind w:firstLine="720"/>
        <w:jc w:val="both"/>
        <w:rPr>
          <w:b/>
        </w:rPr>
      </w:pPr>
    </w:p>
    <w:p w14:paraId="58F552D0" w14:textId="77777777" w:rsidR="004A4BCC" w:rsidRPr="002A3C46" w:rsidRDefault="004A4BCC" w:rsidP="002A3C46">
      <w:pPr>
        <w:tabs>
          <w:tab w:val="left" w:pos="142"/>
        </w:tabs>
        <w:ind w:firstLine="720"/>
        <w:jc w:val="both"/>
        <w:rPr>
          <w:b/>
        </w:rPr>
      </w:pPr>
    </w:p>
    <w:p w14:paraId="5676D2FF" w14:textId="77777777" w:rsidR="004A4BCC" w:rsidRPr="002A3C46" w:rsidRDefault="005F344D" w:rsidP="00C604EE">
      <w:pPr>
        <w:jc w:val="center"/>
      </w:pPr>
      <w:r w:rsidRPr="002A3C46">
        <w:t>Rīga, 2015</w:t>
      </w:r>
    </w:p>
    <w:p w14:paraId="27896DE2" w14:textId="77777777" w:rsidR="004A4BCC" w:rsidRPr="002A3C46" w:rsidRDefault="004A4BCC" w:rsidP="002A3C46">
      <w:pPr>
        <w:ind w:firstLine="720"/>
        <w:jc w:val="center"/>
        <w:rPr>
          <w:b/>
          <w:caps/>
        </w:rPr>
      </w:pPr>
      <w:r w:rsidRPr="002A3C46">
        <w:br w:type="page"/>
      </w:r>
      <w:r w:rsidR="005D1B62" w:rsidRPr="002A3C46">
        <w:rPr>
          <w:b/>
          <w:caps/>
        </w:rPr>
        <w:lastRenderedPageBreak/>
        <w:t>Lietotie s</w:t>
      </w:r>
      <w:r w:rsidRPr="002A3C46">
        <w:rPr>
          <w:b/>
          <w:bCs/>
          <w:caps/>
        </w:rPr>
        <w:t>aīsinājumi</w:t>
      </w:r>
    </w:p>
    <w:p w14:paraId="5E494A7F"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p>
    <w:tbl>
      <w:tblPr>
        <w:tblW w:w="9428" w:type="dxa"/>
        <w:tblInd w:w="-106" w:type="dxa"/>
        <w:tblLook w:val="00A0" w:firstRow="1" w:lastRow="0" w:firstColumn="1" w:lastColumn="0" w:noHBand="0" w:noVBand="0"/>
      </w:tblPr>
      <w:tblGrid>
        <w:gridCol w:w="3616"/>
        <w:gridCol w:w="5812"/>
      </w:tblGrid>
      <w:tr w:rsidR="004A4BCC" w:rsidRPr="002A3C46" w14:paraId="6120662A" w14:textId="77777777" w:rsidTr="00777734">
        <w:tc>
          <w:tcPr>
            <w:tcW w:w="3616" w:type="dxa"/>
          </w:tcPr>
          <w:p w14:paraId="3CBBCA58"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lang w:eastAsia="lv-LV"/>
              </w:rPr>
            </w:pPr>
            <w:r w:rsidRPr="002A3C46">
              <w:rPr>
                <w:rFonts w:ascii="Times New Roman" w:hAnsi="Times New Roman" w:cs="Times New Roman"/>
                <w:sz w:val="24"/>
                <w:szCs w:val="24"/>
                <w:lang w:eastAsia="lv-LV"/>
              </w:rPr>
              <w:t>ES</w:t>
            </w:r>
          </w:p>
          <w:p w14:paraId="0B4E7481"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lang w:eastAsia="lv-LV"/>
              </w:rPr>
            </w:pPr>
            <w:r w:rsidRPr="002A3C46">
              <w:rPr>
                <w:rFonts w:ascii="Times New Roman" w:hAnsi="Times New Roman" w:cs="Times New Roman"/>
                <w:sz w:val="24"/>
                <w:szCs w:val="24"/>
                <w:lang w:eastAsia="lv-LV"/>
              </w:rPr>
              <w:t>EK</w:t>
            </w:r>
          </w:p>
        </w:tc>
        <w:tc>
          <w:tcPr>
            <w:tcW w:w="5812" w:type="dxa"/>
          </w:tcPr>
          <w:p w14:paraId="5BD826DE"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lang w:eastAsia="lv-LV"/>
              </w:rPr>
            </w:pPr>
            <w:r w:rsidRPr="002A3C46">
              <w:rPr>
                <w:rFonts w:ascii="Times New Roman" w:hAnsi="Times New Roman" w:cs="Times New Roman"/>
                <w:sz w:val="24"/>
                <w:szCs w:val="24"/>
                <w:lang w:eastAsia="lv-LV"/>
              </w:rPr>
              <w:t>Eiropas Savienība</w:t>
            </w:r>
          </w:p>
          <w:p w14:paraId="0E5800B9"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Eiropas Komisija</w:t>
            </w:r>
          </w:p>
        </w:tc>
      </w:tr>
      <w:tr w:rsidR="004A4BCC" w:rsidRPr="002A3C46" w14:paraId="3A05D161" w14:textId="77777777" w:rsidTr="00777734">
        <w:tc>
          <w:tcPr>
            <w:tcW w:w="3616" w:type="dxa"/>
          </w:tcPr>
          <w:p w14:paraId="32FC3280"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ESF</w:t>
            </w:r>
          </w:p>
        </w:tc>
        <w:tc>
          <w:tcPr>
            <w:tcW w:w="5812" w:type="dxa"/>
          </w:tcPr>
          <w:p w14:paraId="102A18CB" w14:textId="07E5C539" w:rsidR="004A4BCC" w:rsidRPr="002A3C46" w:rsidRDefault="004A4BCC" w:rsidP="00457FA0">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Eiropas S</w:t>
            </w:r>
            <w:r w:rsidR="00457FA0">
              <w:rPr>
                <w:rFonts w:ascii="Times New Roman" w:hAnsi="Times New Roman" w:cs="Times New Roman"/>
                <w:sz w:val="24"/>
                <w:szCs w:val="24"/>
              </w:rPr>
              <w:t>ociālais fonds</w:t>
            </w:r>
          </w:p>
        </w:tc>
      </w:tr>
      <w:tr w:rsidR="004A4BCC" w:rsidRPr="002A3C46" w14:paraId="172987E7" w14:textId="77777777" w:rsidTr="00777734">
        <w:tc>
          <w:tcPr>
            <w:tcW w:w="3616" w:type="dxa"/>
          </w:tcPr>
          <w:p w14:paraId="0C3E4178"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TM</w:t>
            </w:r>
          </w:p>
        </w:tc>
        <w:tc>
          <w:tcPr>
            <w:tcW w:w="5812" w:type="dxa"/>
          </w:tcPr>
          <w:p w14:paraId="4B625A28"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Tieslietu ministrija</w:t>
            </w:r>
          </w:p>
        </w:tc>
      </w:tr>
      <w:tr w:rsidR="004A4BCC" w:rsidRPr="002A3C46" w14:paraId="6C99349C" w14:textId="77777777" w:rsidTr="00777734">
        <w:tc>
          <w:tcPr>
            <w:tcW w:w="3616" w:type="dxa"/>
          </w:tcPr>
          <w:p w14:paraId="2F4F5474"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TA</w:t>
            </w:r>
          </w:p>
          <w:p w14:paraId="1167AE13"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VTEB</w:t>
            </w:r>
          </w:p>
          <w:p w14:paraId="518DD0C3"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ĢP</w:t>
            </w:r>
          </w:p>
          <w:p w14:paraId="488EBC14" w14:textId="77777777" w:rsidR="004A4BCC"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IeM</w:t>
            </w:r>
          </w:p>
          <w:p w14:paraId="26D2330B" w14:textId="77777777" w:rsidR="002A3C46" w:rsidRPr="002A3C46" w:rsidRDefault="002A3C46" w:rsidP="002A3C46">
            <w:pPr>
              <w:pStyle w:val="Sarakstarindkopa"/>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VP</w:t>
            </w:r>
          </w:p>
        </w:tc>
        <w:tc>
          <w:tcPr>
            <w:tcW w:w="5812" w:type="dxa"/>
          </w:tcPr>
          <w:p w14:paraId="68FCF66C"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Tiesu administrācija</w:t>
            </w:r>
          </w:p>
          <w:p w14:paraId="4B868DBC"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Valsts tiesu ekspertīžu birojs</w:t>
            </w:r>
          </w:p>
          <w:p w14:paraId="03F852D9"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Latvijas Republikas Ģenerālprokuratūra</w:t>
            </w:r>
          </w:p>
          <w:p w14:paraId="688EF15F" w14:textId="77777777" w:rsidR="004A4BCC"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Iekšlietu ministrija</w:t>
            </w:r>
          </w:p>
          <w:p w14:paraId="4ECEBF99" w14:textId="77777777" w:rsidR="002A3C46" w:rsidRPr="002A3C46" w:rsidRDefault="002A3C46" w:rsidP="002A3C46">
            <w:pPr>
              <w:pStyle w:val="Sarakstarindkopa"/>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Valsts policija</w:t>
            </w:r>
          </w:p>
        </w:tc>
      </w:tr>
      <w:tr w:rsidR="004A4BCC" w:rsidRPr="002A3C46" w14:paraId="65DE0B49" w14:textId="77777777" w:rsidTr="00777734">
        <w:trPr>
          <w:trHeight w:val="80"/>
        </w:trPr>
        <w:tc>
          <w:tcPr>
            <w:tcW w:w="3616" w:type="dxa"/>
          </w:tcPr>
          <w:p w14:paraId="4C843151"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LTMC</w:t>
            </w:r>
          </w:p>
        </w:tc>
        <w:tc>
          <w:tcPr>
            <w:tcW w:w="5812" w:type="dxa"/>
          </w:tcPr>
          <w:p w14:paraId="0664D8CE"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Nodibinājums „Latvijas Tiesnešu mācību centrs”</w:t>
            </w:r>
          </w:p>
        </w:tc>
      </w:tr>
      <w:tr w:rsidR="004A4BCC" w:rsidRPr="002A3C46" w14:paraId="366201CD" w14:textId="77777777" w:rsidTr="00777734">
        <w:tc>
          <w:tcPr>
            <w:tcW w:w="3616" w:type="dxa"/>
          </w:tcPr>
          <w:p w14:paraId="1263CF0E"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LZTIP</w:t>
            </w:r>
          </w:p>
        </w:tc>
        <w:tc>
          <w:tcPr>
            <w:tcW w:w="5812" w:type="dxa"/>
          </w:tcPr>
          <w:p w14:paraId="1A0B1645"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Latvijas Zvērinātu tiesu izpildītāju padome</w:t>
            </w:r>
          </w:p>
        </w:tc>
      </w:tr>
      <w:tr w:rsidR="004A4BCC" w:rsidRPr="002A3C46" w14:paraId="6280CC10" w14:textId="77777777" w:rsidTr="00777734">
        <w:tc>
          <w:tcPr>
            <w:tcW w:w="3616" w:type="dxa"/>
          </w:tcPr>
          <w:p w14:paraId="68EBD9CE"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LZAP</w:t>
            </w:r>
          </w:p>
        </w:tc>
        <w:tc>
          <w:tcPr>
            <w:tcW w:w="5812" w:type="dxa"/>
          </w:tcPr>
          <w:p w14:paraId="3B0FA6DA"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Latvijas Zvērinātu advokātu padome</w:t>
            </w:r>
          </w:p>
        </w:tc>
      </w:tr>
      <w:tr w:rsidR="004A4BCC" w:rsidRPr="002A3C46" w14:paraId="11423FED" w14:textId="77777777" w:rsidTr="00777734">
        <w:tc>
          <w:tcPr>
            <w:tcW w:w="3616" w:type="dxa"/>
          </w:tcPr>
          <w:p w14:paraId="02217DF9"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LZNP</w:t>
            </w:r>
          </w:p>
        </w:tc>
        <w:tc>
          <w:tcPr>
            <w:tcW w:w="5812" w:type="dxa"/>
          </w:tcPr>
          <w:p w14:paraId="59EA6C1B"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Latvijas Zvērinātu notāru padome</w:t>
            </w:r>
          </w:p>
        </w:tc>
      </w:tr>
      <w:tr w:rsidR="004A4BCC" w:rsidRPr="002A3C46" w14:paraId="2162E02C" w14:textId="77777777" w:rsidTr="00777734">
        <w:tc>
          <w:tcPr>
            <w:tcW w:w="3616" w:type="dxa"/>
          </w:tcPr>
          <w:p w14:paraId="359B11BC"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IKT</w:t>
            </w:r>
          </w:p>
          <w:p w14:paraId="19041A56" w14:textId="77777777" w:rsidR="004A4BCC" w:rsidRPr="002A3C46" w:rsidRDefault="002614E0"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ADR</w:t>
            </w:r>
          </w:p>
        </w:tc>
        <w:tc>
          <w:tcPr>
            <w:tcW w:w="5812" w:type="dxa"/>
          </w:tcPr>
          <w:p w14:paraId="4D732231"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Informācijas un komunikāciju tehnoloģijas</w:t>
            </w:r>
          </w:p>
          <w:p w14:paraId="54F3A08B" w14:textId="77777777" w:rsidR="004A4BCC" w:rsidRPr="002A3C46" w:rsidRDefault="002614E0"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alternatīva domstarpību risināšana</w:t>
            </w:r>
          </w:p>
        </w:tc>
      </w:tr>
      <w:tr w:rsidR="004A4BCC" w:rsidRPr="002A3C46" w14:paraId="5B6FEFF6" w14:textId="77777777" w:rsidTr="00777734">
        <w:tc>
          <w:tcPr>
            <w:tcW w:w="3616" w:type="dxa"/>
          </w:tcPr>
          <w:p w14:paraId="693EAC22"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lang w:eastAsia="lv-LV"/>
              </w:rPr>
            </w:pPr>
            <w:r w:rsidRPr="002A3C46">
              <w:rPr>
                <w:rFonts w:ascii="Times New Roman" w:hAnsi="Times New Roman" w:cs="Times New Roman"/>
                <w:sz w:val="24"/>
                <w:szCs w:val="24"/>
                <w:lang w:eastAsia="lv-LV"/>
              </w:rPr>
              <w:t>pamatnostādnes 2009-2015</w:t>
            </w:r>
          </w:p>
          <w:p w14:paraId="245E7E61"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lang w:eastAsia="lv-LV"/>
              </w:rPr>
            </w:pPr>
          </w:p>
          <w:p w14:paraId="58230389"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lang w:eastAsia="lv-LV"/>
              </w:rPr>
            </w:pPr>
          </w:p>
          <w:p w14:paraId="524B96BB" w14:textId="77777777" w:rsidR="004A4BCC" w:rsidRPr="002A3C46" w:rsidRDefault="002614E0" w:rsidP="002A3C46">
            <w:pPr>
              <w:pStyle w:val="Sarakstarindkopa"/>
              <w:spacing w:after="0" w:line="240" w:lineRule="auto"/>
              <w:ind w:left="0" w:firstLine="720"/>
              <w:rPr>
                <w:rFonts w:ascii="Times New Roman" w:hAnsi="Times New Roman" w:cs="Times New Roman"/>
                <w:sz w:val="24"/>
                <w:szCs w:val="24"/>
                <w:lang w:eastAsia="lv-LV"/>
              </w:rPr>
            </w:pPr>
            <w:r w:rsidRPr="002A3C46">
              <w:rPr>
                <w:rFonts w:ascii="Times New Roman" w:hAnsi="Times New Roman" w:cs="Times New Roman"/>
                <w:sz w:val="24"/>
                <w:szCs w:val="24"/>
                <w:lang w:eastAsia="lv-LV"/>
              </w:rPr>
              <w:t>p</w:t>
            </w:r>
            <w:r w:rsidR="004A4BCC" w:rsidRPr="002A3C46">
              <w:rPr>
                <w:rFonts w:ascii="Times New Roman" w:hAnsi="Times New Roman" w:cs="Times New Roman"/>
                <w:sz w:val="24"/>
                <w:szCs w:val="24"/>
                <w:lang w:eastAsia="lv-LV"/>
              </w:rPr>
              <w:t>lāns</w:t>
            </w:r>
          </w:p>
        </w:tc>
        <w:tc>
          <w:tcPr>
            <w:tcW w:w="5812" w:type="dxa"/>
          </w:tcPr>
          <w:p w14:paraId="38E2565B"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lang w:eastAsia="lv-LV"/>
              </w:rPr>
            </w:pPr>
            <w:r w:rsidRPr="002A3C46">
              <w:rPr>
                <w:rFonts w:ascii="Times New Roman" w:hAnsi="Times New Roman" w:cs="Times New Roman"/>
                <w:sz w:val="24"/>
                <w:szCs w:val="24"/>
              </w:rPr>
              <w:t xml:space="preserve">politikas plānošanas </w:t>
            </w:r>
            <w:r w:rsidRPr="002A3C46">
              <w:rPr>
                <w:rFonts w:ascii="Times New Roman" w:hAnsi="Times New Roman" w:cs="Times New Roman"/>
                <w:sz w:val="24"/>
                <w:szCs w:val="24"/>
                <w:lang w:eastAsia="lv-LV"/>
              </w:rPr>
              <w:t>dokuments</w:t>
            </w:r>
          </w:p>
          <w:p w14:paraId="5E17B367"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lang w:eastAsia="lv-LV"/>
              </w:rPr>
            </w:pPr>
            <w:r w:rsidRPr="002A3C46">
              <w:rPr>
                <w:rFonts w:ascii="Times New Roman" w:hAnsi="Times New Roman" w:cs="Times New Roman"/>
                <w:sz w:val="24"/>
                <w:szCs w:val="24"/>
                <w:lang w:eastAsia="lv-LV"/>
              </w:rPr>
              <w:t>„Tiesu iekārtas attīstības pamatnostādnes</w:t>
            </w:r>
          </w:p>
          <w:p w14:paraId="4E4A6829"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lang w:eastAsia="lv-LV"/>
              </w:rPr>
            </w:pPr>
            <w:r w:rsidRPr="002A3C46">
              <w:rPr>
                <w:rFonts w:ascii="Times New Roman" w:hAnsi="Times New Roman" w:cs="Times New Roman"/>
                <w:sz w:val="24"/>
                <w:szCs w:val="24"/>
                <w:lang w:eastAsia="lv-LV"/>
              </w:rPr>
              <w:t>2009.</w:t>
            </w:r>
            <w:r w:rsidRPr="002A3C46">
              <w:rPr>
                <w:rFonts w:ascii="Times New Roman" w:hAnsi="Times New Roman" w:cs="Times New Roman"/>
                <w:sz w:val="24"/>
                <w:szCs w:val="24"/>
              </w:rPr>
              <w:t>-</w:t>
            </w:r>
            <w:r w:rsidRPr="002A3C46">
              <w:rPr>
                <w:rFonts w:ascii="Times New Roman" w:hAnsi="Times New Roman" w:cs="Times New Roman"/>
                <w:sz w:val="24"/>
                <w:szCs w:val="24"/>
                <w:lang w:eastAsia="lv-LV"/>
              </w:rPr>
              <w:t>2015.gadam”</w:t>
            </w:r>
          </w:p>
          <w:p w14:paraId="178ABC65"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 xml:space="preserve">politikas plānošanas </w:t>
            </w:r>
            <w:r w:rsidRPr="002A3C46">
              <w:rPr>
                <w:rFonts w:ascii="Times New Roman" w:hAnsi="Times New Roman" w:cs="Times New Roman"/>
                <w:sz w:val="24"/>
                <w:szCs w:val="24"/>
                <w:lang w:eastAsia="lv-LV"/>
              </w:rPr>
              <w:t>dokuments „</w:t>
            </w:r>
            <w:r w:rsidRPr="002A3C46">
              <w:rPr>
                <w:rFonts w:ascii="Times New Roman" w:hAnsi="Times New Roman" w:cs="Times New Roman"/>
                <w:sz w:val="24"/>
                <w:szCs w:val="24"/>
              </w:rPr>
              <w:t>Tiesu varas</w:t>
            </w:r>
          </w:p>
          <w:p w14:paraId="406A3DD1"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un tiesībaizsardzības iestāžu darbinieku</w:t>
            </w:r>
          </w:p>
          <w:p w14:paraId="46D24D92"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cilvēkresursu kapacitātes stiprināšanas</w:t>
            </w:r>
          </w:p>
          <w:p w14:paraId="0CF6C14B"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un kompetenču attīstīšanas plāns</w:t>
            </w:r>
          </w:p>
          <w:p w14:paraId="71621942" w14:textId="77777777" w:rsidR="004A4BCC" w:rsidRPr="002A3C46" w:rsidRDefault="004A4BCC" w:rsidP="002A3C46">
            <w:pPr>
              <w:pStyle w:val="Sarakstarindkopa"/>
              <w:spacing w:after="0" w:line="240" w:lineRule="auto"/>
              <w:ind w:left="0" w:firstLine="720"/>
              <w:rPr>
                <w:rFonts w:ascii="Times New Roman" w:hAnsi="Times New Roman" w:cs="Times New Roman"/>
                <w:sz w:val="24"/>
                <w:szCs w:val="24"/>
              </w:rPr>
            </w:pPr>
            <w:r w:rsidRPr="002A3C46">
              <w:rPr>
                <w:rFonts w:ascii="Times New Roman" w:hAnsi="Times New Roman" w:cs="Times New Roman"/>
                <w:sz w:val="24"/>
                <w:szCs w:val="24"/>
              </w:rPr>
              <w:t>201</w:t>
            </w:r>
            <w:r w:rsidR="005F344D" w:rsidRPr="002A3C46">
              <w:rPr>
                <w:rFonts w:ascii="Times New Roman" w:hAnsi="Times New Roman" w:cs="Times New Roman"/>
                <w:sz w:val="24"/>
                <w:szCs w:val="24"/>
              </w:rPr>
              <w:t>5</w:t>
            </w:r>
            <w:r w:rsidRPr="002A3C46">
              <w:rPr>
                <w:rFonts w:ascii="Times New Roman" w:hAnsi="Times New Roman" w:cs="Times New Roman"/>
                <w:sz w:val="24"/>
                <w:szCs w:val="24"/>
              </w:rPr>
              <w:t>.-2020.gadam</w:t>
            </w:r>
            <w:r w:rsidRPr="002A3C46">
              <w:rPr>
                <w:rFonts w:ascii="Times New Roman" w:hAnsi="Times New Roman" w:cs="Times New Roman"/>
                <w:sz w:val="24"/>
                <w:szCs w:val="24"/>
                <w:lang w:eastAsia="lv-LV"/>
              </w:rPr>
              <w:t>”</w:t>
            </w:r>
          </w:p>
        </w:tc>
      </w:tr>
    </w:tbl>
    <w:p w14:paraId="70559B4A" w14:textId="77777777" w:rsidR="004A4BCC" w:rsidRPr="002A3C46" w:rsidRDefault="004A4BCC" w:rsidP="002A3C46">
      <w:pPr>
        <w:ind w:firstLine="720"/>
        <w:jc w:val="both"/>
        <w:rPr>
          <w:b/>
          <w:smallCaps/>
        </w:rPr>
      </w:pPr>
    </w:p>
    <w:p w14:paraId="1F334771" w14:textId="77777777" w:rsidR="004A4BCC" w:rsidRPr="002A3C46" w:rsidRDefault="004A4BCC" w:rsidP="002A3C46">
      <w:pPr>
        <w:tabs>
          <w:tab w:val="left" w:pos="142"/>
        </w:tabs>
        <w:ind w:firstLine="720"/>
        <w:jc w:val="both"/>
      </w:pPr>
      <w:r w:rsidRPr="002A3C46">
        <w:rPr>
          <w:b/>
        </w:rPr>
        <w:br w:type="page"/>
      </w:r>
    </w:p>
    <w:p w14:paraId="0D488090" w14:textId="77777777" w:rsidR="004A4BCC" w:rsidRPr="002A3C46" w:rsidRDefault="005D1B62" w:rsidP="006B6C77">
      <w:pPr>
        <w:jc w:val="center"/>
        <w:rPr>
          <w:b/>
          <w:caps/>
        </w:rPr>
      </w:pPr>
      <w:r w:rsidRPr="002A3C46">
        <w:rPr>
          <w:b/>
          <w:caps/>
        </w:rPr>
        <w:lastRenderedPageBreak/>
        <w:t>I. Ievads (</w:t>
      </w:r>
      <w:r w:rsidR="004A4BCC" w:rsidRPr="002A3C46">
        <w:rPr>
          <w:b/>
          <w:caps/>
        </w:rPr>
        <w:t>kopsavilkums</w:t>
      </w:r>
      <w:r w:rsidRPr="002A3C46">
        <w:rPr>
          <w:b/>
          <w:caps/>
        </w:rPr>
        <w:t>)</w:t>
      </w:r>
    </w:p>
    <w:p w14:paraId="3178C4DE" w14:textId="77777777" w:rsidR="008C325C" w:rsidRPr="002A3C46" w:rsidRDefault="008C325C" w:rsidP="002A3C46">
      <w:pPr>
        <w:pStyle w:val="Komentrateksts"/>
        <w:ind w:firstLine="720"/>
        <w:jc w:val="both"/>
        <w:rPr>
          <w:caps/>
          <w:sz w:val="24"/>
          <w:szCs w:val="24"/>
          <w:lang w:val="lv-LV"/>
        </w:rPr>
      </w:pPr>
    </w:p>
    <w:p w14:paraId="0125471A" w14:textId="77777777" w:rsidR="006B6C77" w:rsidRDefault="00B11AA1" w:rsidP="002A3C46">
      <w:pPr>
        <w:pStyle w:val="Komentrateksts"/>
        <w:ind w:firstLine="720"/>
        <w:jc w:val="both"/>
        <w:rPr>
          <w:sz w:val="24"/>
          <w:szCs w:val="24"/>
          <w:lang w:val="lv-LV"/>
        </w:rPr>
      </w:pPr>
      <w:r w:rsidRPr="002A3C46">
        <w:rPr>
          <w:sz w:val="24"/>
          <w:szCs w:val="24"/>
        </w:rPr>
        <w:t xml:space="preserve">Ministru kabinets 2009.gada 7.oktobrī (rīkojuma Nr.685; </w:t>
      </w:r>
      <w:proofErr w:type="spellStart"/>
      <w:r w:rsidRPr="002A3C46">
        <w:rPr>
          <w:sz w:val="24"/>
          <w:szCs w:val="24"/>
          <w:lang w:val="lv-LV"/>
        </w:rPr>
        <w:t>prot</w:t>
      </w:r>
      <w:proofErr w:type="spellEnd"/>
      <w:r w:rsidRPr="002A3C46">
        <w:rPr>
          <w:sz w:val="24"/>
          <w:szCs w:val="24"/>
          <w:lang w:val="lv-LV"/>
        </w:rPr>
        <w:t>. Nr.67 55.§</w:t>
      </w:r>
      <w:r w:rsidRPr="002A3C46">
        <w:rPr>
          <w:sz w:val="24"/>
          <w:szCs w:val="24"/>
        </w:rPr>
        <w:t xml:space="preserve">)) apstiprināja nozīmīgu tiesu varas politikas attīstības pamatdokumentu </w:t>
      </w:r>
      <w:r w:rsidRPr="002A3C46">
        <w:rPr>
          <w:sz w:val="24"/>
          <w:szCs w:val="24"/>
          <w:lang w:val="lv-LV"/>
        </w:rPr>
        <w:t>- p</w:t>
      </w:r>
      <w:proofErr w:type="spellStart"/>
      <w:r w:rsidRPr="002A3C46">
        <w:rPr>
          <w:sz w:val="24"/>
          <w:szCs w:val="24"/>
        </w:rPr>
        <w:t>amatnostādnes</w:t>
      </w:r>
      <w:proofErr w:type="spellEnd"/>
      <w:r w:rsidRPr="002A3C46">
        <w:rPr>
          <w:sz w:val="24"/>
          <w:szCs w:val="24"/>
        </w:rPr>
        <w:t xml:space="preserve"> 2009</w:t>
      </w:r>
      <w:r w:rsidRPr="002A3C46">
        <w:rPr>
          <w:sz w:val="24"/>
          <w:szCs w:val="24"/>
          <w:lang w:val="lv-LV"/>
        </w:rPr>
        <w:noBreakHyphen/>
      </w:r>
      <w:r w:rsidRPr="002A3C46">
        <w:rPr>
          <w:sz w:val="24"/>
          <w:szCs w:val="24"/>
        </w:rPr>
        <w:t>2015</w:t>
      </w:r>
      <w:r w:rsidRPr="002A3C46">
        <w:rPr>
          <w:sz w:val="24"/>
          <w:szCs w:val="24"/>
          <w:lang w:val="lv-LV"/>
        </w:rPr>
        <w:t xml:space="preserve">, </w:t>
      </w:r>
      <w:r w:rsidR="006B6C77">
        <w:rPr>
          <w:sz w:val="24"/>
          <w:szCs w:val="24"/>
          <w:lang w:val="lv-LV"/>
        </w:rPr>
        <w:t>kuru mērķis</w:t>
      </w:r>
      <w:r w:rsidRPr="002A3C46">
        <w:rPr>
          <w:sz w:val="24"/>
          <w:szCs w:val="24"/>
          <w:lang w:val="lv-LV"/>
        </w:rPr>
        <w:t xml:space="preserve"> ir nodrošināt tiesisku, efektīvu, kvalitatīvu un sabiedrības vajadzībām atbilstošu tiesu iekārtas darbību, sekmējot tādu tiesu varas pamatvērtību realizāciju kā neatkarīga, pieejama tiesa un efektīva tiesas procesa norise sapratīgā termiņā. </w:t>
      </w:r>
    </w:p>
    <w:p w14:paraId="0E256ABE" w14:textId="77777777" w:rsidR="00B11AA1" w:rsidRPr="002A3C46" w:rsidRDefault="00B11AA1" w:rsidP="002A3C46">
      <w:pPr>
        <w:pStyle w:val="Komentrateksts"/>
        <w:ind w:firstLine="720"/>
        <w:jc w:val="both"/>
        <w:rPr>
          <w:sz w:val="24"/>
          <w:szCs w:val="24"/>
          <w:lang w:val="lv-LV"/>
        </w:rPr>
      </w:pPr>
      <w:r w:rsidRPr="002A3C46">
        <w:rPr>
          <w:sz w:val="24"/>
          <w:szCs w:val="24"/>
          <w:lang w:val="lv-LV"/>
        </w:rPr>
        <w:t xml:space="preserve">Minētā mērķa sasniegšanai pamatnostādnēs ir nostiprināti seši rīcības virzieni: tiesu pieejamības veicināšana, tiesu infrastruktūras un pārvaldības attīstīšana, cilvēkresursu attīstības veicināšana tiesu varā, tiesu noslodzes samazināšana un izlīdzināšana, tiesu varas neatkarības sekmēšana un zemesgrāmatu procesa </w:t>
      </w:r>
      <w:proofErr w:type="spellStart"/>
      <w:r w:rsidRPr="002A3C46">
        <w:rPr>
          <w:sz w:val="24"/>
          <w:szCs w:val="24"/>
          <w:lang w:val="lv-LV"/>
        </w:rPr>
        <w:t>efektivizēšana</w:t>
      </w:r>
      <w:proofErr w:type="spellEnd"/>
      <w:r w:rsidRPr="002A3C46">
        <w:rPr>
          <w:sz w:val="24"/>
          <w:szCs w:val="24"/>
          <w:lang w:val="lv-LV"/>
        </w:rPr>
        <w:t>.</w:t>
      </w:r>
    </w:p>
    <w:p w14:paraId="4C7CBAA3" w14:textId="77777777" w:rsidR="00B11AA1" w:rsidRPr="002A3C46" w:rsidRDefault="00B11AA1" w:rsidP="002A3C46">
      <w:pPr>
        <w:pStyle w:val="naiskr"/>
        <w:spacing w:before="0" w:after="0"/>
        <w:ind w:firstLine="720"/>
        <w:jc w:val="both"/>
      </w:pPr>
      <w:r w:rsidRPr="002A3C46">
        <w:t>Īstenojot pamatnostādnēs 2009-20</w:t>
      </w:r>
      <w:r w:rsidR="006B6C77">
        <w:t xml:space="preserve">15 minēto politikas </w:t>
      </w:r>
      <w:proofErr w:type="spellStart"/>
      <w:r w:rsidR="006B6C77">
        <w:t>apakšmērķos</w:t>
      </w:r>
      <w:proofErr w:type="spellEnd"/>
      <w:r w:rsidR="006B6C77">
        <w:t xml:space="preserve"> paredzētos uzdevumus, bū</w:t>
      </w:r>
      <w:r w:rsidRPr="002A3C46">
        <w:t xml:space="preserve">tiski nav izpildīti uzdevumi, kas saistīti ar cilvēkresursu kapacitātēs celšanu tiesu varā. </w:t>
      </w:r>
    </w:p>
    <w:p w14:paraId="6810ECB8" w14:textId="77777777" w:rsidR="00B11AA1" w:rsidRPr="002A3C46" w:rsidRDefault="00B11AA1" w:rsidP="002A3C46">
      <w:pPr>
        <w:pStyle w:val="Komentrateksts"/>
        <w:ind w:firstLine="720"/>
        <w:jc w:val="both"/>
        <w:rPr>
          <w:sz w:val="24"/>
          <w:szCs w:val="24"/>
          <w:lang w:val="lv-LV"/>
        </w:rPr>
      </w:pPr>
      <w:r w:rsidRPr="002A3C46">
        <w:rPr>
          <w:sz w:val="24"/>
          <w:szCs w:val="24"/>
        </w:rPr>
        <w:t xml:space="preserve">Daļēji izpildītie vai neizpildītie uzdevumi saistīti ar dažādiem objektīviem iemesliem, tajā skaitā ekonomisko situāciju valstī un pieejamo finanšu līdzekļu apjomu minēto uzdevumu izpildei. </w:t>
      </w:r>
    </w:p>
    <w:p w14:paraId="6C564DD8" w14:textId="77777777" w:rsidR="00B11AA1" w:rsidRPr="002A3C46" w:rsidRDefault="00B11AA1" w:rsidP="002A3C46">
      <w:pPr>
        <w:pStyle w:val="Komentrateksts"/>
        <w:ind w:firstLine="720"/>
        <w:jc w:val="both"/>
        <w:rPr>
          <w:sz w:val="24"/>
          <w:szCs w:val="24"/>
          <w:lang w:val="lv-LV"/>
        </w:rPr>
      </w:pPr>
      <w:r w:rsidRPr="002A3C46">
        <w:rPr>
          <w:sz w:val="24"/>
          <w:szCs w:val="24"/>
          <w:lang w:val="lv-LV"/>
        </w:rPr>
        <w:t xml:space="preserve">Cilvēkresursu attīstībai tiesu varā jau pamatnostādnēs 2009-2015 kā galvenais mērķis noteikts kompetentu personu piesaiste darbam tiesās un zemesgrāmatu nodaļās, </w:t>
      </w:r>
      <w:proofErr w:type="spellStart"/>
      <w:r w:rsidRPr="002A3C46">
        <w:rPr>
          <w:sz w:val="24"/>
          <w:szCs w:val="24"/>
          <w:lang w:val="lv-LV"/>
        </w:rPr>
        <w:t>t.sk</w:t>
      </w:r>
      <w:proofErr w:type="spellEnd"/>
      <w:r w:rsidRPr="002A3C46">
        <w:rPr>
          <w:sz w:val="24"/>
          <w:szCs w:val="24"/>
          <w:lang w:val="lv-LV"/>
        </w:rPr>
        <w:t xml:space="preserve">., plānoti pasākumi tiesu varā nodarbināto personu motivācijas un regulārai kompetences līmeņa celšanai, paredzēts nodrošināt efektīvu tiesneša amata kandidātu atlases un stažēšanās procesu, ieviest tiesnešu kvalifikācijas un darba rezultātu regulāru novērtēšanu, stiprināt tiesneša palīga institūtu </w:t>
      </w:r>
      <w:proofErr w:type="spellStart"/>
      <w:r w:rsidRPr="002A3C46">
        <w:rPr>
          <w:sz w:val="24"/>
          <w:szCs w:val="24"/>
          <w:lang w:val="lv-LV"/>
        </w:rPr>
        <w:t>u.c</w:t>
      </w:r>
      <w:proofErr w:type="spellEnd"/>
      <w:r w:rsidRPr="002A3C46">
        <w:rPr>
          <w:sz w:val="24"/>
          <w:szCs w:val="24"/>
          <w:lang w:val="lv-LV"/>
        </w:rPr>
        <w:t xml:space="preserve">. </w:t>
      </w:r>
    </w:p>
    <w:p w14:paraId="45F5531A" w14:textId="77777777" w:rsidR="00A127EE" w:rsidRPr="002A3C46" w:rsidRDefault="00A127EE" w:rsidP="002A3C46">
      <w:pPr>
        <w:pStyle w:val="naiskr"/>
        <w:spacing w:before="0" w:after="0"/>
        <w:ind w:firstLine="720"/>
        <w:jc w:val="both"/>
      </w:pPr>
      <w:r w:rsidRPr="002A3C46">
        <w:t>Lai gan ir radīts pietiekams un kvalitatīvs juridiskais pamats tiesnešu un arī prokuroru (</w:t>
      </w:r>
      <w:r w:rsidRPr="002A3C46">
        <w:rPr>
          <w:bCs/>
        </w:rPr>
        <w:t>no 2014.gada 1.janvāra saskaņā ar Prokuratūras likuma Pārejas noteikumu 16.punktu  darbojas jauna prokuroru profesionālās darbības novērtēšanas sistēma, kuras ietvaros, tāpat kā tiesnešiem, regulāri (ne retāk kā reizi piecos gados) tiek novērtēta prokuroru profesionālā darbība)</w:t>
      </w:r>
      <w:r w:rsidRPr="002A3C46">
        <w:t xml:space="preserve"> profesionālās kvalifikācijas paaugstināšanai un tiesnešu un prokuroru motivācijai paaugstināt profesionālo kvalifikāciju, tomēr lai nodrošinātu šī uzdevuma izpildi, ir nepieciešams atbalsts tiesu un tiesībaizsardzības iestāžu darbinieku</w:t>
      </w:r>
      <w:r w:rsidRPr="002A3C46">
        <w:rPr>
          <w:rStyle w:val="Vresatsauce"/>
        </w:rPr>
        <w:footnoteReference w:id="2"/>
      </w:r>
      <w:r w:rsidRPr="002A3C46">
        <w:t xml:space="preserve"> apmācību organizēšanai. </w:t>
      </w:r>
    </w:p>
    <w:p w14:paraId="6F81DB0B" w14:textId="77777777" w:rsidR="00A127EE" w:rsidRPr="002A3C46" w:rsidRDefault="00A127EE" w:rsidP="002A3C46">
      <w:pPr>
        <w:pStyle w:val="Sarakstarindkopa"/>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Viens no būtiskiem un joprojām neatrisinātajiem jautājumiem attiecībā uz cilvēkresursu attīstību tiesu varā dēļ finanšu līdzekļu trūkuma ir saistīts ar vienota un ilgtermiņa apmācību modeļa, tajā skaitā, starpdisciplināro apmācību modeļa trūkumu tiesu varai un tiesībaizsardzības iestādēm. Profesionālās pilnveides pasākumiem ir jāvelta būtiska uzmanība, un sistēmā strādājošiem ir nemitīgi jāpilnveido savas profesionālās zināšanas un iemaņas.</w:t>
      </w:r>
    </w:p>
    <w:p w14:paraId="63BD2397" w14:textId="77777777" w:rsidR="00680537" w:rsidRPr="002A3C46" w:rsidRDefault="00A127EE" w:rsidP="002A3C46">
      <w:pPr>
        <w:ind w:firstLine="720"/>
        <w:jc w:val="both"/>
        <w:rPr>
          <w:b/>
        </w:rPr>
      </w:pPr>
      <w:r w:rsidRPr="002A3C46">
        <w:rPr>
          <w:b/>
        </w:rPr>
        <w:t>Tiesiska valsts, kurā pastāv kompetenta tiesu vara</w:t>
      </w:r>
      <w:r w:rsidR="006A5329">
        <w:rPr>
          <w:b/>
        </w:rPr>
        <w:t>,</w:t>
      </w:r>
      <w:r w:rsidRPr="002A3C46">
        <w:rPr>
          <w:b/>
        </w:rPr>
        <w:t xml:space="preserve"> spēj piesaistīt ilgtspējīgas investīcijas, kas cita starpā veicina arī tautsaimniecības izaugsmi. Ņemot vērā pašreizējo sabiedrisko un saimniecisko attiecību intensitāti, pieaug arī nepieciešamība pēc zināšanu paplašināšanas. </w:t>
      </w:r>
      <w:r w:rsidR="00680537" w:rsidRPr="002A3C46">
        <w:rPr>
          <w:b/>
          <w:bCs/>
        </w:rPr>
        <w:t>Stiprinot tiesu varas un tiesībaizsardzības iestāžu darbinieku</w:t>
      </w:r>
      <w:r w:rsidR="00680537" w:rsidRPr="002A3C46">
        <w:rPr>
          <w:rStyle w:val="Vresatsauce"/>
          <w:rFonts w:eastAsiaTheme="majorEastAsia"/>
          <w:b/>
        </w:rPr>
        <w:footnoteReference w:id="3"/>
      </w:r>
      <w:r w:rsidR="00680537" w:rsidRPr="002A3C46">
        <w:rPr>
          <w:b/>
          <w:bCs/>
        </w:rPr>
        <w:t xml:space="preserve"> </w:t>
      </w:r>
      <w:r w:rsidR="00680537" w:rsidRPr="002A3C46">
        <w:rPr>
          <w:b/>
          <w:bCs/>
        </w:rPr>
        <w:lastRenderedPageBreak/>
        <w:t xml:space="preserve">profesionālo kvalifikāciju, tiks veicināta </w:t>
      </w:r>
      <w:r w:rsidR="00680537" w:rsidRPr="002A3C46">
        <w:rPr>
          <w:b/>
        </w:rPr>
        <w:t xml:space="preserve">stipra, kompetenta un neatkarīga tiesu vara un tiesībaizsardzības iestādes, kas ir tiesiskas valsts stūrakmens. </w:t>
      </w:r>
    </w:p>
    <w:p w14:paraId="6A0B3597" w14:textId="77777777" w:rsidR="00680537" w:rsidRPr="002A3C46" w:rsidRDefault="00680537" w:rsidP="002A3C46">
      <w:pPr>
        <w:ind w:firstLine="720"/>
        <w:jc w:val="both"/>
      </w:pPr>
      <w:r w:rsidRPr="002A3C46">
        <w:t>Ņemot vērā minēto, izstrādāts Plāns tiesu varas un tiesībaizsardzības iestāžu darbinieku cilvēkresursu kapacitātes stiprināšanai un kompetenču attīstīšanai.</w:t>
      </w:r>
    </w:p>
    <w:p w14:paraId="4B13C49C" w14:textId="77777777" w:rsidR="00A127EE" w:rsidRPr="002A3C46" w:rsidRDefault="00A127EE" w:rsidP="002A3C46">
      <w:pPr>
        <w:pStyle w:val="Paraststmeklis"/>
        <w:spacing w:before="0" w:beforeAutospacing="0" w:after="0" w:afterAutospacing="0"/>
        <w:ind w:firstLine="720"/>
        <w:jc w:val="both"/>
      </w:pPr>
      <w:r w:rsidRPr="002A3C46">
        <w:t>Plāna izstrādes laikā sasaistē ar pamatnostādnēm 2009.-2015.gadam</w:t>
      </w:r>
      <w:r w:rsidR="006A5329">
        <w:t xml:space="preserve"> un citiem nacionāla līmeņa plānošanas dokumentiem un ES līmeņa rosinātām iniciatīvām (</w:t>
      </w:r>
      <w:proofErr w:type="spellStart"/>
      <w:r w:rsidR="006A5329">
        <w:t>skat</w:t>
      </w:r>
      <w:proofErr w:type="spellEnd"/>
      <w:r w:rsidR="006A5329">
        <w:t xml:space="preserve">. Plāna pielikumu </w:t>
      </w:r>
      <w:proofErr w:type="spellStart"/>
      <w:r w:rsidR="006A5329">
        <w:t>Nr</w:t>
      </w:r>
      <w:proofErr w:type="spellEnd"/>
      <w:r w:rsidR="006A5329">
        <w:t>. 1)</w:t>
      </w:r>
      <w:r w:rsidRPr="002A3C46">
        <w:t xml:space="preserve"> ir identificēti </w:t>
      </w:r>
      <w:proofErr w:type="spellStart"/>
      <w:r w:rsidRPr="002A3C46">
        <w:t>problēmjautājumi</w:t>
      </w:r>
      <w:proofErr w:type="spellEnd"/>
      <w:r w:rsidRPr="002A3C46">
        <w:t xml:space="preserve"> un indikatīvi iezīmēti iespējamie risinājumi un uzdevumi cilvēkresursu kapacitātes celšanai tiesu varā un tiesībaizsardzības iestādēs, kas nav vispār pildīti vai tikuši izpildīti nepilnīgi. </w:t>
      </w:r>
    </w:p>
    <w:p w14:paraId="506A7DF2" w14:textId="77777777" w:rsidR="00680537" w:rsidRPr="002A3C46" w:rsidRDefault="00680537" w:rsidP="002A3C46">
      <w:pPr>
        <w:pStyle w:val="Paraststmeklis"/>
        <w:spacing w:before="0" w:beforeAutospacing="0" w:after="0" w:afterAutospacing="0"/>
        <w:ind w:firstLine="720"/>
        <w:jc w:val="both"/>
      </w:pPr>
      <w:r w:rsidRPr="002A3C46">
        <w:t>Plāns ietver uzdevumus un veicamos pasākumus četros galvenajos rīcības virzienos:</w:t>
      </w:r>
    </w:p>
    <w:p w14:paraId="206E8E9F" w14:textId="77777777" w:rsidR="00680537" w:rsidRPr="002A3C46" w:rsidRDefault="00680537" w:rsidP="002A3C46">
      <w:pPr>
        <w:pStyle w:val="Paraststmeklis"/>
        <w:numPr>
          <w:ilvl w:val="0"/>
          <w:numId w:val="1"/>
        </w:numPr>
        <w:spacing w:before="0" w:beforeAutospacing="0" w:after="0" w:afterAutospacing="0"/>
        <w:ind w:left="0" w:firstLine="720"/>
        <w:jc w:val="both"/>
      </w:pPr>
      <w:r w:rsidRPr="002A3C46">
        <w:t>Plānveidīga tiesu varas un tiesībaizsardzības iestāžu darbinieku nepieciešamo zināšanu, prasmju un iemaņu nodrošināšana;</w:t>
      </w:r>
    </w:p>
    <w:p w14:paraId="4C623E35" w14:textId="77777777" w:rsidR="00680537" w:rsidRPr="002A3C46" w:rsidRDefault="00680537" w:rsidP="002A3C46">
      <w:pPr>
        <w:pStyle w:val="Paraststmeklis"/>
        <w:numPr>
          <w:ilvl w:val="0"/>
          <w:numId w:val="1"/>
        </w:numPr>
        <w:spacing w:before="0" w:beforeAutospacing="0" w:after="0" w:afterAutospacing="0"/>
        <w:ind w:left="0" w:firstLine="720"/>
        <w:jc w:val="both"/>
      </w:pPr>
      <w:r w:rsidRPr="002A3C46">
        <w:t>Efektīva cilvēkresursu izmantošana;</w:t>
      </w:r>
    </w:p>
    <w:p w14:paraId="6FF945ED" w14:textId="77777777" w:rsidR="00680537" w:rsidRPr="002A3C46" w:rsidRDefault="00680537" w:rsidP="002A3C46">
      <w:pPr>
        <w:pStyle w:val="Paraststmeklis"/>
        <w:numPr>
          <w:ilvl w:val="0"/>
          <w:numId w:val="1"/>
        </w:numPr>
        <w:spacing w:before="0" w:beforeAutospacing="0" w:after="0" w:afterAutospacing="0"/>
        <w:ind w:left="0" w:firstLine="720"/>
        <w:jc w:val="both"/>
      </w:pPr>
      <w:r w:rsidRPr="002A3C46">
        <w:t>Tiesu noslodzes jautājuma risināšana, veicinot alternatīvo domstarpību risināšanas (ADR) veidu izmantošanu;</w:t>
      </w:r>
    </w:p>
    <w:p w14:paraId="48FC8AA9" w14:textId="77777777" w:rsidR="00680537" w:rsidRPr="002A3C46" w:rsidRDefault="00680537" w:rsidP="002A3C46">
      <w:pPr>
        <w:pStyle w:val="Paraststmeklis"/>
        <w:numPr>
          <w:ilvl w:val="0"/>
          <w:numId w:val="1"/>
        </w:numPr>
        <w:spacing w:before="0" w:beforeAutospacing="0" w:after="0" w:afterAutospacing="0"/>
        <w:ind w:left="0" w:firstLine="720"/>
        <w:jc w:val="both"/>
      </w:pPr>
      <w:r w:rsidRPr="002A3C46">
        <w:t>Uz pētījumiem un izvērtējumu balstīta politikas īstenošana un cilvēkresursu attīstības plānošana.</w:t>
      </w:r>
    </w:p>
    <w:p w14:paraId="1B604F16" w14:textId="77777777" w:rsidR="00F55DF9" w:rsidRPr="002A3C46" w:rsidRDefault="008C325C" w:rsidP="002A3C46">
      <w:pPr>
        <w:ind w:firstLine="720"/>
        <w:jc w:val="both"/>
      </w:pPr>
      <w:r w:rsidRPr="002A3C46">
        <w:t>P</w:t>
      </w:r>
      <w:r w:rsidR="00F55DF9" w:rsidRPr="002A3C46">
        <w:rPr>
          <w:iCs/>
        </w:rPr>
        <w:t>amatnostād</w:t>
      </w:r>
      <w:r w:rsidR="00680537" w:rsidRPr="002A3C46">
        <w:rPr>
          <w:iCs/>
        </w:rPr>
        <w:t>nēs</w:t>
      </w:r>
      <w:r w:rsidR="00F55DF9" w:rsidRPr="002A3C46">
        <w:rPr>
          <w:iCs/>
        </w:rPr>
        <w:t xml:space="preserve"> „Intelektuālā īpašuma tiesību aizsardzības un nodrošināšanas pamatnostādnes 2014. – 2018. </w:t>
      </w:r>
      <w:r w:rsidR="00680537" w:rsidRPr="002A3C46">
        <w:rPr>
          <w:iCs/>
        </w:rPr>
        <w:t>g</w:t>
      </w:r>
      <w:r w:rsidR="00F55DF9" w:rsidRPr="002A3C46">
        <w:rPr>
          <w:iCs/>
        </w:rPr>
        <w:t>adam</w:t>
      </w:r>
      <w:r w:rsidR="00680537" w:rsidRPr="002A3C46">
        <w:rPr>
          <w:iCs/>
        </w:rPr>
        <w:t>” paredzētās</w:t>
      </w:r>
      <w:r w:rsidR="00F55DF9" w:rsidRPr="002A3C46">
        <w:rPr>
          <w:iCs/>
        </w:rPr>
        <w:t xml:space="preserve"> atsevišķ</w:t>
      </w:r>
      <w:r w:rsidR="00680537" w:rsidRPr="002A3C46">
        <w:rPr>
          <w:iCs/>
        </w:rPr>
        <w:t>ā</w:t>
      </w:r>
      <w:r w:rsidR="00F55DF9" w:rsidRPr="002A3C46">
        <w:rPr>
          <w:iCs/>
        </w:rPr>
        <w:t xml:space="preserve">s apmācības un pētījumi </w:t>
      </w:r>
      <w:r w:rsidR="00F55DF9" w:rsidRPr="002A3C46">
        <w:t>intelektuālā īpašuma tiesību aizsardzības jomā</w:t>
      </w:r>
      <w:r w:rsidR="00680537" w:rsidRPr="002A3C46">
        <w:t>, kā arī pamatnostādņu projektā „Korupcijas novēršanas un apkarošanas pamatnostādnes 2014.-2020.gadam” paredzēti uzdevumi apmācību un kvalifikācijas celšanas jomās</w:t>
      </w:r>
      <w:r w:rsidR="00F55DF9" w:rsidRPr="002A3C46">
        <w:t xml:space="preserve"> netiek iekļauti </w:t>
      </w:r>
      <w:r w:rsidRPr="002A3C46">
        <w:t>p</w:t>
      </w:r>
      <w:r w:rsidR="00F55DF9" w:rsidRPr="002A3C46">
        <w:t>lānā paredzēto aktivitāšu plānā.</w:t>
      </w:r>
    </w:p>
    <w:p w14:paraId="58C6C2BA" w14:textId="77777777" w:rsidR="00F55DF9" w:rsidRPr="002A3C46" w:rsidRDefault="00F55DF9" w:rsidP="002A3C46">
      <w:pPr>
        <w:pStyle w:val="Sarakstarindkopa"/>
        <w:tabs>
          <w:tab w:val="left" w:pos="993"/>
        </w:tabs>
        <w:spacing w:after="0" w:line="240" w:lineRule="auto"/>
        <w:ind w:left="0" w:firstLine="720"/>
        <w:jc w:val="both"/>
        <w:rPr>
          <w:rFonts w:ascii="Times New Roman" w:hAnsi="Times New Roman" w:cs="Times New Roman"/>
          <w:sz w:val="24"/>
          <w:szCs w:val="24"/>
        </w:rPr>
      </w:pPr>
    </w:p>
    <w:p w14:paraId="5C293B33" w14:textId="77777777" w:rsidR="005D1B62" w:rsidRPr="002A3C46" w:rsidRDefault="00680537" w:rsidP="00C604EE">
      <w:pPr>
        <w:pStyle w:val="Paraststmeklis"/>
        <w:spacing w:before="0" w:beforeAutospacing="0" w:after="0" w:afterAutospacing="0"/>
        <w:ind w:firstLine="720"/>
        <w:jc w:val="center"/>
        <w:rPr>
          <w:b/>
        </w:rPr>
      </w:pPr>
      <w:r w:rsidRPr="002A3C46">
        <w:rPr>
          <w:b/>
        </w:rPr>
        <w:t>II. PLĀNA MĒRĶIS, RĪCĪBAS VIRZIENI UN UZDEVUMI</w:t>
      </w:r>
    </w:p>
    <w:p w14:paraId="34D1075E" w14:textId="77777777" w:rsidR="00263C7B" w:rsidRPr="002A3C46" w:rsidRDefault="00B63D92" w:rsidP="002A3C46">
      <w:pPr>
        <w:ind w:firstLine="720"/>
        <w:jc w:val="both"/>
        <w:rPr>
          <w:b/>
        </w:rPr>
      </w:pPr>
      <w:r w:rsidRPr="002A3C46">
        <w:rPr>
          <w:b/>
        </w:rPr>
        <w:t xml:space="preserve">Plāns izstrādāts, lai </w:t>
      </w:r>
      <w:r w:rsidR="000036B4" w:rsidRPr="002A3C46">
        <w:rPr>
          <w:b/>
        </w:rPr>
        <w:t xml:space="preserve">īstenotu cilvēkresursu kapacitātes stiprināšanu tiesu varā, tādejādi nodrošinot ātrāku, kvalitatīvāku lietu izskatīšanu </w:t>
      </w:r>
      <w:r w:rsidR="000036B4" w:rsidRPr="002A3C46">
        <w:rPr>
          <w:b/>
          <w:lang w:eastAsia="en-GB"/>
        </w:rPr>
        <w:t>komercdarbības vides uzlabošanas sekmēšanai.</w:t>
      </w:r>
    </w:p>
    <w:p w14:paraId="521473F2" w14:textId="77777777" w:rsidR="00B63D92" w:rsidRPr="002A3C46" w:rsidRDefault="00B63D92" w:rsidP="002A3C46">
      <w:pPr>
        <w:ind w:firstLine="720"/>
        <w:jc w:val="both"/>
        <w:rPr>
          <w:lang w:eastAsia="en-GB"/>
        </w:rPr>
      </w:pPr>
      <w:r w:rsidRPr="002A3C46">
        <w:t xml:space="preserve">Ar ES fonda finansējuma saņemšanu plānots pilnveidot tiesu varas un tiesībaizsardzības iestāžu darbinieku kvalifikācijas paaugstināšanas sistēmas modeli un saturu, izstrādājot un ieviešot apmācību programmas, kas balstītas uz jaunākajiem zinātnes sasniegumiem tiesību nozarē un starptautisko normatīvo dokumentu piemērošanas praksi, vienlaikus nodrošinot personības attīstību, pilnveidojot profesionālo meistarību atbilstoši konkrētās profesijas prasībām, kā arī īpašu uzmanību pievēršot </w:t>
      </w:r>
      <w:r w:rsidRPr="002A3C46">
        <w:rPr>
          <w:lang w:eastAsia="en-GB"/>
        </w:rPr>
        <w:t>tiesu un tiesībsargājošo institūciju personāla kompetences paaugstināšanai komercdarbības vides uzlabošanas sekmēšanai.</w:t>
      </w:r>
    </w:p>
    <w:p w14:paraId="75B0D9BC" w14:textId="77777777" w:rsidR="00CA53B3" w:rsidRPr="002A3C46" w:rsidRDefault="00CA53B3" w:rsidP="002A3C46">
      <w:pPr>
        <w:ind w:firstLine="720"/>
        <w:jc w:val="both"/>
        <w:rPr>
          <w:b/>
          <w:lang w:eastAsia="en-GB"/>
        </w:rPr>
      </w:pPr>
    </w:p>
    <w:p w14:paraId="1C9E04CC" w14:textId="77777777" w:rsidR="00240EDE" w:rsidRPr="002A3C46" w:rsidRDefault="00CA53B3" w:rsidP="002A3C46">
      <w:pPr>
        <w:ind w:firstLine="720"/>
        <w:jc w:val="both"/>
      </w:pPr>
      <w:r w:rsidRPr="002A3C46">
        <w:rPr>
          <w:b/>
          <w:lang w:eastAsia="en-GB"/>
        </w:rPr>
        <w:t xml:space="preserve">1.rīcības virziens </w:t>
      </w:r>
      <w:r w:rsidR="00240EDE" w:rsidRPr="002A3C46">
        <w:rPr>
          <w:b/>
        </w:rPr>
        <w:t>Plānveidīga tiesu varas un tiesībaizsardzības iestāžu darbinieku nepieciešamo zināšanu, prasmju un iemaņu nodrošināšana</w:t>
      </w:r>
      <w:r w:rsidR="00E46A1C" w:rsidRPr="002A3C46">
        <w:rPr>
          <w:rStyle w:val="Vresatsauce"/>
          <w:b/>
        </w:rPr>
        <w:footnoteReference w:id="4"/>
      </w:r>
    </w:p>
    <w:p w14:paraId="752AD78E" w14:textId="77777777" w:rsidR="00240EDE" w:rsidRPr="002A3C46" w:rsidRDefault="00240EDE" w:rsidP="002A3C46">
      <w:pPr>
        <w:pStyle w:val="Sarakstarindkopa"/>
        <w:numPr>
          <w:ilvl w:val="0"/>
          <w:numId w:val="18"/>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 xml:space="preserve">Pilnveidot apmācību saturu, programmas un apmācību institucionālo modeli, </w:t>
      </w:r>
      <w:r w:rsidR="00516790" w:rsidRPr="002A3C46">
        <w:rPr>
          <w:rFonts w:ascii="Times New Roman" w:hAnsi="Times New Roman" w:cs="Times New Roman"/>
          <w:sz w:val="24"/>
          <w:szCs w:val="24"/>
        </w:rPr>
        <w:t xml:space="preserve">izstrādājot e-apmācību modeli, </w:t>
      </w:r>
      <w:r w:rsidR="00516790" w:rsidRPr="002A3C46">
        <w:rPr>
          <w:rFonts w:ascii="Times New Roman" w:hAnsi="Times New Roman" w:cs="Times New Roman"/>
          <w:bCs/>
          <w:sz w:val="24"/>
          <w:szCs w:val="24"/>
        </w:rPr>
        <w:t xml:space="preserve">individualizējot prasmju un zināšanu novērtējumu, radot mācību programmu individualizācijas līmeni, </w:t>
      </w:r>
      <w:r w:rsidR="00516790" w:rsidRPr="002A3C46">
        <w:rPr>
          <w:rFonts w:ascii="Times New Roman" w:hAnsi="Times New Roman" w:cs="Times New Roman"/>
          <w:sz w:val="24"/>
          <w:szCs w:val="24"/>
        </w:rPr>
        <w:t>ieviešot starpdisciplināru pieeju apmācību programmu plānošanā un īstenošanā starp tiesu varu un tiesībaizsardzības iestādēm, izstrādāt ilglaicīgu un stabilu mācību stratēģiju un nodrošināt secīgu, nepārtrauktu mācību procesu, tādejādi veicinot tiesnešu un tiesībaizsardzības iestāžu darbinieku kompetences celšanu</w:t>
      </w:r>
      <w:r w:rsidR="00E4757F" w:rsidRPr="002A3C46">
        <w:rPr>
          <w:rFonts w:ascii="Times New Roman" w:hAnsi="Times New Roman" w:cs="Times New Roman"/>
          <w:sz w:val="24"/>
          <w:szCs w:val="24"/>
        </w:rPr>
        <w:t xml:space="preserve"> </w:t>
      </w:r>
      <w:r w:rsidRPr="002A3C46">
        <w:rPr>
          <w:rFonts w:ascii="Times New Roman" w:hAnsi="Times New Roman" w:cs="Times New Roman"/>
          <w:sz w:val="24"/>
          <w:szCs w:val="24"/>
        </w:rPr>
        <w:t>(</w:t>
      </w:r>
      <w:proofErr w:type="spellStart"/>
      <w:r w:rsidRPr="002A3C46">
        <w:rPr>
          <w:rFonts w:ascii="Times New Roman" w:hAnsi="Times New Roman" w:cs="Times New Roman"/>
          <w:sz w:val="24"/>
          <w:szCs w:val="24"/>
        </w:rPr>
        <w:t>skat</w:t>
      </w:r>
      <w:proofErr w:type="spellEnd"/>
      <w:r w:rsidRPr="002A3C46">
        <w:rPr>
          <w:rFonts w:ascii="Times New Roman" w:hAnsi="Times New Roman" w:cs="Times New Roman"/>
          <w:sz w:val="24"/>
          <w:szCs w:val="24"/>
        </w:rPr>
        <w:t>. 1., 2., 3., 4., 5., 7., 8., 9., 11. uzdevumu);</w:t>
      </w:r>
    </w:p>
    <w:p w14:paraId="079C4D70" w14:textId="77777777" w:rsidR="00240EDE" w:rsidRPr="002A3C46" w:rsidRDefault="00240EDE" w:rsidP="002A3C46">
      <w:pPr>
        <w:pStyle w:val="Sarakstarindkopa"/>
        <w:numPr>
          <w:ilvl w:val="0"/>
          <w:numId w:val="18"/>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lastRenderedPageBreak/>
        <w:t>Izstrādāt rokasgrāmatas, veicinot jauno tiesas un tiesu sistēmai piederīgo darbinieku kompetences līmeni un atvieglojot pienākumu izpild</w:t>
      </w:r>
      <w:r w:rsidR="00516790" w:rsidRPr="002A3C46">
        <w:rPr>
          <w:rFonts w:ascii="Times New Roman" w:hAnsi="Times New Roman" w:cs="Times New Roman"/>
          <w:sz w:val="24"/>
          <w:szCs w:val="24"/>
        </w:rPr>
        <w:t>es uzsākšanu</w:t>
      </w:r>
      <w:r w:rsidRPr="002A3C46">
        <w:rPr>
          <w:rFonts w:ascii="Times New Roman" w:hAnsi="Times New Roman" w:cs="Times New Roman"/>
          <w:sz w:val="24"/>
          <w:szCs w:val="24"/>
        </w:rPr>
        <w:t xml:space="preserve"> (</w:t>
      </w:r>
      <w:proofErr w:type="spellStart"/>
      <w:r w:rsidRPr="002A3C46">
        <w:rPr>
          <w:rFonts w:ascii="Times New Roman" w:hAnsi="Times New Roman" w:cs="Times New Roman"/>
          <w:sz w:val="24"/>
          <w:szCs w:val="24"/>
        </w:rPr>
        <w:t>skat</w:t>
      </w:r>
      <w:proofErr w:type="spellEnd"/>
      <w:r w:rsidRPr="002A3C46">
        <w:rPr>
          <w:rFonts w:ascii="Times New Roman" w:hAnsi="Times New Roman" w:cs="Times New Roman"/>
          <w:sz w:val="24"/>
          <w:szCs w:val="24"/>
        </w:rPr>
        <w:t>. 10., 13.uzdevumu);</w:t>
      </w:r>
    </w:p>
    <w:p w14:paraId="125375EA" w14:textId="77777777" w:rsidR="00240EDE" w:rsidRPr="002A3C46" w:rsidRDefault="00240EDE" w:rsidP="002A3C46">
      <w:pPr>
        <w:pStyle w:val="Sarakstarindkopa"/>
        <w:numPr>
          <w:ilvl w:val="0"/>
          <w:numId w:val="18"/>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Apkopot un publicēt judikatūru un vienotas tiesas prakses piemērus, lai nodrošinātu vienveidīgu tiesu praksi (skat.6. un 12. uzdevumu);</w:t>
      </w:r>
    </w:p>
    <w:p w14:paraId="26DF5CA3" w14:textId="77777777" w:rsidR="00240EDE" w:rsidRPr="002A3C46" w:rsidRDefault="00240EDE" w:rsidP="002A3C46">
      <w:pPr>
        <w:pStyle w:val="Sarakstarindkopa"/>
        <w:numPr>
          <w:ilvl w:val="0"/>
          <w:numId w:val="18"/>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Nodrošināt</w:t>
      </w:r>
      <w:r w:rsidR="00E37BCB" w:rsidRPr="002A3C46">
        <w:rPr>
          <w:rFonts w:ascii="Times New Roman" w:hAnsi="Times New Roman" w:cs="Times New Roman"/>
          <w:sz w:val="24"/>
          <w:szCs w:val="24"/>
        </w:rPr>
        <w:t xml:space="preserve"> tiesnešu</w:t>
      </w:r>
      <w:r w:rsidRPr="002A3C46">
        <w:rPr>
          <w:rFonts w:ascii="Times New Roman" w:hAnsi="Times New Roman" w:cs="Times New Roman"/>
          <w:sz w:val="24"/>
          <w:szCs w:val="24"/>
        </w:rPr>
        <w:t xml:space="preserve"> pieredzes apmaiņ</w:t>
      </w:r>
      <w:r w:rsidR="00E37BCB" w:rsidRPr="002A3C46">
        <w:rPr>
          <w:rFonts w:ascii="Times New Roman" w:hAnsi="Times New Roman" w:cs="Times New Roman"/>
          <w:sz w:val="24"/>
          <w:szCs w:val="24"/>
        </w:rPr>
        <w:t>as vizītes, apgūstot citu ES dalībvalstu tiesnešu prasmes</w:t>
      </w:r>
      <w:r w:rsidR="00516790" w:rsidRPr="002A3C46">
        <w:rPr>
          <w:rFonts w:ascii="Times New Roman" w:hAnsi="Times New Roman" w:cs="Times New Roman"/>
          <w:sz w:val="24"/>
          <w:szCs w:val="24"/>
        </w:rPr>
        <w:t xml:space="preserve"> </w:t>
      </w:r>
      <w:r w:rsidR="00E37BCB" w:rsidRPr="002A3C46">
        <w:rPr>
          <w:rFonts w:ascii="Times New Roman" w:hAnsi="Times New Roman" w:cs="Times New Roman"/>
          <w:sz w:val="24"/>
          <w:szCs w:val="24"/>
        </w:rPr>
        <w:t>un veicinot vienotu ES tiesību izpratnes veidošanos</w:t>
      </w:r>
      <w:r w:rsidRPr="002A3C46">
        <w:rPr>
          <w:rFonts w:ascii="Times New Roman" w:hAnsi="Times New Roman" w:cs="Times New Roman"/>
          <w:sz w:val="24"/>
          <w:szCs w:val="24"/>
        </w:rPr>
        <w:t xml:space="preserve"> (skat.14.uzdevumu).</w:t>
      </w:r>
    </w:p>
    <w:p w14:paraId="61F1AFC1" w14:textId="77777777" w:rsidR="00CA53B3" w:rsidRPr="002A3C46" w:rsidRDefault="00CA53B3" w:rsidP="002A3C46">
      <w:pPr>
        <w:pStyle w:val="Paraststmeklis"/>
        <w:spacing w:before="0" w:beforeAutospacing="0" w:after="0" w:afterAutospacing="0"/>
        <w:ind w:left="720"/>
        <w:jc w:val="both"/>
      </w:pPr>
    </w:p>
    <w:p w14:paraId="0FF07774" w14:textId="77777777" w:rsidR="00240EDE" w:rsidRPr="002A3C46" w:rsidRDefault="00CA53B3" w:rsidP="002A3C46">
      <w:pPr>
        <w:ind w:firstLine="720"/>
        <w:jc w:val="both"/>
        <w:rPr>
          <w:b/>
        </w:rPr>
      </w:pPr>
      <w:r w:rsidRPr="002A3C46">
        <w:rPr>
          <w:b/>
          <w:lang w:eastAsia="en-GB"/>
        </w:rPr>
        <w:t xml:space="preserve">2.rīcības virziens </w:t>
      </w:r>
      <w:r w:rsidR="00240EDE" w:rsidRPr="002A3C46">
        <w:rPr>
          <w:b/>
        </w:rPr>
        <w:t>Efektīva cilvēkresursu izmantošana</w:t>
      </w:r>
      <w:r w:rsidR="00E46A1C" w:rsidRPr="002A3C46">
        <w:rPr>
          <w:rStyle w:val="Vresatsauce"/>
          <w:b/>
        </w:rPr>
        <w:footnoteReference w:id="5"/>
      </w:r>
    </w:p>
    <w:p w14:paraId="172345AE" w14:textId="77777777" w:rsidR="00240EDE" w:rsidRPr="002A3C46" w:rsidRDefault="00240EDE" w:rsidP="002A3C46">
      <w:pPr>
        <w:pStyle w:val="Sarakstarindkopa"/>
        <w:numPr>
          <w:ilvl w:val="0"/>
          <w:numId w:val="19"/>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pārskatīt tiesnešu amata kandidātu atlases kārtību</w:t>
      </w:r>
      <w:r w:rsidR="00E4757F" w:rsidRPr="002A3C46">
        <w:rPr>
          <w:rFonts w:ascii="Times New Roman" w:hAnsi="Times New Roman" w:cs="Times New Roman"/>
          <w:sz w:val="24"/>
          <w:szCs w:val="24"/>
        </w:rPr>
        <w:t xml:space="preserve">, samazinot vakantās tiesneša amata vietas ilgumu, individualizēt tiesneša amata kandidāta apmācības stažēšanās laikā, nodrošinot tiesneša </w:t>
      </w:r>
      <w:proofErr w:type="spellStart"/>
      <w:r w:rsidR="00E4757F" w:rsidRPr="002A3C46">
        <w:rPr>
          <w:rFonts w:ascii="Times New Roman" w:hAnsi="Times New Roman" w:cs="Times New Roman"/>
          <w:sz w:val="24"/>
          <w:szCs w:val="24"/>
        </w:rPr>
        <w:t>mentora</w:t>
      </w:r>
      <w:proofErr w:type="spellEnd"/>
      <w:r w:rsidR="00E4757F" w:rsidRPr="002A3C46">
        <w:rPr>
          <w:rFonts w:ascii="Times New Roman" w:hAnsi="Times New Roman" w:cs="Times New Roman"/>
          <w:sz w:val="24"/>
          <w:szCs w:val="24"/>
        </w:rPr>
        <w:t xml:space="preserve"> institūta ieviešanu, nodrošinot nesen amatā ieceltā tiesneša turpmāku socializāciju un ievadīšanu tiesneša darbā</w:t>
      </w:r>
      <w:r w:rsidRPr="002A3C46">
        <w:rPr>
          <w:rFonts w:ascii="Times New Roman" w:hAnsi="Times New Roman" w:cs="Times New Roman"/>
          <w:sz w:val="24"/>
          <w:szCs w:val="24"/>
        </w:rPr>
        <w:t xml:space="preserve"> (</w:t>
      </w:r>
      <w:proofErr w:type="spellStart"/>
      <w:r w:rsidRPr="002A3C46">
        <w:rPr>
          <w:rFonts w:ascii="Times New Roman" w:hAnsi="Times New Roman" w:cs="Times New Roman"/>
          <w:sz w:val="24"/>
          <w:szCs w:val="24"/>
        </w:rPr>
        <w:t>skat</w:t>
      </w:r>
      <w:proofErr w:type="spellEnd"/>
      <w:r w:rsidRPr="002A3C46">
        <w:rPr>
          <w:rFonts w:ascii="Times New Roman" w:hAnsi="Times New Roman" w:cs="Times New Roman"/>
          <w:sz w:val="24"/>
          <w:szCs w:val="24"/>
        </w:rPr>
        <w:t>. 15., 16., 17.uzdevumu);</w:t>
      </w:r>
    </w:p>
    <w:p w14:paraId="3F34E1F4" w14:textId="77777777" w:rsidR="00240EDE" w:rsidRPr="002A3C46" w:rsidRDefault="00240EDE" w:rsidP="002A3C46">
      <w:pPr>
        <w:pStyle w:val="Sarakstarindkopa"/>
        <w:numPr>
          <w:ilvl w:val="0"/>
          <w:numId w:val="19"/>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nodrošināt tiesas iestādes vadības uzlabošanas pasākumus (skat.18.uzdevumu);</w:t>
      </w:r>
    </w:p>
    <w:p w14:paraId="6ACD1AE4" w14:textId="77777777" w:rsidR="00240EDE" w:rsidRPr="002A3C46" w:rsidRDefault="00240EDE" w:rsidP="002A3C46">
      <w:pPr>
        <w:pStyle w:val="Sarakstarindkopa"/>
        <w:numPr>
          <w:ilvl w:val="0"/>
          <w:numId w:val="19"/>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 xml:space="preserve">izveidot </w:t>
      </w:r>
      <w:r w:rsidRPr="002A3C46">
        <w:rPr>
          <w:rFonts w:ascii="Times New Roman" w:hAnsi="Times New Roman" w:cs="Times New Roman"/>
          <w:bCs/>
          <w:sz w:val="24"/>
          <w:szCs w:val="24"/>
        </w:rPr>
        <w:t>ES tiesību konsultantu amata vietas (skat.19.uzdevumu);</w:t>
      </w:r>
    </w:p>
    <w:p w14:paraId="598D8115" w14:textId="77777777" w:rsidR="00240EDE" w:rsidRPr="002A3C46" w:rsidRDefault="00240EDE" w:rsidP="002A3C46">
      <w:pPr>
        <w:pStyle w:val="Sarakstarindkopa"/>
        <w:numPr>
          <w:ilvl w:val="0"/>
          <w:numId w:val="19"/>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pārskatīt tiesneša palīga tiesības, pienākumus un atbildību (skat.20.uzdevumu);</w:t>
      </w:r>
    </w:p>
    <w:p w14:paraId="249DDDD2" w14:textId="77777777" w:rsidR="00240EDE" w:rsidRPr="002A3C46" w:rsidRDefault="00240EDE" w:rsidP="002A3C46">
      <w:pPr>
        <w:pStyle w:val="Sarakstarindkopa"/>
        <w:numPr>
          <w:ilvl w:val="0"/>
          <w:numId w:val="19"/>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 xml:space="preserve">veicināt tiesnešu </w:t>
      </w:r>
      <w:r w:rsidRPr="002A3C46">
        <w:rPr>
          <w:rFonts w:ascii="Times New Roman" w:hAnsi="Times New Roman" w:cs="Times New Roman"/>
          <w:bCs/>
          <w:sz w:val="24"/>
          <w:szCs w:val="24"/>
        </w:rPr>
        <w:t>iesaisti sadarbības tīklā nacionālā un Eiropas līmenī (skat.21.uzdevumu).</w:t>
      </w:r>
    </w:p>
    <w:p w14:paraId="575376F0" w14:textId="77777777" w:rsidR="00CA53B3" w:rsidRPr="002A3C46" w:rsidRDefault="00CA53B3" w:rsidP="002A3C46">
      <w:pPr>
        <w:pStyle w:val="Paraststmeklis"/>
        <w:spacing w:before="0" w:beforeAutospacing="0" w:after="0" w:afterAutospacing="0"/>
        <w:ind w:left="720"/>
        <w:jc w:val="both"/>
      </w:pPr>
    </w:p>
    <w:p w14:paraId="3806B120" w14:textId="77777777" w:rsidR="00240EDE" w:rsidRPr="002A3C46" w:rsidRDefault="00CA53B3" w:rsidP="002A3C46">
      <w:pPr>
        <w:ind w:firstLine="720"/>
        <w:jc w:val="both"/>
        <w:rPr>
          <w:b/>
        </w:rPr>
      </w:pPr>
      <w:r w:rsidRPr="002A3C46">
        <w:rPr>
          <w:b/>
          <w:lang w:eastAsia="en-GB"/>
        </w:rPr>
        <w:t xml:space="preserve">3.rīcības virziens </w:t>
      </w:r>
      <w:r w:rsidR="00240EDE" w:rsidRPr="002A3C46">
        <w:rPr>
          <w:b/>
        </w:rPr>
        <w:t>Tiesu noslodzes jautājumu risināšana, veicinot alternatīvo domstarpību risināšanas (ADR) veidu izmantošanu</w:t>
      </w:r>
      <w:r w:rsidR="00E46A1C" w:rsidRPr="002A3C46">
        <w:rPr>
          <w:rStyle w:val="Vresatsauce"/>
          <w:b/>
        </w:rPr>
        <w:footnoteReference w:id="6"/>
      </w:r>
    </w:p>
    <w:p w14:paraId="73C5ED97" w14:textId="77777777" w:rsidR="00240EDE" w:rsidRPr="002A3C46" w:rsidRDefault="00240EDE" w:rsidP="002A3C46">
      <w:pPr>
        <w:pStyle w:val="Sarakstarindkopa"/>
        <w:numPr>
          <w:ilvl w:val="0"/>
          <w:numId w:val="20"/>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Veicināt tiesnešu izpratni par ADR (skat.22., 23.uzdevumu).</w:t>
      </w:r>
    </w:p>
    <w:p w14:paraId="0B38B950" w14:textId="77777777" w:rsidR="00CA53B3" w:rsidRPr="002A3C46" w:rsidRDefault="00CA53B3" w:rsidP="002A3C46">
      <w:pPr>
        <w:pStyle w:val="Paraststmeklis"/>
        <w:spacing w:before="0" w:beforeAutospacing="0" w:after="0" w:afterAutospacing="0"/>
        <w:ind w:left="720"/>
        <w:jc w:val="both"/>
      </w:pPr>
    </w:p>
    <w:p w14:paraId="1A29E47E" w14:textId="77777777" w:rsidR="00240EDE" w:rsidRPr="002A3C46" w:rsidRDefault="00CA53B3" w:rsidP="002A3C46">
      <w:pPr>
        <w:ind w:firstLine="720"/>
        <w:jc w:val="both"/>
        <w:rPr>
          <w:bCs/>
        </w:rPr>
      </w:pPr>
      <w:r w:rsidRPr="002A3C46">
        <w:rPr>
          <w:b/>
          <w:lang w:eastAsia="en-GB"/>
        </w:rPr>
        <w:t xml:space="preserve">4.rīcības virziens </w:t>
      </w:r>
      <w:r w:rsidR="00240EDE" w:rsidRPr="002A3C46">
        <w:rPr>
          <w:b/>
        </w:rPr>
        <w:t>Uz pētījumiem un izvērtējumu balstīta politikas īstenošana un cilvēkresursu attīstības plānošana</w:t>
      </w:r>
      <w:r w:rsidR="00E46A1C" w:rsidRPr="002A3C46">
        <w:rPr>
          <w:rStyle w:val="Vresatsauce"/>
          <w:b/>
        </w:rPr>
        <w:footnoteReference w:id="7"/>
      </w:r>
    </w:p>
    <w:p w14:paraId="542F729D" w14:textId="77777777" w:rsidR="00240EDE" w:rsidRPr="002A3C46" w:rsidRDefault="00240EDE" w:rsidP="002A3C46">
      <w:pPr>
        <w:pStyle w:val="Sarakstarindkopa"/>
        <w:numPr>
          <w:ilvl w:val="0"/>
          <w:numId w:val="21"/>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Celt tiesu varas prestiž</w:t>
      </w:r>
      <w:r w:rsidR="00516790" w:rsidRPr="002A3C46">
        <w:rPr>
          <w:rFonts w:ascii="Times New Roman" w:hAnsi="Times New Roman" w:cs="Times New Roman"/>
          <w:sz w:val="24"/>
          <w:szCs w:val="24"/>
        </w:rPr>
        <w:t>u</w:t>
      </w:r>
      <w:r w:rsidRPr="002A3C46">
        <w:rPr>
          <w:rFonts w:ascii="Times New Roman" w:hAnsi="Times New Roman" w:cs="Times New Roman"/>
          <w:sz w:val="24"/>
          <w:szCs w:val="24"/>
        </w:rPr>
        <w:t xml:space="preserve"> sabiedrībā (skat.24., 25.uzdevumu);</w:t>
      </w:r>
    </w:p>
    <w:p w14:paraId="3B4CDDC2" w14:textId="6A790880" w:rsidR="00516790" w:rsidRPr="002A3C46" w:rsidRDefault="00240EDE" w:rsidP="002A3C46">
      <w:pPr>
        <w:pStyle w:val="Sarakstarindkopa"/>
        <w:numPr>
          <w:ilvl w:val="0"/>
          <w:numId w:val="21"/>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Veikt pētījumus par tiesu sistēmas darbību</w:t>
      </w:r>
      <w:r w:rsidR="00516790" w:rsidRPr="002A3C46">
        <w:rPr>
          <w:rFonts w:ascii="Times New Roman" w:hAnsi="Times New Roman" w:cs="Times New Roman"/>
          <w:sz w:val="24"/>
          <w:szCs w:val="24"/>
        </w:rPr>
        <w:t>, lai veicinātu tiesas kā pakalpojumu sniedzēja darbības ērtumu un vienkāršumu ikvienam tiesas klientam, kā arī</w:t>
      </w:r>
      <w:proofErr w:type="gramStart"/>
      <w:r w:rsidR="00516790" w:rsidRPr="002A3C46">
        <w:rPr>
          <w:rFonts w:ascii="Times New Roman" w:hAnsi="Times New Roman" w:cs="Times New Roman"/>
          <w:sz w:val="24"/>
          <w:szCs w:val="24"/>
        </w:rPr>
        <w:t xml:space="preserve"> novēršot </w:t>
      </w:r>
      <w:proofErr w:type="spellStart"/>
      <w:r w:rsidR="00516790" w:rsidRPr="002A3C46">
        <w:rPr>
          <w:rFonts w:ascii="Times New Roman" w:hAnsi="Times New Roman" w:cs="Times New Roman"/>
          <w:sz w:val="24"/>
          <w:szCs w:val="24"/>
        </w:rPr>
        <w:t>fragmentārismu</w:t>
      </w:r>
      <w:proofErr w:type="spellEnd"/>
      <w:r w:rsidR="00516790" w:rsidRPr="002A3C46">
        <w:rPr>
          <w:rFonts w:ascii="Times New Roman" w:hAnsi="Times New Roman" w:cs="Times New Roman"/>
          <w:sz w:val="24"/>
          <w:szCs w:val="24"/>
        </w:rPr>
        <w:t xml:space="preserve"> attiecībā uz kāda konkrēta viena vai atsevišķu dažu jautājumu noskaidrošanu pētījumos</w:t>
      </w:r>
      <w:proofErr w:type="gramEnd"/>
      <w:r w:rsidR="00516790" w:rsidRPr="002A3C46">
        <w:rPr>
          <w:rFonts w:ascii="Times New Roman" w:hAnsi="Times New Roman" w:cs="Times New Roman"/>
          <w:sz w:val="24"/>
          <w:szCs w:val="24"/>
        </w:rPr>
        <w:t xml:space="preserve">, kā rezultātā bieži vien veiktie grozījumi normatīvajos aktos ir bez visaptveroša </w:t>
      </w:r>
      <w:proofErr w:type="spellStart"/>
      <w:r w:rsidR="00516790" w:rsidRPr="002A3C46">
        <w:rPr>
          <w:rFonts w:ascii="Times New Roman" w:hAnsi="Times New Roman" w:cs="Times New Roman"/>
          <w:sz w:val="24"/>
          <w:szCs w:val="24"/>
        </w:rPr>
        <w:t>ex-antes</w:t>
      </w:r>
      <w:proofErr w:type="spellEnd"/>
      <w:r w:rsidR="00516790" w:rsidRPr="002A3C46">
        <w:rPr>
          <w:rFonts w:ascii="Times New Roman" w:hAnsi="Times New Roman" w:cs="Times New Roman"/>
          <w:sz w:val="24"/>
          <w:szCs w:val="24"/>
        </w:rPr>
        <w:t xml:space="preserve"> novērtējuma, ko varētu sniegt pētījums, kā arī pamatā netiek veikts </w:t>
      </w:r>
      <w:proofErr w:type="spellStart"/>
      <w:r w:rsidR="00516790" w:rsidRPr="002A3C46">
        <w:rPr>
          <w:rFonts w:ascii="Times New Roman" w:hAnsi="Times New Roman" w:cs="Times New Roman"/>
          <w:sz w:val="24"/>
          <w:szCs w:val="24"/>
        </w:rPr>
        <w:t>ex-post</w:t>
      </w:r>
      <w:proofErr w:type="spellEnd"/>
      <w:r w:rsidR="00516790" w:rsidRPr="002A3C46">
        <w:rPr>
          <w:rFonts w:ascii="Times New Roman" w:hAnsi="Times New Roman" w:cs="Times New Roman"/>
          <w:sz w:val="24"/>
          <w:szCs w:val="24"/>
        </w:rPr>
        <w:t xml:space="preserve"> novērtējums, kurā varētu secināt ieviesto grozījumu efektivitāti </w:t>
      </w:r>
      <w:r w:rsidRPr="002A3C46">
        <w:rPr>
          <w:rFonts w:ascii="Times New Roman" w:hAnsi="Times New Roman" w:cs="Times New Roman"/>
          <w:sz w:val="24"/>
          <w:szCs w:val="24"/>
        </w:rPr>
        <w:t>(skat.26., 27., 28., 29., 30., 31., 32.uzdevumu);</w:t>
      </w:r>
    </w:p>
    <w:p w14:paraId="0EE42476" w14:textId="77777777" w:rsidR="00240EDE" w:rsidRPr="002A3C46" w:rsidRDefault="00240EDE" w:rsidP="002A3C46">
      <w:pPr>
        <w:pStyle w:val="Sarakstarindkopa"/>
        <w:numPr>
          <w:ilvl w:val="0"/>
          <w:numId w:val="21"/>
        </w:numPr>
        <w:spacing w:after="0" w:line="240" w:lineRule="auto"/>
        <w:ind w:left="0" w:firstLine="720"/>
        <w:jc w:val="both"/>
        <w:rPr>
          <w:rFonts w:ascii="Times New Roman" w:hAnsi="Times New Roman" w:cs="Times New Roman"/>
          <w:sz w:val="24"/>
          <w:szCs w:val="24"/>
        </w:rPr>
      </w:pPr>
      <w:r w:rsidRPr="002A3C46">
        <w:rPr>
          <w:rFonts w:ascii="Times New Roman" w:hAnsi="Times New Roman" w:cs="Times New Roman"/>
          <w:sz w:val="24"/>
          <w:szCs w:val="24"/>
        </w:rPr>
        <w:t>Apzināt sabiedrības viedokli par tiesu sistēmu</w:t>
      </w:r>
      <w:r w:rsidR="00516790" w:rsidRPr="002A3C46">
        <w:rPr>
          <w:rFonts w:ascii="Times New Roman" w:hAnsi="Times New Roman" w:cs="Times New Roman"/>
          <w:sz w:val="24"/>
          <w:szCs w:val="24"/>
        </w:rPr>
        <w:t>, tādejādi apzinot tiesu sistēmas politikas izstrādes virzienus</w:t>
      </w:r>
      <w:r w:rsidRPr="002A3C46">
        <w:rPr>
          <w:rFonts w:ascii="Times New Roman" w:hAnsi="Times New Roman" w:cs="Times New Roman"/>
          <w:sz w:val="24"/>
          <w:szCs w:val="24"/>
        </w:rPr>
        <w:t xml:space="preserve"> (skat.33.uzdevumu). </w:t>
      </w:r>
    </w:p>
    <w:p w14:paraId="61577332" w14:textId="77777777" w:rsidR="00CA53B3" w:rsidRPr="002A3C46" w:rsidRDefault="00CA53B3" w:rsidP="002A3C46">
      <w:pPr>
        <w:pStyle w:val="Paraststmeklis"/>
        <w:spacing w:before="0" w:beforeAutospacing="0" w:after="0" w:afterAutospacing="0"/>
        <w:ind w:left="720"/>
        <w:jc w:val="both"/>
      </w:pPr>
    </w:p>
    <w:p w14:paraId="72EB2512" w14:textId="77777777" w:rsidR="000036B4" w:rsidRPr="002A3C46" w:rsidRDefault="000036B4" w:rsidP="00C604EE">
      <w:pPr>
        <w:pStyle w:val="Paraststmeklis"/>
        <w:spacing w:before="0" w:beforeAutospacing="0" w:after="0" w:afterAutospacing="0"/>
        <w:ind w:left="720"/>
        <w:jc w:val="center"/>
        <w:rPr>
          <w:b/>
          <w:caps/>
        </w:rPr>
      </w:pPr>
      <w:r w:rsidRPr="002A3C46">
        <w:rPr>
          <w:b/>
          <w:caps/>
        </w:rPr>
        <w:t>III Veicamie uzdevumi</w:t>
      </w:r>
    </w:p>
    <w:p w14:paraId="41FA108F" w14:textId="77777777" w:rsidR="003E1F92" w:rsidRPr="002A3C46" w:rsidRDefault="003E1F92" w:rsidP="002A3C46">
      <w:pPr>
        <w:pStyle w:val="Paraststmeklis"/>
        <w:spacing w:before="0" w:beforeAutospacing="0" w:after="0" w:afterAutospacing="0"/>
        <w:ind w:firstLine="720"/>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6"/>
        <w:gridCol w:w="1984"/>
        <w:gridCol w:w="1559"/>
        <w:gridCol w:w="142"/>
        <w:gridCol w:w="1276"/>
        <w:gridCol w:w="1134"/>
        <w:gridCol w:w="1417"/>
        <w:gridCol w:w="1134"/>
      </w:tblGrid>
      <w:tr w:rsidR="005B2950" w:rsidRPr="002A3C46" w14:paraId="0B8C944C" w14:textId="77777777" w:rsidTr="00C604EE">
        <w:tc>
          <w:tcPr>
            <w:tcW w:w="2410" w:type="dxa"/>
            <w:gridSpan w:val="2"/>
            <w:shd w:val="clear" w:color="auto" w:fill="FFFFFF" w:themeFill="background1"/>
          </w:tcPr>
          <w:p w14:paraId="315A22E1" w14:textId="77777777" w:rsidR="003E1F92" w:rsidRPr="002A3C46" w:rsidRDefault="003E1F92" w:rsidP="002A3C46">
            <w:pPr>
              <w:jc w:val="both"/>
              <w:rPr>
                <w:b/>
                <w:bCs/>
              </w:rPr>
            </w:pPr>
            <w:r w:rsidRPr="002A3C46">
              <w:rPr>
                <w:b/>
                <w:bCs/>
              </w:rPr>
              <w:t xml:space="preserve">Plāna mērķis </w:t>
            </w:r>
          </w:p>
        </w:tc>
        <w:tc>
          <w:tcPr>
            <w:tcW w:w="6662" w:type="dxa"/>
            <w:gridSpan w:val="6"/>
            <w:shd w:val="clear" w:color="auto" w:fill="FFFFFF" w:themeFill="background1"/>
          </w:tcPr>
          <w:p w14:paraId="69F8DEEA" w14:textId="77777777" w:rsidR="003E1F92" w:rsidRPr="002A3C46" w:rsidRDefault="000036B4" w:rsidP="002A3C46">
            <w:pPr>
              <w:jc w:val="both"/>
              <w:rPr>
                <w:bCs/>
              </w:rPr>
            </w:pPr>
            <w:r w:rsidRPr="002A3C46">
              <w:rPr>
                <w:b/>
              </w:rPr>
              <w:t xml:space="preserve">Īstenot cilvēkresursu kapacitātes stiprināšanu tiesu varā, tādejādi nodrošinot ātrāku, kvalitatīvāku lietu izskatīšanu </w:t>
            </w:r>
            <w:r w:rsidR="003E1F92" w:rsidRPr="002A3C46">
              <w:rPr>
                <w:b/>
                <w:lang w:eastAsia="en-GB"/>
              </w:rPr>
              <w:t>komercdarbības vides uzlabošanas sekmēšanai.</w:t>
            </w:r>
          </w:p>
        </w:tc>
      </w:tr>
      <w:tr w:rsidR="005B2950" w:rsidRPr="002A3C46" w14:paraId="577C18AB" w14:textId="77777777" w:rsidTr="00C604EE">
        <w:tc>
          <w:tcPr>
            <w:tcW w:w="2410" w:type="dxa"/>
            <w:gridSpan w:val="2"/>
            <w:shd w:val="clear" w:color="auto" w:fill="FFFFFF" w:themeFill="background1"/>
          </w:tcPr>
          <w:p w14:paraId="2B21E08E" w14:textId="77777777" w:rsidR="003E1F92" w:rsidRPr="002A3C46" w:rsidRDefault="003E1F92" w:rsidP="002A3C46">
            <w:pPr>
              <w:jc w:val="both"/>
              <w:rPr>
                <w:b/>
                <w:bCs/>
              </w:rPr>
            </w:pPr>
            <w:r w:rsidRPr="002A3C46">
              <w:rPr>
                <w:b/>
                <w:bCs/>
              </w:rPr>
              <w:t xml:space="preserve">Politikas rezultāts/-i </w:t>
            </w:r>
          </w:p>
        </w:tc>
        <w:tc>
          <w:tcPr>
            <w:tcW w:w="6662" w:type="dxa"/>
            <w:gridSpan w:val="6"/>
            <w:shd w:val="clear" w:color="auto" w:fill="FFFFFF" w:themeFill="background1"/>
          </w:tcPr>
          <w:p w14:paraId="4DB08339" w14:textId="77777777" w:rsidR="003E1F92" w:rsidRPr="00637CE6" w:rsidRDefault="000036B4" w:rsidP="002A3C46">
            <w:pPr>
              <w:pStyle w:val="Sarakstarindkopa"/>
              <w:numPr>
                <w:ilvl w:val="0"/>
                <w:numId w:val="23"/>
              </w:numPr>
              <w:spacing w:after="0" w:line="240" w:lineRule="auto"/>
              <w:jc w:val="both"/>
              <w:rPr>
                <w:rFonts w:ascii="Times New Roman" w:hAnsi="Times New Roman" w:cs="Times New Roman"/>
                <w:b/>
                <w:bCs/>
                <w:sz w:val="24"/>
                <w:szCs w:val="24"/>
              </w:rPr>
            </w:pPr>
            <w:r w:rsidRPr="00637CE6">
              <w:rPr>
                <w:rFonts w:ascii="Times New Roman" w:hAnsi="Times New Roman" w:cs="Times New Roman"/>
                <w:b/>
                <w:bCs/>
                <w:sz w:val="24"/>
                <w:szCs w:val="24"/>
              </w:rPr>
              <w:t>Veicināta sabiedrības uzticēšanās tiesu varai</w:t>
            </w:r>
            <w:r w:rsidR="001934EE" w:rsidRPr="00637CE6">
              <w:rPr>
                <w:rFonts w:ascii="Times New Roman" w:hAnsi="Times New Roman" w:cs="Times New Roman"/>
                <w:b/>
                <w:bCs/>
                <w:sz w:val="24"/>
                <w:szCs w:val="24"/>
              </w:rPr>
              <w:t xml:space="preserve"> (</w:t>
            </w:r>
            <w:r w:rsidR="001934EE" w:rsidRPr="00637CE6">
              <w:rPr>
                <w:rFonts w:ascii="Times New Roman" w:hAnsi="Times New Roman" w:cs="Times New Roman"/>
                <w:b/>
                <w:bCs/>
                <w:iCs/>
                <w:sz w:val="24"/>
                <w:szCs w:val="24"/>
              </w:rPr>
              <w:t xml:space="preserve">Sabiedrības daļas, kas pilnībā vai daļēji uzticas tiesām, </w:t>
            </w:r>
            <w:r w:rsidR="001934EE" w:rsidRPr="00637CE6">
              <w:rPr>
                <w:rFonts w:ascii="Times New Roman" w:hAnsi="Times New Roman" w:cs="Times New Roman"/>
                <w:b/>
                <w:bCs/>
                <w:iCs/>
                <w:sz w:val="24"/>
                <w:szCs w:val="24"/>
              </w:rPr>
              <w:lastRenderedPageBreak/>
              <w:t>īpatsvars (%): 2020.gadā- 50)</w:t>
            </w:r>
            <w:r w:rsidRPr="00637CE6">
              <w:rPr>
                <w:rFonts w:ascii="Times New Roman" w:hAnsi="Times New Roman" w:cs="Times New Roman"/>
                <w:b/>
                <w:bCs/>
                <w:sz w:val="24"/>
                <w:szCs w:val="24"/>
              </w:rPr>
              <w:t>;</w:t>
            </w:r>
          </w:p>
          <w:p w14:paraId="07A7012B" w14:textId="77777777" w:rsidR="000036B4" w:rsidRPr="00637CE6" w:rsidRDefault="000036B4" w:rsidP="002A3C46">
            <w:pPr>
              <w:pStyle w:val="Sarakstarindkopa"/>
              <w:numPr>
                <w:ilvl w:val="0"/>
                <w:numId w:val="23"/>
              </w:numPr>
              <w:spacing w:after="0" w:line="240" w:lineRule="auto"/>
              <w:jc w:val="both"/>
              <w:rPr>
                <w:rFonts w:ascii="Times New Roman" w:hAnsi="Times New Roman" w:cs="Times New Roman"/>
                <w:b/>
                <w:bCs/>
                <w:sz w:val="24"/>
                <w:szCs w:val="24"/>
              </w:rPr>
            </w:pPr>
            <w:r w:rsidRPr="00637CE6">
              <w:rPr>
                <w:rFonts w:ascii="Times New Roman" w:hAnsi="Times New Roman" w:cs="Times New Roman"/>
                <w:b/>
                <w:bCs/>
                <w:sz w:val="24"/>
                <w:szCs w:val="24"/>
              </w:rPr>
              <w:t>Celta tiesnešu un tiesas darbinieku kompetence</w:t>
            </w:r>
            <w:r w:rsidR="001934EE" w:rsidRPr="00637CE6">
              <w:rPr>
                <w:rFonts w:ascii="Times New Roman" w:hAnsi="Times New Roman" w:cs="Times New Roman"/>
                <w:b/>
                <w:bCs/>
                <w:sz w:val="24"/>
                <w:szCs w:val="24"/>
              </w:rPr>
              <w:t xml:space="preserve"> (</w:t>
            </w:r>
            <w:r w:rsidR="001934EE" w:rsidRPr="00637CE6">
              <w:rPr>
                <w:rFonts w:ascii="Times New Roman" w:hAnsi="Times New Roman" w:cs="Times New Roman"/>
                <w:b/>
                <w:iCs/>
                <w:sz w:val="24"/>
                <w:szCs w:val="24"/>
              </w:rPr>
              <w:t>Atcelto tiesas lēmumu īpatsvars (procesuālo pārkāpumu dēļ)(%): 2020.gadā-1</w:t>
            </w:r>
            <w:r w:rsidR="001934EE" w:rsidRPr="00637CE6">
              <w:rPr>
                <w:rFonts w:ascii="Times New Roman" w:hAnsi="Times New Roman" w:cs="Times New Roman"/>
                <w:b/>
                <w:bCs/>
                <w:sz w:val="24"/>
                <w:szCs w:val="24"/>
              </w:rPr>
              <w:t>)</w:t>
            </w:r>
            <w:r w:rsidRPr="00637CE6">
              <w:rPr>
                <w:rFonts w:ascii="Times New Roman" w:hAnsi="Times New Roman" w:cs="Times New Roman"/>
                <w:b/>
                <w:bCs/>
                <w:sz w:val="24"/>
                <w:szCs w:val="24"/>
              </w:rPr>
              <w:t>;</w:t>
            </w:r>
          </w:p>
          <w:p w14:paraId="2CE491D5" w14:textId="77777777" w:rsidR="000036B4" w:rsidRPr="00637CE6" w:rsidRDefault="000036B4" w:rsidP="002A3C46">
            <w:pPr>
              <w:pStyle w:val="Sarakstarindkopa"/>
              <w:numPr>
                <w:ilvl w:val="0"/>
                <w:numId w:val="23"/>
              </w:numPr>
              <w:spacing w:after="0" w:line="240" w:lineRule="auto"/>
              <w:jc w:val="both"/>
              <w:rPr>
                <w:rFonts w:ascii="Times New Roman" w:hAnsi="Times New Roman" w:cs="Times New Roman"/>
                <w:b/>
                <w:bCs/>
                <w:sz w:val="24"/>
                <w:szCs w:val="24"/>
              </w:rPr>
            </w:pPr>
            <w:r w:rsidRPr="00637CE6">
              <w:rPr>
                <w:rFonts w:ascii="Times New Roman" w:hAnsi="Times New Roman" w:cs="Times New Roman"/>
                <w:b/>
                <w:bCs/>
                <w:sz w:val="24"/>
                <w:szCs w:val="24"/>
              </w:rPr>
              <w:t>Uzlabotas tiesiskās sadarbības, svešvalodu, IKT prasmes, izpratne par tiesu ekspertīžu jomu</w:t>
            </w:r>
            <w:r w:rsidR="0072224C" w:rsidRPr="00637CE6">
              <w:rPr>
                <w:rFonts w:ascii="Times New Roman" w:hAnsi="Times New Roman" w:cs="Times New Roman"/>
                <w:b/>
                <w:bCs/>
                <w:sz w:val="24"/>
                <w:szCs w:val="24"/>
              </w:rPr>
              <w:t>, ES tiesībām, cilvēktiesībām</w:t>
            </w:r>
            <w:r w:rsidR="001934EE" w:rsidRPr="00637CE6">
              <w:rPr>
                <w:rFonts w:ascii="Times New Roman" w:hAnsi="Times New Roman" w:cs="Times New Roman"/>
                <w:b/>
                <w:bCs/>
                <w:sz w:val="24"/>
                <w:szCs w:val="24"/>
              </w:rPr>
              <w:t xml:space="preserve"> (</w:t>
            </w:r>
            <w:r w:rsidR="00637CE6" w:rsidRPr="00637CE6">
              <w:rPr>
                <w:rFonts w:ascii="Times New Roman" w:hAnsi="Times New Roman" w:cs="Times New Roman"/>
                <w:b/>
                <w:iCs/>
                <w:sz w:val="24"/>
                <w:szCs w:val="24"/>
              </w:rPr>
              <w:t>Tiesību aktiem atbilstošu tiesiskās palīdzības lūgumu skaita īpatsvars no kopējā tiesiskās palīdzības lūgumu skaita (%):</w:t>
            </w:r>
            <w:r w:rsidR="00637CE6">
              <w:rPr>
                <w:rFonts w:ascii="Times New Roman" w:hAnsi="Times New Roman" w:cs="Times New Roman"/>
                <w:b/>
                <w:iCs/>
                <w:sz w:val="24"/>
                <w:szCs w:val="24"/>
              </w:rPr>
              <w:t xml:space="preserve"> </w:t>
            </w:r>
            <w:r w:rsidR="00637CE6" w:rsidRPr="00637CE6">
              <w:rPr>
                <w:rFonts w:ascii="Times New Roman" w:hAnsi="Times New Roman" w:cs="Times New Roman"/>
                <w:b/>
                <w:iCs/>
                <w:sz w:val="24"/>
                <w:szCs w:val="24"/>
              </w:rPr>
              <w:t>2020.gadā- 95)</w:t>
            </w:r>
            <w:r w:rsidRPr="00637CE6">
              <w:rPr>
                <w:rFonts w:ascii="Times New Roman" w:hAnsi="Times New Roman" w:cs="Times New Roman"/>
                <w:b/>
                <w:bCs/>
                <w:sz w:val="24"/>
                <w:szCs w:val="24"/>
              </w:rPr>
              <w:t>;</w:t>
            </w:r>
          </w:p>
          <w:p w14:paraId="57BB6F98" w14:textId="77777777" w:rsidR="000036B4" w:rsidRPr="00637CE6" w:rsidRDefault="000036B4" w:rsidP="002A3C46">
            <w:pPr>
              <w:pStyle w:val="Sarakstarindkopa"/>
              <w:numPr>
                <w:ilvl w:val="0"/>
                <w:numId w:val="23"/>
              </w:numPr>
              <w:spacing w:after="0" w:line="240" w:lineRule="auto"/>
              <w:jc w:val="both"/>
              <w:rPr>
                <w:rFonts w:ascii="Times New Roman" w:hAnsi="Times New Roman" w:cs="Times New Roman"/>
                <w:b/>
                <w:bCs/>
                <w:sz w:val="24"/>
                <w:szCs w:val="24"/>
              </w:rPr>
            </w:pPr>
            <w:proofErr w:type="spellStart"/>
            <w:r w:rsidRPr="00637CE6">
              <w:rPr>
                <w:rFonts w:ascii="Times New Roman" w:hAnsi="Times New Roman" w:cs="Times New Roman"/>
                <w:b/>
                <w:bCs/>
                <w:sz w:val="24"/>
                <w:szCs w:val="24"/>
              </w:rPr>
              <w:t>Efektivizēts</w:t>
            </w:r>
            <w:proofErr w:type="spellEnd"/>
            <w:r w:rsidRPr="00637CE6">
              <w:rPr>
                <w:rFonts w:ascii="Times New Roman" w:hAnsi="Times New Roman" w:cs="Times New Roman"/>
                <w:b/>
                <w:bCs/>
                <w:sz w:val="24"/>
                <w:szCs w:val="24"/>
              </w:rPr>
              <w:t xml:space="preserve"> kvalitatīvu cilvēkresursu piesaistes process tiesu varai</w:t>
            </w:r>
            <w:r w:rsidR="00637CE6" w:rsidRPr="00637CE6">
              <w:rPr>
                <w:rFonts w:ascii="Times New Roman" w:hAnsi="Times New Roman" w:cs="Times New Roman"/>
                <w:b/>
                <w:bCs/>
                <w:sz w:val="24"/>
                <w:szCs w:val="24"/>
              </w:rPr>
              <w:t xml:space="preserve"> (</w:t>
            </w:r>
            <w:r w:rsidR="00637CE6" w:rsidRPr="00637CE6">
              <w:rPr>
                <w:rFonts w:ascii="Times New Roman" w:hAnsi="Times New Roman" w:cs="Times New Roman"/>
                <w:b/>
                <w:iCs/>
                <w:sz w:val="24"/>
                <w:szCs w:val="24"/>
              </w:rPr>
              <w:t xml:space="preserve">Vakantas tiesneša amata vietas ilgums rajona (pilsētas) tiesās: 2020.gadā- 4 mēneši) </w:t>
            </w:r>
            <w:r w:rsidRPr="00637CE6">
              <w:rPr>
                <w:rFonts w:ascii="Times New Roman" w:hAnsi="Times New Roman" w:cs="Times New Roman"/>
                <w:b/>
                <w:bCs/>
                <w:sz w:val="24"/>
                <w:szCs w:val="24"/>
              </w:rPr>
              <w:t>;</w:t>
            </w:r>
          </w:p>
          <w:p w14:paraId="4CB5048B" w14:textId="77777777" w:rsidR="000036B4" w:rsidRPr="002A3C46" w:rsidRDefault="000036B4" w:rsidP="00106A7C">
            <w:pPr>
              <w:pStyle w:val="Sarakstarindkopa"/>
              <w:numPr>
                <w:ilvl w:val="0"/>
                <w:numId w:val="23"/>
              </w:numPr>
              <w:spacing w:after="0" w:line="240" w:lineRule="auto"/>
              <w:jc w:val="both"/>
              <w:rPr>
                <w:rFonts w:ascii="Times New Roman" w:hAnsi="Times New Roman" w:cs="Times New Roman"/>
                <w:b/>
                <w:bCs/>
                <w:sz w:val="24"/>
                <w:szCs w:val="24"/>
              </w:rPr>
            </w:pPr>
            <w:r w:rsidRPr="00637CE6">
              <w:rPr>
                <w:rFonts w:ascii="Times New Roman" w:hAnsi="Times New Roman" w:cs="Times New Roman"/>
                <w:b/>
                <w:bCs/>
                <w:sz w:val="24"/>
                <w:szCs w:val="24"/>
              </w:rPr>
              <w:t>Veicināta ADR veidu izmantošana un izpratne par tiem</w:t>
            </w:r>
            <w:r w:rsidR="00637CE6" w:rsidRPr="00637CE6">
              <w:rPr>
                <w:rFonts w:ascii="Times New Roman" w:hAnsi="Times New Roman" w:cs="Times New Roman"/>
                <w:b/>
                <w:bCs/>
                <w:sz w:val="24"/>
                <w:szCs w:val="24"/>
              </w:rPr>
              <w:t xml:space="preserve"> (tiesās izskatāmo strīdu izbeigšana izmantojot </w:t>
            </w:r>
            <w:proofErr w:type="spellStart"/>
            <w:r w:rsidR="00637CE6" w:rsidRPr="00637CE6">
              <w:rPr>
                <w:rFonts w:ascii="Times New Roman" w:hAnsi="Times New Roman" w:cs="Times New Roman"/>
                <w:b/>
                <w:bCs/>
                <w:sz w:val="24"/>
                <w:szCs w:val="24"/>
              </w:rPr>
              <w:t>mediāciju</w:t>
            </w:r>
            <w:proofErr w:type="spellEnd"/>
            <w:r w:rsidR="00637CE6" w:rsidRPr="00637CE6">
              <w:rPr>
                <w:rFonts w:ascii="Times New Roman" w:hAnsi="Times New Roman" w:cs="Times New Roman"/>
                <w:b/>
                <w:bCs/>
                <w:sz w:val="24"/>
                <w:szCs w:val="24"/>
              </w:rPr>
              <w:t xml:space="preserve">, no </w:t>
            </w:r>
            <w:r w:rsidR="00106A7C">
              <w:rPr>
                <w:rFonts w:ascii="Times New Roman" w:hAnsi="Times New Roman" w:cs="Times New Roman"/>
                <w:b/>
                <w:bCs/>
                <w:sz w:val="24"/>
                <w:szCs w:val="24"/>
              </w:rPr>
              <w:t xml:space="preserve">tiesām </w:t>
            </w:r>
            <w:r w:rsidR="00637CE6" w:rsidRPr="00637CE6">
              <w:rPr>
                <w:rFonts w:ascii="Times New Roman" w:hAnsi="Times New Roman" w:cs="Times New Roman"/>
                <w:b/>
                <w:bCs/>
                <w:sz w:val="24"/>
                <w:szCs w:val="24"/>
              </w:rPr>
              <w:t>kopēj</w:t>
            </w:r>
            <w:r w:rsidR="00106A7C">
              <w:rPr>
                <w:rFonts w:ascii="Times New Roman" w:hAnsi="Times New Roman" w:cs="Times New Roman"/>
                <w:b/>
                <w:bCs/>
                <w:sz w:val="24"/>
                <w:szCs w:val="24"/>
              </w:rPr>
              <w:t>ā</w:t>
            </w:r>
            <w:r w:rsidR="00637CE6" w:rsidRPr="00637CE6">
              <w:rPr>
                <w:rFonts w:ascii="Times New Roman" w:hAnsi="Times New Roman" w:cs="Times New Roman"/>
                <w:b/>
                <w:bCs/>
                <w:sz w:val="24"/>
                <w:szCs w:val="24"/>
              </w:rPr>
              <w:t xml:space="preserve"> </w:t>
            </w:r>
            <w:proofErr w:type="spellStart"/>
            <w:r w:rsidR="00106A7C">
              <w:rPr>
                <w:rFonts w:ascii="Times New Roman" w:hAnsi="Times New Roman" w:cs="Times New Roman"/>
                <w:b/>
                <w:bCs/>
                <w:sz w:val="24"/>
                <w:szCs w:val="24"/>
              </w:rPr>
              <w:t>mediācijai</w:t>
            </w:r>
            <w:proofErr w:type="spellEnd"/>
            <w:r w:rsidR="00106A7C">
              <w:rPr>
                <w:rFonts w:ascii="Times New Roman" w:hAnsi="Times New Roman" w:cs="Times New Roman"/>
                <w:b/>
                <w:bCs/>
                <w:sz w:val="24"/>
                <w:szCs w:val="24"/>
              </w:rPr>
              <w:t xml:space="preserve"> nodoto </w:t>
            </w:r>
            <w:r w:rsidR="00637CE6" w:rsidRPr="00637CE6">
              <w:rPr>
                <w:rFonts w:ascii="Times New Roman" w:hAnsi="Times New Roman" w:cs="Times New Roman"/>
                <w:b/>
                <w:bCs/>
                <w:sz w:val="24"/>
                <w:szCs w:val="24"/>
              </w:rPr>
              <w:t xml:space="preserve">lietu skaita (%): 2020.gadā </w:t>
            </w:r>
            <w:r w:rsidR="00106A7C">
              <w:rPr>
                <w:rFonts w:ascii="Times New Roman" w:hAnsi="Times New Roman" w:cs="Times New Roman"/>
                <w:b/>
                <w:bCs/>
                <w:sz w:val="24"/>
                <w:szCs w:val="24"/>
              </w:rPr>
              <w:t xml:space="preserve">- </w:t>
            </w:r>
            <w:r w:rsidR="00637CE6" w:rsidRPr="00637CE6">
              <w:rPr>
                <w:rFonts w:ascii="Times New Roman" w:hAnsi="Times New Roman" w:cs="Times New Roman"/>
                <w:b/>
                <w:bCs/>
                <w:sz w:val="24"/>
                <w:szCs w:val="24"/>
              </w:rPr>
              <w:t>10).</w:t>
            </w:r>
          </w:p>
        </w:tc>
      </w:tr>
      <w:tr w:rsidR="00C604EE" w:rsidRPr="002A3C46" w14:paraId="1D9E7215" w14:textId="77777777" w:rsidTr="00C604EE">
        <w:tc>
          <w:tcPr>
            <w:tcW w:w="426" w:type="dxa"/>
            <w:shd w:val="clear" w:color="auto" w:fill="FFFFFF" w:themeFill="background1"/>
            <w:tcMar>
              <w:left w:w="28" w:type="dxa"/>
              <w:right w:w="28" w:type="dxa"/>
            </w:tcMar>
          </w:tcPr>
          <w:p w14:paraId="4ECB3F99" w14:textId="77777777" w:rsidR="003E1F92" w:rsidRPr="00C604EE" w:rsidRDefault="003E1F92" w:rsidP="002A3C46">
            <w:pPr>
              <w:jc w:val="both"/>
              <w:rPr>
                <w:sz w:val="20"/>
              </w:rPr>
            </w:pPr>
            <w:proofErr w:type="spellStart"/>
            <w:r w:rsidRPr="00C604EE">
              <w:rPr>
                <w:sz w:val="20"/>
              </w:rPr>
              <w:lastRenderedPageBreak/>
              <w:t>Nr</w:t>
            </w:r>
            <w:proofErr w:type="spellEnd"/>
            <w:r w:rsidRPr="00C604EE">
              <w:rPr>
                <w:sz w:val="20"/>
              </w:rPr>
              <w:t xml:space="preserve">. </w:t>
            </w:r>
            <w:proofErr w:type="spellStart"/>
            <w:r w:rsidRPr="00C604EE">
              <w:rPr>
                <w:sz w:val="20"/>
              </w:rPr>
              <w:t>P.k</w:t>
            </w:r>
            <w:proofErr w:type="spellEnd"/>
            <w:r w:rsidRPr="00C604EE">
              <w:rPr>
                <w:sz w:val="20"/>
              </w:rPr>
              <w:t>.</w:t>
            </w:r>
          </w:p>
        </w:tc>
        <w:tc>
          <w:tcPr>
            <w:tcW w:w="1984" w:type="dxa"/>
            <w:shd w:val="clear" w:color="auto" w:fill="FFFFFF" w:themeFill="background1"/>
            <w:tcMar>
              <w:left w:w="28" w:type="dxa"/>
              <w:right w:w="28" w:type="dxa"/>
            </w:tcMar>
          </w:tcPr>
          <w:p w14:paraId="6653A480" w14:textId="77777777" w:rsidR="003E1F92" w:rsidRPr="00C604EE" w:rsidRDefault="00740769" w:rsidP="002A3C46">
            <w:pPr>
              <w:jc w:val="both"/>
              <w:rPr>
                <w:sz w:val="20"/>
              </w:rPr>
            </w:pPr>
            <w:r w:rsidRPr="00C604EE">
              <w:rPr>
                <w:b/>
                <w:sz w:val="20"/>
              </w:rPr>
              <w:t>Uzdevums</w:t>
            </w:r>
          </w:p>
        </w:tc>
        <w:tc>
          <w:tcPr>
            <w:tcW w:w="1701" w:type="dxa"/>
            <w:gridSpan w:val="2"/>
            <w:shd w:val="clear" w:color="auto" w:fill="FFFFFF" w:themeFill="background1"/>
            <w:tcMar>
              <w:left w:w="28" w:type="dxa"/>
              <w:right w:w="28" w:type="dxa"/>
            </w:tcMar>
          </w:tcPr>
          <w:p w14:paraId="31DAAD20" w14:textId="77777777" w:rsidR="003E1F92" w:rsidRPr="00C604EE" w:rsidRDefault="003E1F92" w:rsidP="002A3C46">
            <w:pPr>
              <w:jc w:val="both"/>
              <w:rPr>
                <w:b/>
                <w:sz w:val="20"/>
              </w:rPr>
            </w:pPr>
            <w:r w:rsidRPr="00C604EE">
              <w:rPr>
                <w:b/>
                <w:sz w:val="20"/>
              </w:rPr>
              <w:t>Darbības rezultāts</w:t>
            </w:r>
          </w:p>
        </w:tc>
        <w:tc>
          <w:tcPr>
            <w:tcW w:w="1276" w:type="dxa"/>
            <w:shd w:val="clear" w:color="auto" w:fill="FFFFFF" w:themeFill="background1"/>
            <w:tcMar>
              <w:left w:w="28" w:type="dxa"/>
              <w:right w:w="28" w:type="dxa"/>
            </w:tcMar>
          </w:tcPr>
          <w:p w14:paraId="2D306A4F" w14:textId="77777777" w:rsidR="003E1F92" w:rsidRPr="00C604EE" w:rsidRDefault="003E1F92" w:rsidP="002A3C46">
            <w:pPr>
              <w:jc w:val="both"/>
              <w:rPr>
                <w:sz w:val="20"/>
              </w:rPr>
            </w:pPr>
            <w:r w:rsidRPr="00C604EE">
              <w:rPr>
                <w:b/>
                <w:sz w:val="20"/>
              </w:rPr>
              <w:t>Rezultatīvais rādītājs</w:t>
            </w:r>
          </w:p>
        </w:tc>
        <w:tc>
          <w:tcPr>
            <w:tcW w:w="1134" w:type="dxa"/>
            <w:shd w:val="clear" w:color="auto" w:fill="FFFFFF" w:themeFill="background1"/>
            <w:tcMar>
              <w:left w:w="28" w:type="dxa"/>
              <w:right w:w="28" w:type="dxa"/>
            </w:tcMar>
          </w:tcPr>
          <w:p w14:paraId="356B2FB1" w14:textId="77777777" w:rsidR="003E1F92" w:rsidRPr="00C604EE" w:rsidRDefault="003E1F92" w:rsidP="002A3C46">
            <w:pPr>
              <w:jc w:val="both"/>
              <w:rPr>
                <w:sz w:val="20"/>
              </w:rPr>
            </w:pPr>
            <w:r w:rsidRPr="00C604EE">
              <w:rPr>
                <w:b/>
                <w:sz w:val="20"/>
              </w:rPr>
              <w:t>Atbildīgā institūcija</w:t>
            </w:r>
          </w:p>
        </w:tc>
        <w:tc>
          <w:tcPr>
            <w:tcW w:w="1417" w:type="dxa"/>
            <w:shd w:val="clear" w:color="auto" w:fill="FFFFFF" w:themeFill="background1"/>
            <w:tcMar>
              <w:left w:w="28" w:type="dxa"/>
              <w:right w:w="28" w:type="dxa"/>
            </w:tcMar>
          </w:tcPr>
          <w:p w14:paraId="6C116EB7" w14:textId="77777777" w:rsidR="003E1F92" w:rsidRPr="00C604EE" w:rsidRDefault="003E1F92" w:rsidP="002A3C46">
            <w:pPr>
              <w:jc w:val="both"/>
              <w:rPr>
                <w:sz w:val="20"/>
              </w:rPr>
            </w:pPr>
            <w:r w:rsidRPr="00C604EE">
              <w:rPr>
                <w:b/>
                <w:sz w:val="20"/>
              </w:rPr>
              <w:t>Līdzatbildīgās institūcijas</w:t>
            </w:r>
          </w:p>
        </w:tc>
        <w:tc>
          <w:tcPr>
            <w:tcW w:w="1134" w:type="dxa"/>
            <w:shd w:val="clear" w:color="auto" w:fill="FFFFFF" w:themeFill="background1"/>
            <w:tcMar>
              <w:left w:w="28" w:type="dxa"/>
              <w:right w:w="28" w:type="dxa"/>
            </w:tcMar>
          </w:tcPr>
          <w:p w14:paraId="73D16561" w14:textId="77777777" w:rsidR="003E1F92" w:rsidRPr="00C604EE" w:rsidRDefault="003E1F92" w:rsidP="002A3C46">
            <w:pPr>
              <w:jc w:val="both"/>
              <w:rPr>
                <w:b/>
                <w:sz w:val="20"/>
              </w:rPr>
            </w:pPr>
            <w:r w:rsidRPr="00C604EE">
              <w:rPr>
                <w:b/>
                <w:sz w:val="20"/>
              </w:rPr>
              <w:t>Izpildes termiņš*</w:t>
            </w:r>
          </w:p>
          <w:p w14:paraId="432B20AA" w14:textId="77777777" w:rsidR="003E1F92" w:rsidRPr="00C604EE" w:rsidRDefault="003E1F92" w:rsidP="002A3C46">
            <w:pPr>
              <w:jc w:val="both"/>
              <w:rPr>
                <w:sz w:val="20"/>
              </w:rPr>
            </w:pPr>
            <w:r w:rsidRPr="00C604EE">
              <w:rPr>
                <w:b/>
                <w:sz w:val="20"/>
              </w:rPr>
              <w:t>(</w:t>
            </w:r>
            <w:r w:rsidR="001934EE" w:rsidRPr="00C604EE">
              <w:rPr>
                <w:b/>
                <w:sz w:val="20"/>
              </w:rPr>
              <w:t>pusgads</w:t>
            </w:r>
            <w:r w:rsidRPr="00C604EE">
              <w:rPr>
                <w:b/>
                <w:sz w:val="20"/>
              </w:rPr>
              <w:t>)</w:t>
            </w:r>
          </w:p>
          <w:p w14:paraId="6890FF49" w14:textId="77777777" w:rsidR="003E1F92" w:rsidRPr="00C604EE" w:rsidRDefault="003E1F92" w:rsidP="002A3C46">
            <w:pPr>
              <w:jc w:val="both"/>
              <w:rPr>
                <w:sz w:val="20"/>
              </w:rPr>
            </w:pPr>
          </w:p>
        </w:tc>
      </w:tr>
      <w:tr w:rsidR="005B2950" w:rsidRPr="002A3C46" w14:paraId="14ED6539" w14:textId="77777777" w:rsidTr="00C604EE">
        <w:tc>
          <w:tcPr>
            <w:tcW w:w="9072" w:type="dxa"/>
            <w:gridSpan w:val="8"/>
            <w:shd w:val="clear" w:color="auto" w:fill="FFFFFF" w:themeFill="background1"/>
          </w:tcPr>
          <w:p w14:paraId="628B4BF2" w14:textId="77777777" w:rsidR="003E1F92" w:rsidRPr="002A3C46" w:rsidRDefault="003E1F92" w:rsidP="002A3C46">
            <w:pPr>
              <w:jc w:val="both"/>
              <w:rPr>
                <w:b/>
                <w:bCs/>
              </w:rPr>
            </w:pPr>
            <w:r w:rsidRPr="002A3C46">
              <w:rPr>
                <w:b/>
              </w:rPr>
              <w:t>Plānveidīgi nodrošināt tiesu varas un tiesībaizsardzības iestāžu darbiniekiem nepieciešamās zināšanas, prasmes un iemaņas</w:t>
            </w:r>
            <w:r w:rsidRPr="002A3C46">
              <w:rPr>
                <w:b/>
                <w:bCs/>
              </w:rPr>
              <w:t xml:space="preserve">, izveidojot </w:t>
            </w:r>
            <w:r w:rsidRPr="002A3C46">
              <w:rPr>
                <w:b/>
              </w:rPr>
              <w:t xml:space="preserve">pastāvīgas uz vajadzībām bāzētas apmācību programmas, veicot pētījumus, izdodot rokasgrāmatas, dodoties apmaiņas braucienos </w:t>
            </w:r>
            <w:proofErr w:type="spellStart"/>
            <w:r w:rsidRPr="002A3C46">
              <w:rPr>
                <w:b/>
              </w:rPr>
              <w:t>u.tml</w:t>
            </w:r>
            <w:proofErr w:type="spellEnd"/>
            <w:r w:rsidRPr="002A3C46">
              <w:rPr>
                <w:b/>
              </w:rPr>
              <w:t>.;</w:t>
            </w:r>
          </w:p>
        </w:tc>
      </w:tr>
      <w:tr w:rsidR="00C604EE" w:rsidRPr="002A3C46" w14:paraId="7BD333BA" w14:textId="77777777" w:rsidTr="00C604EE">
        <w:tc>
          <w:tcPr>
            <w:tcW w:w="426" w:type="dxa"/>
            <w:vMerge w:val="restart"/>
            <w:shd w:val="clear" w:color="auto" w:fill="FFFFFF" w:themeFill="background1"/>
            <w:tcMar>
              <w:left w:w="57" w:type="dxa"/>
              <w:right w:w="57" w:type="dxa"/>
            </w:tcMar>
          </w:tcPr>
          <w:p w14:paraId="7250FB2B" w14:textId="77777777" w:rsidR="003E1F92" w:rsidRPr="00C604EE" w:rsidRDefault="003E1F92" w:rsidP="002A3C46">
            <w:pPr>
              <w:jc w:val="both"/>
              <w:rPr>
                <w:sz w:val="20"/>
              </w:rPr>
            </w:pPr>
            <w:r w:rsidRPr="00C604EE">
              <w:rPr>
                <w:sz w:val="20"/>
              </w:rPr>
              <w:t>1</w:t>
            </w:r>
          </w:p>
        </w:tc>
        <w:tc>
          <w:tcPr>
            <w:tcW w:w="1984" w:type="dxa"/>
            <w:vMerge w:val="restart"/>
            <w:shd w:val="clear" w:color="auto" w:fill="FFFFFF" w:themeFill="background1"/>
            <w:tcMar>
              <w:left w:w="57" w:type="dxa"/>
              <w:right w:w="57" w:type="dxa"/>
            </w:tcMar>
          </w:tcPr>
          <w:p w14:paraId="27C09B0E" w14:textId="77777777" w:rsidR="003E1F92" w:rsidRPr="00C604EE" w:rsidRDefault="003E1F92" w:rsidP="002A3C46">
            <w:pPr>
              <w:jc w:val="both"/>
              <w:rPr>
                <w:sz w:val="20"/>
              </w:rPr>
            </w:pPr>
            <w:r w:rsidRPr="00C604EE">
              <w:rPr>
                <w:sz w:val="20"/>
              </w:rPr>
              <w:t>Tiesnešu, izmeklētāju, prokuroru apmācību modeļa institucionālā pilnveidošana</w:t>
            </w:r>
            <w:r w:rsidR="00EA4757" w:rsidRPr="00C604EE">
              <w:rPr>
                <w:sz w:val="20"/>
              </w:rPr>
              <w:t xml:space="preserve"> (</w:t>
            </w:r>
            <w:proofErr w:type="spellStart"/>
            <w:r w:rsidR="00EA4757" w:rsidRPr="00C604EE">
              <w:rPr>
                <w:sz w:val="20"/>
              </w:rPr>
              <w:t>t.sk</w:t>
            </w:r>
            <w:proofErr w:type="spellEnd"/>
            <w:r w:rsidR="00EA4757" w:rsidRPr="00C604EE">
              <w:rPr>
                <w:sz w:val="20"/>
              </w:rPr>
              <w:t xml:space="preserve">. e-apmācību vides pilnveide, tiešsaistes apmācības, reģionālās apmācības, specializētās apmācības </w:t>
            </w:r>
            <w:proofErr w:type="spellStart"/>
            <w:r w:rsidR="00EA4757" w:rsidRPr="00C604EE">
              <w:rPr>
                <w:sz w:val="20"/>
              </w:rPr>
              <w:t>utml</w:t>
            </w:r>
            <w:proofErr w:type="spellEnd"/>
            <w:r w:rsidR="00EA4757" w:rsidRPr="00C604EE">
              <w:rPr>
                <w:sz w:val="20"/>
              </w:rPr>
              <w:t>.)</w:t>
            </w:r>
          </w:p>
        </w:tc>
        <w:tc>
          <w:tcPr>
            <w:tcW w:w="1559" w:type="dxa"/>
            <w:vMerge w:val="restart"/>
            <w:shd w:val="clear" w:color="auto" w:fill="FFFFFF" w:themeFill="background1"/>
            <w:tcMar>
              <w:left w:w="57" w:type="dxa"/>
              <w:right w:w="57" w:type="dxa"/>
            </w:tcMar>
          </w:tcPr>
          <w:p w14:paraId="23093A49" w14:textId="77777777" w:rsidR="003E1F92" w:rsidRPr="00C604EE" w:rsidRDefault="003E1F92" w:rsidP="002A3C46">
            <w:pPr>
              <w:jc w:val="both"/>
              <w:rPr>
                <w:b/>
                <w:sz w:val="20"/>
              </w:rPr>
            </w:pPr>
            <w:r w:rsidRPr="00C604EE">
              <w:rPr>
                <w:sz w:val="20"/>
              </w:rPr>
              <w:t>Paaugstinot ties</w:t>
            </w:r>
            <w:r w:rsidR="0072224C" w:rsidRPr="00C604EE">
              <w:rPr>
                <w:sz w:val="20"/>
              </w:rPr>
              <w:t>nešu un tiesu darbinieku</w:t>
            </w:r>
            <w:r w:rsidRPr="00C604EE">
              <w:rPr>
                <w:sz w:val="20"/>
              </w:rPr>
              <w:t xml:space="preserve"> kompetenci, veicināt ātrāku lietu izmeklēšanu un iztiesāšanu uzņēmējdarbības vides uzlabošanas sekmēšanai </w:t>
            </w:r>
          </w:p>
        </w:tc>
        <w:tc>
          <w:tcPr>
            <w:tcW w:w="1418" w:type="dxa"/>
            <w:gridSpan w:val="2"/>
            <w:shd w:val="clear" w:color="auto" w:fill="FFFFFF" w:themeFill="background1"/>
            <w:tcMar>
              <w:left w:w="57" w:type="dxa"/>
              <w:right w:w="57" w:type="dxa"/>
            </w:tcMar>
          </w:tcPr>
          <w:p w14:paraId="340DBFF6" w14:textId="77777777" w:rsidR="00E04B37" w:rsidRPr="00C604EE" w:rsidRDefault="00E04B37" w:rsidP="002A3C46">
            <w:pPr>
              <w:tabs>
                <w:tab w:val="left" w:pos="665"/>
              </w:tabs>
              <w:jc w:val="both"/>
              <w:rPr>
                <w:sz w:val="20"/>
              </w:rPr>
            </w:pPr>
            <w:r w:rsidRPr="00C604EE">
              <w:rPr>
                <w:sz w:val="20"/>
              </w:rPr>
              <w:t xml:space="preserve">Profesionālo kompetenci paaugstinājušo </w:t>
            </w:r>
            <w:r w:rsidR="001E50C7" w:rsidRPr="00C604EE">
              <w:rPr>
                <w:sz w:val="20"/>
              </w:rPr>
              <w:t xml:space="preserve">tiesnešu </w:t>
            </w:r>
            <w:r w:rsidRPr="00C604EE">
              <w:rPr>
                <w:sz w:val="20"/>
              </w:rPr>
              <w:t>skaits</w:t>
            </w:r>
            <w:r w:rsidR="001E50C7" w:rsidRPr="00C604EE">
              <w:rPr>
                <w:sz w:val="20"/>
              </w:rPr>
              <w:t>:</w:t>
            </w:r>
          </w:p>
          <w:p w14:paraId="0E8A181D" w14:textId="77777777" w:rsidR="00467AF3" w:rsidRPr="00C604EE" w:rsidRDefault="00E04B37" w:rsidP="002A3C46">
            <w:pPr>
              <w:jc w:val="both"/>
              <w:rPr>
                <w:sz w:val="20"/>
              </w:rPr>
            </w:pPr>
            <w:r w:rsidRPr="00C604EE">
              <w:rPr>
                <w:sz w:val="20"/>
              </w:rPr>
              <w:t>2020.gadā - 580 personas</w:t>
            </w:r>
            <w:r w:rsidR="00467AF3" w:rsidRPr="00C604EE">
              <w:rPr>
                <w:sz w:val="20"/>
              </w:rPr>
              <w:t>.</w:t>
            </w:r>
          </w:p>
        </w:tc>
        <w:tc>
          <w:tcPr>
            <w:tcW w:w="1134" w:type="dxa"/>
            <w:vMerge w:val="restart"/>
            <w:shd w:val="clear" w:color="auto" w:fill="FFFFFF" w:themeFill="background1"/>
            <w:tcMar>
              <w:left w:w="57" w:type="dxa"/>
              <w:right w:w="57" w:type="dxa"/>
            </w:tcMar>
          </w:tcPr>
          <w:p w14:paraId="62CBB88C" w14:textId="77777777" w:rsidR="003E1F92" w:rsidRPr="00C604EE" w:rsidRDefault="003E1F92" w:rsidP="002A3C46">
            <w:pPr>
              <w:jc w:val="both"/>
              <w:rPr>
                <w:sz w:val="20"/>
              </w:rPr>
            </w:pPr>
            <w:r w:rsidRPr="00C604EE">
              <w:rPr>
                <w:sz w:val="20"/>
              </w:rPr>
              <w:t>TM</w:t>
            </w:r>
          </w:p>
          <w:p w14:paraId="3C73AC8D" w14:textId="77777777" w:rsidR="00467AF3" w:rsidRPr="00C604EE" w:rsidRDefault="00467AF3" w:rsidP="002A3C46">
            <w:pPr>
              <w:jc w:val="both"/>
              <w:rPr>
                <w:sz w:val="20"/>
              </w:rPr>
            </w:pPr>
          </w:p>
          <w:p w14:paraId="3CAF60F5" w14:textId="77777777" w:rsidR="00467AF3" w:rsidRPr="00C604EE" w:rsidRDefault="00467AF3" w:rsidP="002A3C46">
            <w:pPr>
              <w:jc w:val="both"/>
              <w:rPr>
                <w:sz w:val="20"/>
              </w:rPr>
            </w:pPr>
          </w:p>
          <w:p w14:paraId="2F2778A3" w14:textId="77777777" w:rsidR="00467AF3" w:rsidRPr="00C604EE" w:rsidRDefault="00467AF3" w:rsidP="002A3C46">
            <w:pPr>
              <w:jc w:val="both"/>
              <w:rPr>
                <w:sz w:val="20"/>
              </w:rPr>
            </w:pPr>
          </w:p>
          <w:p w14:paraId="184BD2B2" w14:textId="77777777" w:rsidR="00467AF3" w:rsidRPr="00C604EE" w:rsidRDefault="00467AF3" w:rsidP="002A3C46">
            <w:pPr>
              <w:jc w:val="both"/>
              <w:rPr>
                <w:sz w:val="20"/>
              </w:rPr>
            </w:pPr>
          </w:p>
          <w:p w14:paraId="2FDEA319" w14:textId="77777777" w:rsidR="00467AF3" w:rsidRPr="00C604EE" w:rsidRDefault="00467AF3" w:rsidP="002A3C46">
            <w:pPr>
              <w:jc w:val="both"/>
              <w:rPr>
                <w:sz w:val="20"/>
              </w:rPr>
            </w:pPr>
          </w:p>
          <w:p w14:paraId="0B23C4E9" w14:textId="77777777" w:rsidR="00467AF3" w:rsidRPr="00C604EE" w:rsidRDefault="00467AF3" w:rsidP="002A3C46">
            <w:pPr>
              <w:jc w:val="both"/>
              <w:rPr>
                <w:sz w:val="20"/>
              </w:rPr>
            </w:pPr>
          </w:p>
          <w:p w14:paraId="7645D56A" w14:textId="77777777" w:rsidR="00467AF3" w:rsidRPr="00C604EE" w:rsidRDefault="00467AF3" w:rsidP="002A3C46">
            <w:pPr>
              <w:jc w:val="both"/>
              <w:rPr>
                <w:sz w:val="20"/>
              </w:rPr>
            </w:pPr>
          </w:p>
          <w:p w14:paraId="70193B3E" w14:textId="77777777" w:rsidR="00467AF3" w:rsidRPr="00C604EE" w:rsidRDefault="00467AF3" w:rsidP="002A3C46">
            <w:pPr>
              <w:jc w:val="both"/>
              <w:rPr>
                <w:sz w:val="20"/>
              </w:rPr>
            </w:pPr>
          </w:p>
          <w:p w14:paraId="13029D68" w14:textId="77777777" w:rsidR="00467AF3" w:rsidRPr="00C604EE" w:rsidRDefault="00467AF3" w:rsidP="002A3C46">
            <w:pPr>
              <w:jc w:val="both"/>
              <w:rPr>
                <w:sz w:val="20"/>
              </w:rPr>
            </w:pPr>
          </w:p>
          <w:p w14:paraId="665D5733" w14:textId="77777777" w:rsidR="00467AF3" w:rsidRPr="00C604EE" w:rsidRDefault="00467AF3" w:rsidP="002A3C46">
            <w:pPr>
              <w:jc w:val="both"/>
              <w:rPr>
                <w:sz w:val="20"/>
              </w:rPr>
            </w:pPr>
          </w:p>
          <w:p w14:paraId="25E7371D" w14:textId="77777777" w:rsidR="00467AF3" w:rsidRPr="00C604EE" w:rsidRDefault="00467AF3" w:rsidP="002A3C46">
            <w:pPr>
              <w:jc w:val="both"/>
              <w:rPr>
                <w:sz w:val="20"/>
              </w:rPr>
            </w:pPr>
          </w:p>
          <w:p w14:paraId="323A297B" w14:textId="77777777" w:rsidR="00467AF3" w:rsidRPr="00C604EE" w:rsidRDefault="00467AF3" w:rsidP="002A3C46">
            <w:pPr>
              <w:jc w:val="both"/>
              <w:rPr>
                <w:sz w:val="20"/>
              </w:rPr>
            </w:pPr>
          </w:p>
          <w:p w14:paraId="7C561445" w14:textId="77777777" w:rsidR="00467AF3" w:rsidRPr="00C604EE" w:rsidRDefault="00467AF3" w:rsidP="002A3C46">
            <w:pPr>
              <w:jc w:val="both"/>
              <w:rPr>
                <w:sz w:val="20"/>
              </w:rPr>
            </w:pPr>
          </w:p>
          <w:p w14:paraId="0D548AF0" w14:textId="77777777" w:rsidR="00467AF3" w:rsidRPr="00C604EE" w:rsidRDefault="00467AF3" w:rsidP="002A3C46">
            <w:pPr>
              <w:jc w:val="both"/>
              <w:rPr>
                <w:sz w:val="20"/>
              </w:rPr>
            </w:pPr>
          </w:p>
          <w:p w14:paraId="7F62D401" w14:textId="77777777" w:rsidR="00467AF3" w:rsidRPr="00C604EE" w:rsidRDefault="00467AF3" w:rsidP="002A3C46">
            <w:pPr>
              <w:jc w:val="both"/>
              <w:rPr>
                <w:sz w:val="20"/>
              </w:rPr>
            </w:pPr>
          </w:p>
          <w:p w14:paraId="0D6C1AC2" w14:textId="77777777" w:rsidR="00467AF3" w:rsidRPr="00C604EE" w:rsidRDefault="00467AF3" w:rsidP="002A3C46">
            <w:pPr>
              <w:jc w:val="both"/>
              <w:rPr>
                <w:sz w:val="20"/>
              </w:rPr>
            </w:pPr>
          </w:p>
          <w:p w14:paraId="074B49A4" w14:textId="77777777" w:rsidR="00467AF3" w:rsidRPr="00C604EE" w:rsidRDefault="00467AF3" w:rsidP="002A3C46">
            <w:pPr>
              <w:jc w:val="both"/>
              <w:rPr>
                <w:sz w:val="20"/>
              </w:rPr>
            </w:pPr>
          </w:p>
        </w:tc>
        <w:tc>
          <w:tcPr>
            <w:tcW w:w="1417" w:type="dxa"/>
            <w:vMerge w:val="restart"/>
            <w:shd w:val="clear" w:color="auto" w:fill="FFFFFF" w:themeFill="background1"/>
            <w:tcMar>
              <w:left w:w="57" w:type="dxa"/>
              <w:right w:w="57" w:type="dxa"/>
            </w:tcMar>
          </w:tcPr>
          <w:p w14:paraId="6E54BECA" w14:textId="77777777" w:rsidR="003E1F92" w:rsidRPr="00C604EE" w:rsidRDefault="003E1F92" w:rsidP="002A3C46">
            <w:pPr>
              <w:widowControl/>
              <w:autoSpaceDE/>
              <w:autoSpaceDN/>
              <w:adjustRightInd/>
              <w:jc w:val="both"/>
              <w:rPr>
                <w:sz w:val="20"/>
              </w:rPr>
            </w:pPr>
            <w:r w:rsidRPr="00C604EE">
              <w:rPr>
                <w:sz w:val="20"/>
              </w:rPr>
              <w:t>LTMC</w:t>
            </w:r>
          </w:p>
          <w:p w14:paraId="44283DA6" w14:textId="77777777" w:rsidR="003E1F92" w:rsidRPr="00C604EE" w:rsidRDefault="003E1F92" w:rsidP="002A3C46">
            <w:pPr>
              <w:widowControl/>
              <w:autoSpaceDE/>
              <w:autoSpaceDN/>
              <w:adjustRightInd/>
              <w:jc w:val="both"/>
              <w:rPr>
                <w:sz w:val="20"/>
              </w:rPr>
            </w:pPr>
            <w:r w:rsidRPr="00C604EE">
              <w:rPr>
                <w:sz w:val="20"/>
              </w:rPr>
              <w:t>IeM</w:t>
            </w:r>
          </w:p>
          <w:p w14:paraId="56D1E34B" w14:textId="77777777" w:rsidR="003E1F92" w:rsidRPr="00C604EE" w:rsidRDefault="003E1F92" w:rsidP="002A3C46">
            <w:pPr>
              <w:widowControl/>
              <w:autoSpaceDE/>
              <w:autoSpaceDN/>
              <w:adjustRightInd/>
              <w:jc w:val="both"/>
              <w:rPr>
                <w:sz w:val="20"/>
              </w:rPr>
            </w:pPr>
            <w:r w:rsidRPr="00C604EE">
              <w:rPr>
                <w:sz w:val="20"/>
              </w:rPr>
              <w:t>ĢP</w:t>
            </w:r>
          </w:p>
          <w:p w14:paraId="4D0993DB" w14:textId="77777777" w:rsidR="003E1F92" w:rsidRPr="00C604EE" w:rsidRDefault="003E1F92" w:rsidP="002A3C46">
            <w:pPr>
              <w:jc w:val="both"/>
              <w:rPr>
                <w:sz w:val="20"/>
              </w:rPr>
            </w:pPr>
            <w:r w:rsidRPr="00C604EE">
              <w:rPr>
                <w:sz w:val="20"/>
              </w:rPr>
              <w:t>TA</w:t>
            </w:r>
          </w:p>
        </w:tc>
        <w:tc>
          <w:tcPr>
            <w:tcW w:w="1134" w:type="dxa"/>
            <w:vMerge w:val="restart"/>
            <w:shd w:val="clear" w:color="auto" w:fill="FFFFFF" w:themeFill="background1"/>
            <w:tcMar>
              <w:left w:w="57" w:type="dxa"/>
              <w:right w:w="57" w:type="dxa"/>
            </w:tcMar>
          </w:tcPr>
          <w:p w14:paraId="037A09B6" w14:textId="77777777" w:rsidR="003E1F92" w:rsidRPr="00C604EE" w:rsidRDefault="003E1F92" w:rsidP="002A3C46">
            <w:pPr>
              <w:jc w:val="both"/>
              <w:rPr>
                <w:sz w:val="20"/>
              </w:rPr>
            </w:pPr>
            <w:r w:rsidRPr="00C604EE">
              <w:rPr>
                <w:sz w:val="20"/>
              </w:rPr>
              <w:t>201</w:t>
            </w:r>
            <w:r w:rsidR="001E50C7" w:rsidRPr="00C604EE">
              <w:rPr>
                <w:sz w:val="20"/>
              </w:rPr>
              <w:t>8</w:t>
            </w:r>
            <w:r w:rsidRPr="00C604EE">
              <w:rPr>
                <w:sz w:val="20"/>
              </w:rPr>
              <w:t xml:space="preserve">.gada </w:t>
            </w:r>
            <w:r w:rsidR="00466715" w:rsidRPr="00C604EE">
              <w:rPr>
                <w:sz w:val="20"/>
              </w:rPr>
              <w:t>2.pusgads</w:t>
            </w:r>
          </w:p>
        </w:tc>
      </w:tr>
      <w:tr w:rsidR="00C604EE" w:rsidRPr="002A3C46" w14:paraId="2C496803" w14:textId="77777777" w:rsidTr="00C604EE">
        <w:tc>
          <w:tcPr>
            <w:tcW w:w="426" w:type="dxa"/>
            <w:vMerge/>
            <w:shd w:val="clear" w:color="auto" w:fill="FFFFFF" w:themeFill="background1"/>
            <w:tcMar>
              <w:left w:w="57" w:type="dxa"/>
              <w:right w:w="57" w:type="dxa"/>
            </w:tcMar>
          </w:tcPr>
          <w:p w14:paraId="707451A4" w14:textId="77777777" w:rsidR="003E1F92" w:rsidRPr="002A3C46" w:rsidRDefault="003E1F92" w:rsidP="002A3C46">
            <w:pPr>
              <w:jc w:val="both"/>
              <w:rPr>
                <w:bCs/>
              </w:rPr>
            </w:pPr>
          </w:p>
        </w:tc>
        <w:tc>
          <w:tcPr>
            <w:tcW w:w="1984" w:type="dxa"/>
            <w:vMerge/>
            <w:shd w:val="clear" w:color="auto" w:fill="FFFFFF" w:themeFill="background1"/>
            <w:tcMar>
              <w:left w:w="57" w:type="dxa"/>
              <w:right w:w="57" w:type="dxa"/>
            </w:tcMar>
          </w:tcPr>
          <w:p w14:paraId="396CF026" w14:textId="77777777" w:rsidR="003E1F92" w:rsidRPr="002A3C46" w:rsidRDefault="003E1F92" w:rsidP="002A3C46">
            <w:pPr>
              <w:jc w:val="both"/>
            </w:pPr>
          </w:p>
        </w:tc>
        <w:tc>
          <w:tcPr>
            <w:tcW w:w="1559" w:type="dxa"/>
            <w:vMerge/>
            <w:shd w:val="clear" w:color="auto" w:fill="FFFFFF" w:themeFill="background1"/>
            <w:tcMar>
              <w:left w:w="57" w:type="dxa"/>
              <w:right w:w="57" w:type="dxa"/>
            </w:tcMar>
          </w:tcPr>
          <w:p w14:paraId="2345A71E" w14:textId="77777777" w:rsidR="003E1F92" w:rsidRPr="002A3C46" w:rsidRDefault="003E1F92" w:rsidP="002A3C46">
            <w:pPr>
              <w:jc w:val="both"/>
            </w:pPr>
          </w:p>
        </w:tc>
        <w:tc>
          <w:tcPr>
            <w:tcW w:w="1418" w:type="dxa"/>
            <w:gridSpan w:val="2"/>
            <w:shd w:val="clear" w:color="auto" w:fill="FFFFFF" w:themeFill="background1"/>
            <w:tcMar>
              <w:left w:w="57" w:type="dxa"/>
              <w:right w:w="57" w:type="dxa"/>
            </w:tcMar>
          </w:tcPr>
          <w:p w14:paraId="4228DE0C" w14:textId="77777777" w:rsidR="003E1F92" w:rsidRPr="00C604EE" w:rsidRDefault="00F35628" w:rsidP="002A3C46">
            <w:pPr>
              <w:jc w:val="both"/>
              <w:rPr>
                <w:sz w:val="20"/>
              </w:rPr>
            </w:pPr>
            <w:r w:rsidRPr="00C604EE">
              <w:rPr>
                <w:sz w:val="20"/>
              </w:rPr>
              <w:t xml:space="preserve">Samazinājies </w:t>
            </w:r>
            <w:r w:rsidR="00466715" w:rsidRPr="00C604EE">
              <w:rPr>
                <w:sz w:val="20"/>
              </w:rPr>
              <w:t>civil</w:t>
            </w:r>
            <w:r w:rsidRPr="00C604EE">
              <w:rPr>
                <w:sz w:val="20"/>
              </w:rPr>
              <w:t>lietu izskatīšanas ilgums pirmās instances tiesās un apelācijas tiesās</w:t>
            </w:r>
            <w:r w:rsidR="001E50C7" w:rsidRPr="00C604EE">
              <w:rPr>
                <w:sz w:val="20"/>
              </w:rPr>
              <w:t xml:space="preserve">: </w:t>
            </w:r>
            <w:r w:rsidR="00E04B37" w:rsidRPr="00C604EE">
              <w:rPr>
                <w:sz w:val="20"/>
              </w:rPr>
              <w:t>2020.gadā</w:t>
            </w:r>
            <w:r w:rsidR="00466715" w:rsidRPr="00C604EE">
              <w:rPr>
                <w:sz w:val="20"/>
              </w:rPr>
              <w:t xml:space="preserve"> (%)</w:t>
            </w:r>
            <w:r w:rsidR="00E04B37" w:rsidRPr="00C604EE">
              <w:rPr>
                <w:sz w:val="20"/>
              </w:rPr>
              <w:t xml:space="preserve"> </w:t>
            </w:r>
            <w:r w:rsidR="00466715" w:rsidRPr="00C604EE">
              <w:rPr>
                <w:sz w:val="20"/>
              </w:rPr>
              <w:t>–</w:t>
            </w:r>
            <w:r w:rsidR="00E04B37" w:rsidRPr="00C604EE">
              <w:rPr>
                <w:sz w:val="20"/>
              </w:rPr>
              <w:t xml:space="preserve"> </w:t>
            </w:r>
            <w:r w:rsidR="00466715" w:rsidRPr="00C604EE">
              <w:rPr>
                <w:sz w:val="20"/>
              </w:rPr>
              <w:t>5.</w:t>
            </w:r>
          </w:p>
          <w:p w14:paraId="34DB5C62" w14:textId="77777777" w:rsidR="00467AF3" w:rsidRPr="00C604EE" w:rsidRDefault="00467AF3" w:rsidP="002A3C46">
            <w:pPr>
              <w:jc w:val="both"/>
              <w:rPr>
                <w:sz w:val="20"/>
              </w:rPr>
            </w:pPr>
          </w:p>
          <w:p w14:paraId="5E73F643" w14:textId="77777777" w:rsidR="00467AF3" w:rsidRPr="00467AF3" w:rsidRDefault="00467AF3" w:rsidP="002A3C46">
            <w:pPr>
              <w:jc w:val="both"/>
            </w:pPr>
            <w:r w:rsidRPr="00C604EE">
              <w:rPr>
                <w:sz w:val="20"/>
              </w:rPr>
              <w:t>Profesionālo kompetenci paaugstinājušo izmeklētāju skaits: 2020.gadā – Valsts policijā 150 personas un Valsts robežsardzē 15 personas</w:t>
            </w:r>
            <w:r w:rsidRPr="00467AF3">
              <w:rPr>
                <w:lang w:eastAsia="en-US"/>
              </w:rPr>
              <w:t>.</w:t>
            </w:r>
          </w:p>
        </w:tc>
        <w:tc>
          <w:tcPr>
            <w:tcW w:w="1134" w:type="dxa"/>
            <w:vMerge/>
            <w:shd w:val="clear" w:color="auto" w:fill="FFFFFF" w:themeFill="background1"/>
            <w:tcMar>
              <w:left w:w="57" w:type="dxa"/>
              <w:right w:w="57" w:type="dxa"/>
            </w:tcMar>
          </w:tcPr>
          <w:p w14:paraId="21BB604D" w14:textId="77777777" w:rsidR="003E1F92" w:rsidRPr="002A3C46" w:rsidRDefault="003E1F92" w:rsidP="002A3C46">
            <w:pPr>
              <w:jc w:val="both"/>
              <w:rPr>
                <w:bCs/>
              </w:rPr>
            </w:pPr>
          </w:p>
        </w:tc>
        <w:tc>
          <w:tcPr>
            <w:tcW w:w="1417" w:type="dxa"/>
            <w:vMerge/>
            <w:shd w:val="clear" w:color="auto" w:fill="FFFFFF" w:themeFill="background1"/>
            <w:tcMar>
              <w:left w:w="57" w:type="dxa"/>
              <w:right w:w="57" w:type="dxa"/>
            </w:tcMar>
          </w:tcPr>
          <w:p w14:paraId="2C6A3C65" w14:textId="77777777" w:rsidR="003E1F92" w:rsidRPr="002A3C46" w:rsidRDefault="003E1F92" w:rsidP="002A3C46">
            <w:pPr>
              <w:widowControl/>
              <w:autoSpaceDE/>
              <w:autoSpaceDN/>
              <w:adjustRightInd/>
              <w:jc w:val="both"/>
            </w:pPr>
          </w:p>
        </w:tc>
        <w:tc>
          <w:tcPr>
            <w:tcW w:w="1134" w:type="dxa"/>
            <w:vMerge/>
            <w:shd w:val="clear" w:color="auto" w:fill="FFFFFF" w:themeFill="background1"/>
            <w:tcMar>
              <w:left w:w="57" w:type="dxa"/>
              <w:right w:w="57" w:type="dxa"/>
            </w:tcMar>
          </w:tcPr>
          <w:p w14:paraId="029BC10B" w14:textId="77777777" w:rsidR="003E1F92" w:rsidRPr="002A3C46" w:rsidRDefault="003E1F92" w:rsidP="002A3C46">
            <w:pPr>
              <w:jc w:val="both"/>
              <w:rPr>
                <w:bCs/>
              </w:rPr>
            </w:pPr>
          </w:p>
        </w:tc>
      </w:tr>
      <w:tr w:rsidR="00C604EE" w:rsidRPr="002A3C46" w14:paraId="3E160DDA" w14:textId="77777777" w:rsidTr="00C604EE">
        <w:trPr>
          <w:trHeight w:val="7185"/>
        </w:trPr>
        <w:tc>
          <w:tcPr>
            <w:tcW w:w="426" w:type="dxa"/>
            <w:shd w:val="clear" w:color="auto" w:fill="FFFFFF" w:themeFill="background1"/>
            <w:tcMar>
              <w:left w:w="57" w:type="dxa"/>
              <w:right w:w="57" w:type="dxa"/>
            </w:tcMar>
          </w:tcPr>
          <w:p w14:paraId="17280A98" w14:textId="77777777" w:rsidR="001E50C7" w:rsidRPr="00C604EE" w:rsidRDefault="001E50C7" w:rsidP="002A3C46">
            <w:pPr>
              <w:jc w:val="both"/>
              <w:rPr>
                <w:sz w:val="20"/>
              </w:rPr>
            </w:pPr>
            <w:r w:rsidRPr="00C604EE">
              <w:rPr>
                <w:sz w:val="20"/>
              </w:rPr>
              <w:lastRenderedPageBreak/>
              <w:t>2</w:t>
            </w:r>
          </w:p>
        </w:tc>
        <w:tc>
          <w:tcPr>
            <w:tcW w:w="1984" w:type="dxa"/>
            <w:shd w:val="clear" w:color="auto" w:fill="FFFFFF" w:themeFill="background1"/>
            <w:tcMar>
              <w:left w:w="57" w:type="dxa"/>
              <w:right w:w="57" w:type="dxa"/>
            </w:tcMar>
          </w:tcPr>
          <w:p w14:paraId="762B28FB" w14:textId="77777777" w:rsidR="001E50C7" w:rsidRPr="00C604EE" w:rsidRDefault="001E50C7" w:rsidP="002A3C46">
            <w:pPr>
              <w:jc w:val="both"/>
              <w:rPr>
                <w:sz w:val="20"/>
              </w:rPr>
            </w:pPr>
            <w:r w:rsidRPr="00C604EE">
              <w:rPr>
                <w:sz w:val="20"/>
              </w:rPr>
              <w:t>Apmācību programmas izstrādes, tās satura pilnveidošana starpdisciplināro apmācību nodrošināšanas kontekstā</w:t>
            </w:r>
          </w:p>
        </w:tc>
        <w:tc>
          <w:tcPr>
            <w:tcW w:w="1559" w:type="dxa"/>
            <w:shd w:val="clear" w:color="auto" w:fill="FFFFFF" w:themeFill="background1"/>
            <w:tcMar>
              <w:left w:w="57" w:type="dxa"/>
              <w:right w:w="57" w:type="dxa"/>
            </w:tcMar>
          </w:tcPr>
          <w:p w14:paraId="70D01520" w14:textId="77777777" w:rsidR="001E50C7" w:rsidRPr="00C604EE" w:rsidRDefault="001E50C7" w:rsidP="002A3C46">
            <w:pPr>
              <w:jc w:val="both"/>
              <w:rPr>
                <w:sz w:val="20"/>
              </w:rPr>
            </w:pPr>
            <w:r w:rsidRPr="00C604EE">
              <w:rPr>
                <w:sz w:val="20"/>
              </w:rPr>
              <w:t xml:space="preserve">Tiesnešu, izmeklētāju, prokuroru, zvērinātu tiesu izpildītāju, zvērinātu notāru, zvērinātu advokātu, sertificētu mediatoru, šķīrējtiesnešu un maksātnespējas administratoru mācībās ieviests starpdisciplināro mācību princips </w:t>
            </w:r>
          </w:p>
        </w:tc>
        <w:tc>
          <w:tcPr>
            <w:tcW w:w="1418" w:type="dxa"/>
            <w:gridSpan w:val="2"/>
            <w:shd w:val="clear" w:color="auto" w:fill="FFFFFF" w:themeFill="background1"/>
            <w:tcMar>
              <w:left w:w="57" w:type="dxa"/>
              <w:right w:w="57" w:type="dxa"/>
            </w:tcMar>
          </w:tcPr>
          <w:p w14:paraId="79C754B2" w14:textId="77777777" w:rsidR="001E50C7" w:rsidRPr="00C604EE" w:rsidRDefault="001E50C7" w:rsidP="002A3C46">
            <w:pPr>
              <w:jc w:val="both"/>
              <w:rPr>
                <w:sz w:val="20"/>
              </w:rPr>
            </w:pPr>
            <w:r w:rsidRPr="00C604EE">
              <w:rPr>
                <w:sz w:val="20"/>
              </w:rPr>
              <w:t>Starpdisciplināru apmācību programmu skaits: 2020.gadā - 3</w:t>
            </w:r>
          </w:p>
          <w:p w14:paraId="6F093C67" w14:textId="77777777" w:rsidR="001E50C7" w:rsidRPr="00C604EE" w:rsidRDefault="001E50C7" w:rsidP="002A3C46">
            <w:pPr>
              <w:jc w:val="both"/>
              <w:rPr>
                <w:sz w:val="20"/>
              </w:rPr>
            </w:pPr>
          </w:p>
        </w:tc>
        <w:tc>
          <w:tcPr>
            <w:tcW w:w="1134" w:type="dxa"/>
            <w:shd w:val="clear" w:color="auto" w:fill="FFFFFF" w:themeFill="background1"/>
            <w:tcMar>
              <w:left w:w="57" w:type="dxa"/>
              <w:right w:w="57" w:type="dxa"/>
            </w:tcMar>
          </w:tcPr>
          <w:p w14:paraId="505F327A" w14:textId="77777777" w:rsidR="001E50C7" w:rsidRPr="00C604EE" w:rsidRDefault="001E50C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6F206449" w14:textId="77777777" w:rsidR="001E50C7" w:rsidRPr="00C604EE" w:rsidRDefault="001E50C7" w:rsidP="002A3C46">
            <w:pPr>
              <w:widowControl/>
              <w:autoSpaceDE/>
              <w:autoSpaceDN/>
              <w:adjustRightInd/>
              <w:jc w:val="both"/>
              <w:rPr>
                <w:sz w:val="20"/>
              </w:rPr>
            </w:pPr>
            <w:r w:rsidRPr="00C604EE">
              <w:rPr>
                <w:sz w:val="20"/>
              </w:rPr>
              <w:t>LTMC</w:t>
            </w:r>
          </w:p>
          <w:p w14:paraId="48B428EC" w14:textId="77777777" w:rsidR="001E50C7" w:rsidRPr="00C604EE" w:rsidRDefault="001E50C7" w:rsidP="002A3C46">
            <w:pPr>
              <w:widowControl/>
              <w:autoSpaceDE/>
              <w:autoSpaceDN/>
              <w:adjustRightInd/>
              <w:jc w:val="both"/>
              <w:rPr>
                <w:sz w:val="20"/>
              </w:rPr>
            </w:pPr>
            <w:r w:rsidRPr="00C604EE">
              <w:rPr>
                <w:sz w:val="20"/>
              </w:rPr>
              <w:t>TA</w:t>
            </w:r>
          </w:p>
          <w:p w14:paraId="4292CEDC" w14:textId="77777777" w:rsidR="001E50C7" w:rsidRPr="00C604EE" w:rsidRDefault="001E50C7" w:rsidP="002A3C46">
            <w:pPr>
              <w:widowControl/>
              <w:autoSpaceDE/>
              <w:autoSpaceDN/>
              <w:adjustRightInd/>
              <w:jc w:val="both"/>
              <w:rPr>
                <w:sz w:val="20"/>
              </w:rPr>
            </w:pPr>
            <w:r w:rsidRPr="00C604EE">
              <w:rPr>
                <w:sz w:val="20"/>
              </w:rPr>
              <w:t>IeM</w:t>
            </w:r>
          </w:p>
          <w:p w14:paraId="1516A1B2" w14:textId="77777777" w:rsidR="001E50C7" w:rsidRPr="00C604EE" w:rsidRDefault="001E50C7" w:rsidP="002A3C46">
            <w:pPr>
              <w:widowControl/>
              <w:autoSpaceDE/>
              <w:autoSpaceDN/>
              <w:adjustRightInd/>
              <w:jc w:val="both"/>
              <w:rPr>
                <w:sz w:val="20"/>
              </w:rPr>
            </w:pPr>
            <w:r w:rsidRPr="00C604EE">
              <w:rPr>
                <w:sz w:val="20"/>
              </w:rPr>
              <w:t>ĢP</w:t>
            </w:r>
          </w:p>
          <w:p w14:paraId="2045DFFD" w14:textId="77777777" w:rsidR="001E50C7" w:rsidRPr="00C604EE" w:rsidRDefault="001E50C7" w:rsidP="002A3C46">
            <w:pPr>
              <w:widowControl/>
              <w:autoSpaceDE/>
              <w:autoSpaceDN/>
              <w:adjustRightInd/>
              <w:jc w:val="both"/>
              <w:rPr>
                <w:sz w:val="20"/>
              </w:rPr>
            </w:pPr>
            <w:r w:rsidRPr="00C604EE">
              <w:rPr>
                <w:sz w:val="20"/>
              </w:rPr>
              <w:t>LZTIP</w:t>
            </w:r>
          </w:p>
          <w:p w14:paraId="33AEBAD6" w14:textId="77777777" w:rsidR="001E50C7" w:rsidRPr="00C604EE" w:rsidRDefault="001E50C7" w:rsidP="002A3C46">
            <w:pPr>
              <w:widowControl/>
              <w:autoSpaceDE/>
              <w:autoSpaceDN/>
              <w:adjustRightInd/>
              <w:jc w:val="both"/>
              <w:rPr>
                <w:sz w:val="20"/>
              </w:rPr>
            </w:pPr>
            <w:r w:rsidRPr="00C604EE">
              <w:rPr>
                <w:sz w:val="20"/>
              </w:rPr>
              <w:t>LZNP</w:t>
            </w:r>
          </w:p>
          <w:p w14:paraId="514279FC" w14:textId="77777777" w:rsidR="001E50C7" w:rsidRPr="00C604EE" w:rsidRDefault="001E50C7" w:rsidP="002A3C46">
            <w:pPr>
              <w:widowControl/>
              <w:autoSpaceDE/>
              <w:autoSpaceDN/>
              <w:adjustRightInd/>
              <w:jc w:val="both"/>
              <w:rPr>
                <w:sz w:val="20"/>
              </w:rPr>
            </w:pPr>
            <w:r w:rsidRPr="00C604EE">
              <w:rPr>
                <w:sz w:val="20"/>
              </w:rPr>
              <w:t>LZAP</w:t>
            </w:r>
          </w:p>
          <w:p w14:paraId="7E4E9501" w14:textId="77777777" w:rsidR="001E50C7" w:rsidRPr="00C604EE" w:rsidRDefault="001E50C7" w:rsidP="002A3C46">
            <w:pPr>
              <w:jc w:val="both"/>
              <w:rPr>
                <w:sz w:val="20"/>
              </w:rPr>
            </w:pPr>
            <w:r w:rsidRPr="00C604EE">
              <w:rPr>
                <w:sz w:val="20"/>
              </w:rPr>
              <w:t>KNAB</w:t>
            </w:r>
          </w:p>
        </w:tc>
        <w:tc>
          <w:tcPr>
            <w:tcW w:w="1134" w:type="dxa"/>
            <w:shd w:val="clear" w:color="auto" w:fill="FFFFFF" w:themeFill="background1"/>
            <w:tcMar>
              <w:left w:w="57" w:type="dxa"/>
              <w:right w:w="57" w:type="dxa"/>
            </w:tcMar>
          </w:tcPr>
          <w:p w14:paraId="27B74D1D" w14:textId="77777777" w:rsidR="001E50C7" w:rsidRPr="00C604EE" w:rsidRDefault="001E50C7" w:rsidP="002A3C46">
            <w:pPr>
              <w:jc w:val="both"/>
              <w:rPr>
                <w:sz w:val="20"/>
              </w:rPr>
            </w:pPr>
            <w:r w:rsidRPr="00C604EE">
              <w:rPr>
                <w:sz w:val="20"/>
              </w:rPr>
              <w:t>Regulāri līdz 2020.gadam</w:t>
            </w:r>
          </w:p>
        </w:tc>
      </w:tr>
      <w:tr w:rsidR="00C604EE" w:rsidRPr="002A3C46" w14:paraId="20FCFB50" w14:textId="77777777" w:rsidTr="00C604EE">
        <w:tc>
          <w:tcPr>
            <w:tcW w:w="426" w:type="dxa"/>
            <w:shd w:val="clear" w:color="auto" w:fill="FFFFFF" w:themeFill="background1"/>
            <w:tcMar>
              <w:left w:w="57" w:type="dxa"/>
              <w:right w:w="57" w:type="dxa"/>
            </w:tcMar>
          </w:tcPr>
          <w:p w14:paraId="6F1E4680" w14:textId="77777777" w:rsidR="003E1F92" w:rsidRPr="00C604EE" w:rsidRDefault="003E1F92" w:rsidP="002A3C46">
            <w:pPr>
              <w:jc w:val="both"/>
              <w:rPr>
                <w:sz w:val="20"/>
              </w:rPr>
            </w:pPr>
            <w:r w:rsidRPr="00C604EE">
              <w:rPr>
                <w:sz w:val="20"/>
              </w:rPr>
              <w:t>3</w:t>
            </w:r>
          </w:p>
        </w:tc>
        <w:tc>
          <w:tcPr>
            <w:tcW w:w="1984" w:type="dxa"/>
            <w:shd w:val="clear" w:color="auto" w:fill="FFFFFF" w:themeFill="background1"/>
            <w:tcMar>
              <w:left w:w="57" w:type="dxa"/>
              <w:right w:w="57" w:type="dxa"/>
            </w:tcMar>
          </w:tcPr>
          <w:p w14:paraId="77838253" w14:textId="77777777" w:rsidR="003E1F92" w:rsidRPr="00C604EE" w:rsidRDefault="003E1F92" w:rsidP="002A3C46">
            <w:pPr>
              <w:jc w:val="both"/>
              <w:rPr>
                <w:sz w:val="20"/>
              </w:rPr>
            </w:pPr>
            <w:r w:rsidRPr="00C604EE">
              <w:rPr>
                <w:sz w:val="20"/>
              </w:rPr>
              <w:t>Svešvalodu apmācība un to nostiprināšana praksē</w:t>
            </w:r>
          </w:p>
        </w:tc>
        <w:tc>
          <w:tcPr>
            <w:tcW w:w="1559" w:type="dxa"/>
            <w:shd w:val="clear" w:color="auto" w:fill="FFFFFF" w:themeFill="background1"/>
            <w:tcMar>
              <w:left w:w="57" w:type="dxa"/>
              <w:right w:w="57" w:type="dxa"/>
            </w:tcMar>
          </w:tcPr>
          <w:p w14:paraId="0B2BA4AA" w14:textId="77777777" w:rsidR="003E1F92" w:rsidRPr="00C604EE" w:rsidRDefault="003E1F92" w:rsidP="002A3C46">
            <w:pPr>
              <w:jc w:val="both"/>
              <w:rPr>
                <w:sz w:val="20"/>
              </w:rPr>
            </w:pPr>
            <w:r w:rsidRPr="00C604EE">
              <w:rPr>
                <w:sz w:val="20"/>
              </w:rPr>
              <w:t>Celta tiesnešu kompetence</w:t>
            </w:r>
          </w:p>
        </w:tc>
        <w:tc>
          <w:tcPr>
            <w:tcW w:w="1418" w:type="dxa"/>
            <w:gridSpan w:val="2"/>
            <w:shd w:val="clear" w:color="auto" w:fill="FFFFFF" w:themeFill="background1"/>
            <w:tcMar>
              <w:left w:w="57" w:type="dxa"/>
              <w:right w:w="57" w:type="dxa"/>
            </w:tcMar>
          </w:tcPr>
          <w:p w14:paraId="2458C0A3" w14:textId="77777777" w:rsidR="003E1F92" w:rsidRPr="00C604EE" w:rsidRDefault="003E1F92" w:rsidP="002A3C46">
            <w:pPr>
              <w:jc w:val="both"/>
              <w:rPr>
                <w:sz w:val="20"/>
              </w:rPr>
            </w:pPr>
            <w:r w:rsidRPr="00C604EE">
              <w:rPr>
                <w:sz w:val="20"/>
              </w:rPr>
              <w:t xml:space="preserve">Tiesnešu skaits, kas </w:t>
            </w:r>
            <w:r w:rsidR="001E50C7" w:rsidRPr="00C604EE">
              <w:rPr>
                <w:sz w:val="20"/>
              </w:rPr>
              <w:t>sekmīgi nokārtojuši</w:t>
            </w:r>
            <w:r w:rsidRPr="00C604EE">
              <w:rPr>
                <w:sz w:val="20"/>
              </w:rPr>
              <w:t xml:space="preserve"> juridisko svešvalodu (ES oficiālo valodu angļu, franču vai vācu valodu) mācīb</w:t>
            </w:r>
            <w:r w:rsidR="001E50C7" w:rsidRPr="00C604EE">
              <w:rPr>
                <w:sz w:val="20"/>
              </w:rPr>
              <w:t>a</w:t>
            </w:r>
            <w:r w:rsidRPr="00C604EE">
              <w:rPr>
                <w:sz w:val="20"/>
              </w:rPr>
              <w:t>s</w:t>
            </w:r>
            <w:r w:rsidR="001E50C7" w:rsidRPr="00C604EE">
              <w:rPr>
                <w:sz w:val="20"/>
              </w:rPr>
              <w:t xml:space="preserve"> (% no tiesnešu kopējā skaita):  2020.gadā   -30.</w:t>
            </w:r>
          </w:p>
        </w:tc>
        <w:tc>
          <w:tcPr>
            <w:tcW w:w="1134" w:type="dxa"/>
            <w:shd w:val="clear" w:color="auto" w:fill="FFFFFF" w:themeFill="background1"/>
            <w:tcMar>
              <w:left w:w="57" w:type="dxa"/>
              <w:right w:w="57" w:type="dxa"/>
            </w:tcMar>
          </w:tcPr>
          <w:p w14:paraId="7BE2ED80" w14:textId="77777777" w:rsidR="003E1F92" w:rsidRPr="00C604EE" w:rsidRDefault="003E1F92"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4BBE41DC" w14:textId="77777777" w:rsidR="003E1F92" w:rsidRPr="00C604EE" w:rsidRDefault="003E1F92" w:rsidP="002A3C46">
            <w:pPr>
              <w:widowControl/>
              <w:autoSpaceDE/>
              <w:autoSpaceDN/>
              <w:adjustRightInd/>
              <w:jc w:val="both"/>
              <w:rPr>
                <w:sz w:val="20"/>
              </w:rPr>
            </w:pPr>
            <w:r w:rsidRPr="00C604EE">
              <w:rPr>
                <w:sz w:val="20"/>
              </w:rPr>
              <w:t>TA</w:t>
            </w:r>
          </w:p>
          <w:p w14:paraId="5CF16039" w14:textId="77777777" w:rsidR="003E1F92" w:rsidRPr="00C604EE" w:rsidRDefault="003E1F92" w:rsidP="002A3C46">
            <w:pPr>
              <w:widowControl/>
              <w:autoSpaceDE/>
              <w:autoSpaceDN/>
              <w:adjustRightInd/>
              <w:jc w:val="both"/>
              <w:rPr>
                <w:sz w:val="20"/>
              </w:rPr>
            </w:pPr>
            <w:r w:rsidRPr="00C604EE">
              <w:rPr>
                <w:sz w:val="20"/>
              </w:rPr>
              <w:t>LTMC</w:t>
            </w:r>
          </w:p>
          <w:p w14:paraId="3305599A" w14:textId="77777777" w:rsidR="003E1F92" w:rsidRPr="00C604EE" w:rsidRDefault="003E1F92" w:rsidP="002A3C46">
            <w:pPr>
              <w:widowControl/>
              <w:autoSpaceDE/>
              <w:autoSpaceDN/>
              <w:adjustRightInd/>
              <w:jc w:val="both"/>
              <w:rPr>
                <w:sz w:val="20"/>
              </w:rPr>
            </w:pPr>
            <w:r w:rsidRPr="00C604EE">
              <w:rPr>
                <w:sz w:val="20"/>
              </w:rPr>
              <w:t>IeM</w:t>
            </w:r>
          </w:p>
          <w:p w14:paraId="6F4B3C30" w14:textId="77777777" w:rsidR="003E1F92" w:rsidRPr="00C604EE" w:rsidRDefault="003E1F92" w:rsidP="002A3C46">
            <w:pPr>
              <w:jc w:val="both"/>
              <w:rPr>
                <w:sz w:val="20"/>
              </w:rPr>
            </w:pPr>
            <w:r w:rsidRPr="00C604EE">
              <w:rPr>
                <w:sz w:val="20"/>
              </w:rPr>
              <w:t>ĢP</w:t>
            </w:r>
          </w:p>
        </w:tc>
        <w:tc>
          <w:tcPr>
            <w:tcW w:w="1134" w:type="dxa"/>
            <w:shd w:val="clear" w:color="auto" w:fill="FFFFFF" w:themeFill="background1"/>
            <w:tcMar>
              <w:left w:w="57" w:type="dxa"/>
              <w:right w:w="57" w:type="dxa"/>
            </w:tcMar>
          </w:tcPr>
          <w:p w14:paraId="3450F613" w14:textId="77777777" w:rsidR="003E1F92" w:rsidRPr="00C604EE" w:rsidRDefault="003E1F92" w:rsidP="002A3C46">
            <w:pPr>
              <w:jc w:val="both"/>
              <w:rPr>
                <w:sz w:val="20"/>
              </w:rPr>
            </w:pPr>
            <w:r w:rsidRPr="00C604EE">
              <w:rPr>
                <w:sz w:val="20"/>
              </w:rPr>
              <w:t>Regulāri līdz 2020.gadam</w:t>
            </w:r>
          </w:p>
        </w:tc>
      </w:tr>
      <w:tr w:rsidR="00C604EE" w:rsidRPr="002A3C46" w14:paraId="72156B04" w14:textId="77777777" w:rsidTr="00C604EE">
        <w:tc>
          <w:tcPr>
            <w:tcW w:w="426" w:type="dxa"/>
            <w:shd w:val="clear" w:color="auto" w:fill="FFFFFF" w:themeFill="background1"/>
            <w:tcMar>
              <w:left w:w="57" w:type="dxa"/>
              <w:right w:w="57" w:type="dxa"/>
            </w:tcMar>
          </w:tcPr>
          <w:p w14:paraId="2441FFAF" w14:textId="77777777" w:rsidR="003E1F92" w:rsidRPr="00C604EE" w:rsidRDefault="003E1F92" w:rsidP="002A3C46">
            <w:pPr>
              <w:jc w:val="both"/>
              <w:rPr>
                <w:sz w:val="20"/>
              </w:rPr>
            </w:pPr>
            <w:r w:rsidRPr="00C604EE">
              <w:rPr>
                <w:sz w:val="20"/>
              </w:rPr>
              <w:t>4</w:t>
            </w:r>
          </w:p>
        </w:tc>
        <w:tc>
          <w:tcPr>
            <w:tcW w:w="1984" w:type="dxa"/>
            <w:shd w:val="clear" w:color="auto" w:fill="FFFFFF" w:themeFill="background1"/>
            <w:tcMar>
              <w:left w:w="57" w:type="dxa"/>
              <w:right w:w="57" w:type="dxa"/>
            </w:tcMar>
          </w:tcPr>
          <w:p w14:paraId="12FAAB54" w14:textId="77777777" w:rsidR="003E1F92" w:rsidRPr="00C604EE" w:rsidRDefault="003E1F92" w:rsidP="002A3C46">
            <w:pPr>
              <w:jc w:val="both"/>
              <w:rPr>
                <w:sz w:val="20"/>
              </w:rPr>
            </w:pPr>
            <w:r w:rsidRPr="00C604EE">
              <w:rPr>
                <w:sz w:val="20"/>
              </w:rPr>
              <w:t>Apmācība starptautiskā tiesiskā sadarbībā</w:t>
            </w:r>
          </w:p>
          <w:p w14:paraId="358B6552" w14:textId="77777777" w:rsidR="003E1F92" w:rsidRPr="00C604EE" w:rsidRDefault="003E1F92" w:rsidP="002A3C46">
            <w:pPr>
              <w:jc w:val="both"/>
              <w:rPr>
                <w:sz w:val="20"/>
              </w:rPr>
            </w:pPr>
          </w:p>
          <w:p w14:paraId="3FBAD048" w14:textId="77777777" w:rsidR="003E1F92" w:rsidRPr="00C604EE" w:rsidRDefault="003E1F92" w:rsidP="002A3C46">
            <w:pPr>
              <w:jc w:val="both"/>
              <w:rPr>
                <w:sz w:val="20"/>
              </w:rPr>
            </w:pPr>
          </w:p>
        </w:tc>
        <w:tc>
          <w:tcPr>
            <w:tcW w:w="1559" w:type="dxa"/>
            <w:shd w:val="clear" w:color="auto" w:fill="FFFFFF" w:themeFill="background1"/>
            <w:tcMar>
              <w:left w:w="57" w:type="dxa"/>
              <w:right w:w="57" w:type="dxa"/>
            </w:tcMar>
          </w:tcPr>
          <w:p w14:paraId="7CD53DA8" w14:textId="77777777" w:rsidR="003E1F92" w:rsidRPr="00C604EE" w:rsidRDefault="003E1F92"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1BAB5EA1" w14:textId="77777777" w:rsidR="001E50C7" w:rsidRPr="00C604EE" w:rsidRDefault="001E50C7" w:rsidP="002A3C46">
            <w:pPr>
              <w:jc w:val="both"/>
              <w:rPr>
                <w:sz w:val="20"/>
              </w:rPr>
            </w:pPr>
            <w:r w:rsidRPr="00C604EE">
              <w:rPr>
                <w:sz w:val="20"/>
              </w:rPr>
              <w:t>Tiesnešu</w:t>
            </w:r>
            <w:r w:rsidR="003E1F92" w:rsidRPr="00C604EE">
              <w:rPr>
                <w:sz w:val="20"/>
              </w:rPr>
              <w:t xml:space="preserve"> </w:t>
            </w:r>
            <w:r w:rsidRPr="00C604EE">
              <w:rPr>
                <w:sz w:val="20"/>
              </w:rPr>
              <w:t xml:space="preserve">un tiesas darbinieku </w:t>
            </w:r>
            <w:r w:rsidR="003E1F92" w:rsidRPr="00C604EE">
              <w:rPr>
                <w:sz w:val="20"/>
              </w:rPr>
              <w:t>skaits, kas piedalījušās apmācībās</w:t>
            </w:r>
            <w:r w:rsidRPr="00C604EE">
              <w:rPr>
                <w:sz w:val="20"/>
              </w:rPr>
              <w:t>:</w:t>
            </w:r>
          </w:p>
          <w:p w14:paraId="1859FF10" w14:textId="77777777" w:rsidR="003E1F92" w:rsidRPr="00C604EE" w:rsidRDefault="001E50C7" w:rsidP="002A3C46">
            <w:pPr>
              <w:jc w:val="both"/>
              <w:rPr>
                <w:sz w:val="20"/>
              </w:rPr>
            </w:pPr>
            <w:r w:rsidRPr="00C604EE">
              <w:rPr>
                <w:sz w:val="20"/>
              </w:rPr>
              <w:t>2020.gadā-</w:t>
            </w:r>
            <w:r w:rsidRPr="00C604EE">
              <w:rPr>
                <w:color w:val="1F497D"/>
                <w:sz w:val="20"/>
              </w:rPr>
              <w:t xml:space="preserve"> </w:t>
            </w:r>
            <w:r w:rsidRPr="00C604EE">
              <w:rPr>
                <w:sz w:val="20"/>
              </w:rPr>
              <w:t>1900.</w:t>
            </w:r>
          </w:p>
          <w:p w14:paraId="4F9AC19C" w14:textId="77777777" w:rsidR="00467AF3" w:rsidRPr="00C604EE" w:rsidRDefault="00467AF3" w:rsidP="002A3C46">
            <w:pPr>
              <w:jc w:val="both"/>
              <w:rPr>
                <w:sz w:val="20"/>
              </w:rPr>
            </w:pPr>
          </w:p>
          <w:p w14:paraId="7F024B5E" w14:textId="77777777" w:rsidR="00467AF3" w:rsidRPr="00C604EE" w:rsidRDefault="00467AF3" w:rsidP="002A3C46">
            <w:pPr>
              <w:jc w:val="both"/>
              <w:rPr>
                <w:sz w:val="20"/>
              </w:rPr>
            </w:pPr>
            <w:r w:rsidRPr="00C604EE">
              <w:rPr>
                <w:sz w:val="20"/>
              </w:rPr>
              <w:t xml:space="preserve">Profesionālo kompetenci paaugstinājušo izmeklētāju skaits: 2020.gadā – Valsts policijā 150 personas un </w:t>
            </w:r>
            <w:r w:rsidRPr="00C604EE">
              <w:rPr>
                <w:sz w:val="20"/>
              </w:rPr>
              <w:lastRenderedPageBreak/>
              <w:t>Valsts robežsardzē 10 personas.</w:t>
            </w:r>
          </w:p>
        </w:tc>
        <w:tc>
          <w:tcPr>
            <w:tcW w:w="1134" w:type="dxa"/>
            <w:shd w:val="clear" w:color="auto" w:fill="FFFFFF" w:themeFill="background1"/>
            <w:tcMar>
              <w:left w:w="57" w:type="dxa"/>
              <w:right w:w="57" w:type="dxa"/>
            </w:tcMar>
          </w:tcPr>
          <w:p w14:paraId="16126337" w14:textId="77777777" w:rsidR="003E1F92" w:rsidRPr="00C604EE" w:rsidRDefault="003E1F92" w:rsidP="002A3C46">
            <w:pPr>
              <w:jc w:val="both"/>
              <w:rPr>
                <w:sz w:val="20"/>
              </w:rPr>
            </w:pPr>
            <w:r w:rsidRPr="00C604EE">
              <w:rPr>
                <w:sz w:val="20"/>
              </w:rPr>
              <w:lastRenderedPageBreak/>
              <w:t>TM</w:t>
            </w:r>
          </w:p>
        </w:tc>
        <w:tc>
          <w:tcPr>
            <w:tcW w:w="1417" w:type="dxa"/>
            <w:shd w:val="clear" w:color="auto" w:fill="FFFFFF" w:themeFill="background1"/>
            <w:tcMar>
              <w:left w:w="57" w:type="dxa"/>
              <w:right w:w="57" w:type="dxa"/>
            </w:tcMar>
          </w:tcPr>
          <w:p w14:paraId="5A74F771" w14:textId="77777777" w:rsidR="003E1F92" w:rsidRPr="00C604EE" w:rsidRDefault="003E1F92" w:rsidP="002A3C46">
            <w:pPr>
              <w:widowControl/>
              <w:autoSpaceDE/>
              <w:autoSpaceDN/>
              <w:adjustRightInd/>
              <w:jc w:val="both"/>
              <w:rPr>
                <w:sz w:val="20"/>
              </w:rPr>
            </w:pPr>
            <w:r w:rsidRPr="00C604EE">
              <w:rPr>
                <w:sz w:val="20"/>
              </w:rPr>
              <w:t>TA</w:t>
            </w:r>
          </w:p>
          <w:p w14:paraId="5445884F" w14:textId="77777777" w:rsidR="003E1F92" w:rsidRPr="00C604EE" w:rsidRDefault="003E1F92" w:rsidP="002A3C46">
            <w:pPr>
              <w:widowControl/>
              <w:autoSpaceDE/>
              <w:autoSpaceDN/>
              <w:adjustRightInd/>
              <w:jc w:val="both"/>
              <w:rPr>
                <w:sz w:val="20"/>
              </w:rPr>
            </w:pPr>
            <w:r w:rsidRPr="00C604EE">
              <w:rPr>
                <w:sz w:val="20"/>
              </w:rPr>
              <w:t>LTMC</w:t>
            </w:r>
          </w:p>
          <w:p w14:paraId="0A8B2BE0" w14:textId="77777777" w:rsidR="003E1F92" w:rsidRPr="00C604EE" w:rsidRDefault="003E1F92" w:rsidP="002A3C46">
            <w:pPr>
              <w:jc w:val="both"/>
              <w:rPr>
                <w:sz w:val="20"/>
              </w:rPr>
            </w:pPr>
          </w:p>
        </w:tc>
        <w:tc>
          <w:tcPr>
            <w:tcW w:w="1134" w:type="dxa"/>
            <w:shd w:val="clear" w:color="auto" w:fill="FFFFFF" w:themeFill="background1"/>
            <w:tcMar>
              <w:left w:w="57" w:type="dxa"/>
              <w:right w:w="57" w:type="dxa"/>
            </w:tcMar>
          </w:tcPr>
          <w:p w14:paraId="181ED671" w14:textId="77777777" w:rsidR="003E1F92" w:rsidRPr="00C604EE" w:rsidRDefault="003E1F92" w:rsidP="002A3C46">
            <w:pPr>
              <w:jc w:val="both"/>
              <w:rPr>
                <w:sz w:val="20"/>
              </w:rPr>
            </w:pPr>
            <w:r w:rsidRPr="00C604EE">
              <w:rPr>
                <w:sz w:val="20"/>
              </w:rPr>
              <w:t>Regulāri līdz 2020.gadam</w:t>
            </w:r>
          </w:p>
        </w:tc>
      </w:tr>
      <w:tr w:rsidR="00C604EE" w:rsidRPr="002A3C46" w14:paraId="144B72C3" w14:textId="77777777" w:rsidTr="00C604EE">
        <w:tc>
          <w:tcPr>
            <w:tcW w:w="426" w:type="dxa"/>
            <w:shd w:val="clear" w:color="auto" w:fill="FFFFFF" w:themeFill="background1"/>
            <w:tcMar>
              <w:left w:w="57" w:type="dxa"/>
              <w:right w:w="57" w:type="dxa"/>
            </w:tcMar>
          </w:tcPr>
          <w:p w14:paraId="3AB75A9C" w14:textId="77777777" w:rsidR="00EA4757" w:rsidRPr="00C604EE" w:rsidRDefault="00EA4757" w:rsidP="002A3C46">
            <w:pPr>
              <w:jc w:val="both"/>
              <w:rPr>
                <w:sz w:val="20"/>
              </w:rPr>
            </w:pPr>
            <w:r w:rsidRPr="00C604EE">
              <w:rPr>
                <w:sz w:val="20"/>
              </w:rPr>
              <w:lastRenderedPageBreak/>
              <w:t>5</w:t>
            </w:r>
          </w:p>
        </w:tc>
        <w:tc>
          <w:tcPr>
            <w:tcW w:w="1984" w:type="dxa"/>
            <w:shd w:val="clear" w:color="auto" w:fill="FFFFFF" w:themeFill="background1"/>
            <w:tcMar>
              <w:left w:w="57" w:type="dxa"/>
              <w:right w:w="57" w:type="dxa"/>
            </w:tcMar>
          </w:tcPr>
          <w:p w14:paraId="271BEA91" w14:textId="77777777" w:rsidR="00EA4757" w:rsidRPr="00C604EE" w:rsidRDefault="00EA4757" w:rsidP="002A3C46">
            <w:pPr>
              <w:jc w:val="both"/>
              <w:rPr>
                <w:sz w:val="20"/>
              </w:rPr>
            </w:pPr>
            <w:r w:rsidRPr="00C604EE">
              <w:rPr>
                <w:sz w:val="20"/>
              </w:rPr>
              <w:t>Apmācība par ES tiesību un cilvēktiesību jautājumiem</w:t>
            </w:r>
          </w:p>
        </w:tc>
        <w:tc>
          <w:tcPr>
            <w:tcW w:w="1559" w:type="dxa"/>
            <w:shd w:val="clear" w:color="auto" w:fill="FFFFFF" w:themeFill="background1"/>
            <w:tcMar>
              <w:left w:w="57" w:type="dxa"/>
              <w:right w:w="57" w:type="dxa"/>
            </w:tcMar>
          </w:tcPr>
          <w:p w14:paraId="7502729F" w14:textId="77777777" w:rsidR="00EA4757" w:rsidRPr="00C604EE" w:rsidRDefault="00EA4757"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79F43592" w14:textId="77777777" w:rsidR="00EA4757" w:rsidRPr="00C604EE" w:rsidRDefault="001E50C7" w:rsidP="002A3C46">
            <w:pPr>
              <w:jc w:val="both"/>
              <w:rPr>
                <w:sz w:val="20"/>
              </w:rPr>
            </w:pPr>
            <w:r w:rsidRPr="00C604EE">
              <w:rPr>
                <w:sz w:val="20"/>
              </w:rPr>
              <w:t xml:space="preserve">Tiesnešu un tiesas darbinieku </w:t>
            </w:r>
            <w:r w:rsidR="00EA4757" w:rsidRPr="00C604EE">
              <w:rPr>
                <w:sz w:val="20"/>
              </w:rPr>
              <w:t>skaits, kas piedalījušās apmācībās</w:t>
            </w:r>
            <w:r w:rsidRPr="00C604EE">
              <w:rPr>
                <w:sz w:val="20"/>
              </w:rPr>
              <w:t xml:space="preserve">: </w:t>
            </w:r>
          </w:p>
          <w:p w14:paraId="28B80CF7" w14:textId="77777777" w:rsidR="001E50C7" w:rsidRPr="00C604EE" w:rsidRDefault="001E50C7" w:rsidP="002A3C46">
            <w:pPr>
              <w:jc w:val="both"/>
              <w:rPr>
                <w:sz w:val="20"/>
              </w:rPr>
            </w:pPr>
            <w:r w:rsidRPr="00C604EE">
              <w:rPr>
                <w:sz w:val="20"/>
              </w:rPr>
              <w:t xml:space="preserve">2020.gadā </w:t>
            </w:r>
            <w:r w:rsidR="008466C6" w:rsidRPr="00C604EE">
              <w:rPr>
                <w:sz w:val="20"/>
              </w:rPr>
              <w:t>–</w:t>
            </w:r>
            <w:r w:rsidRPr="00C604EE">
              <w:rPr>
                <w:sz w:val="20"/>
              </w:rPr>
              <w:t xml:space="preserve"> </w:t>
            </w:r>
            <w:r w:rsidR="008466C6" w:rsidRPr="00C604EE">
              <w:rPr>
                <w:sz w:val="20"/>
              </w:rPr>
              <w:t>700.</w:t>
            </w:r>
          </w:p>
          <w:p w14:paraId="37D61B00" w14:textId="77777777" w:rsidR="00467AF3" w:rsidRPr="00C604EE" w:rsidRDefault="00467AF3" w:rsidP="002A3C46">
            <w:pPr>
              <w:jc w:val="both"/>
              <w:rPr>
                <w:sz w:val="20"/>
              </w:rPr>
            </w:pPr>
          </w:p>
          <w:p w14:paraId="2BD69C7A" w14:textId="77777777" w:rsidR="00467AF3" w:rsidRPr="00C604EE" w:rsidRDefault="00467AF3" w:rsidP="002A3C46">
            <w:pPr>
              <w:jc w:val="both"/>
              <w:rPr>
                <w:sz w:val="20"/>
              </w:rPr>
            </w:pPr>
            <w:r w:rsidRPr="00C604EE">
              <w:rPr>
                <w:sz w:val="20"/>
              </w:rPr>
              <w:t>Profesionālo kompetenci paaugstinājušo izmeklētāju skaits: 2020.gadā – Valsts policijā 150 personas un Valsts robežsardzē 10 personas.</w:t>
            </w:r>
          </w:p>
        </w:tc>
        <w:tc>
          <w:tcPr>
            <w:tcW w:w="1134" w:type="dxa"/>
            <w:shd w:val="clear" w:color="auto" w:fill="FFFFFF" w:themeFill="background1"/>
            <w:tcMar>
              <w:left w:w="57" w:type="dxa"/>
              <w:right w:w="57" w:type="dxa"/>
            </w:tcMar>
          </w:tcPr>
          <w:p w14:paraId="633DC71D"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540C98B9" w14:textId="77777777" w:rsidR="00EA4757" w:rsidRPr="00C604EE" w:rsidRDefault="00EA4757" w:rsidP="002A3C46">
            <w:pPr>
              <w:widowControl/>
              <w:autoSpaceDE/>
              <w:autoSpaceDN/>
              <w:adjustRightInd/>
              <w:jc w:val="both"/>
              <w:rPr>
                <w:sz w:val="20"/>
              </w:rPr>
            </w:pPr>
            <w:r w:rsidRPr="00C604EE">
              <w:rPr>
                <w:sz w:val="20"/>
              </w:rPr>
              <w:t>TA</w:t>
            </w:r>
          </w:p>
          <w:p w14:paraId="024BCE59" w14:textId="77777777" w:rsidR="00EA4757" w:rsidRPr="00C604EE" w:rsidRDefault="00EA4757" w:rsidP="002A3C46">
            <w:pPr>
              <w:widowControl/>
              <w:autoSpaceDE/>
              <w:autoSpaceDN/>
              <w:adjustRightInd/>
              <w:jc w:val="both"/>
              <w:rPr>
                <w:sz w:val="20"/>
              </w:rPr>
            </w:pPr>
            <w:r w:rsidRPr="00C604EE">
              <w:rPr>
                <w:sz w:val="20"/>
              </w:rPr>
              <w:t>LTMC</w:t>
            </w:r>
          </w:p>
          <w:p w14:paraId="3137D758" w14:textId="77777777" w:rsidR="00EA4757" w:rsidRPr="00C604EE" w:rsidRDefault="00EA4757" w:rsidP="002A3C46">
            <w:pPr>
              <w:jc w:val="both"/>
              <w:rPr>
                <w:sz w:val="20"/>
              </w:rPr>
            </w:pPr>
          </w:p>
        </w:tc>
        <w:tc>
          <w:tcPr>
            <w:tcW w:w="1134" w:type="dxa"/>
            <w:shd w:val="clear" w:color="auto" w:fill="FFFFFF" w:themeFill="background1"/>
            <w:tcMar>
              <w:left w:w="57" w:type="dxa"/>
              <w:right w:w="57" w:type="dxa"/>
            </w:tcMar>
          </w:tcPr>
          <w:p w14:paraId="464D087D" w14:textId="77777777" w:rsidR="00EA4757" w:rsidRPr="00C604EE" w:rsidRDefault="00EA4757" w:rsidP="002A3C46">
            <w:pPr>
              <w:jc w:val="both"/>
              <w:rPr>
                <w:sz w:val="20"/>
              </w:rPr>
            </w:pPr>
            <w:r w:rsidRPr="00C604EE">
              <w:rPr>
                <w:sz w:val="20"/>
              </w:rPr>
              <w:t>Regulāri līdz 2020.gadam</w:t>
            </w:r>
          </w:p>
        </w:tc>
      </w:tr>
      <w:tr w:rsidR="00C604EE" w:rsidRPr="002A3C46" w14:paraId="192343A2" w14:textId="77777777" w:rsidTr="00C604EE">
        <w:tc>
          <w:tcPr>
            <w:tcW w:w="426" w:type="dxa"/>
            <w:shd w:val="clear" w:color="auto" w:fill="FFFFFF" w:themeFill="background1"/>
            <w:tcMar>
              <w:left w:w="57" w:type="dxa"/>
              <w:right w:w="57" w:type="dxa"/>
            </w:tcMar>
          </w:tcPr>
          <w:p w14:paraId="2D7E6407" w14:textId="77777777" w:rsidR="00EA4757" w:rsidRPr="00C604EE" w:rsidRDefault="00EA4757" w:rsidP="002A3C46">
            <w:pPr>
              <w:jc w:val="both"/>
              <w:rPr>
                <w:sz w:val="20"/>
              </w:rPr>
            </w:pPr>
          </w:p>
          <w:p w14:paraId="64D03B6E" w14:textId="77777777" w:rsidR="00EA4757" w:rsidRPr="00C604EE" w:rsidRDefault="00EA4757" w:rsidP="002A3C46">
            <w:pPr>
              <w:jc w:val="both"/>
              <w:rPr>
                <w:sz w:val="20"/>
              </w:rPr>
            </w:pPr>
            <w:r w:rsidRPr="00C604EE">
              <w:rPr>
                <w:sz w:val="20"/>
              </w:rPr>
              <w:t>6</w:t>
            </w:r>
          </w:p>
          <w:p w14:paraId="2384D177" w14:textId="77777777" w:rsidR="00EA4757" w:rsidRPr="00C604EE" w:rsidRDefault="00EA4757" w:rsidP="002A3C46">
            <w:pPr>
              <w:jc w:val="both"/>
              <w:rPr>
                <w:sz w:val="20"/>
              </w:rPr>
            </w:pPr>
          </w:p>
          <w:p w14:paraId="3964884A" w14:textId="77777777" w:rsidR="00EA4757" w:rsidRPr="00C604EE" w:rsidRDefault="00EA4757" w:rsidP="002A3C46">
            <w:pPr>
              <w:jc w:val="both"/>
              <w:rPr>
                <w:sz w:val="20"/>
              </w:rPr>
            </w:pPr>
          </w:p>
          <w:p w14:paraId="60CD525A" w14:textId="77777777" w:rsidR="00EA4757" w:rsidRPr="00C604EE" w:rsidRDefault="00EA4757" w:rsidP="002A3C46">
            <w:pPr>
              <w:jc w:val="both"/>
              <w:rPr>
                <w:sz w:val="20"/>
              </w:rPr>
            </w:pPr>
          </w:p>
          <w:p w14:paraId="3FDD2DDF" w14:textId="77777777" w:rsidR="00EA4757" w:rsidRPr="00C604EE" w:rsidRDefault="00EA4757" w:rsidP="002A3C46">
            <w:pPr>
              <w:jc w:val="both"/>
              <w:rPr>
                <w:sz w:val="20"/>
              </w:rPr>
            </w:pPr>
          </w:p>
          <w:p w14:paraId="2335A26C" w14:textId="77777777" w:rsidR="00EA4757" w:rsidRPr="00C604EE" w:rsidRDefault="00EA4757" w:rsidP="002A3C46">
            <w:pPr>
              <w:jc w:val="both"/>
              <w:rPr>
                <w:sz w:val="20"/>
              </w:rPr>
            </w:pPr>
          </w:p>
          <w:p w14:paraId="5BA4DDFA" w14:textId="77777777" w:rsidR="00EA4757" w:rsidRPr="00C604EE" w:rsidRDefault="00EA4757" w:rsidP="002A3C46">
            <w:pPr>
              <w:jc w:val="both"/>
              <w:rPr>
                <w:sz w:val="20"/>
              </w:rPr>
            </w:pPr>
          </w:p>
        </w:tc>
        <w:tc>
          <w:tcPr>
            <w:tcW w:w="1984" w:type="dxa"/>
            <w:shd w:val="clear" w:color="auto" w:fill="FFFFFF" w:themeFill="background1"/>
            <w:tcMar>
              <w:left w:w="57" w:type="dxa"/>
              <w:right w:w="57" w:type="dxa"/>
            </w:tcMar>
          </w:tcPr>
          <w:p w14:paraId="5EE4AA5E" w14:textId="77777777" w:rsidR="00EA4757" w:rsidRPr="00C604EE" w:rsidRDefault="00EA4757" w:rsidP="002A3C46">
            <w:pPr>
              <w:jc w:val="both"/>
              <w:rPr>
                <w:sz w:val="20"/>
              </w:rPr>
            </w:pPr>
            <w:r w:rsidRPr="00C604EE">
              <w:rPr>
                <w:sz w:val="20"/>
              </w:rPr>
              <w:t>Judikatūras un vienotas tiesu prakses apkopošana un publicēšana</w:t>
            </w:r>
          </w:p>
        </w:tc>
        <w:tc>
          <w:tcPr>
            <w:tcW w:w="1559" w:type="dxa"/>
            <w:shd w:val="clear" w:color="auto" w:fill="FFFFFF" w:themeFill="background1"/>
            <w:tcMar>
              <w:left w:w="57" w:type="dxa"/>
              <w:right w:w="57" w:type="dxa"/>
            </w:tcMar>
          </w:tcPr>
          <w:p w14:paraId="0568BD3B" w14:textId="77777777" w:rsidR="00EA4757" w:rsidRPr="00C604EE" w:rsidRDefault="00EA4757"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1E30352F" w14:textId="77777777" w:rsidR="00EA4757" w:rsidRPr="00C604EE" w:rsidRDefault="00EA4757" w:rsidP="002A3C46">
            <w:pPr>
              <w:jc w:val="both"/>
              <w:rPr>
                <w:sz w:val="20"/>
              </w:rPr>
            </w:pPr>
            <w:r w:rsidRPr="00C604EE">
              <w:rPr>
                <w:sz w:val="20"/>
              </w:rPr>
              <w:t>Judikatūras un vienotās tiesu prakses apkopojum</w:t>
            </w:r>
            <w:r w:rsidR="008466C6" w:rsidRPr="00C604EE">
              <w:rPr>
                <w:sz w:val="20"/>
              </w:rPr>
              <w:t>u skaits:</w:t>
            </w:r>
          </w:p>
          <w:p w14:paraId="3A75211E" w14:textId="77777777" w:rsidR="008466C6" w:rsidRPr="00C604EE" w:rsidRDefault="008466C6" w:rsidP="002A3C46">
            <w:pPr>
              <w:jc w:val="both"/>
              <w:rPr>
                <w:sz w:val="20"/>
              </w:rPr>
            </w:pPr>
            <w:r w:rsidRPr="00C604EE">
              <w:rPr>
                <w:sz w:val="20"/>
              </w:rPr>
              <w:t>2020.gadā- 5.</w:t>
            </w:r>
          </w:p>
        </w:tc>
        <w:tc>
          <w:tcPr>
            <w:tcW w:w="1134" w:type="dxa"/>
            <w:shd w:val="clear" w:color="auto" w:fill="FFFFFF" w:themeFill="background1"/>
            <w:tcMar>
              <w:left w:w="57" w:type="dxa"/>
              <w:right w:w="57" w:type="dxa"/>
            </w:tcMar>
          </w:tcPr>
          <w:p w14:paraId="3A845BF5" w14:textId="77777777" w:rsidR="00EA4757" w:rsidRPr="00C604EE" w:rsidRDefault="00EA4757" w:rsidP="002A3C46">
            <w:pPr>
              <w:jc w:val="both"/>
              <w:rPr>
                <w:sz w:val="20"/>
              </w:rPr>
            </w:pPr>
            <w:r w:rsidRPr="00C604EE">
              <w:rPr>
                <w:sz w:val="20"/>
              </w:rPr>
              <w:t>Augstākā tiesa</w:t>
            </w:r>
          </w:p>
        </w:tc>
        <w:tc>
          <w:tcPr>
            <w:tcW w:w="1417" w:type="dxa"/>
            <w:shd w:val="clear" w:color="auto" w:fill="FFFFFF" w:themeFill="background1"/>
            <w:tcMar>
              <w:left w:w="57" w:type="dxa"/>
              <w:right w:w="57" w:type="dxa"/>
            </w:tcMar>
          </w:tcPr>
          <w:p w14:paraId="02C89A9A" w14:textId="77777777" w:rsidR="00EA4757" w:rsidRPr="00C604EE" w:rsidRDefault="00EA4757" w:rsidP="002A3C46">
            <w:pPr>
              <w:widowControl/>
              <w:autoSpaceDE/>
              <w:autoSpaceDN/>
              <w:adjustRightInd/>
              <w:jc w:val="both"/>
              <w:rPr>
                <w:sz w:val="20"/>
              </w:rPr>
            </w:pPr>
            <w:r w:rsidRPr="00C604EE">
              <w:rPr>
                <w:sz w:val="20"/>
              </w:rPr>
              <w:t>TM</w:t>
            </w:r>
          </w:p>
          <w:p w14:paraId="64DFBC31" w14:textId="77777777" w:rsidR="00EA4757" w:rsidRPr="00C604EE" w:rsidRDefault="00EA4757" w:rsidP="002A3C46">
            <w:pPr>
              <w:jc w:val="both"/>
              <w:rPr>
                <w:sz w:val="20"/>
              </w:rPr>
            </w:pPr>
            <w:r w:rsidRPr="00C604EE">
              <w:rPr>
                <w:sz w:val="20"/>
              </w:rPr>
              <w:t>TA</w:t>
            </w:r>
          </w:p>
        </w:tc>
        <w:tc>
          <w:tcPr>
            <w:tcW w:w="1134" w:type="dxa"/>
            <w:shd w:val="clear" w:color="auto" w:fill="FFFFFF" w:themeFill="background1"/>
            <w:tcMar>
              <w:left w:w="57" w:type="dxa"/>
              <w:right w:w="57" w:type="dxa"/>
            </w:tcMar>
          </w:tcPr>
          <w:p w14:paraId="7643911F" w14:textId="77777777" w:rsidR="00EA4757" w:rsidRPr="00C604EE" w:rsidRDefault="00EA4757" w:rsidP="002A3C46">
            <w:pPr>
              <w:jc w:val="both"/>
              <w:rPr>
                <w:sz w:val="20"/>
              </w:rPr>
            </w:pPr>
            <w:r w:rsidRPr="00C604EE">
              <w:rPr>
                <w:sz w:val="20"/>
              </w:rPr>
              <w:t xml:space="preserve">2018.gada </w:t>
            </w:r>
            <w:r w:rsidR="008466C6" w:rsidRPr="00C604EE">
              <w:rPr>
                <w:sz w:val="20"/>
              </w:rPr>
              <w:t>2.pusgads</w:t>
            </w:r>
          </w:p>
        </w:tc>
      </w:tr>
      <w:tr w:rsidR="00C604EE" w:rsidRPr="002A3C46" w14:paraId="13D4DF47" w14:textId="77777777" w:rsidTr="00C604EE">
        <w:tc>
          <w:tcPr>
            <w:tcW w:w="426" w:type="dxa"/>
            <w:shd w:val="clear" w:color="auto" w:fill="FFFFFF" w:themeFill="background1"/>
            <w:tcMar>
              <w:left w:w="57" w:type="dxa"/>
              <w:right w:w="57" w:type="dxa"/>
            </w:tcMar>
          </w:tcPr>
          <w:p w14:paraId="78E64A95" w14:textId="77777777" w:rsidR="00EA4757" w:rsidRPr="00C604EE" w:rsidRDefault="00EA4757" w:rsidP="002A3C46">
            <w:pPr>
              <w:jc w:val="both"/>
              <w:rPr>
                <w:sz w:val="20"/>
              </w:rPr>
            </w:pPr>
            <w:r w:rsidRPr="00C604EE">
              <w:rPr>
                <w:sz w:val="20"/>
              </w:rPr>
              <w:t>7</w:t>
            </w:r>
          </w:p>
        </w:tc>
        <w:tc>
          <w:tcPr>
            <w:tcW w:w="1984" w:type="dxa"/>
            <w:shd w:val="clear" w:color="auto" w:fill="FFFFFF" w:themeFill="background1"/>
            <w:tcMar>
              <w:left w:w="57" w:type="dxa"/>
              <w:right w:w="57" w:type="dxa"/>
            </w:tcMar>
          </w:tcPr>
          <w:p w14:paraId="35C820D4" w14:textId="77777777" w:rsidR="00EA4757" w:rsidRPr="00C604EE" w:rsidRDefault="00EA4757" w:rsidP="002A3C46">
            <w:pPr>
              <w:jc w:val="both"/>
              <w:rPr>
                <w:sz w:val="20"/>
              </w:rPr>
            </w:pPr>
            <w:r w:rsidRPr="00C604EE">
              <w:rPr>
                <w:sz w:val="20"/>
              </w:rPr>
              <w:t>IKT apmācību programmas pilnveide</w:t>
            </w:r>
          </w:p>
        </w:tc>
        <w:tc>
          <w:tcPr>
            <w:tcW w:w="1559" w:type="dxa"/>
            <w:shd w:val="clear" w:color="auto" w:fill="FFFFFF" w:themeFill="background1"/>
            <w:tcMar>
              <w:left w:w="57" w:type="dxa"/>
              <w:right w:w="57" w:type="dxa"/>
            </w:tcMar>
          </w:tcPr>
          <w:p w14:paraId="59A031AB" w14:textId="77777777" w:rsidR="00EA4757" w:rsidRPr="00C604EE" w:rsidRDefault="00EA4757"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719E3FFD" w14:textId="77777777" w:rsidR="00EA4757" w:rsidRPr="00C604EE" w:rsidRDefault="00EA4757" w:rsidP="002A3C46">
            <w:pPr>
              <w:jc w:val="both"/>
              <w:rPr>
                <w:sz w:val="20"/>
              </w:rPr>
            </w:pPr>
            <w:r w:rsidRPr="00C604EE">
              <w:rPr>
                <w:sz w:val="20"/>
              </w:rPr>
              <w:t>Pilnveidoto IKT apmācību programmu skaits</w:t>
            </w:r>
            <w:r w:rsidR="008466C6" w:rsidRPr="00C604EE">
              <w:rPr>
                <w:sz w:val="20"/>
              </w:rPr>
              <w:t>:</w:t>
            </w:r>
          </w:p>
          <w:p w14:paraId="5F09C911" w14:textId="77777777" w:rsidR="008466C6" w:rsidRPr="00C604EE" w:rsidRDefault="008466C6" w:rsidP="002A3C46">
            <w:pPr>
              <w:jc w:val="both"/>
              <w:rPr>
                <w:sz w:val="20"/>
              </w:rPr>
            </w:pPr>
            <w:r w:rsidRPr="00C604EE">
              <w:rPr>
                <w:sz w:val="20"/>
              </w:rPr>
              <w:t>2020.gadā- 3.</w:t>
            </w:r>
          </w:p>
        </w:tc>
        <w:tc>
          <w:tcPr>
            <w:tcW w:w="1134" w:type="dxa"/>
            <w:shd w:val="clear" w:color="auto" w:fill="FFFFFF" w:themeFill="background1"/>
            <w:tcMar>
              <w:left w:w="57" w:type="dxa"/>
              <w:right w:w="57" w:type="dxa"/>
            </w:tcMar>
          </w:tcPr>
          <w:p w14:paraId="15736A45"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07C08B6C" w14:textId="77777777" w:rsidR="00EA4757" w:rsidRPr="00C604EE" w:rsidRDefault="00EA4757" w:rsidP="002A3C46">
            <w:pPr>
              <w:widowControl/>
              <w:autoSpaceDE/>
              <w:autoSpaceDN/>
              <w:adjustRightInd/>
              <w:jc w:val="both"/>
              <w:rPr>
                <w:sz w:val="20"/>
              </w:rPr>
            </w:pPr>
            <w:r w:rsidRPr="00C604EE">
              <w:rPr>
                <w:sz w:val="20"/>
              </w:rPr>
              <w:t>TA</w:t>
            </w:r>
          </w:p>
          <w:p w14:paraId="00B1641D" w14:textId="77777777" w:rsidR="00EA4757" w:rsidRPr="00C604EE" w:rsidRDefault="00EA4757" w:rsidP="002A3C46">
            <w:pPr>
              <w:widowControl/>
              <w:autoSpaceDE/>
              <w:autoSpaceDN/>
              <w:adjustRightInd/>
              <w:jc w:val="both"/>
              <w:rPr>
                <w:sz w:val="20"/>
              </w:rPr>
            </w:pPr>
            <w:r w:rsidRPr="00C604EE">
              <w:rPr>
                <w:sz w:val="20"/>
              </w:rPr>
              <w:t>LTMC</w:t>
            </w:r>
          </w:p>
        </w:tc>
        <w:tc>
          <w:tcPr>
            <w:tcW w:w="1134" w:type="dxa"/>
            <w:shd w:val="clear" w:color="auto" w:fill="FFFFFF" w:themeFill="background1"/>
            <w:tcMar>
              <w:left w:w="57" w:type="dxa"/>
              <w:right w:w="57" w:type="dxa"/>
            </w:tcMar>
          </w:tcPr>
          <w:p w14:paraId="305A50A7" w14:textId="77777777" w:rsidR="00EA4757" w:rsidRPr="00C604EE" w:rsidRDefault="00EA4757" w:rsidP="002A3C46">
            <w:pPr>
              <w:jc w:val="both"/>
              <w:rPr>
                <w:sz w:val="20"/>
              </w:rPr>
            </w:pPr>
            <w:r w:rsidRPr="00C604EE">
              <w:rPr>
                <w:sz w:val="20"/>
              </w:rPr>
              <w:t>Regulāri līdz 2020.gadam</w:t>
            </w:r>
          </w:p>
        </w:tc>
      </w:tr>
      <w:tr w:rsidR="00C604EE" w:rsidRPr="002A3C46" w14:paraId="16BF68DB" w14:textId="77777777" w:rsidTr="00C604EE">
        <w:tc>
          <w:tcPr>
            <w:tcW w:w="426" w:type="dxa"/>
            <w:shd w:val="clear" w:color="auto" w:fill="FFFFFF" w:themeFill="background1"/>
            <w:tcMar>
              <w:left w:w="57" w:type="dxa"/>
              <w:right w:w="57" w:type="dxa"/>
            </w:tcMar>
          </w:tcPr>
          <w:p w14:paraId="68866625" w14:textId="77777777" w:rsidR="00EA4757" w:rsidRPr="00C604EE" w:rsidRDefault="00EA4757" w:rsidP="002A3C46">
            <w:pPr>
              <w:jc w:val="both"/>
              <w:rPr>
                <w:sz w:val="20"/>
              </w:rPr>
            </w:pPr>
            <w:r w:rsidRPr="00C604EE">
              <w:rPr>
                <w:sz w:val="20"/>
              </w:rPr>
              <w:t>8</w:t>
            </w:r>
          </w:p>
        </w:tc>
        <w:tc>
          <w:tcPr>
            <w:tcW w:w="1984" w:type="dxa"/>
            <w:shd w:val="clear" w:color="auto" w:fill="FFFFFF" w:themeFill="background1"/>
            <w:tcMar>
              <w:left w:w="57" w:type="dxa"/>
              <w:right w:w="57" w:type="dxa"/>
            </w:tcMar>
          </w:tcPr>
          <w:p w14:paraId="0709763E" w14:textId="77777777" w:rsidR="00EA4757" w:rsidRPr="00C604EE" w:rsidRDefault="00EA4757" w:rsidP="002A3C46">
            <w:pPr>
              <w:jc w:val="both"/>
              <w:rPr>
                <w:sz w:val="20"/>
              </w:rPr>
            </w:pPr>
            <w:r w:rsidRPr="00C604EE">
              <w:rPr>
                <w:sz w:val="20"/>
              </w:rPr>
              <w:t>Prokuroru profesionālās apmācības ar amata pienākumu izpildi saistītos jautājumos</w:t>
            </w:r>
          </w:p>
        </w:tc>
        <w:tc>
          <w:tcPr>
            <w:tcW w:w="1559" w:type="dxa"/>
            <w:shd w:val="clear" w:color="auto" w:fill="FFFFFF" w:themeFill="background1"/>
            <w:tcMar>
              <w:left w:w="57" w:type="dxa"/>
              <w:right w:w="57" w:type="dxa"/>
            </w:tcMar>
          </w:tcPr>
          <w:p w14:paraId="1109EDC3" w14:textId="77777777" w:rsidR="00EA4757" w:rsidRPr="00C604EE" w:rsidRDefault="00EA4757" w:rsidP="002A3C46">
            <w:pPr>
              <w:jc w:val="both"/>
              <w:rPr>
                <w:sz w:val="20"/>
              </w:rPr>
            </w:pPr>
            <w:r w:rsidRPr="00C604EE">
              <w:rPr>
                <w:sz w:val="20"/>
              </w:rPr>
              <w:t>Celta prokuroru kompetence</w:t>
            </w:r>
          </w:p>
        </w:tc>
        <w:tc>
          <w:tcPr>
            <w:tcW w:w="1418" w:type="dxa"/>
            <w:gridSpan w:val="2"/>
            <w:shd w:val="clear" w:color="auto" w:fill="FFFFFF" w:themeFill="background1"/>
            <w:tcMar>
              <w:left w:w="57" w:type="dxa"/>
              <w:right w:w="57" w:type="dxa"/>
            </w:tcMar>
          </w:tcPr>
          <w:p w14:paraId="44F2FF06" w14:textId="77777777" w:rsidR="00EA4757" w:rsidRPr="00C604EE" w:rsidRDefault="008466C6" w:rsidP="002A3C46">
            <w:pPr>
              <w:jc w:val="both"/>
              <w:rPr>
                <w:sz w:val="20"/>
              </w:rPr>
            </w:pPr>
            <w:r w:rsidRPr="00C604EE">
              <w:rPr>
                <w:sz w:val="20"/>
              </w:rPr>
              <w:t>Prokuroru</w:t>
            </w:r>
            <w:r w:rsidR="00EA4757" w:rsidRPr="00C604EE">
              <w:rPr>
                <w:sz w:val="20"/>
              </w:rPr>
              <w:t xml:space="preserve"> skaits, kas piedalījušās apmācībās</w:t>
            </w:r>
            <w:r w:rsidRPr="00C604EE">
              <w:rPr>
                <w:sz w:val="20"/>
              </w:rPr>
              <w:t>:</w:t>
            </w:r>
          </w:p>
          <w:p w14:paraId="392E50F6" w14:textId="77777777" w:rsidR="008466C6" w:rsidRPr="00C604EE" w:rsidRDefault="008466C6" w:rsidP="002A3C46">
            <w:pPr>
              <w:jc w:val="both"/>
              <w:rPr>
                <w:sz w:val="20"/>
              </w:rPr>
            </w:pPr>
            <w:r w:rsidRPr="00C604EE">
              <w:rPr>
                <w:sz w:val="20"/>
              </w:rPr>
              <w:t>2020.gadā- 500.</w:t>
            </w:r>
          </w:p>
        </w:tc>
        <w:tc>
          <w:tcPr>
            <w:tcW w:w="1134" w:type="dxa"/>
            <w:shd w:val="clear" w:color="auto" w:fill="FFFFFF" w:themeFill="background1"/>
            <w:tcMar>
              <w:left w:w="57" w:type="dxa"/>
              <w:right w:w="57" w:type="dxa"/>
            </w:tcMar>
          </w:tcPr>
          <w:p w14:paraId="40E4C7A8" w14:textId="77777777" w:rsidR="00EA4757" w:rsidRPr="00C604EE" w:rsidRDefault="00EA4757" w:rsidP="002A3C46">
            <w:pPr>
              <w:jc w:val="both"/>
              <w:rPr>
                <w:sz w:val="20"/>
              </w:rPr>
            </w:pPr>
            <w:r w:rsidRPr="00C604EE">
              <w:rPr>
                <w:sz w:val="20"/>
              </w:rPr>
              <w:t>ĢP</w:t>
            </w:r>
          </w:p>
        </w:tc>
        <w:tc>
          <w:tcPr>
            <w:tcW w:w="1417" w:type="dxa"/>
            <w:shd w:val="clear" w:color="auto" w:fill="FFFFFF" w:themeFill="background1"/>
            <w:tcMar>
              <w:left w:w="57" w:type="dxa"/>
              <w:right w:w="57" w:type="dxa"/>
            </w:tcMar>
          </w:tcPr>
          <w:p w14:paraId="23CC4D27" w14:textId="77777777" w:rsidR="00EA4757" w:rsidRPr="00C604EE" w:rsidRDefault="00EA4757" w:rsidP="002A3C46">
            <w:pPr>
              <w:widowControl/>
              <w:autoSpaceDE/>
              <w:autoSpaceDN/>
              <w:adjustRightInd/>
              <w:jc w:val="both"/>
              <w:rPr>
                <w:sz w:val="20"/>
              </w:rPr>
            </w:pPr>
            <w:r w:rsidRPr="00C604EE">
              <w:rPr>
                <w:sz w:val="20"/>
              </w:rPr>
              <w:t>LTMC</w:t>
            </w:r>
          </w:p>
        </w:tc>
        <w:tc>
          <w:tcPr>
            <w:tcW w:w="1134" w:type="dxa"/>
            <w:shd w:val="clear" w:color="auto" w:fill="FFFFFF" w:themeFill="background1"/>
            <w:tcMar>
              <w:left w:w="57" w:type="dxa"/>
              <w:right w:w="57" w:type="dxa"/>
            </w:tcMar>
          </w:tcPr>
          <w:p w14:paraId="6FB891D4" w14:textId="77777777" w:rsidR="00EA4757" w:rsidRPr="00C604EE" w:rsidRDefault="00EA4757" w:rsidP="002A3C46">
            <w:pPr>
              <w:jc w:val="both"/>
              <w:rPr>
                <w:sz w:val="20"/>
              </w:rPr>
            </w:pPr>
            <w:r w:rsidRPr="00C604EE">
              <w:rPr>
                <w:sz w:val="20"/>
              </w:rPr>
              <w:t>Regulāri līdz 2020.gadam</w:t>
            </w:r>
          </w:p>
        </w:tc>
      </w:tr>
      <w:tr w:rsidR="00C604EE" w:rsidRPr="002A3C46" w14:paraId="6DDB2AF1" w14:textId="77777777" w:rsidTr="00C604EE">
        <w:tc>
          <w:tcPr>
            <w:tcW w:w="426" w:type="dxa"/>
            <w:shd w:val="clear" w:color="auto" w:fill="FFFFFF" w:themeFill="background1"/>
            <w:tcMar>
              <w:left w:w="57" w:type="dxa"/>
              <w:right w:w="57" w:type="dxa"/>
            </w:tcMar>
          </w:tcPr>
          <w:p w14:paraId="4826502E" w14:textId="77777777" w:rsidR="00EA4757" w:rsidRPr="00C604EE" w:rsidRDefault="00EA4757" w:rsidP="002A3C46">
            <w:pPr>
              <w:jc w:val="both"/>
              <w:rPr>
                <w:sz w:val="20"/>
              </w:rPr>
            </w:pPr>
            <w:r w:rsidRPr="00C604EE">
              <w:rPr>
                <w:sz w:val="20"/>
              </w:rPr>
              <w:t>9</w:t>
            </w:r>
          </w:p>
        </w:tc>
        <w:tc>
          <w:tcPr>
            <w:tcW w:w="1984" w:type="dxa"/>
            <w:shd w:val="clear" w:color="auto" w:fill="FFFFFF" w:themeFill="background1"/>
            <w:tcMar>
              <w:left w:w="57" w:type="dxa"/>
              <w:right w:w="57" w:type="dxa"/>
            </w:tcMar>
          </w:tcPr>
          <w:p w14:paraId="00DEDE84" w14:textId="77777777" w:rsidR="00EA4757" w:rsidRPr="00C604EE" w:rsidRDefault="00EA4757" w:rsidP="002A3C46">
            <w:pPr>
              <w:jc w:val="both"/>
              <w:rPr>
                <w:sz w:val="20"/>
              </w:rPr>
            </w:pPr>
            <w:r w:rsidRPr="00C604EE">
              <w:rPr>
                <w:sz w:val="20"/>
              </w:rPr>
              <w:t>Tiesu ekspertu apmācības procesuālajos un praktiskajos jautājumos, kas saistīti ar tiesu ekspertīžu veikšanu</w:t>
            </w:r>
          </w:p>
        </w:tc>
        <w:tc>
          <w:tcPr>
            <w:tcW w:w="1559" w:type="dxa"/>
            <w:shd w:val="clear" w:color="auto" w:fill="FFFFFF" w:themeFill="background1"/>
            <w:tcMar>
              <w:left w:w="57" w:type="dxa"/>
              <w:right w:w="57" w:type="dxa"/>
            </w:tcMar>
          </w:tcPr>
          <w:p w14:paraId="010B0D5A" w14:textId="77777777" w:rsidR="00EA4757" w:rsidRPr="00C604EE" w:rsidRDefault="00EA4757" w:rsidP="002A3C46">
            <w:pPr>
              <w:jc w:val="both"/>
              <w:rPr>
                <w:sz w:val="20"/>
              </w:rPr>
            </w:pPr>
            <w:r w:rsidRPr="00C604EE">
              <w:rPr>
                <w:sz w:val="20"/>
              </w:rPr>
              <w:t xml:space="preserve">Celta </w:t>
            </w:r>
            <w:r w:rsidR="008466C6" w:rsidRPr="00C604EE">
              <w:rPr>
                <w:sz w:val="20"/>
              </w:rPr>
              <w:t>tiesu ekspertu</w:t>
            </w:r>
            <w:r w:rsidRPr="00C604EE">
              <w:rPr>
                <w:sz w:val="20"/>
              </w:rPr>
              <w:t xml:space="preserve"> kompetence</w:t>
            </w:r>
          </w:p>
        </w:tc>
        <w:tc>
          <w:tcPr>
            <w:tcW w:w="1418" w:type="dxa"/>
            <w:gridSpan w:val="2"/>
            <w:shd w:val="clear" w:color="auto" w:fill="FFFFFF" w:themeFill="background1"/>
            <w:tcMar>
              <w:left w:w="57" w:type="dxa"/>
              <w:right w:w="57" w:type="dxa"/>
            </w:tcMar>
          </w:tcPr>
          <w:p w14:paraId="200BED4C" w14:textId="77777777" w:rsidR="00EA4757" w:rsidRPr="00C604EE" w:rsidRDefault="008466C6" w:rsidP="002A3C46">
            <w:pPr>
              <w:jc w:val="both"/>
              <w:rPr>
                <w:sz w:val="20"/>
              </w:rPr>
            </w:pPr>
            <w:r w:rsidRPr="00C604EE">
              <w:rPr>
                <w:sz w:val="20"/>
              </w:rPr>
              <w:t>Tiesu ekspertu</w:t>
            </w:r>
            <w:r w:rsidR="00EA4757" w:rsidRPr="00C604EE">
              <w:rPr>
                <w:sz w:val="20"/>
              </w:rPr>
              <w:t xml:space="preserve"> skaits, kas piedalījušās apmācībās</w:t>
            </w:r>
            <w:r w:rsidRPr="00C604EE">
              <w:rPr>
                <w:sz w:val="20"/>
              </w:rPr>
              <w:t>:</w:t>
            </w:r>
          </w:p>
          <w:p w14:paraId="049B330C" w14:textId="77777777" w:rsidR="008466C6" w:rsidRPr="00C604EE" w:rsidRDefault="008466C6" w:rsidP="002A3C46">
            <w:pPr>
              <w:jc w:val="both"/>
              <w:rPr>
                <w:sz w:val="20"/>
              </w:rPr>
            </w:pPr>
            <w:r w:rsidRPr="00C604EE">
              <w:rPr>
                <w:sz w:val="20"/>
              </w:rPr>
              <w:t>2020.gadā – 200.</w:t>
            </w:r>
          </w:p>
          <w:p w14:paraId="5102018D" w14:textId="77777777" w:rsidR="00467AF3" w:rsidRPr="00C604EE" w:rsidRDefault="00467AF3" w:rsidP="002A3C46">
            <w:pPr>
              <w:jc w:val="both"/>
              <w:rPr>
                <w:sz w:val="20"/>
              </w:rPr>
            </w:pPr>
          </w:p>
          <w:p w14:paraId="55026A88" w14:textId="77777777" w:rsidR="00467AF3" w:rsidRPr="00C604EE" w:rsidRDefault="00467AF3" w:rsidP="002A3C46">
            <w:pPr>
              <w:jc w:val="both"/>
              <w:rPr>
                <w:sz w:val="20"/>
              </w:rPr>
            </w:pPr>
            <w:r w:rsidRPr="00C604EE">
              <w:rPr>
                <w:sz w:val="20"/>
              </w:rPr>
              <w:t xml:space="preserve">Profesionālo kompetenci paaugstinājušo ekspertu skaits: </w:t>
            </w:r>
            <w:r w:rsidRPr="00C604EE">
              <w:rPr>
                <w:sz w:val="20"/>
              </w:rPr>
              <w:lastRenderedPageBreak/>
              <w:t>2020.gadā – Valsts policijā 250 personas un Valsts robežsardzē 10 personas.</w:t>
            </w:r>
          </w:p>
        </w:tc>
        <w:tc>
          <w:tcPr>
            <w:tcW w:w="1134" w:type="dxa"/>
            <w:shd w:val="clear" w:color="auto" w:fill="FFFFFF" w:themeFill="background1"/>
            <w:tcMar>
              <w:left w:w="57" w:type="dxa"/>
              <w:right w:w="57" w:type="dxa"/>
            </w:tcMar>
          </w:tcPr>
          <w:p w14:paraId="58BDBFA4" w14:textId="77777777" w:rsidR="00EA4757" w:rsidRPr="00C604EE" w:rsidRDefault="00EA4757" w:rsidP="002A3C46">
            <w:pPr>
              <w:widowControl/>
              <w:autoSpaceDE/>
              <w:autoSpaceDN/>
              <w:adjustRightInd/>
              <w:jc w:val="both"/>
              <w:rPr>
                <w:sz w:val="20"/>
              </w:rPr>
            </w:pPr>
            <w:r w:rsidRPr="00C604EE">
              <w:rPr>
                <w:sz w:val="20"/>
              </w:rPr>
              <w:lastRenderedPageBreak/>
              <w:t>VTEB</w:t>
            </w:r>
          </w:p>
          <w:p w14:paraId="026DE76D" w14:textId="77777777" w:rsidR="00EA4757" w:rsidRPr="00C604EE" w:rsidRDefault="00EA4757" w:rsidP="002A3C46">
            <w:pPr>
              <w:jc w:val="both"/>
              <w:rPr>
                <w:sz w:val="20"/>
              </w:rPr>
            </w:pPr>
            <w:r w:rsidRPr="00C604EE">
              <w:rPr>
                <w:sz w:val="20"/>
              </w:rPr>
              <w:t>(TA)</w:t>
            </w:r>
          </w:p>
        </w:tc>
        <w:tc>
          <w:tcPr>
            <w:tcW w:w="1417" w:type="dxa"/>
            <w:shd w:val="clear" w:color="auto" w:fill="FFFFFF" w:themeFill="background1"/>
            <w:tcMar>
              <w:left w:w="57" w:type="dxa"/>
              <w:right w:w="57" w:type="dxa"/>
            </w:tcMar>
          </w:tcPr>
          <w:p w14:paraId="4D53E2D7" w14:textId="77777777" w:rsidR="00EA4757" w:rsidRPr="00C604EE" w:rsidRDefault="00EA4757" w:rsidP="002A3C46">
            <w:pPr>
              <w:widowControl/>
              <w:autoSpaceDE/>
              <w:autoSpaceDN/>
              <w:adjustRightInd/>
              <w:jc w:val="both"/>
              <w:rPr>
                <w:sz w:val="20"/>
              </w:rPr>
            </w:pPr>
            <w:r w:rsidRPr="00C604EE">
              <w:rPr>
                <w:sz w:val="20"/>
              </w:rPr>
              <w:t>LTMC</w:t>
            </w:r>
          </w:p>
        </w:tc>
        <w:tc>
          <w:tcPr>
            <w:tcW w:w="1134" w:type="dxa"/>
            <w:shd w:val="clear" w:color="auto" w:fill="FFFFFF" w:themeFill="background1"/>
            <w:tcMar>
              <w:left w:w="57" w:type="dxa"/>
              <w:right w:w="57" w:type="dxa"/>
            </w:tcMar>
          </w:tcPr>
          <w:p w14:paraId="26322C53" w14:textId="77777777" w:rsidR="00EA4757" w:rsidRPr="00C604EE" w:rsidRDefault="00EA4757" w:rsidP="002A3C46">
            <w:pPr>
              <w:jc w:val="both"/>
              <w:rPr>
                <w:sz w:val="20"/>
              </w:rPr>
            </w:pPr>
            <w:r w:rsidRPr="00C604EE">
              <w:rPr>
                <w:sz w:val="20"/>
              </w:rPr>
              <w:t>Regulāri līdz 2020.gadam</w:t>
            </w:r>
          </w:p>
        </w:tc>
      </w:tr>
      <w:tr w:rsidR="00C604EE" w:rsidRPr="002A3C46" w14:paraId="0003CC02" w14:textId="77777777" w:rsidTr="00C604EE">
        <w:tc>
          <w:tcPr>
            <w:tcW w:w="426" w:type="dxa"/>
            <w:shd w:val="clear" w:color="auto" w:fill="FFFFFF" w:themeFill="background1"/>
            <w:tcMar>
              <w:left w:w="57" w:type="dxa"/>
              <w:right w:w="57" w:type="dxa"/>
            </w:tcMar>
          </w:tcPr>
          <w:p w14:paraId="0C0B41A3" w14:textId="77777777" w:rsidR="00EA4757" w:rsidRPr="00C604EE" w:rsidRDefault="00EA4757" w:rsidP="002A3C46">
            <w:pPr>
              <w:jc w:val="both"/>
              <w:rPr>
                <w:sz w:val="20"/>
              </w:rPr>
            </w:pPr>
            <w:r w:rsidRPr="00C604EE">
              <w:rPr>
                <w:sz w:val="20"/>
              </w:rPr>
              <w:lastRenderedPageBreak/>
              <w:t>10</w:t>
            </w:r>
          </w:p>
        </w:tc>
        <w:tc>
          <w:tcPr>
            <w:tcW w:w="1984" w:type="dxa"/>
            <w:shd w:val="clear" w:color="auto" w:fill="FFFFFF" w:themeFill="background1"/>
            <w:tcMar>
              <w:left w:w="57" w:type="dxa"/>
              <w:right w:w="57" w:type="dxa"/>
            </w:tcMar>
          </w:tcPr>
          <w:p w14:paraId="26E1B4DA" w14:textId="77777777" w:rsidR="00EA4757" w:rsidRPr="00C604EE" w:rsidRDefault="00EA4757" w:rsidP="002A3C46">
            <w:pPr>
              <w:jc w:val="both"/>
              <w:rPr>
                <w:sz w:val="20"/>
              </w:rPr>
            </w:pPr>
            <w:r w:rsidRPr="00C604EE">
              <w:rPr>
                <w:sz w:val="20"/>
              </w:rPr>
              <w:t>Rokasgrāmatas izstrāde izmeklētājiem, prokuroriem, tiesnešiem par tiesu ekspertīzes praktiskajiem jautājumiem</w:t>
            </w:r>
          </w:p>
        </w:tc>
        <w:tc>
          <w:tcPr>
            <w:tcW w:w="1559" w:type="dxa"/>
            <w:shd w:val="clear" w:color="auto" w:fill="FFFFFF" w:themeFill="background1"/>
            <w:tcMar>
              <w:left w:w="57" w:type="dxa"/>
              <w:right w:w="57" w:type="dxa"/>
            </w:tcMar>
          </w:tcPr>
          <w:p w14:paraId="3BE3D03C" w14:textId="77777777" w:rsidR="00EA4757" w:rsidRPr="00C604EE" w:rsidRDefault="00EA4757" w:rsidP="002A3C46">
            <w:pPr>
              <w:jc w:val="both"/>
              <w:rPr>
                <w:sz w:val="20"/>
              </w:rPr>
            </w:pPr>
            <w:r w:rsidRPr="00C604EE">
              <w:rPr>
                <w:sz w:val="20"/>
              </w:rPr>
              <w:t>Celta tiesnešu, tiesas darbinieku, izmeklētāju un prokuroru kompetence</w:t>
            </w:r>
          </w:p>
        </w:tc>
        <w:tc>
          <w:tcPr>
            <w:tcW w:w="1418" w:type="dxa"/>
            <w:gridSpan w:val="2"/>
            <w:shd w:val="clear" w:color="auto" w:fill="FFFFFF" w:themeFill="background1"/>
            <w:tcMar>
              <w:left w:w="57" w:type="dxa"/>
              <w:right w:w="57" w:type="dxa"/>
            </w:tcMar>
          </w:tcPr>
          <w:p w14:paraId="2DB85AC0" w14:textId="77777777" w:rsidR="00EA4757" w:rsidRPr="00C604EE" w:rsidRDefault="00EA4757" w:rsidP="002A3C46">
            <w:pPr>
              <w:jc w:val="both"/>
              <w:rPr>
                <w:sz w:val="20"/>
              </w:rPr>
            </w:pPr>
            <w:r w:rsidRPr="00C604EE">
              <w:rPr>
                <w:sz w:val="20"/>
              </w:rPr>
              <w:t xml:space="preserve">Izstrādāto rokasgrāmatu </w:t>
            </w:r>
            <w:r w:rsidR="008466C6" w:rsidRPr="00C604EE">
              <w:rPr>
                <w:sz w:val="20"/>
              </w:rPr>
              <w:t>skaits: 2020.gadā – 1.</w:t>
            </w:r>
          </w:p>
        </w:tc>
        <w:tc>
          <w:tcPr>
            <w:tcW w:w="1134" w:type="dxa"/>
            <w:shd w:val="clear" w:color="auto" w:fill="FFFFFF" w:themeFill="background1"/>
            <w:tcMar>
              <w:left w:w="57" w:type="dxa"/>
              <w:right w:w="57" w:type="dxa"/>
            </w:tcMar>
          </w:tcPr>
          <w:p w14:paraId="147E4022" w14:textId="77777777" w:rsidR="00EA4757" w:rsidRPr="00C604EE" w:rsidRDefault="00EA4757" w:rsidP="002A3C46">
            <w:pPr>
              <w:jc w:val="both"/>
              <w:rPr>
                <w:sz w:val="20"/>
              </w:rPr>
            </w:pPr>
            <w:r w:rsidRPr="00C604EE">
              <w:rPr>
                <w:sz w:val="20"/>
              </w:rPr>
              <w:t>VTEB</w:t>
            </w:r>
          </w:p>
        </w:tc>
        <w:tc>
          <w:tcPr>
            <w:tcW w:w="1417" w:type="dxa"/>
            <w:shd w:val="clear" w:color="auto" w:fill="FFFFFF" w:themeFill="background1"/>
            <w:tcMar>
              <w:left w:w="57" w:type="dxa"/>
              <w:right w:w="57" w:type="dxa"/>
            </w:tcMar>
          </w:tcPr>
          <w:p w14:paraId="4A6F1DA9" w14:textId="77777777" w:rsidR="00EA4757" w:rsidRPr="00C604EE" w:rsidRDefault="00EA4757" w:rsidP="002A3C46">
            <w:pPr>
              <w:widowControl/>
              <w:autoSpaceDE/>
              <w:autoSpaceDN/>
              <w:adjustRightInd/>
              <w:jc w:val="both"/>
              <w:rPr>
                <w:sz w:val="20"/>
              </w:rPr>
            </w:pPr>
            <w:r w:rsidRPr="00C604EE">
              <w:rPr>
                <w:sz w:val="20"/>
              </w:rPr>
              <w:t>TM</w:t>
            </w:r>
          </w:p>
          <w:p w14:paraId="23D1B6E9" w14:textId="77777777" w:rsidR="00EA4757" w:rsidRPr="00C604EE" w:rsidRDefault="00EA4757" w:rsidP="002A3C46">
            <w:pPr>
              <w:widowControl/>
              <w:autoSpaceDE/>
              <w:autoSpaceDN/>
              <w:adjustRightInd/>
              <w:jc w:val="both"/>
              <w:rPr>
                <w:sz w:val="20"/>
              </w:rPr>
            </w:pPr>
            <w:r w:rsidRPr="00C604EE">
              <w:rPr>
                <w:sz w:val="20"/>
              </w:rPr>
              <w:t>TA</w:t>
            </w:r>
          </w:p>
          <w:p w14:paraId="3F62CC4E" w14:textId="77777777" w:rsidR="00EA4757" w:rsidRPr="00C604EE" w:rsidRDefault="00EA4757" w:rsidP="002A3C46">
            <w:pPr>
              <w:widowControl/>
              <w:autoSpaceDE/>
              <w:autoSpaceDN/>
              <w:adjustRightInd/>
              <w:jc w:val="both"/>
              <w:rPr>
                <w:sz w:val="20"/>
              </w:rPr>
            </w:pPr>
            <w:r w:rsidRPr="00C604EE">
              <w:rPr>
                <w:sz w:val="20"/>
              </w:rPr>
              <w:t>IeM</w:t>
            </w:r>
          </w:p>
          <w:p w14:paraId="4C44A700" w14:textId="77777777" w:rsidR="00EA4757" w:rsidRPr="00C604EE" w:rsidRDefault="00EA4757" w:rsidP="002A3C46">
            <w:pPr>
              <w:widowControl/>
              <w:autoSpaceDE/>
              <w:autoSpaceDN/>
              <w:adjustRightInd/>
              <w:jc w:val="both"/>
              <w:rPr>
                <w:sz w:val="20"/>
              </w:rPr>
            </w:pPr>
            <w:r w:rsidRPr="00C604EE">
              <w:rPr>
                <w:sz w:val="20"/>
              </w:rPr>
              <w:t>ĢP</w:t>
            </w:r>
          </w:p>
        </w:tc>
        <w:tc>
          <w:tcPr>
            <w:tcW w:w="1134" w:type="dxa"/>
            <w:shd w:val="clear" w:color="auto" w:fill="FFFFFF" w:themeFill="background1"/>
            <w:tcMar>
              <w:left w:w="57" w:type="dxa"/>
              <w:right w:w="57" w:type="dxa"/>
            </w:tcMar>
          </w:tcPr>
          <w:p w14:paraId="00C77C9A" w14:textId="77777777" w:rsidR="00EA4757" w:rsidRPr="00C604EE" w:rsidRDefault="00EA4757" w:rsidP="002A3C46">
            <w:pPr>
              <w:jc w:val="both"/>
              <w:rPr>
                <w:sz w:val="20"/>
              </w:rPr>
            </w:pPr>
            <w:r w:rsidRPr="00C604EE">
              <w:rPr>
                <w:sz w:val="20"/>
              </w:rPr>
              <w:t xml:space="preserve">2018.gada </w:t>
            </w:r>
            <w:r w:rsidR="008466C6" w:rsidRPr="00C604EE">
              <w:rPr>
                <w:sz w:val="20"/>
              </w:rPr>
              <w:t>2.pusgads</w:t>
            </w:r>
          </w:p>
        </w:tc>
      </w:tr>
      <w:tr w:rsidR="00C604EE" w:rsidRPr="002A3C46" w14:paraId="4B10D0C3" w14:textId="77777777" w:rsidTr="00C604EE">
        <w:tc>
          <w:tcPr>
            <w:tcW w:w="426" w:type="dxa"/>
            <w:shd w:val="clear" w:color="auto" w:fill="FFFFFF" w:themeFill="background1"/>
            <w:tcMar>
              <w:left w:w="57" w:type="dxa"/>
              <w:right w:w="57" w:type="dxa"/>
            </w:tcMar>
          </w:tcPr>
          <w:p w14:paraId="2CB614B6" w14:textId="77777777" w:rsidR="00EA4757" w:rsidRPr="00C604EE" w:rsidRDefault="00EA4757" w:rsidP="002A3C46">
            <w:pPr>
              <w:jc w:val="both"/>
              <w:rPr>
                <w:sz w:val="20"/>
              </w:rPr>
            </w:pPr>
            <w:r w:rsidRPr="00C604EE">
              <w:rPr>
                <w:sz w:val="20"/>
              </w:rPr>
              <w:t>11</w:t>
            </w:r>
          </w:p>
        </w:tc>
        <w:tc>
          <w:tcPr>
            <w:tcW w:w="1984" w:type="dxa"/>
            <w:shd w:val="clear" w:color="auto" w:fill="FFFFFF" w:themeFill="background1"/>
            <w:tcMar>
              <w:left w:w="57" w:type="dxa"/>
              <w:right w:w="57" w:type="dxa"/>
            </w:tcMar>
          </w:tcPr>
          <w:p w14:paraId="604560FE" w14:textId="77777777" w:rsidR="00EA4757" w:rsidRPr="00C604EE" w:rsidRDefault="00EA4757" w:rsidP="002A3C46">
            <w:pPr>
              <w:jc w:val="both"/>
              <w:rPr>
                <w:sz w:val="20"/>
              </w:rPr>
            </w:pPr>
            <w:r w:rsidRPr="00C604EE">
              <w:rPr>
                <w:sz w:val="20"/>
              </w:rPr>
              <w:t>Apmācības par tiesu ekspertīžu rezultātu interpretēšanu</w:t>
            </w:r>
          </w:p>
        </w:tc>
        <w:tc>
          <w:tcPr>
            <w:tcW w:w="1559" w:type="dxa"/>
            <w:shd w:val="clear" w:color="auto" w:fill="FFFFFF" w:themeFill="background1"/>
            <w:tcMar>
              <w:left w:w="57" w:type="dxa"/>
              <w:right w:w="57" w:type="dxa"/>
            </w:tcMar>
          </w:tcPr>
          <w:p w14:paraId="60A6E024" w14:textId="77777777" w:rsidR="00EA4757" w:rsidRPr="00C604EE" w:rsidRDefault="00EA4757" w:rsidP="002A3C46">
            <w:pPr>
              <w:jc w:val="both"/>
              <w:rPr>
                <w:sz w:val="20"/>
              </w:rPr>
            </w:pPr>
            <w:r w:rsidRPr="00C604EE">
              <w:rPr>
                <w:sz w:val="20"/>
              </w:rPr>
              <w:t>Celta tiesnešu, tiesas darbinieku, izmeklētāju un prokuroru kompetence</w:t>
            </w:r>
          </w:p>
        </w:tc>
        <w:tc>
          <w:tcPr>
            <w:tcW w:w="1418" w:type="dxa"/>
            <w:gridSpan w:val="2"/>
            <w:shd w:val="clear" w:color="auto" w:fill="FFFFFF" w:themeFill="background1"/>
            <w:tcMar>
              <w:left w:w="57" w:type="dxa"/>
              <w:right w:w="57" w:type="dxa"/>
            </w:tcMar>
          </w:tcPr>
          <w:p w14:paraId="7CF1A62F" w14:textId="77777777" w:rsidR="00EA4757" w:rsidRPr="00C604EE" w:rsidRDefault="00EA4757" w:rsidP="002A3C46">
            <w:pPr>
              <w:jc w:val="both"/>
              <w:rPr>
                <w:sz w:val="20"/>
              </w:rPr>
            </w:pPr>
            <w:r w:rsidRPr="00C604EE">
              <w:rPr>
                <w:sz w:val="20"/>
              </w:rPr>
              <w:t>Tiesu varas un tiesībaizsardzības iestāžu un tiesu sistēmai piederīgo skaits, kas piedalījušās apmācībās</w:t>
            </w:r>
            <w:r w:rsidR="008466C6" w:rsidRPr="00C604EE">
              <w:rPr>
                <w:sz w:val="20"/>
              </w:rPr>
              <w:t>:</w:t>
            </w:r>
          </w:p>
          <w:p w14:paraId="5D81427F" w14:textId="77777777" w:rsidR="008466C6" w:rsidRPr="00C604EE" w:rsidRDefault="008466C6" w:rsidP="002A3C46">
            <w:pPr>
              <w:jc w:val="both"/>
              <w:rPr>
                <w:sz w:val="20"/>
              </w:rPr>
            </w:pPr>
            <w:r w:rsidRPr="00C604EE">
              <w:rPr>
                <w:sz w:val="20"/>
              </w:rPr>
              <w:t>2020.gadā- 500.</w:t>
            </w:r>
          </w:p>
        </w:tc>
        <w:tc>
          <w:tcPr>
            <w:tcW w:w="1134" w:type="dxa"/>
            <w:shd w:val="clear" w:color="auto" w:fill="FFFFFF" w:themeFill="background1"/>
            <w:tcMar>
              <w:left w:w="57" w:type="dxa"/>
              <w:right w:w="57" w:type="dxa"/>
            </w:tcMar>
          </w:tcPr>
          <w:p w14:paraId="42E0F1DB"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4AAB31BB" w14:textId="77777777" w:rsidR="00EA4757" w:rsidRPr="00C604EE" w:rsidRDefault="00EA4757" w:rsidP="002A3C46">
            <w:pPr>
              <w:widowControl/>
              <w:autoSpaceDE/>
              <w:autoSpaceDN/>
              <w:adjustRightInd/>
              <w:jc w:val="both"/>
              <w:rPr>
                <w:sz w:val="20"/>
              </w:rPr>
            </w:pPr>
            <w:r w:rsidRPr="00C604EE">
              <w:rPr>
                <w:sz w:val="20"/>
              </w:rPr>
              <w:t>TA</w:t>
            </w:r>
          </w:p>
          <w:p w14:paraId="249F9E3D" w14:textId="77777777" w:rsidR="00EA4757" w:rsidRPr="00C604EE" w:rsidRDefault="00EA4757" w:rsidP="002A3C46">
            <w:pPr>
              <w:widowControl/>
              <w:autoSpaceDE/>
              <w:autoSpaceDN/>
              <w:adjustRightInd/>
              <w:jc w:val="both"/>
              <w:rPr>
                <w:sz w:val="20"/>
              </w:rPr>
            </w:pPr>
            <w:r w:rsidRPr="00C604EE">
              <w:rPr>
                <w:sz w:val="20"/>
              </w:rPr>
              <w:t>LTMC</w:t>
            </w:r>
          </w:p>
          <w:p w14:paraId="1A8652B1" w14:textId="77777777" w:rsidR="00EA4757" w:rsidRPr="00C604EE" w:rsidRDefault="00EA4757" w:rsidP="002A3C46">
            <w:pPr>
              <w:widowControl/>
              <w:autoSpaceDE/>
              <w:autoSpaceDN/>
              <w:adjustRightInd/>
              <w:jc w:val="both"/>
              <w:rPr>
                <w:sz w:val="20"/>
              </w:rPr>
            </w:pPr>
            <w:r w:rsidRPr="00C604EE">
              <w:rPr>
                <w:sz w:val="20"/>
              </w:rPr>
              <w:t>IeM</w:t>
            </w:r>
          </w:p>
          <w:p w14:paraId="2E1F238C" w14:textId="77777777" w:rsidR="00EA4757" w:rsidRPr="00C604EE" w:rsidRDefault="00EA4757" w:rsidP="002A3C46">
            <w:pPr>
              <w:widowControl/>
              <w:autoSpaceDE/>
              <w:autoSpaceDN/>
              <w:adjustRightInd/>
              <w:jc w:val="both"/>
              <w:rPr>
                <w:sz w:val="20"/>
              </w:rPr>
            </w:pPr>
            <w:r w:rsidRPr="00C604EE">
              <w:rPr>
                <w:sz w:val="20"/>
              </w:rPr>
              <w:t>ĢP</w:t>
            </w:r>
          </w:p>
        </w:tc>
        <w:tc>
          <w:tcPr>
            <w:tcW w:w="1134" w:type="dxa"/>
            <w:shd w:val="clear" w:color="auto" w:fill="FFFFFF" w:themeFill="background1"/>
            <w:tcMar>
              <w:left w:w="57" w:type="dxa"/>
              <w:right w:w="57" w:type="dxa"/>
            </w:tcMar>
          </w:tcPr>
          <w:p w14:paraId="7BA38421" w14:textId="77777777" w:rsidR="00EA4757" w:rsidRPr="00C604EE" w:rsidRDefault="00EA4757" w:rsidP="002A3C46">
            <w:pPr>
              <w:jc w:val="both"/>
              <w:rPr>
                <w:sz w:val="20"/>
              </w:rPr>
            </w:pPr>
            <w:r w:rsidRPr="00C604EE">
              <w:rPr>
                <w:sz w:val="20"/>
              </w:rPr>
              <w:t>Regulāri līdz 2020.gadam</w:t>
            </w:r>
          </w:p>
        </w:tc>
      </w:tr>
      <w:tr w:rsidR="00C604EE" w:rsidRPr="002A3C46" w14:paraId="58B5486E" w14:textId="77777777" w:rsidTr="00C604EE">
        <w:tc>
          <w:tcPr>
            <w:tcW w:w="426" w:type="dxa"/>
            <w:shd w:val="clear" w:color="auto" w:fill="FFFFFF" w:themeFill="background1"/>
            <w:tcMar>
              <w:left w:w="57" w:type="dxa"/>
              <w:right w:w="57" w:type="dxa"/>
            </w:tcMar>
          </w:tcPr>
          <w:p w14:paraId="5F259C88" w14:textId="77777777" w:rsidR="00EA4757" w:rsidRPr="00C604EE" w:rsidRDefault="00EA4757" w:rsidP="002A3C46">
            <w:pPr>
              <w:jc w:val="both"/>
              <w:rPr>
                <w:sz w:val="20"/>
              </w:rPr>
            </w:pPr>
            <w:r w:rsidRPr="00C604EE">
              <w:rPr>
                <w:sz w:val="20"/>
              </w:rPr>
              <w:t>12</w:t>
            </w:r>
          </w:p>
        </w:tc>
        <w:tc>
          <w:tcPr>
            <w:tcW w:w="1984" w:type="dxa"/>
            <w:shd w:val="clear" w:color="auto" w:fill="FFFFFF" w:themeFill="background1"/>
            <w:tcMar>
              <w:left w:w="57" w:type="dxa"/>
              <w:right w:w="57" w:type="dxa"/>
            </w:tcMar>
          </w:tcPr>
          <w:p w14:paraId="40F3097D" w14:textId="77777777" w:rsidR="00EA4757" w:rsidRPr="00C604EE" w:rsidRDefault="00EA4757" w:rsidP="002A3C46">
            <w:pPr>
              <w:jc w:val="both"/>
              <w:rPr>
                <w:sz w:val="20"/>
              </w:rPr>
            </w:pPr>
            <w:r w:rsidRPr="00C604EE">
              <w:rPr>
                <w:sz w:val="20"/>
              </w:rPr>
              <w:t>Pētījumu un tiesu prakses apkopojumi par tiesvedības kvalitātes vadības sistēmu</w:t>
            </w:r>
          </w:p>
        </w:tc>
        <w:tc>
          <w:tcPr>
            <w:tcW w:w="1559" w:type="dxa"/>
            <w:shd w:val="clear" w:color="auto" w:fill="FFFFFF" w:themeFill="background1"/>
            <w:tcMar>
              <w:left w:w="57" w:type="dxa"/>
              <w:right w:w="57" w:type="dxa"/>
            </w:tcMar>
          </w:tcPr>
          <w:p w14:paraId="46BFD275" w14:textId="77777777" w:rsidR="00EA4757" w:rsidRPr="00C604EE" w:rsidRDefault="00EA4757" w:rsidP="002A3C46">
            <w:pPr>
              <w:jc w:val="both"/>
              <w:rPr>
                <w:sz w:val="20"/>
              </w:rPr>
            </w:pPr>
            <w:r w:rsidRPr="00C604EE">
              <w:rPr>
                <w:sz w:val="20"/>
              </w:rPr>
              <w:t>Celta tiesnešu, tiesas darbinieku, izmeklētāju un prokuroru kompetence</w:t>
            </w:r>
          </w:p>
        </w:tc>
        <w:tc>
          <w:tcPr>
            <w:tcW w:w="1418" w:type="dxa"/>
            <w:gridSpan w:val="2"/>
            <w:shd w:val="clear" w:color="auto" w:fill="FFFFFF" w:themeFill="background1"/>
            <w:tcMar>
              <w:left w:w="57" w:type="dxa"/>
              <w:right w:w="57" w:type="dxa"/>
            </w:tcMar>
          </w:tcPr>
          <w:p w14:paraId="47F9A85F" w14:textId="77777777" w:rsidR="008466C6" w:rsidRPr="00C604EE" w:rsidRDefault="00EA4757" w:rsidP="002A3C46">
            <w:pPr>
              <w:jc w:val="both"/>
              <w:rPr>
                <w:sz w:val="20"/>
              </w:rPr>
            </w:pPr>
            <w:r w:rsidRPr="00C604EE">
              <w:rPr>
                <w:sz w:val="20"/>
              </w:rPr>
              <w:t>Veikto pētījumu un tiesu prakses apkopojumu skaits</w:t>
            </w:r>
            <w:r w:rsidR="008466C6" w:rsidRPr="00C604EE">
              <w:rPr>
                <w:sz w:val="20"/>
              </w:rPr>
              <w:t>:</w:t>
            </w:r>
          </w:p>
          <w:p w14:paraId="4FBD247F" w14:textId="77777777" w:rsidR="00EA4757" w:rsidRPr="00C604EE" w:rsidRDefault="008466C6" w:rsidP="002A3C46">
            <w:pPr>
              <w:jc w:val="both"/>
              <w:rPr>
                <w:sz w:val="20"/>
              </w:rPr>
            </w:pPr>
            <w:r w:rsidRPr="00C604EE">
              <w:rPr>
                <w:sz w:val="20"/>
              </w:rPr>
              <w:t>2020.gadā - 10.</w:t>
            </w:r>
          </w:p>
        </w:tc>
        <w:tc>
          <w:tcPr>
            <w:tcW w:w="1134" w:type="dxa"/>
            <w:shd w:val="clear" w:color="auto" w:fill="FFFFFF" w:themeFill="background1"/>
            <w:tcMar>
              <w:left w:w="57" w:type="dxa"/>
              <w:right w:w="57" w:type="dxa"/>
            </w:tcMar>
          </w:tcPr>
          <w:p w14:paraId="262DE9C4"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4A6DBE92" w14:textId="77777777" w:rsidR="00EA4757" w:rsidRPr="00C604EE" w:rsidRDefault="00EA4757" w:rsidP="002A3C46">
            <w:pPr>
              <w:widowControl/>
              <w:autoSpaceDE/>
              <w:autoSpaceDN/>
              <w:adjustRightInd/>
              <w:jc w:val="both"/>
              <w:rPr>
                <w:sz w:val="20"/>
              </w:rPr>
            </w:pPr>
            <w:r w:rsidRPr="00C604EE">
              <w:rPr>
                <w:sz w:val="20"/>
              </w:rPr>
              <w:t>TA</w:t>
            </w:r>
          </w:p>
        </w:tc>
        <w:tc>
          <w:tcPr>
            <w:tcW w:w="1134" w:type="dxa"/>
            <w:shd w:val="clear" w:color="auto" w:fill="FFFFFF" w:themeFill="background1"/>
            <w:tcMar>
              <w:left w:w="57" w:type="dxa"/>
              <w:right w:w="57" w:type="dxa"/>
            </w:tcMar>
          </w:tcPr>
          <w:p w14:paraId="6F34D3FB" w14:textId="77777777" w:rsidR="00EA4757" w:rsidRPr="00C604EE" w:rsidRDefault="00EA4757" w:rsidP="002A3C46">
            <w:pPr>
              <w:jc w:val="both"/>
              <w:rPr>
                <w:sz w:val="20"/>
              </w:rPr>
            </w:pPr>
            <w:r w:rsidRPr="00C604EE">
              <w:rPr>
                <w:sz w:val="20"/>
              </w:rPr>
              <w:t>Regulāri līdz 2020.gadam</w:t>
            </w:r>
          </w:p>
        </w:tc>
      </w:tr>
      <w:tr w:rsidR="00C604EE" w:rsidRPr="002A3C46" w14:paraId="0D76887D" w14:textId="77777777" w:rsidTr="00C604EE">
        <w:tc>
          <w:tcPr>
            <w:tcW w:w="426" w:type="dxa"/>
            <w:shd w:val="clear" w:color="auto" w:fill="FFFFFF" w:themeFill="background1"/>
            <w:tcMar>
              <w:left w:w="57" w:type="dxa"/>
              <w:right w:w="57" w:type="dxa"/>
            </w:tcMar>
          </w:tcPr>
          <w:p w14:paraId="3DA894BA" w14:textId="77777777" w:rsidR="00EA4757" w:rsidRPr="00C604EE" w:rsidRDefault="00EA4757" w:rsidP="002A3C46">
            <w:pPr>
              <w:jc w:val="both"/>
              <w:rPr>
                <w:sz w:val="20"/>
              </w:rPr>
            </w:pPr>
            <w:r w:rsidRPr="00C604EE">
              <w:rPr>
                <w:sz w:val="20"/>
              </w:rPr>
              <w:t>13</w:t>
            </w:r>
          </w:p>
        </w:tc>
        <w:tc>
          <w:tcPr>
            <w:tcW w:w="1984" w:type="dxa"/>
            <w:shd w:val="clear" w:color="auto" w:fill="FFFFFF" w:themeFill="background1"/>
            <w:tcMar>
              <w:left w:w="57" w:type="dxa"/>
              <w:right w:w="57" w:type="dxa"/>
            </w:tcMar>
          </w:tcPr>
          <w:p w14:paraId="075E8B93" w14:textId="77777777" w:rsidR="00EA4757" w:rsidRPr="00C604EE" w:rsidRDefault="00EA4757" w:rsidP="002A3C46">
            <w:pPr>
              <w:jc w:val="both"/>
              <w:rPr>
                <w:sz w:val="20"/>
              </w:rPr>
            </w:pPr>
            <w:r w:rsidRPr="00C604EE">
              <w:rPr>
                <w:sz w:val="20"/>
              </w:rPr>
              <w:t xml:space="preserve">Rokasgrāmatu izstrāde kā rakstāmi spriedumi, tiesas procesa vadīšana/jaunā tiesneša un tiesas darbinieka rokasgrāmata </w:t>
            </w:r>
            <w:proofErr w:type="spellStart"/>
            <w:r w:rsidRPr="00C604EE">
              <w:rPr>
                <w:sz w:val="20"/>
              </w:rPr>
              <w:t>u.tml</w:t>
            </w:r>
            <w:proofErr w:type="spellEnd"/>
            <w:r w:rsidRPr="00C604EE">
              <w:rPr>
                <w:sz w:val="20"/>
              </w:rPr>
              <w:t>.</w:t>
            </w:r>
          </w:p>
        </w:tc>
        <w:tc>
          <w:tcPr>
            <w:tcW w:w="1559" w:type="dxa"/>
            <w:shd w:val="clear" w:color="auto" w:fill="FFFFFF" w:themeFill="background1"/>
            <w:tcMar>
              <w:left w:w="57" w:type="dxa"/>
              <w:right w:w="57" w:type="dxa"/>
            </w:tcMar>
          </w:tcPr>
          <w:p w14:paraId="511D3E60" w14:textId="77777777" w:rsidR="00EA4757" w:rsidRPr="00C604EE" w:rsidRDefault="00EA4757" w:rsidP="002A3C46">
            <w:pPr>
              <w:jc w:val="both"/>
              <w:rPr>
                <w:sz w:val="20"/>
              </w:rPr>
            </w:pPr>
            <w:r w:rsidRPr="00C604EE">
              <w:rPr>
                <w:sz w:val="20"/>
              </w:rPr>
              <w:t>Celta tiesnešu, tiesas darbinieku, izmeklētāju un prokuroru kompetence</w:t>
            </w:r>
          </w:p>
        </w:tc>
        <w:tc>
          <w:tcPr>
            <w:tcW w:w="1418" w:type="dxa"/>
            <w:gridSpan w:val="2"/>
            <w:shd w:val="clear" w:color="auto" w:fill="FFFFFF" w:themeFill="background1"/>
            <w:tcMar>
              <w:left w:w="57" w:type="dxa"/>
              <w:right w:w="57" w:type="dxa"/>
            </w:tcMar>
          </w:tcPr>
          <w:p w14:paraId="69EEB6A6" w14:textId="77777777" w:rsidR="00EA4757" w:rsidRPr="00C604EE" w:rsidRDefault="00EA4757" w:rsidP="002A3C46">
            <w:pPr>
              <w:jc w:val="both"/>
              <w:rPr>
                <w:sz w:val="20"/>
              </w:rPr>
            </w:pPr>
            <w:r w:rsidRPr="00C604EE">
              <w:rPr>
                <w:sz w:val="20"/>
              </w:rPr>
              <w:t>Izstrādāto rokasgrāmatu skaits</w:t>
            </w:r>
            <w:r w:rsidR="008466C6" w:rsidRPr="00C604EE">
              <w:rPr>
                <w:sz w:val="20"/>
              </w:rPr>
              <w:t>:</w:t>
            </w:r>
          </w:p>
          <w:p w14:paraId="05E1ECFA" w14:textId="77777777" w:rsidR="008466C6" w:rsidRPr="00C604EE" w:rsidRDefault="008466C6" w:rsidP="002A3C46">
            <w:pPr>
              <w:jc w:val="both"/>
              <w:rPr>
                <w:sz w:val="20"/>
              </w:rPr>
            </w:pPr>
            <w:r w:rsidRPr="00C604EE">
              <w:rPr>
                <w:sz w:val="20"/>
              </w:rPr>
              <w:t>2020.gadā- 3.</w:t>
            </w:r>
          </w:p>
        </w:tc>
        <w:tc>
          <w:tcPr>
            <w:tcW w:w="1134" w:type="dxa"/>
            <w:shd w:val="clear" w:color="auto" w:fill="FFFFFF" w:themeFill="background1"/>
            <w:tcMar>
              <w:left w:w="57" w:type="dxa"/>
              <w:right w:w="57" w:type="dxa"/>
            </w:tcMar>
          </w:tcPr>
          <w:p w14:paraId="474CF129"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6DCC9087" w14:textId="77777777" w:rsidR="00EA4757" w:rsidRPr="00C604EE" w:rsidRDefault="00EA4757" w:rsidP="002A3C46">
            <w:pPr>
              <w:widowControl/>
              <w:autoSpaceDE/>
              <w:autoSpaceDN/>
              <w:adjustRightInd/>
              <w:jc w:val="both"/>
              <w:rPr>
                <w:sz w:val="20"/>
              </w:rPr>
            </w:pPr>
            <w:r w:rsidRPr="00C604EE">
              <w:rPr>
                <w:sz w:val="20"/>
              </w:rPr>
              <w:t>TA</w:t>
            </w:r>
          </w:p>
        </w:tc>
        <w:tc>
          <w:tcPr>
            <w:tcW w:w="1134" w:type="dxa"/>
            <w:shd w:val="clear" w:color="auto" w:fill="FFFFFF" w:themeFill="background1"/>
            <w:tcMar>
              <w:left w:w="57" w:type="dxa"/>
              <w:right w:w="57" w:type="dxa"/>
            </w:tcMar>
          </w:tcPr>
          <w:p w14:paraId="5BD174B1" w14:textId="77777777" w:rsidR="00EA4757" w:rsidRPr="00C604EE" w:rsidRDefault="00EA4757" w:rsidP="002A3C46">
            <w:pPr>
              <w:jc w:val="both"/>
              <w:rPr>
                <w:sz w:val="20"/>
              </w:rPr>
            </w:pPr>
            <w:r w:rsidRPr="00C604EE">
              <w:rPr>
                <w:sz w:val="20"/>
              </w:rPr>
              <w:t>201</w:t>
            </w:r>
            <w:r w:rsidR="008466C6" w:rsidRPr="00C604EE">
              <w:rPr>
                <w:sz w:val="20"/>
              </w:rPr>
              <w:t>9</w:t>
            </w:r>
            <w:r w:rsidRPr="00C604EE">
              <w:rPr>
                <w:sz w:val="20"/>
              </w:rPr>
              <w:t xml:space="preserve">.gada </w:t>
            </w:r>
            <w:r w:rsidR="008466C6" w:rsidRPr="00C604EE">
              <w:rPr>
                <w:sz w:val="20"/>
              </w:rPr>
              <w:t>1.pusgads</w:t>
            </w:r>
          </w:p>
        </w:tc>
      </w:tr>
      <w:tr w:rsidR="00C604EE" w:rsidRPr="002A3C46" w14:paraId="36A24F57" w14:textId="77777777" w:rsidTr="00C604EE">
        <w:tc>
          <w:tcPr>
            <w:tcW w:w="426" w:type="dxa"/>
            <w:shd w:val="clear" w:color="auto" w:fill="FFFFFF" w:themeFill="background1"/>
            <w:tcMar>
              <w:left w:w="57" w:type="dxa"/>
              <w:right w:w="57" w:type="dxa"/>
            </w:tcMar>
          </w:tcPr>
          <w:p w14:paraId="175EE340" w14:textId="77777777" w:rsidR="00EA4757" w:rsidRPr="00C604EE" w:rsidRDefault="00EA4757" w:rsidP="002A3C46">
            <w:pPr>
              <w:jc w:val="both"/>
              <w:rPr>
                <w:sz w:val="20"/>
              </w:rPr>
            </w:pPr>
            <w:r w:rsidRPr="00C604EE">
              <w:rPr>
                <w:sz w:val="20"/>
              </w:rPr>
              <w:t>14</w:t>
            </w:r>
          </w:p>
        </w:tc>
        <w:tc>
          <w:tcPr>
            <w:tcW w:w="1984" w:type="dxa"/>
            <w:shd w:val="clear" w:color="auto" w:fill="FFFFFF" w:themeFill="background1"/>
            <w:tcMar>
              <w:left w:w="57" w:type="dxa"/>
              <w:right w:w="57" w:type="dxa"/>
            </w:tcMar>
          </w:tcPr>
          <w:p w14:paraId="2E40DECD" w14:textId="77777777" w:rsidR="00EA4757" w:rsidRPr="00C604EE" w:rsidRDefault="00EA4757" w:rsidP="002A3C46">
            <w:pPr>
              <w:jc w:val="both"/>
              <w:rPr>
                <w:sz w:val="20"/>
              </w:rPr>
            </w:pPr>
            <w:r w:rsidRPr="00C604EE">
              <w:rPr>
                <w:sz w:val="20"/>
              </w:rPr>
              <w:t>Pieredzes apmaiņas nodrošināšana</w:t>
            </w:r>
          </w:p>
        </w:tc>
        <w:tc>
          <w:tcPr>
            <w:tcW w:w="1559" w:type="dxa"/>
            <w:shd w:val="clear" w:color="auto" w:fill="FFFFFF" w:themeFill="background1"/>
            <w:tcMar>
              <w:left w:w="57" w:type="dxa"/>
              <w:right w:w="57" w:type="dxa"/>
            </w:tcMar>
          </w:tcPr>
          <w:p w14:paraId="09B01C11" w14:textId="77777777" w:rsidR="00EA4757" w:rsidRPr="00C604EE" w:rsidRDefault="00EA4757" w:rsidP="002A3C46">
            <w:pPr>
              <w:jc w:val="both"/>
              <w:rPr>
                <w:sz w:val="20"/>
              </w:rPr>
            </w:pPr>
            <w:r w:rsidRPr="00C604EE">
              <w:rPr>
                <w:sz w:val="20"/>
              </w:rPr>
              <w:t>Celta tiesnešu, tiesas darbinieku, izmeklētāju un prokuroru kompetence</w:t>
            </w:r>
          </w:p>
        </w:tc>
        <w:tc>
          <w:tcPr>
            <w:tcW w:w="1418" w:type="dxa"/>
            <w:gridSpan w:val="2"/>
            <w:shd w:val="clear" w:color="auto" w:fill="FFFFFF" w:themeFill="background1"/>
            <w:tcMar>
              <w:left w:w="57" w:type="dxa"/>
              <w:right w:w="57" w:type="dxa"/>
            </w:tcMar>
          </w:tcPr>
          <w:p w14:paraId="4431777E" w14:textId="77777777" w:rsidR="00EA4757" w:rsidRPr="00C604EE" w:rsidRDefault="00EA4757" w:rsidP="002A3C46">
            <w:pPr>
              <w:jc w:val="both"/>
              <w:rPr>
                <w:sz w:val="20"/>
              </w:rPr>
            </w:pPr>
            <w:r w:rsidRPr="00C604EE">
              <w:rPr>
                <w:sz w:val="20"/>
              </w:rPr>
              <w:t>Pieredzes apmaiņas braucienu skaits</w:t>
            </w:r>
            <w:r w:rsidR="008466C6" w:rsidRPr="00C604EE">
              <w:rPr>
                <w:sz w:val="20"/>
              </w:rPr>
              <w:t>: 2020.gadā – 10.</w:t>
            </w:r>
          </w:p>
        </w:tc>
        <w:tc>
          <w:tcPr>
            <w:tcW w:w="1134" w:type="dxa"/>
            <w:shd w:val="clear" w:color="auto" w:fill="FFFFFF" w:themeFill="background1"/>
            <w:tcMar>
              <w:left w:w="57" w:type="dxa"/>
              <w:right w:w="57" w:type="dxa"/>
            </w:tcMar>
          </w:tcPr>
          <w:p w14:paraId="38C1E2E8"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012AB8B9" w14:textId="77777777" w:rsidR="00EA4757" w:rsidRPr="00C604EE" w:rsidRDefault="00EA4757" w:rsidP="002A3C46">
            <w:pPr>
              <w:widowControl/>
              <w:autoSpaceDE/>
              <w:autoSpaceDN/>
              <w:adjustRightInd/>
              <w:jc w:val="both"/>
              <w:rPr>
                <w:sz w:val="20"/>
              </w:rPr>
            </w:pPr>
            <w:r w:rsidRPr="00C604EE">
              <w:rPr>
                <w:sz w:val="20"/>
              </w:rPr>
              <w:t>TA</w:t>
            </w:r>
          </w:p>
        </w:tc>
        <w:tc>
          <w:tcPr>
            <w:tcW w:w="1134" w:type="dxa"/>
            <w:shd w:val="clear" w:color="auto" w:fill="FFFFFF" w:themeFill="background1"/>
            <w:tcMar>
              <w:left w:w="57" w:type="dxa"/>
              <w:right w:w="57" w:type="dxa"/>
            </w:tcMar>
          </w:tcPr>
          <w:p w14:paraId="5EFD4DE6" w14:textId="77777777" w:rsidR="00EA4757" w:rsidRPr="00C604EE" w:rsidRDefault="00EA4757" w:rsidP="002A3C46">
            <w:pPr>
              <w:jc w:val="both"/>
              <w:rPr>
                <w:sz w:val="20"/>
              </w:rPr>
            </w:pPr>
            <w:r w:rsidRPr="00C604EE">
              <w:rPr>
                <w:sz w:val="20"/>
              </w:rPr>
              <w:t>Regulāri līdz 2020.gadam</w:t>
            </w:r>
          </w:p>
        </w:tc>
      </w:tr>
      <w:tr w:rsidR="00C604EE" w:rsidRPr="002A3C46" w14:paraId="57351B68" w14:textId="77777777" w:rsidTr="00C604EE">
        <w:trPr>
          <w:trHeight w:val="654"/>
        </w:trPr>
        <w:tc>
          <w:tcPr>
            <w:tcW w:w="426" w:type="dxa"/>
            <w:shd w:val="clear" w:color="auto" w:fill="FFFFFF" w:themeFill="background1"/>
            <w:tcMar>
              <w:left w:w="57" w:type="dxa"/>
              <w:right w:w="57" w:type="dxa"/>
            </w:tcMar>
          </w:tcPr>
          <w:p w14:paraId="0BCA994C" w14:textId="77777777" w:rsidR="00EA4757" w:rsidRPr="00C604EE" w:rsidRDefault="00EA4757" w:rsidP="002A3C46">
            <w:pPr>
              <w:jc w:val="both"/>
              <w:rPr>
                <w:sz w:val="20"/>
              </w:rPr>
            </w:pPr>
            <w:proofErr w:type="spellStart"/>
            <w:r w:rsidRPr="00C604EE">
              <w:rPr>
                <w:sz w:val="20"/>
              </w:rPr>
              <w:t>Nr</w:t>
            </w:r>
            <w:proofErr w:type="spellEnd"/>
            <w:r w:rsidRPr="00C604EE">
              <w:rPr>
                <w:sz w:val="20"/>
              </w:rPr>
              <w:t xml:space="preserve">. </w:t>
            </w:r>
            <w:proofErr w:type="spellStart"/>
            <w:r w:rsidRPr="00C604EE">
              <w:rPr>
                <w:sz w:val="20"/>
              </w:rPr>
              <w:t>P.k</w:t>
            </w:r>
            <w:proofErr w:type="spellEnd"/>
            <w:r w:rsidRPr="00C604EE">
              <w:rPr>
                <w:sz w:val="20"/>
              </w:rPr>
              <w:t>.</w:t>
            </w:r>
          </w:p>
        </w:tc>
        <w:tc>
          <w:tcPr>
            <w:tcW w:w="1984" w:type="dxa"/>
            <w:shd w:val="clear" w:color="auto" w:fill="FFFFFF" w:themeFill="background1"/>
            <w:tcMar>
              <w:left w:w="57" w:type="dxa"/>
              <w:right w:w="57" w:type="dxa"/>
            </w:tcMar>
          </w:tcPr>
          <w:p w14:paraId="7667A02B" w14:textId="77777777" w:rsidR="00EA4757" w:rsidRPr="00C604EE" w:rsidRDefault="00EA4757" w:rsidP="002A3C46">
            <w:pPr>
              <w:jc w:val="both"/>
              <w:rPr>
                <w:sz w:val="20"/>
              </w:rPr>
            </w:pPr>
            <w:r w:rsidRPr="00C604EE">
              <w:rPr>
                <w:b/>
                <w:sz w:val="20"/>
              </w:rPr>
              <w:t xml:space="preserve">Uzdevums </w:t>
            </w:r>
          </w:p>
        </w:tc>
        <w:tc>
          <w:tcPr>
            <w:tcW w:w="1559" w:type="dxa"/>
            <w:shd w:val="clear" w:color="auto" w:fill="FFFFFF" w:themeFill="background1"/>
            <w:tcMar>
              <w:left w:w="57" w:type="dxa"/>
              <w:right w:w="57" w:type="dxa"/>
            </w:tcMar>
          </w:tcPr>
          <w:p w14:paraId="00788E3B" w14:textId="77777777" w:rsidR="00EA4757" w:rsidRPr="00C604EE" w:rsidRDefault="00EA4757" w:rsidP="002A3C46">
            <w:pPr>
              <w:jc w:val="both"/>
              <w:rPr>
                <w:b/>
                <w:sz w:val="20"/>
              </w:rPr>
            </w:pPr>
            <w:r w:rsidRPr="00C604EE">
              <w:rPr>
                <w:b/>
                <w:sz w:val="20"/>
              </w:rPr>
              <w:t>Darbības rezultāts</w:t>
            </w:r>
          </w:p>
        </w:tc>
        <w:tc>
          <w:tcPr>
            <w:tcW w:w="1418" w:type="dxa"/>
            <w:gridSpan w:val="2"/>
            <w:shd w:val="clear" w:color="auto" w:fill="FFFFFF" w:themeFill="background1"/>
            <w:tcMar>
              <w:left w:w="57" w:type="dxa"/>
              <w:right w:w="57" w:type="dxa"/>
            </w:tcMar>
          </w:tcPr>
          <w:p w14:paraId="2BF5239C" w14:textId="77777777" w:rsidR="00EA4757" w:rsidRPr="00C604EE" w:rsidRDefault="00EA4757" w:rsidP="002A3C46">
            <w:pPr>
              <w:jc w:val="both"/>
              <w:rPr>
                <w:sz w:val="20"/>
              </w:rPr>
            </w:pPr>
            <w:r w:rsidRPr="00C604EE">
              <w:rPr>
                <w:b/>
                <w:sz w:val="20"/>
              </w:rPr>
              <w:t>Rezultatīvais rādītājs</w:t>
            </w:r>
          </w:p>
        </w:tc>
        <w:tc>
          <w:tcPr>
            <w:tcW w:w="1134" w:type="dxa"/>
            <w:shd w:val="clear" w:color="auto" w:fill="FFFFFF" w:themeFill="background1"/>
            <w:tcMar>
              <w:left w:w="57" w:type="dxa"/>
              <w:right w:w="57" w:type="dxa"/>
            </w:tcMar>
          </w:tcPr>
          <w:p w14:paraId="7663D7A9" w14:textId="77777777" w:rsidR="00EA4757" w:rsidRPr="00C604EE" w:rsidRDefault="00EA4757" w:rsidP="002A3C46">
            <w:pPr>
              <w:jc w:val="both"/>
              <w:rPr>
                <w:sz w:val="20"/>
              </w:rPr>
            </w:pPr>
            <w:r w:rsidRPr="00C604EE">
              <w:rPr>
                <w:b/>
                <w:sz w:val="20"/>
              </w:rPr>
              <w:t>Atbildīgā institūcija</w:t>
            </w:r>
          </w:p>
        </w:tc>
        <w:tc>
          <w:tcPr>
            <w:tcW w:w="1417" w:type="dxa"/>
            <w:shd w:val="clear" w:color="auto" w:fill="FFFFFF" w:themeFill="background1"/>
            <w:tcMar>
              <w:left w:w="57" w:type="dxa"/>
              <w:right w:w="57" w:type="dxa"/>
            </w:tcMar>
          </w:tcPr>
          <w:p w14:paraId="382C6B90" w14:textId="77777777" w:rsidR="00EA4757" w:rsidRPr="00C604EE" w:rsidRDefault="00EA4757" w:rsidP="00C604EE">
            <w:pPr>
              <w:jc w:val="both"/>
              <w:rPr>
                <w:sz w:val="20"/>
              </w:rPr>
            </w:pPr>
            <w:r w:rsidRPr="00C604EE">
              <w:rPr>
                <w:b/>
                <w:sz w:val="20"/>
              </w:rPr>
              <w:t>Līdzatbildīgās institūcijas</w:t>
            </w:r>
          </w:p>
        </w:tc>
        <w:tc>
          <w:tcPr>
            <w:tcW w:w="1134" w:type="dxa"/>
            <w:shd w:val="clear" w:color="auto" w:fill="FFFFFF" w:themeFill="background1"/>
            <w:tcMar>
              <w:left w:w="57" w:type="dxa"/>
              <w:right w:w="57" w:type="dxa"/>
            </w:tcMar>
          </w:tcPr>
          <w:p w14:paraId="1B274390" w14:textId="77777777" w:rsidR="00EA4757" w:rsidRPr="00C604EE" w:rsidRDefault="00EA4757" w:rsidP="002A3C46">
            <w:pPr>
              <w:jc w:val="both"/>
              <w:rPr>
                <w:b/>
                <w:sz w:val="20"/>
              </w:rPr>
            </w:pPr>
            <w:r w:rsidRPr="00C604EE">
              <w:rPr>
                <w:b/>
                <w:sz w:val="20"/>
              </w:rPr>
              <w:t>Izpildes termiņš*</w:t>
            </w:r>
          </w:p>
          <w:p w14:paraId="5B89F97D" w14:textId="404815A7" w:rsidR="00EA4757" w:rsidRPr="00C604EE" w:rsidRDefault="00EA4757" w:rsidP="002A3C46">
            <w:pPr>
              <w:jc w:val="both"/>
              <w:rPr>
                <w:sz w:val="20"/>
              </w:rPr>
            </w:pPr>
            <w:r w:rsidRPr="00C604EE">
              <w:rPr>
                <w:b/>
                <w:sz w:val="20"/>
              </w:rPr>
              <w:t>(ceturksnis)</w:t>
            </w:r>
          </w:p>
        </w:tc>
      </w:tr>
      <w:tr w:rsidR="00EA4757" w:rsidRPr="002A3C46" w14:paraId="01C79217" w14:textId="77777777" w:rsidTr="00C604EE">
        <w:tc>
          <w:tcPr>
            <w:tcW w:w="9072" w:type="dxa"/>
            <w:gridSpan w:val="8"/>
            <w:shd w:val="clear" w:color="auto" w:fill="FFFFFF" w:themeFill="background1"/>
            <w:tcMar>
              <w:left w:w="57" w:type="dxa"/>
              <w:right w:w="57" w:type="dxa"/>
            </w:tcMar>
          </w:tcPr>
          <w:p w14:paraId="2B694D4F" w14:textId="77777777" w:rsidR="00EA4757" w:rsidRPr="002A3C46" w:rsidRDefault="00EA4757" w:rsidP="002A3C46">
            <w:pPr>
              <w:jc w:val="both"/>
              <w:rPr>
                <w:b/>
                <w:bCs/>
              </w:rPr>
            </w:pPr>
            <w:r w:rsidRPr="002A3C46">
              <w:rPr>
                <w:b/>
              </w:rPr>
              <w:t>Efektīva cilvēkresursu izmantošana</w:t>
            </w:r>
          </w:p>
        </w:tc>
      </w:tr>
      <w:tr w:rsidR="00C604EE" w:rsidRPr="002A3C46" w14:paraId="05D97BAD" w14:textId="77777777" w:rsidTr="00C604EE">
        <w:tc>
          <w:tcPr>
            <w:tcW w:w="426" w:type="dxa"/>
            <w:shd w:val="clear" w:color="auto" w:fill="FFFFFF" w:themeFill="background1"/>
            <w:tcMar>
              <w:left w:w="57" w:type="dxa"/>
              <w:right w:w="57" w:type="dxa"/>
            </w:tcMar>
          </w:tcPr>
          <w:p w14:paraId="603C2D48" w14:textId="77777777" w:rsidR="00EA4757" w:rsidRPr="00C604EE" w:rsidRDefault="00EA4757" w:rsidP="002A3C46">
            <w:pPr>
              <w:jc w:val="both"/>
              <w:rPr>
                <w:sz w:val="20"/>
              </w:rPr>
            </w:pPr>
            <w:r w:rsidRPr="00C604EE">
              <w:rPr>
                <w:sz w:val="20"/>
              </w:rPr>
              <w:t>15</w:t>
            </w:r>
          </w:p>
        </w:tc>
        <w:tc>
          <w:tcPr>
            <w:tcW w:w="1984" w:type="dxa"/>
            <w:shd w:val="clear" w:color="auto" w:fill="FFFFFF" w:themeFill="background1"/>
            <w:tcMar>
              <w:left w:w="57" w:type="dxa"/>
              <w:right w:w="57" w:type="dxa"/>
            </w:tcMar>
          </w:tcPr>
          <w:p w14:paraId="7FA21472" w14:textId="77777777" w:rsidR="00EA4757" w:rsidRPr="00C604EE" w:rsidRDefault="00EA4757" w:rsidP="002A3C46">
            <w:pPr>
              <w:jc w:val="both"/>
              <w:rPr>
                <w:sz w:val="20"/>
              </w:rPr>
            </w:pPr>
            <w:r w:rsidRPr="00C604EE">
              <w:rPr>
                <w:sz w:val="20"/>
              </w:rPr>
              <w:t>Efektīva tiesnešu amata kandidātu atlases un iecelšanas tiesneša amatā procedūra, lai samazinātu laiku, kurā tiesa strādā nepilnā sastāvā</w:t>
            </w:r>
          </w:p>
        </w:tc>
        <w:tc>
          <w:tcPr>
            <w:tcW w:w="1559" w:type="dxa"/>
            <w:shd w:val="clear" w:color="auto" w:fill="FFFFFF" w:themeFill="background1"/>
            <w:tcMar>
              <w:left w:w="57" w:type="dxa"/>
              <w:right w:w="57" w:type="dxa"/>
            </w:tcMar>
          </w:tcPr>
          <w:p w14:paraId="07F762D6" w14:textId="77777777" w:rsidR="00EA4757" w:rsidRPr="00C604EE" w:rsidRDefault="00EA4757" w:rsidP="002A3C46">
            <w:pPr>
              <w:jc w:val="both"/>
              <w:rPr>
                <w:sz w:val="20"/>
              </w:rPr>
            </w:pPr>
            <w:proofErr w:type="spellStart"/>
            <w:r w:rsidRPr="00C604EE">
              <w:rPr>
                <w:sz w:val="20"/>
              </w:rPr>
              <w:t>Efektivizēts</w:t>
            </w:r>
            <w:proofErr w:type="spellEnd"/>
            <w:r w:rsidRPr="00C604EE">
              <w:rPr>
                <w:sz w:val="20"/>
              </w:rPr>
              <w:t xml:space="preserve"> kvalitatīvu cilvēkresursu piesaistes process tiesu varai</w:t>
            </w:r>
          </w:p>
        </w:tc>
        <w:tc>
          <w:tcPr>
            <w:tcW w:w="1418" w:type="dxa"/>
            <w:gridSpan w:val="2"/>
            <w:shd w:val="clear" w:color="auto" w:fill="FFFFFF" w:themeFill="background1"/>
            <w:tcMar>
              <w:left w:w="57" w:type="dxa"/>
              <w:right w:w="57" w:type="dxa"/>
            </w:tcMar>
          </w:tcPr>
          <w:p w14:paraId="3897642A" w14:textId="77777777" w:rsidR="00EA4757" w:rsidRPr="00C604EE" w:rsidRDefault="00EA4757" w:rsidP="002A3C46">
            <w:pPr>
              <w:jc w:val="both"/>
              <w:rPr>
                <w:sz w:val="20"/>
              </w:rPr>
            </w:pPr>
            <w:r w:rsidRPr="00C604EE">
              <w:rPr>
                <w:sz w:val="20"/>
              </w:rPr>
              <w:t>Vakantas tiesnešu amata vietas ilgums rajona (pilsētas) tiesā</w:t>
            </w:r>
            <w:r w:rsidR="008466C6" w:rsidRPr="00C604EE">
              <w:rPr>
                <w:sz w:val="20"/>
              </w:rPr>
              <w:t>: 2020.gadā- 4 mēneši.</w:t>
            </w:r>
          </w:p>
        </w:tc>
        <w:tc>
          <w:tcPr>
            <w:tcW w:w="1134" w:type="dxa"/>
            <w:shd w:val="clear" w:color="auto" w:fill="FFFFFF" w:themeFill="background1"/>
            <w:tcMar>
              <w:left w:w="57" w:type="dxa"/>
              <w:right w:w="57" w:type="dxa"/>
            </w:tcMar>
          </w:tcPr>
          <w:p w14:paraId="22EA707B"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16E9F4A1" w14:textId="77777777" w:rsidR="00EA4757" w:rsidRPr="00C604EE" w:rsidRDefault="00EA4757" w:rsidP="002A3C46">
            <w:pPr>
              <w:widowControl/>
              <w:autoSpaceDE/>
              <w:autoSpaceDN/>
              <w:adjustRightInd/>
              <w:jc w:val="both"/>
              <w:rPr>
                <w:sz w:val="20"/>
              </w:rPr>
            </w:pPr>
            <w:r w:rsidRPr="00C604EE">
              <w:rPr>
                <w:sz w:val="20"/>
              </w:rPr>
              <w:t>TA</w:t>
            </w:r>
          </w:p>
          <w:p w14:paraId="285A8514" w14:textId="77777777" w:rsidR="00EA4757" w:rsidRPr="00C604EE" w:rsidRDefault="00EA4757" w:rsidP="002A3C46">
            <w:pPr>
              <w:widowControl/>
              <w:autoSpaceDE/>
              <w:autoSpaceDN/>
              <w:adjustRightInd/>
              <w:jc w:val="both"/>
              <w:rPr>
                <w:sz w:val="20"/>
              </w:rPr>
            </w:pPr>
            <w:r w:rsidRPr="00C604EE">
              <w:rPr>
                <w:sz w:val="20"/>
              </w:rPr>
              <w:t>LTMC</w:t>
            </w:r>
          </w:p>
        </w:tc>
        <w:tc>
          <w:tcPr>
            <w:tcW w:w="1134" w:type="dxa"/>
            <w:shd w:val="clear" w:color="auto" w:fill="FFFFFF" w:themeFill="background1"/>
            <w:tcMar>
              <w:left w:w="57" w:type="dxa"/>
              <w:right w:w="57" w:type="dxa"/>
            </w:tcMar>
          </w:tcPr>
          <w:p w14:paraId="33B019C5" w14:textId="77777777" w:rsidR="00EA4757" w:rsidRPr="00C604EE" w:rsidRDefault="00EA4757" w:rsidP="002A3C46">
            <w:pPr>
              <w:jc w:val="both"/>
              <w:rPr>
                <w:sz w:val="20"/>
              </w:rPr>
            </w:pPr>
            <w:r w:rsidRPr="00C604EE">
              <w:rPr>
                <w:sz w:val="20"/>
              </w:rPr>
              <w:t>201</w:t>
            </w:r>
            <w:r w:rsidR="008466C6" w:rsidRPr="00C604EE">
              <w:rPr>
                <w:sz w:val="20"/>
              </w:rPr>
              <w:t>8</w:t>
            </w:r>
            <w:r w:rsidRPr="00C604EE">
              <w:rPr>
                <w:sz w:val="20"/>
              </w:rPr>
              <w:t xml:space="preserve">.gada </w:t>
            </w:r>
            <w:r w:rsidR="008466C6" w:rsidRPr="00C604EE">
              <w:rPr>
                <w:sz w:val="20"/>
              </w:rPr>
              <w:t>1.pusgads</w:t>
            </w:r>
          </w:p>
        </w:tc>
      </w:tr>
      <w:tr w:rsidR="00C604EE" w:rsidRPr="002A3C46" w14:paraId="332A6593" w14:textId="77777777" w:rsidTr="00C604EE">
        <w:tc>
          <w:tcPr>
            <w:tcW w:w="426" w:type="dxa"/>
            <w:shd w:val="clear" w:color="auto" w:fill="FFFFFF" w:themeFill="background1"/>
            <w:tcMar>
              <w:left w:w="57" w:type="dxa"/>
              <w:right w:w="57" w:type="dxa"/>
            </w:tcMar>
          </w:tcPr>
          <w:p w14:paraId="036A5EEA" w14:textId="77777777" w:rsidR="00EA4757" w:rsidRPr="00C604EE" w:rsidRDefault="00EA4757" w:rsidP="002A3C46">
            <w:pPr>
              <w:jc w:val="both"/>
              <w:rPr>
                <w:sz w:val="20"/>
              </w:rPr>
            </w:pPr>
            <w:r w:rsidRPr="00C604EE">
              <w:rPr>
                <w:sz w:val="20"/>
              </w:rPr>
              <w:t>16</w:t>
            </w:r>
          </w:p>
        </w:tc>
        <w:tc>
          <w:tcPr>
            <w:tcW w:w="1984" w:type="dxa"/>
            <w:shd w:val="clear" w:color="auto" w:fill="FFFFFF" w:themeFill="background1"/>
            <w:tcMar>
              <w:left w:w="57" w:type="dxa"/>
              <w:right w:w="57" w:type="dxa"/>
            </w:tcMar>
          </w:tcPr>
          <w:p w14:paraId="22C7D9ED" w14:textId="77777777" w:rsidR="00EA4757" w:rsidRPr="00C604EE" w:rsidRDefault="00EA4757" w:rsidP="002A3C46">
            <w:pPr>
              <w:jc w:val="both"/>
              <w:rPr>
                <w:sz w:val="20"/>
              </w:rPr>
            </w:pPr>
            <w:r w:rsidRPr="00C604EE">
              <w:rPr>
                <w:sz w:val="20"/>
              </w:rPr>
              <w:t xml:space="preserve">Tiesneša amata kandidātu un jauno tiesnešu individualizētas apmācības, efektīvāk pievēršoties konkrētās personas apmācību vajadzībām un uzlabojot apmācību </w:t>
            </w:r>
            <w:r w:rsidRPr="00C604EE">
              <w:rPr>
                <w:sz w:val="20"/>
              </w:rPr>
              <w:lastRenderedPageBreak/>
              <w:t>procesa kvalitāti, ieviešot tiesneša amata kandidāta vai jaunā tiesneša darbaudzinātāja (</w:t>
            </w:r>
            <w:proofErr w:type="spellStart"/>
            <w:r w:rsidRPr="00C604EE">
              <w:rPr>
                <w:sz w:val="20"/>
              </w:rPr>
              <w:t>mentora</w:t>
            </w:r>
            <w:proofErr w:type="spellEnd"/>
            <w:r w:rsidRPr="00C604EE">
              <w:rPr>
                <w:sz w:val="20"/>
              </w:rPr>
              <w:t>) institūtu apmācību procesā</w:t>
            </w:r>
          </w:p>
        </w:tc>
        <w:tc>
          <w:tcPr>
            <w:tcW w:w="1559" w:type="dxa"/>
            <w:shd w:val="clear" w:color="auto" w:fill="FFFFFF" w:themeFill="background1"/>
            <w:tcMar>
              <w:left w:w="57" w:type="dxa"/>
              <w:right w:w="57" w:type="dxa"/>
            </w:tcMar>
          </w:tcPr>
          <w:p w14:paraId="6800254C" w14:textId="77777777" w:rsidR="00EA4757" w:rsidRPr="00C604EE" w:rsidRDefault="00EA4757" w:rsidP="002A3C46">
            <w:pPr>
              <w:jc w:val="both"/>
              <w:rPr>
                <w:sz w:val="20"/>
              </w:rPr>
            </w:pPr>
            <w:proofErr w:type="spellStart"/>
            <w:r w:rsidRPr="00C604EE">
              <w:rPr>
                <w:sz w:val="20"/>
              </w:rPr>
              <w:lastRenderedPageBreak/>
              <w:t>Efektivizēts</w:t>
            </w:r>
            <w:proofErr w:type="spellEnd"/>
            <w:r w:rsidRPr="00C604EE">
              <w:rPr>
                <w:sz w:val="20"/>
              </w:rPr>
              <w:t xml:space="preserve"> kvalitatīvu cilvēkresursu piesaistes process tiesu varai</w:t>
            </w:r>
          </w:p>
        </w:tc>
        <w:tc>
          <w:tcPr>
            <w:tcW w:w="1418" w:type="dxa"/>
            <w:gridSpan w:val="2"/>
            <w:shd w:val="clear" w:color="auto" w:fill="FFFFFF" w:themeFill="background1"/>
            <w:tcMar>
              <w:left w:w="57" w:type="dxa"/>
              <w:right w:w="57" w:type="dxa"/>
            </w:tcMar>
          </w:tcPr>
          <w:p w14:paraId="68A3CA65" w14:textId="77777777" w:rsidR="00EA4757" w:rsidRPr="00C604EE" w:rsidRDefault="00EA4757" w:rsidP="002A3C46">
            <w:pPr>
              <w:jc w:val="both"/>
              <w:rPr>
                <w:sz w:val="20"/>
              </w:rPr>
            </w:pPr>
            <w:r w:rsidRPr="00C604EE">
              <w:rPr>
                <w:sz w:val="20"/>
              </w:rPr>
              <w:t>Atcelto tiesas nolēmumu īpatsvars (procesuālo pārkāpumu dēļ %)</w:t>
            </w:r>
            <w:r w:rsidR="008466C6" w:rsidRPr="00C604EE">
              <w:rPr>
                <w:sz w:val="20"/>
              </w:rPr>
              <w:t>: 2020.gadā – 1.</w:t>
            </w:r>
          </w:p>
        </w:tc>
        <w:tc>
          <w:tcPr>
            <w:tcW w:w="1134" w:type="dxa"/>
            <w:shd w:val="clear" w:color="auto" w:fill="FFFFFF" w:themeFill="background1"/>
            <w:tcMar>
              <w:left w:w="57" w:type="dxa"/>
              <w:right w:w="57" w:type="dxa"/>
            </w:tcMar>
          </w:tcPr>
          <w:p w14:paraId="6E987335"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6988B562" w14:textId="77777777" w:rsidR="00EA4757" w:rsidRPr="00C604EE" w:rsidRDefault="00EA4757" w:rsidP="002A3C46">
            <w:pPr>
              <w:widowControl/>
              <w:autoSpaceDE/>
              <w:autoSpaceDN/>
              <w:adjustRightInd/>
              <w:jc w:val="both"/>
              <w:rPr>
                <w:sz w:val="20"/>
              </w:rPr>
            </w:pPr>
            <w:r w:rsidRPr="00C604EE">
              <w:rPr>
                <w:sz w:val="20"/>
              </w:rPr>
              <w:t>TA</w:t>
            </w:r>
          </w:p>
          <w:p w14:paraId="3CA3577B" w14:textId="77777777" w:rsidR="00EA4757" w:rsidRPr="00C604EE" w:rsidRDefault="00EA4757" w:rsidP="002A3C46">
            <w:pPr>
              <w:widowControl/>
              <w:autoSpaceDE/>
              <w:autoSpaceDN/>
              <w:adjustRightInd/>
              <w:jc w:val="both"/>
              <w:rPr>
                <w:sz w:val="20"/>
              </w:rPr>
            </w:pPr>
            <w:r w:rsidRPr="00C604EE">
              <w:rPr>
                <w:sz w:val="20"/>
              </w:rPr>
              <w:t>LTMC</w:t>
            </w:r>
          </w:p>
        </w:tc>
        <w:tc>
          <w:tcPr>
            <w:tcW w:w="1134" w:type="dxa"/>
            <w:shd w:val="clear" w:color="auto" w:fill="FFFFFF" w:themeFill="background1"/>
            <w:tcMar>
              <w:left w:w="57" w:type="dxa"/>
              <w:right w:w="57" w:type="dxa"/>
            </w:tcMar>
          </w:tcPr>
          <w:p w14:paraId="615FCC38" w14:textId="77777777" w:rsidR="00EA4757" w:rsidRPr="00C604EE" w:rsidRDefault="00EA4757" w:rsidP="002A3C46">
            <w:pPr>
              <w:jc w:val="both"/>
              <w:rPr>
                <w:sz w:val="20"/>
              </w:rPr>
            </w:pPr>
            <w:r w:rsidRPr="00C604EE">
              <w:rPr>
                <w:sz w:val="20"/>
              </w:rPr>
              <w:t>Regulāri līdz 2020.gadam</w:t>
            </w:r>
          </w:p>
        </w:tc>
      </w:tr>
      <w:tr w:rsidR="00C604EE" w:rsidRPr="002A3C46" w14:paraId="41727B54" w14:textId="77777777" w:rsidTr="00C604EE">
        <w:tc>
          <w:tcPr>
            <w:tcW w:w="426" w:type="dxa"/>
            <w:shd w:val="clear" w:color="auto" w:fill="FFFFFF" w:themeFill="background1"/>
            <w:tcMar>
              <w:left w:w="57" w:type="dxa"/>
              <w:right w:w="57" w:type="dxa"/>
            </w:tcMar>
          </w:tcPr>
          <w:p w14:paraId="7C877B16" w14:textId="77777777" w:rsidR="00EA4757" w:rsidRPr="00C604EE" w:rsidRDefault="00EA4757" w:rsidP="002A3C46">
            <w:pPr>
              <w:jc w:val="both"/>
              <w:rPr>
                <w:sz w:val="20"/>
              </w:rPr>
            </w:pPr>
            <w:r w:rsidRPr="00C604EE">
              <w:rPr>
                <w:sz w:val="20"/>
              </w:rPr>
              <w:lastRenderedPageBreak/>
              <w:t>17</w:t>
            </w:r>
          </w:p>
        </w:tc>
        <w:tc>
          <w:tcPr>
            <w:tcW w:w="1984" w:type="dxa"/>
            <w:shd w:val="clear" w:color="auto" w:fill="FFFFFF" w:themeFill="background1"/>
            <w:tcMar>
              <w:left w:w="57" w:type="dxa"/>
              <w:right w:w="57" w:type="dxa"/>
            </w:tcMar>
          </w:tcPr>
          <w:p w14:paraId="7489EE27" w14:textId="77777777" w:rsidR="00EA4757" w:rsidRPr="00C604EE" w:rsidRDefault="00EA4757" w:rsidP="002A3C46">
            <w:pPr>
              <w:jc w:val="both"/>
              <w:rPr>
                <w:sz w:val="20"/>
              </w:rPr>
            </w:pPr>
            <w:r w:rsidRPr="00C604EE">
              <w:rPr>
                <w:sz w:val="20"/>
              </w:rPr>
              <w:t xml:space="preserve">Tiesnešu </w:t>
            </w:r>
            <w:proofErr w:type="spellStart"/>
            <w:r w:rsidRPr="00C604EE">
              <w:rPr>
                <w:sz w:val="20"/>
              </w:rPr>
              <w:t>mentoru</w:t>
            </w:r>
            <w:proofErr w:type="spellEnd"/>
            <w:r w:rsidRPr="00C604EE">
              <w:rPr>
                <w:sz w:val="20"/>
              </w:rPr>
              <w:t xml:space="preserve"> (darbaudzinātāju) grupas izveide, kuri tiek sagatavoti darbam ar jaunajiem kolēģiem, kā arī tiek izveidota mācību programmas, kas ir vērsta uz </w:t>
            </w:r>
            <w:proofErr w:type="spellStart"/>
            <w:r w:rsidRPr="00C604EE">
              <w:rPr>
                <w:sz w:val="20"/>
              </w:rPr>
              <w:t>mentoru</w:t>
            </w:r>
            <w:proofErr w:type="spellEnd"/>
            <w:r w:rsidRPr="00C604EE">
              <w:rPr>
                <w:sz w:val="20"/>
              </w:rPr>
              <w:t xml:space="preserve"> prasmju un zināšanu pilnveidošanu</w:t>
            </w:r>
          </w:p>
        </w:tc>
        <w:tc>
          <w:tcPr>
            <w:tcW w:w="1559" w:type="dxa"/>
            <w:shd w:val="clear" w:color="auto" w:fill="FFFFFF" w:themeFill="background1"/>
            <w:tcMar>
              <w:left w:w="57" w:type="dxa"/>
              <w:right w:w="57" w:type="dxa"/>
            </w:tcMar>
          </w:tcPr>
          <w:p w14:paraId="6A825569" w14:textId="77777777" w:rsidR="00EA4757" w:rsidRPr="00C604EE" w:rsidRDefault="00EA4757" w:rsidP="002A3C46">
            <w:pPr>
              <w:jc w:val="both"/>
              <w:rPr>
                <w:sz w:val="20"/>
              </w:rPr>
            </w:pPr>
            <w:proofErr w:type="spellStart"/>
            <w:r w:rsidRPr="00C604EE">
              <w:rPr>
                <w:sz w:val="20"/>
              </w:rPr>
              <w:t>Efektivizēts</w:t>
            </w:r>
            <w:proofErr w:type="spellEnd"/>
            <w:r w:rsidRPr="00C604EE">
              <w:rPr>
                <w:sz w:val="20"/>
              </w:rPr>
              <w:t xml:space="preserve"> kvalitatīvu cilvēkresursu piesaistes process tiesu varai</w:t>
            </w:r>
          </w:p>
        </w:tc>
        <w:tc>
          <w:tcPr>
            <w:tcW w:w="1418" w:type="dxa"/>
            <w:gridSpan w:val="2"/>
            <w:shd w:val="clear" w:color="auto" w:fill="FFFFFF" w:themeFill="background1"/>
            <w:tcMar>
              <w:left w:w="57" w:type="dxa"/>
              <w:right w:w="57" w:type="dxa"/>
            </w:tcMar>
          </w:tcPr>
          <w:p w14:paraId="2513981B" w14:textId="77777777" w:rsidR="00AE1D86" w:rsidRPr="00C604EE" w:rsidRDefault="00EA4757" w:rsidP="002A3C46">
            <w:pPr>
              <w:jc w:val="both"/>
              <w:rPr>
                <w:sz w:val="20"/>
              </w:rPr>
            </w:pPr>
            <w:r w:rsidRPr="00C604EE">
              <w:rPr>
                <w:sz w:val="20"/>
              </w:rPr>
              <w:t xml:space="preserve">Tiesnešu </w:t>
            </w:r>
            <w:proofErr w:type="spellStart"/>
            <w:r w:rsidRPr="00C604EE">
              <w:rPr>
                <w:sz w:val="20"/>
              </w:rPr>
              <w:t>mentoru</w:t>
            </w:r>
            <w:proofErr w:type="spellEnd"/>
            <w:r w:rsidRPr="00C604EE">
              <w:rPr>
                <w:sz w:val="20"/>
              </w:rPr>
              <w:t xml:space="preserve"> (darbaudzinātāju) skaits</w:t>
            </w:r>
            <w:r w:rsidR="00AE1D86" w:rsidRPr="00C604EE">
              <w:rPr>
                <w:sz w:val="20"/>
              </w:rPr>
              <w:t>:</w:t>
            </w:r>
          </w:p>
          <w:p w14:paraId="7BBEFA0E" w14:textId="77777777" w:rsidR="00EA4757" w:rsidRPr="00C604EE" w:rsidRDefault="00AE1D86" w:rsidP="002A3C46">
            <w:pPr>
              <w:jc w:val="both"/>
              <w:rPr>
                <w:sz w:val="20"/>
              </w:rPr>
            </w:pPr>
            <w:r w:rsidRPr="00C604EE">
              <w:rPr>
                <w:sz w:val="20"/>
              </w:rPr>
              <w:t>2020.gadā – 35.</w:t>
            </w:r>
          </w:p>
        </w:tc>
        <w:tc>
          <w:tcPr>
            <w:tcW w:w="1134" w:type="dxa"/>
            <w:shd w:val="clear" w:color="auto" w:fill="FFFFFF" w:themeFill="background1"/>
            <w:tcMar>
              <w:left w:w="57" w:type="dxa"/>
              <w:right w:w="57" w:type="dxa"/>
            </w:tcMar>
          </w:tcPr>
          <w:p w14:paraId="688BD867"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57F9E838" w14:textId="77777777" w:rsidR="00EA4757" w:rsidRPr="00C604EE" w:rsidRDefault="00EA4757" w:rsidP="002A3C46">
            <w:pPr>
              <w:widowControl/>
              <w:autoSpaceDE/>
              <w:autoSpaceDN/>
              <w:adjustRightInd/>
              <w:jc w:val="both"/>
              <w:rPr>
                <w:sz w:val="20"/>
              </w:rPr>
            </w:pPr>
            <w:r w:rsidRPr="00C604EE">
              <w:rPr>
                <w:sz w:val="20"/>
              </w:rPr>
              <w:t>TA</w:t>
            </w:r>
          </w:p>
          <w:p w14:paraId="294E8F67" w14:textId="77777777" w:rsidR="00EA4757" w:rsidRPr="00C604EE" w:rsidRDefault="00EA4757" w:rsidP="002A3C46">
            <w:pPr>
              <w:widowControl/>
              <w:autoSpaceDE/>
              <w:autoSpaceDN/>
              <w:adjustRightInd/>
              <w:jc w:val="both"/>
              <w:rPr>
                <w:sz w:val="20"/>
              </w:rPr>
            </w:pPr>
            <w:r w:rsidRPr="00C604EE">
              <w:rPr>
                <w:sz w:val="20"/>
              </w:rPr>
              <w:t>LTMC</w:t>
            </w:r>
          </w:p>
        </w:tc>
        <w:tc>
          <w:tcPr>
            <w:tcW w:w="1134" w:type="dxa"/>
            <w:shd w:val="clear" w:color="auto" w:fill="FFFFFF" w:themeFill="background1"/>
            <w:tcMar>
              <w:left w:w="57" w:type="dxa"/>
              <w:right w:w="57" w:type="dxa"/>
            </w:tcMar>
          </w:tcPr>
          <w:p w14:paraId="45E01AD7" w14:textId="77777777" w:rsidR="00EA4757" w:rsidRPr="00C604EE" w:rsidRDefault="00EA4757" w:rsidP="002A3C46">
            <w:pPr>
              <w:jc w:val="both"/>
              <w:rPr>
                <w:sz w:val="20"/>
              </w:rPr>
            </w:pPr>
            <w:r w:rsidRPr="00C604EE">
              <w:rPr>
                <w:sz w:val="20"/>
              </w:rPr>
              <w:t>Regulāri līdz 2020.gadam</w:t>
            </w:r>
          </w:p>
        </w:tc>
      </w:tr>
      <w:tr w:rsidR="00C604EE" w:rsidRPr="002A3C46" w14:paraId="0889972C" w14:textId="77777777" w:rsidTr="00C604EE">
        <w:tc>
          <w:tcPr>
            <w:tcW w:w="426" w:type="dxa"/>
            <w:shd w:val="clear" w:color="auto" w:fill="FFFFFF" w:themeFill="background1"/>
            <w:tcMar>
              <w:left w:w="57" w:type="dxa"/>
              <w:right w:w="57" w:type="dxa"/>
            </w:tcMar>
          </w:tcPr>
          <w:p w14:paraId="5FF21B75" w14:textId="77777777" w:rsidR="00EA4757" w:rsidRPr="00C604EE" w:rsidRDefault="00EA4757" w:rsidP="002A3C46">
            <w:pPr>
              <w:jc w:val="both"/>
              <w:rPr>
                <w:sz w:val="20"/>
              </w:rPr>
            </w:pPr>
            <w:r w:rsidRPr="00C604EE">
              <w:rPr>
                <w:sz w:val="20"/>
              </w:rPr>
              <w:t>18</w:t>
            </w:r>
          </w:p>
        </w:tc>
        <w:tc>
          <w:tcPr>
            <w:tcW w:w="1984" w:type="dxa"/>
            <w:shd w:val="clear" w:color="auto" w:fill="FFFFFF" w:themeFill="background1"/>
            <w:tcMar>
              <w:left w:w="57" w:type="dxa"/>
              <w:right w:w="57" w:type="dxa"/>
            </w:tcMar>
          </w:tcPr>
          <w:p w14:paraId="66143E74" w14:textId="77777777" w:rsidR="00EA4757" w:rsidRPr="00C604EE" w:rsidRDefault="00EA4757" w:rsidP="002A3C46">
            <w:pPr>
              <w:jc w:val="both"/>
              <w:rPr>
                <w:sz w:val="20"/>
              </w:rPr>
            </w:pPr>
            <w:r w:rsidRPr="00C604EE">
              <w:rPr>
                <w:sz w:val="20"/>
              </w:rPr>
              <w:t>Tiesu priekšsēdētāju apmācības vadības jautājumos, lai nodrošinātu efektīvu tiesas iestādes vadību</w:t>
            </w:r>
          </w:p>
        </w:tc>
        <w:tc>
          <w:tcPr>
            <w:tcW w:w="1559" w:type="dxa"/>
            <w:shd w:val="clear" w:color="auto" w:fill="FFFFFF" w:themeFill="background1"/>
            <w:tcMar>
              <w:left w:w="57" w:type="dxa"/>
              <w:right w:w="57" w:type="dxa"/>
            </w:tcMar>
          </w:tcPr>
          <w:p w14:paraId="31ACD802" w14:textId="77777777" w:rsidR="00EA4757" w:rsidRPr="00C604EE" w:rsidRDefault="00EA4757" w:rsidP="002A3C46">
            <w:pPr>
              <w:jc w:val="both"/>
              <w:rPr>
                <w:sz w:val="20"/>
              </w:rPr>
            </w:pPr>
            <w:r w:rsidRPr="00C604EE">
              <w:rPr>
                <w:sz w:val="20"/>
              </w:rPr>
              <w:t>Celta tiesnešu kompetence</w:t>
            </w:r>
          </w:p>
        </w:tc>
        <w:tc>
          <w:tcPr>
            <w:tcW w:w="1418" w:type="dxa"/>
            <w:gridSpan w:val="2"/>
            <w:shd w:val="clear" w:color="auto" w:fill="FFFFFF" w:themeFill="background1"/>
            <w:tcMar>
              <w:left w:w="57" w:type="dxa"/>
              <w:right w:w="57" w:type="dxa"/>
            </w:tcMar>
          </w:tcPr>
          <w:p w14:paraId="4EE7A5D5" w14:textId="77777777" w:rsidR="00EA4757" w:rsidRPr="00C604EE" w:rsidRDefault="00AE1D86" w:rsidP="002A3C46">
            <w:pPr>
              <w:jc w:val="both"/>
              <w:rPr>
                <w:sz w:val="20"/>
              </w:rPr>
            </w:pPr>
            <w:r w:rsidRPr="00C604EE">
              <w:rPr>
                <w:sz w:val="20"/>
              </w:rPr>
              <w:t>Tiesas priekšsēdētāju</w:t>
            </w:r>
            <w:r w:rsidR="00EA4757" w:rsidRPr="00C604EE">
              <w:rPr>
                <w:sz w:val="20"/>
              </w:rPr>
              <w:t xml:space="preserve"> skaits, kas piedalījušās apmācībās</w:t>
            </w:r>
            <w:r w:rsidRPr="00C604EE">
              <w:rPr>
                <w:sz w:val="20"/>
              </w:rPr>
              <w:t xml:space="preserve">: </w:t>
            </w:r>
          </w:p>
          <w:p w14:paraId="27D1C5CE" w14:textId="77777777" w:rsidR="00AE1D86" w:rsidRPr="00C604EE" w:rsidRDefault="00AE1D86" w:rsidP="002A3C46">
            <w:pPr>
              <w:jc w:val="both"/>
              <w:rPr>
                <w:sz w:val="20"/>
              </w:rPr>
            </w:pPr>
            <w:r w:rsidRPr="00C604EE">
              <w:rPr>
                <w:sz w:val="20"/>
              </w:rPr>
              <w:t>2020.gadā- 35.</w:t>
            </w:r>
          </w:p>
        </w:tc>
        <w:tc>
          <w:tcPr>
            <w:tcW w:w="1134" w:type="dxa"/>
            <w:shd w:val="clear" w:color="auto" w:fill="FFFFFF" w:themeFill="background1"/>
            <w:tcMar>
              <w:left w:w="57" w:type="dxa"/>
              <w:right w:w="57" w:type="dxa"/>
            </w:tcMar>
          </w:tcPr>
          <w:p w14:paraId="359E391E"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1202001B" w14:textId="77777777" w:rsidR="00EA4757" w:rsidRPr="00C604EE" w:rsidRDefault="00EA4757" w:rsidP="002A3C46">
            <w:pPr>
              <w:widowControl/>
              <w:autoSpaceDE/>
              <w:autoSpaceDN/>
              <w:adjustRightInd/>
              <w:jc w:val="both"/>
              <w:rPr>
                <w:sz w:val="20"/>
              </w:rPr>
            </w:pPr>
            <w:r w:rsidRPr="00C604EE">
              <w:rPr>
                <w:sz w:val="20"/>
              </w:rPr>
              <w:t>TA</w:t>
            </w:r>
          </w:p>
        </w:tc>
        <w:tc>
          <w:tcPr>
            <w:tcW w:w="1134" w:type="dxa"/>
            <w:shd w:val="clear" w:color="auto" w:fill="FFFFFF" w:themeFill="background1"/>
            <w:tcMar>
              <w:left w:w="57" w:type="dxa"/>
              <w:right w:w="57" w:type="dxa"/>
            </w:tcMar>
          </w:tcPr>
          <w:p w14:paraId="71CAB4DE" w14:textId="77777777" w:rsidR="00EA4757" w:rsidRPr="00C604EE" w:rsidRDefault="00EA4757" w:rsidP="002A3C46">
            <w:pPr>
              <w:jc w:val="both"/>
              <w:rPr>
                <w:sz w:val="20"/>
              </w:rPr>
            </w:pPr>
            <w:r w:rsidRPr="00C604EE">
              <w:rPr>
                <w:sz w:val="20"/>
              </w:rPr>
              <w:t>Regulāri līdz 2020.gadam</w:t>
            </w:r>
          </w:p>
        </w:tc>
      </w:tr>
      <w:tr w:rsidR="00C604EE" w:rsidRPr="002A3C46" w14:paraId="0E319CBA" w14:textId="77777777" w:rsidTr="00C604EE">
        <w:tc>
          <w:tcPr>
            <w:tcW w:w="426" w:type="dxa"/>
            <w:shd w:val="clear" w:color="auto" w:fill="FFFFFF" w:themeFill="background1"/>
            <w:tcMar>
              <w:left w:w="57" w:type="dxa"/>
              <w:right w:w="57" w:type="dxa"/>
            </w:tcMar>
          </w:tcPr>
          <w:p w14:paraId="21792377" w14:textId="77777777" w:rsidR="00EA4757" w:rsidRPr="00C604EE" w:rsidRDefault="00EA4757" w:rsidP="002A3C46">
            <w:pPr>
              <w:jc w:val="both"/>
              <w:rPr>
                <w:sz w:val="20"/>
              </w:rPr>
            </w:pPr>
            <w:r w:rsidRPr="00C604EE">
              <w:rPr>
                <w:sz w:val="20"/>
              </w:rPr>
              <w:t>19</w:t>
            </w:r>
          </w:p>
        </w:tc>
        <w:tc>
          <w:tcPr>
            <w:tcW w:w="1984" w:type="dxa"/>
            <w:shd w:val="clear" w:color="auto" w:fill="FFFFFF" w:themeFill="background1"/>
            <w:tcMar>
              <w:left w:w="57" w:type="dxa"/>
              <w:right w:w="57" w:type="dxa"/>
            </w:tcMar>
          </w:tcPr>
          <w:p w14:paraId="3F5253B6" w14:textId="77777777" w:rsidR="00EA4757" w:rsidRPr="00C604EE" w:rsidRDefault="00EA4757" w:rsidP="002A3C46">
            <w:pPr>
              <w:jc w:val="both"/>
              <w:rPr>
                <w:sz w:val="20"/>
              </w:rPr>
            </w:pPr>
            <w:r w:rsidRPr="00C604EE">
              <w:rPr>
                <w:sz w:val="20"/>
              </w:rPr>
              <w:t>ES tiesību konsultanta amata ieviešana, kura pienākumos ietilptu sniegt atbildes uz uzdotajiem jautājumiem par ES tiesībām, izpētītu attiecīgo ES tiesību jautājumu vai judikatūru, vai arī sniegt cita veida atbalstu tiesnešiem ES tiesību jautājumos</w:t>
            </w:r>
          </w:p>
        </w:tc>
        <w:tc>
          <w:tcPr>
            <w:tcW w:w="1559" w:type="dxa"/>
            <w:shd w:val="clear" w:color="auto" w:fill="FFFFFF" w:themeFill="background1"/>
            <w:tcMar>
              <w:left w:w="57" w:type="dxa"/>
              <w:right w:w="57" w:type="dxa"/>
            </w:tcMar>
          </w:tcPr>
          <w:p w14:paraId="546251E5" w14:textId="77777777" w:rsidR="00EA4757" w:rsidRPr="00C604EE" w:rsidRDefault="00EA4757" w:rsidP="002A3C46">
            <w:pPr>
              <w:jc w:val="both"/>
              <w:rPr>
                <w:sz w:val="20"/>
              </w:rPr>
            </w:pPr>
            <w:r w:rsidRPr="00C604EE">
              <w:rPr>
                <w:sz w:val="20"/>
              </w:rPr>
              <w:t>Celta tiesnešu, tiesas darbinieku, izmeklētāju un prokuroru kompetence</w:t>
            </w:r>
          </w:p>
        </w:tc>
        <w:tc>
          <w:tcPr>
            <w:tcW w:w="1418" w:type="dxa"/>
            <w:gridSpan w:val="2"/>
            <w:shd w:val="clear" w:color="auto" w:fill="FFFFFF" w:themeFill="background1"/>
            <w:tcMar>
              <w:left w:w="57" w:type="dxa"/>
              <w:right w:w="57" w:type="dxa"/>
            </w:tcMar>
          </w:tcPr>
          <w:p w14:paraId="5AECA3CB" w14:textId="77777777" w:rsidR="00EA4757" w:rsidRPr="00C604EE" w:rsidRDefault="00EA4757" w:rsidP="002A3C46">
            <w:pPr>
              <w:jc w:val="both"/>
              <w:rPr>
                <w:sz w:val="20"/>
              </w:rPr>
            </w:pPr>
            <w:r w:rsidRPr="00C604EE">
              <w:rPr>
                <w:sz w:val="20"/>
              </w:rPr>
              <w:t>ES tiesību konsultanta amata vietu skaits</w:t>
            </w:r>
            <w:r w:rsidR="00AE1D86" w:rsidRPr="00C604EE">
              <w:rPr>
                <w:sz w:val="20"/>
              </w:rPr>
              <w:t>:</w:t>
            </w:r>
          </w:p>
          <w:p w14:paraId="43548846" w14:textId="77777777" w:rsidR="00AE1D86" w:rsidRPr="00C604EE" w:rsidRDefault="00AE1D86" w:rsidP="002A3C46">
            <w:pPr>
              <w:jc w:val="both"/>
              <w:rPr>
                <w:sz w:val="20"/>
              </w:rPr>
            </w:pPr>
            <w:r w:rsidRPr="00C604EE">
              <w:rPr>
                <w:sz w:val="20"/>
              </w:rPr>
              <w:t>2020.gadā- 35.</w:t>
            </w:r>
          </w:p>
        </w:tc>
        <w:tc>
          <w:tcPr>
            <w:tcW w:w="1134" w:type="dxa"/>
            <w:shd w:val="clear" w:color="auto" w:fill="FFFFFF" w:themeFill="background1"/>
            <w:tcMar>
              <w:left w:w="57" w:type="dxa"/>
              <w:right w:w="57" w:type="dxa"/>
            </w:tcMar>
          </w:tcPr>
          <w:p w14:paraId="1CFCC3FE"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27F7A398" w14:textId="77777777" w:rsidR="00EA4757" w:rsidRPr="00C604EE" w:rsidRDefault="00EA4757" w:rsidP="002A3C46">
            <w:pPr>
              <w:widowControl/>
              <w:autoSpaceDE/>
              <w:autoSpaceDN/>
              <w:adjustRightInd/>
              <w:jc w:val="both"/>
              <w:rPr>
                <w:sz w:val="20"/>
              </w:rPr>
            </w:pPr>
            <w:r w:rsidRPr="00C604EE">
              <w:rPr>
                <w:sz w:val="20"/>
              </w:rPr>
              <w:t>TA</w:t>
            </w:r>
          </w:p>
        </w:tc>
        <w:tc>
          <w:tcPr>
            <w:tcW w:w="1134" w:type="dxa"/>
            <w:shd w:val="clear" w:color="auto" w:fill="FFFFFF" w:themeFill="background1"/>
            <w:tcMar>
              <w:left w:w="57" w:type="dxa"/>
              <w:right w:w="57" w:type="dxa"/>
            </w:tcMar>
          </w:tcPr>
          <w:p w14:paraId="624BBA29" w14:textId="77777777" w:rsidR="00EA4757" w:rsidRPr="00C604EE" w:rsidRDefault="00EA4757" w:rsidP="002A3C46">
            <w:pPr>
              <w:jc w:val="both"/>
              <w:rPr>
                <w:sz w:val="20"/>
              </w:rPr>
            </w:pPr>
            <w:r w:rsidRPr="00C604EE">
              <w:rPr>
                <w:sz w:val="20"/>
              </w:rPr>
              <w:t xml:space="preserve">2019.gada </w:t>
            </w:r>
            <w:r w:rsidR="00AE1D86" w:rsidRPr="00C604EE">
              <w:rPr>
                <w:sz w:val="20"/>
              </w:rPr>
              <w:t>2.pusgads</w:t>
            </w:r>
          </w:p>
        </w:tc>
      </w:tr>
      <w:tr w:rsidR="00C604EE" w:rsidRPr="002A3C46" w14:paraId="64D65395" w14:textId="77777777" w:rsidTr="00C604EE">
        <w:tc>
          <w:tcPr>
            <w:tcW w:w="426" w:type="dxa"/>
            <w:shd w:val="clear" w:color="auto" w:fill="FFFFFF" w:themeFill="background1"/>
            <w:tcMar>
              <w:left w:w="57" w:type="dxa"/>
              <w:right w:w="57" w:type="dxa"/>
            </w:tcMar>
          </w:tcPr>
          <w:p w14:paraId="20563947" w14:textId="77777777" w:rsidR="00EA4757" w:rsidRPr="00C604EE" w:rsidRDefault="00EA4757" w:rsidP="002A3C46">
            <w:pPr>
              <w:jc w:val="both"/>
              <w:rPr>
                <w:sz w:val="20"/>
              </w:rPr>
            </w:pPr>
            <w:r w:rsidRPr="00C604EE">
              <w:rPr>
                <w:sz w:val="20"/>
              </w:rPr>
              <w:t>20</w:t>
            </w:r>
          </w:p>
        </w:tc>
        <w:tc>
          <w:tcPr>
            <w:tcW w:w="1984" w:type="dxa"/>
            <w:shd w:val="clear" w:color="auto" w:fill="FFFFFF" w:themeFill="background1"/>
            <w:tcMar>
              <w:left w:w="57" w:type="dxa"/>
              <w:right w:w="57" w:type="dxa"/>
            </w:tcMar>
          </w:tcPr>
          <w:p w14:paraId="26E02AFE" w14:textId="77777777" w:rsidR="00EA4757" w:rsidRPr="00C604EE" w:rsidRDefault="00EA4757" w:rsidP="002A3C46">
            <w:pPr>
              <w:jc w:val="both"/>
              <w:rPr>
                <w:sz w:val="20"/>
              </w:rPr>
            </w:pPr>
            <w:r w:rsidRPr="00C604EE">
              <w:rPr>
                <w:sz w:val="20"/>
              </w:rPr>
              <w:t>Tiesneša palīga tiesību, pienākumu un atbildības pārskatīšana</w:t>
            </w:r>
          </w:p>
        </w:tc>
        <w:tc>
          <w:tcPr>
            <w:tcW w:w="1559" w:type="dxa"/>
            <w:shd w:val="clear" w:color="auto" w:fill="FFFFFF" w:themeFill="background1"/>
            <w:tcMar>
              <w:left w:w="57" w:type="dxa"/>
              <w:right w:w="57" w:type="dxa"/>
            </w:tcMar>
          </w:tcPr>
          <w:p w14:paraId="00DE0FB8" w14:textId="77777777" w:rsidR="00EA4757" w:rsidRPr="00C604EE" w:rsidRDefault="00EA4757" w:rsidP="002A3C46">
            <w:pPr>
              <w:jc w:val="both"/>
              <w:rPr>
                <w:sz w:val="20"/>
              </w:rPr>
            </w:pPr>
            <w:proofErr w:type="spellStart"/>
            <w:r w:rsidRPr="00C604EE">
              <w:rPr>
                <w:sz w:val="20"/>
              </w:rPr>
              <w:t>Efektivizēts</w:t>
            </w:r>
            <w:proofErr w:type="spellEnd"/>
            <w:r w:rsidRPr="00C604EE">
              <w:rPr>
                <w:sz w:val="20"/>
              </w:rPr>
              <w:t xml:space="preserve"> kvalitatīvu cilvēkresursu piesaistes process tiesu varai</w:t>
            </w:r>
          </w:p>
        </w:tc>
        <w:tc>
          <w:tcPr>
            <w:tcW w:w="1418" w:type="dxa"/>
            <w:gridSpan w:val="2"/>
            <w:shd w:val="clear" w:color="auto" w:fill="FFFFFF" w:themeFill="background1"/>
            <w:tcMar>
              <w:left w:w="57" w:type="dxa"/>
              <w:right w:w="57" w:type="dxa"/>
            </w:tcMar>
          </w:tcPr>
          <w:p w14:paraId="620DB738" w14:textId="77777777" w:rsidR="00EA4757" w:rsidRPr="00C604EE" w:rsidRDefault="00AE1D86" w:rsidP="002A3C46">
            <w:pPr>
              <w:jc w:val="both"/>
              <w:rPr>
                <w:sz w:val="20"/>
              </w:rPr>
            </w:pPr>
            <w:r w:rsidRPr="00C604EE">
              <w:rPr>
                <w:sz w:val="20"/>
              </w:rPr>
              <w:t xml:space="preserve">Atbalstīto likumprojektu </w:t>
            </w:r>
            <w:r w:rsidR="00EA4757" w:rsidRPr="00C604EE">
              <w:rPr>
                <w:sz w:val="20"/>
              </w:rPr>
              <w:t>grozījumi</w:t>
            </w:r>
            <w:r w:rsidRPr="00C604EE">
              <w:rPr>
                <w:sz w:val="20"/>
              </w:rPr>
              <w:t>em</w:t>
            </w:r>
            <w:r w:rsidR="00EA4757" w:rsidRPr="00C604EE">
              <w:rPr>
                <w:sz w:val="20"/>
              </w:rPr>
              <w:t xml:space="preserve"> likumā „Par tiesu varu”</w:t>
            </w:r>
            <w:r w:rsidRPr="00C604EE">
              <w:rPr>
                <w:sz w:val="20"/>
              </w:rPr>
              <w:t>: 2020.gadā -1.</w:t>
            </w:r>
          </w:p>
        </w:tc>
        <w:tc>
          <w:tcPr>
            <w:tcW w:w="1134" w:type="dxa"/>
            <w:shd w:val="clear" w:color="auto" w:fill="FFFFFF" w:themeFill="background1"/>
            <w:tcMar>
              <w:left w:w="57" w:type="dxa"/>
              <w:right w:w="57" w:type="dxa"/>
            </w:tcMar>
          </w:tcPr>
          <w:p w14:paraId="433AD415"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42E70EC8" w14:textId="77777777" w:rsidR="00EA4757" w:rsidRPr="00C604EE" w:rsidRDefault="00EA4757" w:rsidP="002A3C46">
            <w:pPr>
              <w:widowControl/>
              <w:autoSpaceDE/>
              <w:autoSpaceDN/>
              <w:adjustRightInd/>
              <w:jc w:val="both"/>
              <w:rPr>
                <w:sz w:val="20"/>
              </w:rPr>
            </w:pPr>
            <w:r w:rsidRPr="00C604EE">
              <w:rPr>
                <w:sz w:val="20"/>
              </w:rPr>
              <w:t>TA</w:t>
            </w:r>
          </w:p>
        </w:tc>
        <w:tc>
          <w:tcPr>
            <w:tcW w:w="1134" w:type="dxa"/>
            <w:shd w:val="clear" w:color="auto" w:fill="FFFFFF" w:themeFill="background1"/>
            <w:tcMar>
              <w:left w:w="57" w:type="dxa"/>
              <w:right w:w="57" w:type="dxa"/>
            </w:tcMar>
          </w:tcPr>
          <w:p w14:paraId="352EF0BD" w14:textId="77777777" w:rsidR="00EA4757" w:rsidRPr="00C604EE" w:rsidRDefault="00EA4757" w:rsidP="002A3C46">
            <w:pPr>
              <w:jc w:val="both"/>
              <w:rPr>
                <w:sz w:val="20"/>
              </w:rPr>
            </w:pPr>
            <w:r w:rsidRPr="00C604EE">
              <w:rPr>
                <w:sz w:val="20"/>
              </w:rPr>
              <w:t xml:space="preserve">2018.gada </w:t>
            </w:r>
            <w:r w:rsidR="00AE1D86" w:rsidRPr="00C604EE">
              <w:rPr>
                <w:sz w:val="20"/>
              </w:rPr>
              <w:t>1.pusgads</w:t>
            </w:r>
          </w:p>
        </w:tc>
      </w:tr>
      <w:tr w:rsidR="00C604EE" w:rsidRPr="002A3C46" w14:paraId="6C1F32F9" w14:textId="77777777" w:rsidTr="00C604EE">
        <w:tc>
          <w:tcPr>
            <w:tcW w:w="426" w:type="dxa"/>
            <w:shd w:val="clear" w:color="auto" w:fill="FFFFFF" w:themeFill="background1"/>
            <w:tcMar>
              <w:left w:w="57" w:type="dxa"/>
              <w:right w:w="57" w:type="dxa"/>
            </w:tcMar>
          </w:tcPr>
          <w:p w14:paraId="0D515B91" w14:textId="77777777" w:rsidR="00E66136" w:rsidRPr="00C604EE" w:rsidRDefault="00E66136" w:rsidP="002A3C46">
            <w:pPr>
              <w:jc w:val="both"/>
              <w:rPr>
                <w:sz w:val="20"/>
              </w:rPr>
            </w:pPr>
            <w:r w:rsidRPr="00C604EE">
              <w:rPr>
                <w:sz w:val="20"/>
              </w:rPr>
              <w:t>21</w:t>
            </w:r>
          </w:p>
        </w:tc>
        <w:tc>
          <w:tcPr>
            <w:tcW w:w="1984" w:type="dxa"/>
            <w:shd w:val="clear" w:color="auto" w:fill="FFFFFF" w:themeFill="background1"/>
            <w:tcMar>
              <w:left w:w="57" w:type="dxa"/>
              <w:right w:w="57" w:type="dxa"/>
            </w:tcMar>
          </w:tcPr>
          <w:p w14:paraId="05327464" w14:textId="77777777" w:rsidR="00E66136" w:rsidRPr="00C604EE" w:rsidRDefault="00E66136" w:rsidP="002A3C46">
            <w:pPr>
              <w:jc w:val="both"/>
              <w:rPr>
                <w:sz w:val="20"/>
              </w:rPr>
            </w:pPr>
            <w:r w:rsidRPr="00C604EE">
              <w:rPr>
                <w:sz w:val="20"/>
              </w:rPr>
              <w:t>Tiesnešu iesaistes veicināšana tiesnešu sadarbības tīklā nacionālā un Eiropas līmenī, nodrošinot atbilstošas sagatavošanās apmācības</w:t>
            </w:r>
          </w:p>
        </w:tc>
        <w:tc>
          <w:tcPr>
            <w:tcW w:w="1559" w:type="dxa"/>
            <w:shd w:val="clear" w:color="auto" w:fill="FFFFFF" w:themeFill="background1"/>
            <w:tcMar>
              <w:left w:w="57" w:type="dxa"/>
              <w:right w:w="57" w:type="dxa"/>
            </w:tcMar>
          </w:tcPr>
          <w:p w14:paraId="7BA7C1F8" w14:textId="77777777" w:rsidR="00E66136" w:rsidRPr="00C604EE" w:rsidRDefault="00E66136" w:rsidP="002A3C46">
            <w:pPr>
              <w:jc w:val="both"/>
              <w:rPr>
                <w:sz w:val="20"/>
              </w:rPr>
            </w:pPr>
            <w:r w:rsidRPr="00C604EE">
              <w:rPr>
                <w:sz w:val="20"/>
              </w:rPr>
              <w:t>Celta tiesnešu kompetence</w:t>
            </w:r>
          </w:p>
        </w:tc>
        <w:tc>
          <w:tcPr>
            <w:tcW w:w="1418" w:type="dxa"/>
            <w:gridSpan w:val="2"/>
            <w:shd w:val="clear" w:color="auto" w:fill="FFFFFF" w:themeFill="background1"/>
            <w:tcMar>
              <w:left w:w="57" w:type="dxa"/>
              <w:right w:w="57" w:type="dxa"/>
            </w:tcMar>
          </w:tcPr>
          <w:p w14:paraId="6DC93649" w14:textId="77777777" w:rsidR="00E66136" w:rsidRPr="00C604EE" w:rsidRDefault="00E66136" w:rsidP="002A3C46">
            <w:pPr>
              <w:jc w:val="both"/>
              <w:rPr>
                <w:sz w:val="20"/>
              </w:rPr>
            </w:pPr>
            <w:r w:rsidRPr="00C604EE">
              <w:rPr>
                <w:sz w:val="20"/>
              </w:rPr>
              <w:t>Apmācībās piedalījušos tiesnešu skaits</w:t>
            </w:r>
            <w:r w:rsidR="00AE1D86" w:rsidRPr="00C604EE">
              <w:rPr>
                <w:sz w:val="20"/>
              </w:rPr>
              <w:t>:</w:t>
            </w:r>
          </w:p>
          <w:p w14:paraId="5B347DA3" w14:textId="77777777" w:rsidR="00AE1D86" w:rsidRPr="00C604EE" w:rsidRDefault="00AE1D86" w:rsidP="002A3C46">
            <w:pPr>
              <w:jc w:val="both"/>
              <w:rPr>
                <w:sz w:val="20"/>
              </w:rPr>
            </w:pPr>
            <w:r w:rsidRPr="00C604EE">
              <w:rPr>
                <w:sz w:val="20"/>
              </w:rPr>
              <w:t>2020.gadā – 290.</w:t>
            </w:r>
          </w:p>
        </w:tc>
        <w:tc>
          <w:tcPr>
            <w:tcW w:w="1134" w:type="dxa"/>
            <w:shd w:val="clear" w:color="auto" w:fill="FFFFFF" w:themeFill="background1"/>
            <w:tcMar>
              <w:left w:w="57" w:type="dxa"/>
              <w:right w:w="57" w:type="dxa"/>
            </w:tcMar>
          </w:tcPr>
          <w:p w14:paraId="07C4BE72" w14:textId="77777777" w:rsidR="00E66136" w:rsidRPr="00C604EE" w:rsidRDefault="00E66136"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21CAC1EE" w14:textId="77777777" w:rsidR="00E66136" w:rsidRPr="00C604EE" w:rsidRDefault="00E66136" w:rsidP="002A3C46">
            <w:pPr>
              <w:widowControl/>
              <w:autoSpaceDE/>
              <w:autoSpaceDN/>
              <w:adjustRightInd/>
              <w:jc w:val="both"/>
              <w:rPr>
                <w:sz w:val="20"/>
              </w:rPr>
            </w:pPr>
            <w:r w:rsidRPr="00C604EE">
              <w:rPr>
                <w:sz w:val="20"/>
              </w:rPr>
              <w:t>TA</w:t>
            </w:r>
          </w:p>
          <w:p w14:paraId="7A7E88DF" w14:textId="77777777" w:rsidR="00E66136" w:rsidRPr="00C604EE" w:rsidRDefault="00E66136" w:rsidP="002A3C46">
            <w:pPr>
              <w:widowControl/>
              <w:autoSpaceDE/>
              <w:autoSpaceDN/>
              <w:adjustRightInd/>
              <w:jc w:val="both"/>
              <w:rPr>
                <w:sz w:val="20"/>
              </w:rPr>
            </w:pPr>
            <w:r w:rsidRPr="00C604EE">
              <w:rPr>
                <w:sz w:val="20"/>
              </w:rPr>
              <w:t xml:space="preserve">LTMC </w:t>
            </w:r>
          </w:p>
        </w:tc>
        <w:tc>
          <w:tcPr>
            <w:tcW w:w="1134" w:type="dxa"/>
            <w:shd w:val="clear" w:color="auto" w:fill="FFFFFF" w:themeFill="background1"/>
            <w:tcMar>
              <w:left w:w="57" w:type="dxa"/>
              <w:right w:w="57" w:type="dxa"/>
            </w:tcMar>
          </w:tcPr>
          <w:p w14:paraId="6355C2CE" w14:textId="77777777" w:rsidR="00E66136" w:rsidRPr="00C604EE" w:rsidRDefault="00E66136" w:rsidP="002A3C46">
            <w:pPr>
              <w:jc w:val="both"/>
              <w:rPr>
                <w:sz w:val="20"/>
              </w:rPr>
            </w:pPr>
            <w:r w:rsidRPr="00C604EE">
              <w:rPr>
                <w:sz w:val="20"/>
              </w:rPr>
              <w:t>Regulāri līdz 2020.gadam</w:t>
            </w:r>
          </w:p>
        </w:tc>
      </w:tr>
      <w:tr w:rsidR="00C604EE" w:rsidRPr="002A3C46" w14:paraId="1B5572A0" w14:textId="77777777" w:rsidTr="00C604EE">
        <w:tc>
          <w:tcPr>
            <w:tcW w:w="426" w:type="dxa"/>
            <w:shd w:val="clear" w:color="auto" w:fill="FFFFFF" w:themeFill="background1"/>
            <w:tcMar>
              <w:left w:w="57" w:type="dxa"/>
              <w:right w:w="57" w:type="dxa"/>
            </w:tcMar>
          </w:tcPr>
          <w:p w14:paraId="03F36802" w14:textId="77777777" w:rsidR="00EA4757" w:rsidRPr="00C604EE" w:rsidRDefault="00EA4757" w:rsidP="002A3C46">
            <w:pPr>
              <w:jc w:val="both"/>
              <w:rPr>
                <w:sz w:val="20"/>
              </w:rPr>
            </w:pPr>
            <w:proofErr w:type="spellStart"/>
            <w:r w:rsidRPr="00C604EE">
              <w:rPr>
                <w:sz w:val="20"/>
              </w:rPr>
              <w:t>Nr</w:t>
            </w:r>
            <w:proofErr w:type="spellEnd"/>
            <w:r w:rsidRPr="00C604EE">
              <w:rPr>
                <w:sz w:val="20"/>
              </w:rPr>
              <w:t xml:space="preserve">. </w:t>
            </w:r>
            <w:proofErr w:type="spellStart"/>
            <w:r w:rsidRPr="00C604EE">
              <w:rPr>
                <w:sz w:val="20"/>
              </w:rPr>
              <w:t>P.k</w:t>
            </w:r>
            <w:proofErr w:type="spellEnd"/>
            <w:r w:rsidRPr="00C604EE">
              <w:rPr>
                <w:sz w:val="20"/>
              </w:rPr>
              <w:t>.</w:t>
            </w:r>
          </w:p>
        </w:tc>
        <w:tc>
          <w:tcPr>
            <w:tcW w:w="1984" w:type="dxa"/>
            <w:shd w:val="clear" w:color="auto" w:fill="FFFFFF" w:themeFill="background1"/>
            <w:tcMar>
              <w:left w:w="57" w:type="dxa"/>
              <w:right w:w="57" w:type="dxa"/>
            </w:tcMar>
          </w:tcPr>
          <w:p w14:paraId="2BE9B745" w14:textId="77777777" w:rsidR="00EA4757" w:rsidRPr="00C604EE" w:rsidRDefault="00EA4757" w:rsidP="002A3C46">
            <w:pPr>
              <w:jc w:val="both"/>
              <w:rPr>
                <w:sz w:val="20"/>
              </w:rPr>
            </w:pPr>
            <w:r w:rsidRPr="00C604EE">
              <w:rPr>
                <w:b/>
                <w:sz w:val="20"/>
              </w:rPr>
              <w:t>Pasākums</w:t>
            </w:r>
          </w:p>
        </w:tc>
        <w:tc>
          <w:tcPr>
            <w:tcW w:w="1559" w:type="dxa"/>
            <w:shd w:val="clear" w:color="auto" w:fill="FFFFFF" w:themeFill="background1"/>
            <w:tcMar>
              <w:left w:w="57" w:type="dxa"/>
              <w:right w:w="57" w:type="dxa"/>
            </w:tcMar>
          </w:tcPr>
          <w:p w14:paraId="4028A1CA" w14:textId="77777777" w:rsidR="00EA4757" w:rsidRPr="00C604EE" w:rsidRDefault="00EA4757" w:rsidP="002A3C46">
            <w:pPr>
              <w:jc w:val="both"/>
              <w:rPr>
                <w:b/>
                <w:sz w:val="20"/>
              </w:rPr>
            </w:pPr>
            <w:r w:rsidRPr="00C604EE">
              <w:rPr>
                <w:b/>
                <w:sz w:val="20"/>
              </w:rPr>
              <w:t>Darbības rezultāts</w:t>
            </w:r>
          </w:p>
        </w:tc>
        <w:tc>
          <w:tcPr>
            <w:tcW w:w="1418" w:type="dxa"/>
            <w:gridSpan w:val="2"/>
            <w:shd w:val="clear" w:color="auto" w:fill="FFFFFF" w:themeFill="background1"/>
            <w:tcMar>
              <w:left w:w="57" w:type="dxa"/>
              <w:right w:w="57" w:type="dxa"/>
            </w:tcMar>
          </w:tcPr>
          <w:p w14:paraId="71D3A669" w14:textId="77777777" w:rsidR="00EA4757" w:rsidRPr="00C604EE" w:rsidRDefault="00EA4757" w:rsidP="002A3C46">
            <w:pPr>
              <w:jc w:val="both"/>
              <w:rPr>
                <w:sz w:val="20"/>
              </w:rPr>
            </w:pPr>
            <w:r w:rsidRPr="00C604EE">
              <w:rPr>
                <w:b/>
                <w:sz w:val="20"/>
              </w:rPr>
              <w:t>Rezultatīvais rādītājs</w:t>
            </w:r>
          </w:p>
        </w:tc>
        <w:tc>
          <w:tcPr>
            <w:tcW w:w="1134" w:type="dxa"/>
            <w:shd w:val="clear" w:color="auto" w:fill="FFFFFF" w:themeFill="background1"/>
            <w:tcMar>
              <w:left w:w="57" w:type="dxa"/>
              <w:right w:w="57" w:type="dxa"/>
            </w:tcMar>
          </w:tcPr>
          <w:p w14:paraId="5FA3F6CA" w14:textId="77777777" w:rsidR="00EA4757" w:rsidRPr="00C604EE" w:rsidRDefault="00EA4757" w:rsidP="002A3C46">
            <w:pPr>
              <w:jc w:val="both"/>
              <w:rPr>
                <w:sz w:val="20"/>
              </w:rPr>
            </w:pPr>
            <w:r w:rsidRPr="00C604EE">
              <w:rPr>
                <w:b/>
                <w:sz w:val="20"/>
              </w:rPr>
              <w:t>Atbildīgā institūcija</w:t>
            </w:r>
          </w:p>
        </w:tc>
        <w:tc>
          <w:tcPr>
            <w:tcW w:w="1417" w:type="dxa"/>
            <w:shd w:val="clear" w:color="auto" w:fill="FFFFFF" w:themeFill="background1"/>
            <w:tcMar>
              <w:left w:w="57" w:type="dxa"/>
              <w:right w:w="57" w:type="dxa"/>
            </w:tcMar>
          </w:tcPr>
          <w:p w14:paraId="303F8BC2" w14:textId="77777777" w:rsidR="00EA4757" w:rsidRPr="00C604EE" w:rsidRDefault="00EA4757" w:rsidP="002A3C46">
            <w:pPr>
              <w:jc w:val="both"/>
              <w:rPr>
                <w:b/>
                <w:sz w:val="20"/>
              </w:rPr>
            </w:pPr>
          </w:p>
          <w:p w14:paraId="10E16C4B" w14:textId="77777777" w:rsidR="00EA4757" w:rsidRPr="00C604EE" w:rsidRDefault="00EA4757" w:rsidP="002A3C46">
            <w:pPr>
              <w:jc w:val="both"/>
              <w:rPr>
                <w:sz w:val="20"/>
              </w:rPr>
            </w:pPr>
            <w:r w:rsidRPr="00C604EE">
              <w:rPr>
                <w:b/>
                <w:sz w:val="20"/>
              </w:rPr>
              <w:t>Līdzatbildīgās institūcijas</w:t>
            </w:r>
          </w:p>
        </w:tc>
        <w:tc>
          <w:tcPr>
            <w:tcW w:w="1134" w:type="dxa"/>
            <w:shd w:val="clear" w:color="auto" w:fill="FFFFFF" w:themeFill="background1"/>
            <w:tcMar>
              <w:left w:w="57" w:type="dxa"/>
              <w:right w:w="57" w:type="dxa"/>
            </w:tcMar>
          </w:tcPr>
          <w:p w14:paraId="3304326B" w14:textId="77777777" w:rsidR="00EA4757" w:rsidRPr="00C604EE" w:rsidRDefault="00EA4757" w:rsidP="002A3C46">
            <w:pPr>
              <w:jc w:val="both"/>
              <w:rPr>
                <w:b/>
                <w:sz w:val="20"/>
              </w:rPr>
            </w:pPr>
            <w:r w:rsidRPr="00C604EE">
              <w:rPr>
                <w:b/>
                <w:sz w:val="20"/>
              </w:rPr>
              <w:t>Izpildes termiņš*</w:t>
            </w:r>
          </w:p>
          <w:p w14:paraId="430EFD0D" w14:textId="77777777" w:rsidR="00EA4757" w:rsidRPr="00C604EE" w:rsidRDefault="00EA4757" w:rsidP="002A3C46">
            <w:pPr>
              <w:jc w:val="both"/>
              <w:rPr>
                <w:sz w:val="20"/>
              </w:rPr>
            </w:pPr>
            <w:r w:rsidRPr="00C604EE">
              <w:rPr>
                <w:b/>
                <w:sz w:val="20"/>
              </w:rPr>
              <w:t>(ceturksnis)</w:t>
            </w:r>
          </w:p>
          <w:p w14:paraId="310EAED2" w14:textId="77777777" w:rsidR="00EA4757" w:rsidRPr="00C604EE" w:rsidRDefault="00EA4757" w:rsidP="002A3C46">
            <w:pPr>
              <w:jc w:val="both"/>
              <w:rPr>
                <w:sz w:val="20"/>
              </w:rPr>
            </w:pPr>
          </w:p>
        </w:tc>
      </w:tr>
      <w:tr w:rsidR="00EA4757" w:rsidRPr="002A3C46" w14:paraId="062B152B" w14:textId="77777777" w:rsidTr="00C604EE">
        <w:tc>
          <w:tcPr>
            <w:tcW w:w="9072" w:type="dxa"/>
            <w:gridSpan w:val="8"/>
            <w:shd w:val="clear" w:color="auto" w:fill="FFFFFF" w:themeFill="background1"/>
            <w:tcMar>
              <w:left w:w="57" w:type="dxa"/>
              <w:right w:w="57" w:type="dxa"/>
            </w:tcMar>
          </w:tcPr>
          <w:p w14:paraId="381B30C7" w14:textId="77777777" w:rsidR="00EA4757" w:rsidRPr="00C604EE" w:rsidRDefault="00EA4757" w:rsidP="002A3C46">
            <w:pPr>
              <w:jc w:val="both"/>
              <w:rPr>
                <w:b/>
                <w:sz w:val="20"/>
              </w:rPr>
            </w:pPr>
            <w:r w:rsidRPr="00C604EE">
              <w:rPr>
                <w:b/>
                <w:sz w:val="20"/>
              </w:rPr>
              <w:t>Tiesu noslodzes jautājumu risināšana, veicinot alternatīvo domstarpību risināšanas (ADR) veidu izmantošanu</w:t>
            </w:r>
          </w:p>
        </w:tc>
      </w:tr>
      <w:tr w:rsidR="00C604EE" w:rsidRPr="002A3C46" w14:paraId="148EC537" w14:textId="77777777" w:rsidTr="00C604EE">
        <w:tc>
          <w:tcPr>
            <w:tcW w:w="426" w:type="dxa"/>
            <w:shd w:val="clear" w:color="auto" w:fill="FFFFFF" w:themeFill="background1"/>
            <w:tcMar>
              <w:left w:w="57" w:type="dxa"/>
              <w:right w:w="57" w:type="dxa"/>
            </w:tcMar>
          </w:tcPr>
          <w:p w14:paraId="3DD7C20D" w14:textId="77777777" w:rsidR="00EA4757" w:rsidRPr="00C604EE" w:rsidRDefault="00EA4757" w:rsidP="002A3C46">
            <w:pPr>
              <w:jc w:val="both"/>
              <w:rPr>
                <w:sz w:val="20"/>
              </w:rPr>
            </w:pPr>
            <w:r w:rsidRPr="00C604EE">
              <w:rPr>
                <w:sz w:val="20"/>
              </w:rPr>
              <w:t>2</w:t>
            </w:r>
            <w:r w:rsidR="00E66136" w:rsidRPr="00C604EE">
              <w:rPr>
                <w:sz w:val="20"/>
              </w:rPr>
              <w:t>2</w:t>
            </w:r>
          </w:p>
        </w:tc>
        <w:tc>
          <w:tcPr>
            <w:tcW w:w="1984" w:type="dxa"/>
            <w:shd w:val="clear" w:color="auto" w:fill="FFFFFF" w:themeFill="background1"/>
            <w:tcMar>
              <w:left w:w="57" w:type="dxa"/>
              <w:right w:w="57" w:type="dxa"/>
            </w:tcMar>
          </w:tcPr>
          <w:p w14:paraId="193C45BD" w14:textId="77777777" w:rsidR="00EA4757" w:rsidRPr="00C604EE" w:rsidRDefault="00EA4757" w:rsidP="002A3C46">
            <w:pPr>
              <w:jc w:val="both"/>
              <w:rPr>
                <w:sz w:val="20"/>
              </w:rPr>
            </w:pPr>
            <w:r w:rsidRPr="00C604EE">
              <w:rPr>
                <w:sz w:val="20"/>
              </w:rPr>
              <w:t xml:space="preserve">Veicināt tiesnešu izpratni par </w:t>
            </w:r>
            <w:proofErr w:type="spellStart"/>
            <w:r w:rsidRPr="00C604EE">
              <w:rPr>
                <w:sz w:val="20"/>
              </w:rPr>
              <w:t>mediāciju</w:t>
            </w:r>
            <w:proofErr w:type="spellEnd"/>
          </w:p>
        </w:tc>
        <w:tc>
          <w:tcPr>
            <w:tcW w:w="1559" w:type="dxa"/>
            <w:shd w:val="clear" w:color="auto" w:fill="FFFFFF" w:themeFill="background1"/>
            <w:tcMar>
              <w:left w:w="57" w:type="dxa"/>
              <w:right w:w="57" w:type="dxa"/>
            </w:tcMar>
          </w:tcPr>
          <w:p w14:paraId="384C3568" w14:textId="77777777" w:rsidR="00EA4757" w:rsidRPr="00C604EE" w:rsidRDefault="00EA4757" w:rsidP="002A3C46">
            <w:pPr>
              <w:jc w:val="both"/>
              <w:rPr>
                <w:sz w:val="20"/>
              </w:rPr>
            </w:pPr>
            <w:r w:rsidRPr="00C604EE">
              <w:rPr>
                <w:sz w:val="20"/>
              </w:rPr>
              <w:t>Celta tiesnešu, tiesas darbinieku kompetence</w:t>
            </w:r>
          </w:p>
        </w:tc>
        <w:tc>
          <w:tcPr>
            <w:tcW w:w="1418" w:type="dxa"/>
            <w:gridSpan w:val="2"/>
            <w:shd w:val="clear" w:color="auto" w:fill="FFFFFF" w:themeFill="background1"/>
            <w:tcMar>
              <w:left w:w="57" w:type="dxa"/>
              <w:right w:w="57" w:type="dxa"/>
            </w:tcMar>
          </w:tcPr>
          <w:p w14:paraId="5EA9B723" w14:textId="77777777" w:rsidR="00EA4757" w:rsidRPr="00C604EE" w:rsidRDefault="00AE1D86" w:rsidP="002A3C46">
            <w:pPr>
              <w:jc w:val="both"/>
              <w:rPr>
                <w:sz w:val="20"/>
              </w:rPr>
            </w:pPr>
            <w:r w:rsidRPr="00C604EE">
              <w:rPr>
                <w:sz w:val="20"/>
              </w:rPr>
              <w:t>Tiesnešu un  tiesu darbinieku</w:t>
            </w:r>
            <w:r w:rsidR="00EA4757" w:rsidRPr="00C604EE">
              <w:rPr>
                <w:sz w:val="20"/>
              </w:rPr>
              <w:t xml:space="preserve"> skaits, kas piedalījušās </w:t>
            </w:r>
            <w:r w:rsidR="00EA4757" w:rsidRPr="00C604EE">
              <w:rPr>
                <w:sz w:val="20"/>
              </w:rPr>
              <w:lastRenderedPageBreak/>
              <w:t>apmācībās</w:t>
            </w:r>
            <w:r w:rsidRPr="00C604EE">
              <w:rPr>
                <w:sz w:val="20"/>
              </w:rPr>
              <w:t>:</w:t>
            </w:r>
          </w:p>
          <w:p w14:paraId="2FE3AA2F" w14:textId="77777777" w:rsidR="00AE1D86" w:rsidRPr="00C604EE" w:rsidRDefault="00AE1D86" w:rsidP="002A3C46">
            <w:pPr>
              <w:jc w:val="both"/>
              <w:rPr>
                <w:sz w:val="20"/>
              </w:rPr>
            </w:pPr>
            <w:r w:rsidRPr="00C604EE">
              <w:rPr>
                <w:sz w:val="20"/>
              </w:rPr>
              <w:t>2020.gadā – 475.</w:t>
            </w:r>
          </w:p>
        </w:tc>
        <w:tc>
          <w:tcPr>
            <w:tcW w:w="1134" w:type="dxa"/>
            <w:shd w:val="clear" w:color="auto" w:fill="FFFFFF" w:themeFill="background1"/>
            <w:tcMar>
              <w:left w:w="57" w:type="dxa"/>
              <w:right w:w="57" w:type="dxa"/>
            </w:tcMar>
          </w:tcPr>
          <w:p w14:paraId="4C049933" w14:textId="77777777" w:rsidR="00EA4757" w:rsidRPr="00C604EE" w:rsidRDefault="00EA4757" w:rsidP="002A3C46">
            <w:pPr>
              <w:jc w:val="both"/>
              <w:rPr>
                <w:sz w:val="20"/>
              </w:rPr>
            </w:pPr>
            <w:r w:rsidRPr="00C604EE">
              <w:rPr>
                <w:sz w:val="20"/>
              </w:rPr>
              <w:lastRenderedPageBreak/>
              <w:t>TM</w:t>
            </w:r>
          </w:p>
        </w:tc>
        <w:tc>
          <w:tcPr>
            <w:tcW w:w="1417" w:type="dxa"/>
            <w:shd w:val="clear" w:color="auto" w:fill="FFFFFF" w:themeFill="background1"/>
            <w:tcMar>
              <w:left w:w="57" w:type="dxa"/>
              <w:right w:w="57" w:type="dxa"/>
            </w:tcMar>
          </w:tcPr>
          <w:p w14:paraId="67762858" w14:textId="77777777" w:rsidR="00EA4757" w:rsidRPr="00C604EE" w:rsidRDefault="00EA4757" w:rsidP="002A3C46">
            <w:pPr>
              <w:widowControl/>
              <w:autoSpaceDE/>
              <w:autoSpaceDN/>
              <w:adjustRightInd/>
              <w:jc w:val="both"/>
              <w:rPr>
                <w:sz w:val="20"/>
              </w:rPr>
            </w:pPr>
            <w:r w:rsidRPr="00C604EE">
              <w:rPr>
                <w:sz w:val="20"/>
              </w:rPr>
              <w:t>TA</w:t>
            </w:r>
          </w:p>
          <w:p w14:paraId="3AF6AA9C" w14:textId="77777777" w:rsidR="00EA4757" w:rsidRPr="00C604EE" w:rsidRDefault="00EA4757" w:rsidP="002A3C46">
            <w:pPr>
              <w:widowControl/>
              <w:autoSpaceDE/>
              <w:autoSpaceDN/>
              <w:adjustRightInd/>
              <w:jc w:val="both"/>
              <w:rPr>
                <w:sz w:val="20"/>
              </w:rPr>
            </w:pPr>
            <w:r w:rsidRPr="00C604EE">
              <w:rPr>
                <w:sz w:val="20"/>
              </w:rPr>
              <w:t>LTMC</w:t>
            </w:r>
          </w:p>
        </w:tc>
        <w:tc>
          <w:tcPr>
            <w:tcW w:w="1134" w:type="dxa"/>
            <w:shd w:val="clear" w:color="auto" w:fill="FFFFFF" w:themeFill="background1"/>
            <w:tcMar>
              <w:left w:w="57" w:type="dxa"/>
              <w:right w:w="57" w:type="dxa"/>
            </w:tcMar>
          </w:tcPr>
          <w:p w14:paraId="23FBF911" w14:textId="77777777" w:rsidR="00EA4757" w:rsidRPr="00C604EE" w:rsidRDefault="00EA4757" w:rsidP="002A3C46">
            <w:pPr>
              <w:jc w:val="both"/>
              <w:rPr>
                <w:sz w:val="20"/>
              </w:rPr>
            </w:pPr>
            <w:r w:rsidRPr="00C604EE">
              <w:rPr>
                <w:sz w:val="20"/>
              </w:rPr>
              <w:t>Regulāri līdz 2020.gadam</w:t>
            </w:r>
          </w:p>
        </w:tc>
      </w:tr>
      <w:tr w:rsidR="00C604EE" w:rsidRPr="002A3C46" w14:paraId="573C3749" w14:textId="77777777" w:rsidTr="00C604EE">
        <w:tc>
          <w:tcPr>
            <w:tcW w:w="426" w:type="dxa"/>
            <w:shd w:val="clear" w:color="auto" w:fill="FFFFFF" w:themeFill="background1"/>
            <w:tcMar>
              <w:left w:w="57" w:type="dxa"/>
              <w:right w:w="57" w:type="dxa"/>
            </w:tcMar>
          </w:tcPr>
          <w:p w14:paraId="44307FC2" w14:textId="77777777" w:rsidR="00EA4757" w:rsidRPr="00C604EE" w:rsidRDefault="00EA4757" w:rsidP="002A3C46">
            <w:pPr>
              <w:jc w:val="both"/>
              <w:rPr>
                <w:sz w:val="20"/>
              </w:rPr>
            </w:pPr>
            <w:r w:rsidRPr="00C604EE">
              <w:rPr>
                <w:sz w:val="20"/>
              </w:rPr>
              <w:lastRenderedPageBreak/>
              <w:t>2</w:t>
            </w:r>
            <w:r w:rsidR="00E66136" w:rsidRPr="00C604EE">
              <w:rPr>
                <w:sz w:val="20"/>
              </w:rPr>
              <w:t>3</w:t>
            </w:r>
          </w:p>
        </w:tc>
        <w:tc>
          <w:tcPr>
            <w:tcW w:w="1984" w:type="dxa"/>
            <w:shd w:val="clear" w:color="auto" w:fill="FFFFFF" w:themeFill="background1"/>
            <w:tcMar>
              <w:left w:w="57" w:type="dxa"/>
              <w:right w:w="57" w:type="dxa"/>
            </w:tcMar>
          </w:tcPr>
          <w:p w14:paraId="13A218D6" w14:textId="77777777" w:rsidR="00EA4757" w:rsidRPr="00C604EE" w:rsidRDefault="00EA4757" w:rsidP="002A3C46">
            <w:pPr>
              <w:jc w:val="both"/>
              <w:rPr>
                <w:sz w:val="20"/>
              </w:rPr>
            </w:pPr>
            <w:r w:rsidRPr="00C604EE">
              <w:rPr>
                <w:sz w:val="20"/>
              </w:rPr>
              <w:t>Stiprināt vispārējās jurisdikcijas tiesu tiesnešu zināšanas par šķīrējtiesas procesu</w:t>
            </w:r>
          </w:p>
        </w:tc>
        <w:tc>
          <w:tcPr>
            <w:tcW w:w="1559" w:type="dxa"/>
            <w:shd w:val="clear" w:color="auto" w:fill="FFFFFF" w:themeFill="background1"/>
            <w:tcMar>
              <w:left w:w="57" w:type="dxa"/>
              <w:right w:w="57" w:type="dxa"/>
            </w:tcMar>
          </w:tcPr>
          <w:p w14:paraId="4C9F77AC" w14:textId="77777777" w:rsidR="00EA4757" w:rsidRPr="00C604EE" w:rsidRDefault="00EA4757" w:rsidP="002A3C46">
            <w:pPr>
              <w:jc w:val="both"/>
              <w:rPr>
                <w:sz w:val="20"/>
              </w:rPr>
            </w:pPr>
            <w:r w:rsidRPr="00C604EE">
              <w:rPr>
                <w:sz w:val="20"/>
              </w:rPr>
              <w:t>Celta tiesnešu kompetence</w:t>
            </w:r>
          </w:p>
        </w:tc>
        <w:tc>
          <w:tcPr>
            <w:tcW w:w="1418" w:type="dxa"/>
            <w:gridSpan w:val="2"/>
            <w:shd w:val="clear" w:color="auto" w:fill="FFFFFF" w:themeFill="background1"/>
            <w:tcMar>
              <w:left w:w="57" w:type="dxa"/>
              <w:right w:w="57" w:type="dxa"/>
            </w:tcMar>
          </w:tcPr>
          <w:p w14:paraId="1CBEE897" w14:textId="77777777" w:rsidR="00EA4757" w:rsidRPr="00C604EE" w:rsidRDefault="00AE1D86" w:rsidP="002A3C46">
            <w:pPr>
              <w:jc w:val="both"/>
              <w:rPr>
                <w:sz w:val="20"/>
              </w:rPr>
            </w:pPr>
            <w:r w:rsidRPr="00C604EE">
              <w:rPr>
                <w:sz w:val="20"/>
              </w:rPr>
              <w:t>Tiesnešu</w:t>
            </w:r>
            <w:r w:rsidR="00EA4757" w:rsidRPr="00C604EE">
              <w:rPr>
                <w:sz w:val="20"/>
              </w:rPr>
              <w:t>, kas piedalījušās apmācībās</w:t>
            </w:r>
            <w:r w:rsidRPr="00C604EE">
              <w:rPr>
                <w:sz w:val="20"/>
              </w:rPr>
              <w:t>: 2020.gadā – 200.</w:t>
            </w:r>
          </w:p>
        </w:tc>
        <w:tc>
          <w:tcPr>
            <w:tcW w:w="1134" w:type="dxa"/>
            <w:shd w:val="clear" w:color="auto" w:fill="FFFFFF" w:themeFill="background1"/>
            <w:tcMar>
              <w:left w:w="57" w:type="dxa"/>
              <w:right w:w="57" w:type="dxa"/>
            </w:tcMar>
          </w:tcPr>
          <w:p w14:paraId="62ED99EF"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50373EB0" w14:textId="77777777" w:rsidR="00EA4757" w:rsidRPr="00C604EE" w:rsidRDefault="00EA4757" w:rsidP="002A3C46">
            <w:pPr>
              <w:widowControl/>
              <w:autoSpaceDE/>
              <w:autoSpaceDN/>
              <w:adjustRightInd/>
              <w:jc w:val="both"/>
              <w:rPr>
                <w:sz w:val="20"/>
              </w:rPr>
            </w:pPr>
            <w:r w:rsidRPr="00C604EE">
              <w:rPr>
                <w:sz w:val="20"/>
              </w:rPr>
              <w:t>TA</w:t>
            </w:r>
          </w:p>
          <w:p w14:paraId="726CD01C" w14:textId="77777777" w:rsidR="00EA4757" w:rsidRPr="00C604EE" w:rsidRDefault="00EA4757" w:rsidP="002A3C46">
            <w:pPr>
              <w:widowControl/>
              <w:autoSpaceDE/>
              <w:autoSpaceDN/>
              <w:adjustRightInd/>
              <w:jc w:val="both"/>
              <w:rPr>
                <w:sz w:val="20"/>
              </w:rPr>
            </w:pPr>
            <w:r w:rsidRPr="00C604EE">
              <w:rPr>
                <w:sz w:val="20"/>
              </w:rPr>
              <w:t>LTMC</w:t>
            </w:r>
          </w:p>
        </w:tc>
        <w:tc>
          <w:tcPr>
            <w:tcW w:w="1134" w:type="dxa"/>
            <w:shd w:val="clear" w:color="auto" w:fill="FFFFFF" w:themeFill="background1"/>
            <w:tcMar>
              <w:left w:w="57" w:type="dxa"/>
              <w:right w:w="57" w:type="dxa"/>
            </w:tcMar>
          </w:tcPr>
          <w:p w14:paraId="5378AAC5" w14:textId="77777777" w:rsidR="00EA4757" w:rsidRPr="00C604EE" w:rsidRDefault="00EA4757" w:rsidP="002A3C46">
            <w:pPr>
              <w:jc w:val="both"/>
              <w:rPr>
                <w:sz w:val="20"/>
              </w:rPr>
            </w:pPr>
            <w:r w:rsidRPr="00C604EE">
              <w:rPr>
                <w:sz w:val="20"/>
              </w:rPr>
              <w:t>Regulāri līdz 2020.gadam</w:t>
            </w:r>
          </w:p>
        </w:tc>
      </w:tr>
      <w:tr w:rsidR="00C604EE" w:rsidRPr="002A3C46" w14:paraId="6D3A7764" w14:textId="77777777" w:rsidTr="00C604EE">
        <w:tc>
          <w:tcPr>
            <w:tcW w:w="426" w:type="dxa"/>
            <w:shd w:val="clear" w:color="auto" w:fill="FFFFFF" w:themeFill="background1"/>
            <w:tcMar>
              <w:left w:w="57" w:type="dxa"/>
              <w:right w:w="57" w:type="dxa"/>
            </w:tcMar>
          </w:tcPr>
          <w:p w14:paraId="3C21BEB1" w14:textId="77777777" w:rsidR="00EA4757" w:rsidRPr="00C604EE" w:rsidRDefault="00EA4757" w:rsidP="002A3C46">
            <w:pPr>
              <w:jc w:val="both"/>
              <w:rPr>
                <w:sz w:val="20"/>
              </w:rPr>
            </w:pPr>
            <w:proofErr w:type="spellStart"/>
            <w:r w:rsidRPr="00C604EE">
              <w:rPr>
                <w:sz w:val="20"/>
              </w:rPr>
              <w:t>Nr</w:t>
            </w:r>
            <w:proofErr w:type="spellEnd"/>
            <w:r w:rsidRPr="00C604EE">
              <w:rPr>
                <w:sz w:val="20"/>
              </w:rPr>
              <w:t xml:space="preserve">. </w:t>
            </w:r>
            <w:proofErr w:type="spellStart"/>
            <w:r w:rsidRPr="00C604EE">
              <w:rPr>
                <w:sz w:val="20"/>
              </w:rPr>
              <w:t>P.k</w:t>
            </w:r>
            <w:proofErr w:type="spellEnd"/>
            <w:r w:rsidRPr="00C604EE">
              <w:rPr>
                <w:sz w:val="20"/>
              </w:rPr>
              <w:t>.</w:t>
            </w:r>
          </w:p>
        </w:tc>
        <w:tc>
          <w:tcPr>
            <w:tcW w:w="1984" w:type="dxa"/>
            <w:shd w:val="clear" w:color="auto" w:fill="FFFFFF" w:themeFill="background1"/>
            <w:tcMar>
              <w:left w:w="57" w:type="dxa"/>
              <w:right w:w="57" w:type="dxa"/>
            </w:tcMar>
          </w:tcPr>
          <w:p w14:paraId="759D579A" w14:textId="77777777" w:rsidR="00EA4757" w:rsidRPr="00C604EE" w:rsidRDefault="00EA4757" w:rsidP="002A3C46">
            <w:pPr>
              <w:jc w:val="both"/>
              <w:rPr>
                <w:sz w:val="20"/>
              </w:rPr>
            </w:pPr>
            <w:r w:rsidRPr="00C604EE">
              <w:rPr>
                <w:b/>
                <w:sz w:val="20"/>
              </w:rPr>
              <w:t>Pasākums</w:t>
            </w:r>
          </w:p>
        </w:tc>
        <w:tc>
          <w:tcPr>
            <w:tcW w:w="1559" w:type="dxa"/>
            <w:shd w:val="clear" w:color="auto" w:fill="FFFFFF" w:themeFill="background1"/>
            <w:tcMar>
              <w:left w:w="57" w:type="dxa"/>
              <w:right w:w="57" w:type="dxa"/>
            </w:tcMar>
          </w:tcPr>
          <w:p w14:paraId="30369DD7" w14:textId="77777777" w:rsidR="00EA4757" w:rsidRPr="00C604EE" w:rsidRDefault="00EA4757" w:rsidP="002A3C46">
            <w:pPr>
              <w:jc w:val="both"/>
              <w:rPr>
                <w:b/>
                <w:sz w:val="20"/>
              </w:rPr>
            </w:pPr>
            <w:r w:rsidRPr="00C604EE">
              <w:rPr>
                <w:b/>
                <w:sz w:val="20"/>
              </w:rPr>
              <w:t>Darbības rezultāts</w:t>
            </w:r>
          </w:p>
        </w:tc>
        <w:tc>
          <w:tcPr>
            <w:tcW w:w="1418" w:type="dxa"/>
            <w:gridSpan w:val="2"/>
            <w:shd w:val="clear" w:color="auto" w:fill="FFFFFF" w:themeFill="background1"/>
            <w:tcMar>
              <w:left w:w="57" w:type="dxa"/>
              <w:right w:w="57" w:type="dxa"/>
            </w:tcMar>
          </w:tcPr>
          <w:p w14:paraId="3A52145A" w14:textId="77777777" w:rsidR="00EA4757" w:rsidRPr="00C604EE" w:rsidRDefault="00EA4757" w:rsidP="002A3C46">
            <w:pPr>
              <w:jc w:val="both"/>
              <w:rPr>
                <w:sz w:val="20"/>
              </w:rPr>
            </w:pPr>
            <w:r w:rsidRPr="00C604EE">
              <w:rPr>
                <w:b/>
                <w:sz w:val="20"/>
              </w:rPr>
              <w:t>Rezultatīvais rādītājs</w:t>
            </w:r>
          </w:p>
        </w:tc>
        <w:tc>
          <w:tcPr>
            <w:tcW w:w="1134" w:type="dxa"/>
            <w:shd w:val="clear" w:color="auto" w:fill="FFFFFF" w:themeFill="background1"/>
            <w:tcMar>
              <w:left w:w="57" w:type="dxa"/>
              <w:right w:w="57" w:type="dxa"/>
            </w:tcMar>
          </w:tcPr>
          <w:p w14:paraId="79E392F7" w14:textId="77777777" w:rsidR="00EA4757" w:rsidRPr="00C604EE" w:rsidRDefault="00EA4757" w:rsidP="002A3C46">
            <w:pPr>
              <w:jc w:val="both"/>
              <w:rPr>
                <w:sz w:val="20"/>
              </w:rPr>
            </w:pPr>
            <w:r w:rsidRPr="00C604EE">
              <w:rPr>
                <w:b/>
                <w:sz w:val="20"/>
              </w:rPr>
              <w:t>Atbildīgā institūcija</w:t>
            </w:r>
          </w:p>
        </w:tc>
        <w:tc>
          <w:tcPr>
            <w:tcW w:w="1417" w:type="dxa"/>
            <w:shd w:val="clear" w:color="auto" w:fill="FFFFFF" w:themeFill="background1"/>
            <w:tcMar>
              <w:left w:w="57" w:type="dxa"/>
              <w:right w:w="57" w:type="dxa"/>
            </w:tcMar>
          </w:tcPr>
          <w:p w14:paraId="2A89F881" w14:textId="77777777" w:rsidR="00EA4757" w:rsidRPr="00C604EE" w:rsidRDefault="00EA4757" w:rsidP="002A3C46">
            <w:pPr>
              <w:jc w:val="both"/>
              <w:rPr>
                <w:b/>
                <w:sz w:val="20"/>
              </w:rPr>
            </w:pPr>
          </w:p>
          <w:p w14:paraId="0A0F4090" w14:textId="77777777" w:rsidR="00EA4757" w:rsidRPr="00C604EE" w:rsidRDefault="00EA4757" w:rsidP="002A3C46">
            <w:pPr>
              <w:jc w:val="both"/>
              <w:rPr>
                <w:sz w:val="20"/>
              </w:rPr>
            </w:pPr>
            <w:r w:rsidRPr="00C604EE">
              <w:rPr>
                <w:b/>
                <w:sz w:val="20"/>
              </w:rPr>
              <w:t>Līdzatbildīgās institūcijas</w:t>
            </w:r>
          </w:p>
        </w:tc>
        <w:tc>
          <w:tcPr>
            <w:tcW w:w="1134" w:type="dxa"/>
            <w:shd w:val="clear" w:color="auto" w:fill="FFFFFF" w:themeFill="background1"/>
            <w:tcMar>
              <w:left w:w="57" w:type="dxa"/>
              <w:right w:w="57" w:type="dxa"/>
            </w:tcMar>
          </w:tcPr>
          <w:p w14:paraId="062C83AC" w14:textId="77777777" w:rsidR="00EA4757" w:rsidRPr="00C604EE" w:rsidRDefault="00EA4757" w:rsidP="002A3C46">
            <w:pPr>
              <w:jc w:val="both"/>
              <w:rPr>
                <w:b/>
                <w:sz w:val="20"/>
              </w:rPr>
            </w:pPr>
            <w:r w:rsidRPr="00C604EE">
              <w:rPr>
                <w:b/>
                <w:sz w:val="20"/>
              </w:rPr>
              <w:t>Izpildes termiņš*</w:t>
            </w:r>
          </w:p>
          <w:p w14:paraId="1FA08C7E" w14:textId="28738AE0" w:rsidR="00EA4757" w:rsidRPr="00C604EE" w:rsidRDefault="00EA4757" w:rsidP="002A3C46">
            <w:pPr>
              <w:jc w:val="both"/>
              <w:rPr>
                <w:sz w:val="20"/>
              </w:rPr>
            </w:pPr>
            <w:r w:rsidRPr="00C604EE">
              <w:rPr>
                <w:b/>
                <w:sz w:val="20"/>
              </w:rPr>
              <w:t>(ceturksnis)</w:t>
            </w:r>
          </w:p>
        </w:tc>
      </w:tr>
      <w:tr w:rsidR="00EA4757" w:rsidRPr="002A3C46" w14:paraId="4FA1A328" w14:textId="77777777" w:rsidTr="00C604EE">
        <w:tc>
          <w:tcPr>
            <w:tcW w:w="9072" w:type="dxa"/>
            <w:gridSpan w:val="8"/>
            <w:shd w:val="clear" w:color="auto" w:fill="FFFFFF" w:themeFill="background1"/>
            <w:tcMar>
              <w:left w:w="57" w:type="dxa"/>
              <w:right w:w="57" w:type="dxa"/>
            </w:tcMar>
          </w:tcPr>
          <w:p w14:paraId="77032B50" w14:textId="77777777" w:rsidR="00EA4757" w:rsidRPr="00C604EE" w:rsidRDefault="00EA4757" w:rsidP="002A3C46">
            <w:pPr>
              <w:jc w:val="both"/>
              <w:rPr>
                <w:b/>
                <w:sz w:val="20"/>
              </w:rPr>
            </w:pPr>
            <w:r w:rsidRPr="00C604EE">
              <w:rPr>
                <w:b/>
                <w:sz w:val="20"/>
              </w:rPr>
              <w:t xml:space="preserve">Uz pētījumiem un izvērtējumu balstīta politikas īstenošana un cilvēkresursu attīstības plānošana </w:t>
            </w:r>
          </w:p>
        </w:tc>
      </w:tr>
      <w:tr w:rsidR="00C604EE" w:rsidRPr="002A3C46" w14:paraId="0E16636B" w14:textId="77777777" w:rsidTr="00C604EE">
        <w:tc>
          <w:tcPr>
            <w:tcW w:w="426" w:type="dxa"/>
            <w:shd w:val="clear" w:color="auto" w:fill="FFFFFF" w:themeFill="background1"/>
            <w:tcMar>
              <w:left w:w="57" w:type="dxa"/>
              <w:right w:w="57" w:type="dxa"/>
            </w:tcMar>
          </w:tcPr>
          <w:p w14:paraId="06FD228E" w14:textId="77777777" w:rsidR="00EA4757" w:rsidRPr="00C604EE" w:rsidRDefault="00EA4757" w:rsidP="002A3C46">
            <w:pPr>
              <w:jc w:val="both"/>
              <w:rPr>
                <w:sz w:val="20"/>
              </w:rPr>
            </w:pPr>
            <w:r w:rsidRPr="00C604EE">
              <w:rPr>
                <w:sz w:val="20"/>
              </w:rPr>
              <w:t>2</w:t>
            </w:r>
            <w:r w:rsidR="00E66136" w:rsidRPr="00C604EE">
              <w:rPr>
                <w:sz w:val="20"/>
              </w:rPr>
              <w:t>4</w:t>
            </w:r>
          </w:p>
        </w:tc>
        <w:tc>
          <w:tcPr>
            <w:tcW w:w="1984" w:type="dxa"/>
            <w:shd w:val="clear" w:color="auto" w:fill="FFFFFF" w:themeFill="background1"/>
            <w:tcMar>
              <w:left w:w="57" w:type="dxa"/>
              <w:right w:w="57" w:type="dxa"/>
            </w:tcMar>
          </w:tcPr>
          <w:p w14:paraId="38236014" w14:textId="77777777" w:rsidR="00EA4757" w:rsidRPr="00C604EE" w:rsidRDefault="00EA4757" w:rsidP="002A3C46">
            <w:pPr>
              <w:jc w:val="both"/>
              <w:rPr>
                <w:sz w:val="20"/>
              </w:rPr>
            </w:pPr>
            <w:r w:rsidRPr="00C604EE">
              <w:rPr>
                <w:sz w:val="20"/>
              </w:rPr>
              <w:t>Sabiedrības informēšanas pasākumi par tiesu darbu</w:t>
            </w:r>
          </w:p>
        </w:tc>
        <w:tc>
          <w:tcPr>
            <w:tcW w:w="1559" w:type="dxa"/>
            <w:shd w:val="clear" w:color="auto" w:fill="FFFFFF" w:themeFill="background1"/>
            <w:tcMar>
              <w:left w:w="57" w:type="dxa"/>
              <w:right w:w="57" w:type="dxa"/>
            </w:tcMar>
          </w:tcPr>
          <w:p w14:paraId="4029A579" w14:textId="77777777" w:rsidR="00EA4757" w:rsidRPr="00C604EE" w:rsidRDefault="00EA4757"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18BDF45E" w14:textId="77777777" w:rsidR="00EA4757" w:rsidRPr="00C604EE" w:rsidRDefault="00EA4757" w:rsidP="002A3C46">
            <w:pPr>
              <w:jc w:val="both"/>
              <w:rPr>
                <w:sz w:val="20"/>
              </w:rPr>
            </w:pPr>
            <w:r w:rsidRPr="00C604EE">
              <w:rPr>
                <w:sz w:val="20"/>
              </w:rPr>
              <w:t>Sabiedrības daļas, kas pilnībā vai daļēji uzticas tiesām, īpatsvars (%)</w:t>
            </w:r>
            <w:r w:rsidR="00AE1D86" w:rsidRPr="00C604EE">
              <w:rPr>
                <w:sz w:val="20"/>
              </w:rPr>
              <w:t xml:space="preserve">: </w:t>
            </w:r>
          </w:p>
          <w:p w14:paraId="4A5472B8" w14:textId="77777777" w:rsidR="00AE1D86" w:rsidRPr="00C604EE" w:rsidRDefault="00AE1D86" w:rsidP="002A3C46">
            <w:pPr>
              <w:jc w:val="both"/>
              <w:rPr>
                <w:sz w:val="20"/>
              </w:rPr>
            </w:pPr>
            <w:r w:rsidRPr="00C604EE">
              <w:rPr>
                <w:sz w:val="20"/>
              </w:rPr>
              <w:t>2020.gadā – 50.</w:t>
            </w:r>
          </w:p>
        </w:tc>
        <w:tc>
          <w:tcPr>
            <w:tcW w:w="1134" w:type="dxa"/>
            <w:shd w:val="clear" w:color="auto" w:fill="FFFFFF" w:themeFill="background1"/>
            <w:tcMar>
              <w:left w:w="57" w:type="dxa"/>
              <w:right w:w="57" w:type="dxa"/>
            </w:tcMar>
          </w:tcPr>
          <w:p w14:paraId="24C1DC01"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3C21E011" w14:textId="77777777" w:rsidR="00EA4757" w:rsidRPr="00C604EE" w:rsidRDefault="00EA4757" w:rsidP="002A3C46">
            <w:pPr>
              <w:widowControl/>
              <w:autoSpaceDE/>
              <w:autoSpaceDN/>
              <w:adjustRightInd/>
              <w:jc w:val="both"/>
              <w:rPr>
                <w:sz w:val="20"/>
              </w:rPr>
            </w:pPr>
          </w:p>
        </w:tc>
        <w:tc>
          <w:tcPr>
            <w:tcW w:w="1134" w:type="dxa"/>
            <w:shd w:val="clear" w:color="auto" w:fill="FFFFFF" w:themeFill="background1"/>
            <w:tcMar>
              <w:left w:w="57" w:type="dxa"/>
              <w:right w:w="57" w:type="dxa"/>
            </w:tcMar>
          </w:tcPr>
          <w:p w14:paraId="7A9DAD83" w14:textId="77777777" w:rsidR="00EA4757" w:rsidRPr="00C604EE" w:rsidRDefault="00EA4757" w:rsidP="002A3C46">
            <w:pPr>
              <w:jc w:val="both"/>
              <w:rPr>
                <w:sz w:val="20"/>
              </w:rPr>
            </w:pPr>
            <w:r w:rsidRPr="00C604EE">
              <w:rPr>
                <w:sz w:val="20"/>
              </w:rPr>
              <w:t>Regulāri līdz 2020.gadam</w:t>
            </w:r>
          </w:p>
        </w:tc>
      </w:tr>
      <w:tr w:rsidR="00C604EE" w:rsidRPr="002A3C46" w14:paraId="2133E218" w14:textId="77777777" w:rsidTr="00C604EE">
        <w:tc>
          <w:tcPr>
            <w:tcW w:w="426" w:type="dxa"/>
            <w:shd w:val="clear" w:color="auto" w:fill="FFFFFF" w:themeFill="background1"/>
            <w:tcMar>
              <w:left w:w="57" w:type="dxa"/>
              <w:right w:w="57" w:type="dxa"/>
            </w:tcMar>
          </w:tcPr>
          <w:p w14:paraId="0BF0B7D9" w14:textId="77777777" w:rsidR="00EA4757" w:rsidRPr="00C604EE" w:rsidRDefault="00EA4757" w:rsidP="002A3C46">
            <w:pPr>
              <w:jc w:val="both"/>
              <w:rPr>
                <w:sz w:val="20"/>
              </w:rPr>
            </w:pPr>
            <w:r w:rsidRPr="00C604EE">
              <w:rPr>
                <w:sz w:val="20"/>
              </w:rPr>
              <w:t>2</w:t>
            </w:r>
            <w:r w:rsidR="00E66136" w:rsidRPr="00C604EE">
              <w:rPr>
                <w:sz w:val="20"/>
              </w:rPr>
              <w:t>5</w:t>
            </w:r>
          </w:p>
        </w:tc>
        <w:tc>
          <w:tcPr>
            <w:tcW w:w="1984" w:type="dxa"/>
            <w:shd w:val="clear" w:color="auto" w:fill="FFFFFF" w:themeFill="background1"/>
            <w:tcMar>
              <w:left w:w="57" w:type="dxa"/>
              <w:right w:w="57" w:type="dxa"/>
            </w:tcMar>
          </w:tcPr>
          <w:p w14:paraId="2CC9A73F" w14:textId="77777777" w:rsidR="00EA4757" w:rsidRPr="00C604EE" w:rsidRDefault="00EA4757" w:rsidP="002A3C46">
            <w:pPr>
              <w:jc w:val="both"/>
              <w:rPr>
                <w:sz w:val="20"/>
              </w:rPr>
            </w:pPr>
            <w:r w:rsidRPr="00C604EE">
              <w:rPr>
                <w:sz w:val="20"/>
              </w:rPr>
              <w:t>Pasākumi</w:t>
            </w:r>
            <w:r w:rsidR="00E66136" w:rsidRPr="00C604EE">
              <w:rPr>
                <w:sz w:val="20"/>
              </w:rPr>
              <w:t xml:space="preserve"> t</w:t>
            </w:r>
            <w:r w:rsidRPr="00C604EE">
              <w:rPr>
                <w:sz w:val="20"/>
              </w:rPr>
              <w:t>iesu sistēmas lomas stiprināšanai</w:t>
            </w:r>
          </w:p>
        </w:tc>
        <w:tc>
          <w:tcPr>
            <w:tcW w:w="1559" w:type="dxa"/>
            <w:shd w:val="clear" w:color="auto" w:fill="FFFFFF" w:themeFill="background1"/>
            <w:tcMar>
              <w:left w:w="57" w:type="dxa"/>
              <w:right w:w="57" w:type="dxa"/>
            </w:tcMar>
          </w:tcPr>
          <w:p w14:paraId="4F21E431" w14:textId="77777777" w:rsidR="00EA4757" w:rsidRPr="00C604EE" w:rsidRDefault="00EA4757"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623C1081" w14:textId="77777777" w:rsidR="00EA4757" w:rsidRPr="00C604EE" w:rsidRDefault="00EA4757" w:rsidP="002A3C46">
            <w:pPr>
              <w:jc w:val="both"/>
              <w:rPr>
                <w:sz w:val="20"/>
              </w:rPr>
            </w:pPr>
            <w:r w:rsidRPr="00C604EE">
              <w:rPr>
                <w:sz w:val="20"/>
              </w:rPr>
              <w:t>Sabiedrības daļas, kas pilnībā vai daļēji uzticas tiesām, īpatsvars (%)</w:t>
            </w:r>
            <w:r w:rsidR="00AE1D86" w:rsidRPr="00C604EE">
              <w:rPr>
                <w:sz w:val="20"/>
              </w:rPr>
              <w:t>: 2020.gadā – 50.</w:t>
            </w:r>
          </w:p>
        </w:tc>
        <w:tc>
          <w:tcPr>
            <w:tcW w:w="1134" w:type="dxa"/>
            <w:shd w:val="clear" w:color="auto" w:fill="FFFFFF" w:themeFill="background1"/>
            <w:tcMar>
              <w:left w:w="57" w:type="dxa"/>
              <w:right w:w="57" w:type="dxa"/>
            </w:tcMar>
          </w:tcPr>
          <w:p w14:paraId="35520380" w14:textId="77777777" w:rsidR="00EA4757" w:rsidRPr="00C604EE" w:rsidRDefault="00EA4757"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265D08CA" w14:textId="77777777" w:rsidR="00EA4757" w:rsidRPr="00C604EE" w:rsidRDefault="00EA4757" w:rsidP="002A3C46">
            <w:pPr>
              <w:widowControl/>
              <w:autoSpaceDE/>
              <w:autoSpaceDN/>
              <w:adjustRightInd/>
              <w:jc w:val="both"/>
              <w:rPr>
                <w:sz w:val="20"/>
              </w:rPr>
            </w:pPr>
          </w:p>
        </w:tc>
        <w:tc>
          <w:tcPr>
            <w:tcW w:w="1134" w:type="dxa"/>
            <w:shd w:val="clear" w:color="auto" w:fill="FFFFFF" w:themeFill="background1"/>
            <w:tcMar>
              <w:left w:w="57" w:type="dxa"/>
              <w:right w:w="57" w:type="dxa"/>
            </w:tcMar>
          </w:tcPr>
          <w:p w14:paraId="5A26E534" w14:textId="77777777" w:rsidR="00EA4757" w:rsidRPr="00C604EE" w:rsidRDefault="00EA4757" w:rsidP="002A3C46">
            <w:pPr>
              <w:jc w:val="both"/>
              <w:rPr>
                <w:sz w:val="20"/>
              </w:rPr>
            </w:pPr>
            <w:r w:rsidRPr="00C604EE">
              <w:rPr>
                <w:sz w:val="20"/>
              </w:rPr>
              <w:t>Regulāri līdz 2020.gadam</w:t>
            </w:r>
          </w:p>
        </w:tc>
      </w:tr>
      <w:tr w:rsidR="00C604EE" w:rsidRPr="002A3C46" w14:paraId="21237D90" w14:textId="77777777" w:rsidTr="00C604EE">
        <w:tc>
          <w:tcPr>
            <w:tcW w:w="426" w:type="dxa"/>
            <w:shd w:val="clear" w:color="auto" w:fill="FFFFFF" w:themeFill="background1"/>
            <w:tcMar>
              <w:left w:w="57" w:type="dxa"/>
              <w:right w:w="57" w:type="dxa"/>
            </w:tcMar>
          </w:tcPr>
          <w:p w14:paraId="5E758344" w14:textId="77777777" w:rsidR="00E66136" w:rsidRPr="00C604EE" w:rsidRDefault="00E66136" w:rsidP="002A3C46">
            <w:pPr>
              <w:jc w:val="both"/>
              <w:rPr>
                <w:sz w:val="20"/>
              </w:rPr>
            </w:pPr>
            <w:r w:rsidRPr="00C604EE">
              <w:rPr>
                <w:sz w:val="20"/>
              </w:rPr>
              <w:t>26</w:t>
            </w:r>
          </w:p>
        </w:tc>
        <w:tc>
          <w:tcPr>
            <w:tcW w:w="1984" w:type="dxa"/>
            <w:shd w:val="clear" w:color="auto" w:fill="FFFFFF" w:themeFill="background1"/>
            <w:tcMar>
              <w:left w:w="57" w:type="dxa"/>
              <w:right w:w="57" w:type="dxa"/>
            </w:tcMar>
          </w:tcPr>
          <w:p w14:paraId="5D39ABA8" w14:textId="77777777" w:rsidR="00E66136" w:rsidRPr="00C604EE" w:rsidRDefault="00E66136" w:rsidP="002A3C46">
            <w:pPr>
              <w:jc w:val="both"/>
              <w:rPr>
                <w:sz w:val="20"/>
              </w:rPr>
            </w:pPr>
            <w:r w:rsidRPr="00C604EE">
              <w:rPr>
                <w:sz w:val="20"/>
              </w:rPr>
              <w:t>Pētījumi par tiesu organizatorisko vadību</w:t>
            </w:r>
          </w:p>
        </w:tc>
        <w:tc>
          <w:tcPr>
            <w:tcW w:w="1559" w:type="dxa"/>
            <w:shd w:val="clear" w:color="auto" w:fill="FFFFFF" w:themeFill="background1"/>
            <w:tcMar>
              <w:left w:w="57" w:type="dxa"/>
              <w:right w:w="57" w:type="dxa"/>
            </w:tcMar>
          </w:tcPr>
          <w:p w14:paraId="087B31B6" w14:textId="77777777" w:rsidR="00E66136" w:rsidRPr="00C604EE" w:rsidRDefault="00E66136"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792ED93F" w14:textId="77777777" w:rsidR="00E66136" w:rsidRPr="00C604EE" w:rsidRDefault="00E66136" w:rsidP="002A3C46">
            <w:pPr>
              <w:jc w:val="both"/>
              <w:rPr>
                <w:sz w:val="20"/>
              </w:rPr>
            </w:pPr>
            <w:r w:rsidRPr="00C604EE">
              <w:rPr>
                <w:sz w:val="20"/>
              </w:rPr>
              <w:t>Pētījumu skaits</w:t>
            </w:r>
            <w:r w:rsidR="00AE1D86" w:rsidRPr="00C604EE">
              <w:rPr>
                <w:sz w:val="20"/>
              </w:rPr>
              <w:t>: 2020.gadā – 1.</w:t>
            </w:r>
          </w:p>
        </w:tc>
        <w:tc>
          <w:tcPr>
            <w:tcW w:w="1134" w:type="dxa"/>
            <w:shd w:val="clear" w:color="auto" w:fill="FFFFFF" w:themeFill="background1"/>
            <w:tcMar>
              <w:left w:w="57" w:type="dxa"/>
              <w:right w:w="57" w:type="dxa"/>
            </w:tcMar>
          </w:tcPr>
          <w:p w14:paraId="155146B1" w14:textId="77777777" w:rsidR="00E66136" w:rsidRPr="00C604EE" w:rsidRDefault="00E66136"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6A11B111" w14:textId="77777777" w:rsidR="00E66136" w:rsidRPr="00C604EE" w:rsidRDefault="00E66136" w:rsidP="002A3C46">
            <w:pPr>
              <w:widowControl/>
              <w:autoSpaceDE/>
              <w:autoSpaceDN/>
              <w:adjustRightInd/>
              <w:jc w:val="both"/>
              <w:rPr>
                <w:sz w:val="20"/>
              </w:rPr>
            </w:pPr>
          </w:p>
        </w:tc>
        <w:tc>
          <w:tcPr>
            <w:tcW w:w="1134" w:type="dxa"/>
            <w:shd w:val="clear" w:color="auto" w:fill="FFFFFF" w:themeFill="background1"/>
            <w:tcMar>
              <w:left w:w="57" w:type="dxa"/>
              <w:right w:w="57" w:type="dxa"/>
            </w:tcMar>
          </w:tcPr>
          <w:p w14:paraId="43C2BEEE" w14:textId="77777777" w:rsidR="00E66136" w:rsidRPr="00C604EE" w:rsidRDefault="00E66136" w:rsidP="002A3C46">
            <w:pPr>
              <w:jc w:val="both"/>
              <w:rPr>
                <w:sz w:val="20"/>
              </w:rPr>
            </w:pPr>
            <w:r w:rsidRPr="00C604EE">
              <w:rPr>
                <w:sz w:val="20"/>
              </w:rPr>
              <w:t xml:space="preserve">2019.gada </w:t>
            </w:r>
            <w:r w:rsidR="00AE1D86" w:rsidRPr="00C604EE">
              <w:rPr>
                <w:sz w:val="20"/>
              </w:rPr>
              <w:t>1.pusgads</w:t>
            </w:r>
          </w:p>
        </w:tc>
      </w:tr>
      <w:tr w:rsidR="00C604EE" w:rsidRPr="002A3C46" w14:paraId="76AFCB73" w14:textId="77777777" w:rsidTr="00C604EE">
        <w:tc>
          <w:tcPr>
            <w:tcW w:w="426" w:type="dxa"/>
            <w:shd w:val="clear" w:color="auto" w:fill="FFFFFF" w:themeFill="background1"/>
            <w:tcMar>
              <w:left w:w="57" w:type="dxa"/>
              <w:right w:w="57" w:type="dxa"/>
            </w:tcMar>
          </w:tcPr>
          <w:p w14:paraId="6994D3A1" w14:textId="77777777" w:rsidR="00E66136" w:rsidRPr="00C604EE" w:rsidRDefault="00E66136" w:rsidP="002A3C46">
            <w:pPr>
              <w:jc w:val="both"/>
              <w:rPr>
                <w:sz w:val="20"/>
              </w:rPr>
            </w:pPr>
            <w:r w:rsidRPr="00C604EE">
              <w:rPr>
                <w:sz w:val="20"/>
              </w:rPr>
              <w:t>27</w:t>
            </w:r>
          </w:p>
        </w:tc>
        <w:tc>
          <w:tcPr>
            <w:tcW w:w="1984" w:type="dxa"/>
            <w:shd w:val="clear" w:color="auto" w:fill="FFFFFF" w:themeFill="background1"/>
            <w:tcMar>
              <w:left w:w="57" w:type="dxa"/>
              <w:right w:w="57" w:type="dxa"/>
            </w:tcMar>
          </w:tcPr>
          <w:p w14:paraId="0D87AAEC" w14:textId="77777777" w:rsidR="00E66136" w:rsidRPr="00C604EE" w:rsidRDefault="00E66136" w:rsidP="002A3C46">
            <w:pPr>
              <w:jc w:val="both"/>
              <w:rPr>
                <w:sz w:val="20"/>
              </w:rPr>
            </w:pPr>
            <w:r w:rsidRPr="00C604EE">
              <w:rPr>
                <w:sz w:val="20"/>
              </w:rPr>
              <w:t>Pētījumi par Tieslietu padomes kapacitātes stiprināšanu</w:t>
            </w:r>
          </w:p>
        </w:tc>
        <w:tc>
          <w:tcPr>
            <w:tcW w:w="1559" w:type="dxa"/>
            <w:shd w:val="clear" w:color="auto" w:fill="FFFFFF" w:themeFill="background1"/>
            <w:tcMar>
              <w:left w:w="57" w:type="dxa"/>
              <w:right w:w="57" w:type="dxa"/>
            </w:tcMar>
          </w:tcPr>
          <w:p w14:paraId="28B4D4A3" w14:textId="77777777" w:rsidR="00E66136" w:rsidRPr="00C604EE" w:rsidRDefault="00E66136"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3C4E2DD5" w14:textId="77777777" w:rsidR="00E66136" w:rsidRPr="00C604EE" w:rsidRDefault="009406CF" w:rsidP="002A3C46">
            <w:pPr>
              <w:jc w:val="both"/>
              <w:rPr>
                <w:sz w:val="20"/>
              </w:rPr>
            </w:pPr>
            <w:r w:rsidRPr="00C604EE">
              <w:rPr>
                <w:sz w:val="20"/>
              </w:rPr>
              <w:t>Pētījumu skaits</w:t>
            </w:r>
            <w:r w:rsidR="00AE1D86" w:rsidRPr="00C604EE">
              <w:rPr>
                <w:sz w:val="20"/>
              </w:rPr>
              <w:t>: 2020.gadā – 1.</w:t>
            </w:r>
          </w:p>
        </w:tc>
        <w:tc>
          <w:tcPr>
            <w:tcW w:w="1134" w:type="dxa"/>
            <w:shd w:val="clear" w:color="auto" w:fill="FFFFFF" w:themeFill="background1"/>
            <w:tcMar>
              <w:left w:w="57" w:type="dxa"/>
              <w:right w:w="57" w:type="dxa"/>
            </w:tcMar>
          </w:tcPr>
          <w:p w14:paraId="1E411C32" w14:textId="77777777" w:rsidR="00E66136" w:rsidRPr="00C604EE" w:rsidRDefault="009406CF"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42E37F82" w14:textId="77777777" w:rsidR="009406CF" w:rsidRPr="00C604EE" w:rsidRDefault="009406CF" w:rsidP="002A3C46">
            <w:pPr>
              <w:widowControl/>
              <w:autoSpaceDE/>
              <w:autoSpaceDN/>
              <w:adjustRightInd/>
              <w:jc w:val="both"/>
              <w:rPr>
                <w:sz w:val="20"/>
              </w:rPr>
            </w:pPr>
            <w:r w:rsidRPr="00C604EE">
              <w:rPr>
                <w:sz w:val="20"/>
              </w:rPr>
              <w:t>TA</w:t>
            </w:r>
          </w:p>
          <w:p w14:paraId="2C9F73CC" w14:textId="77777777" w:rsidR="00E66136" w:rsidRPr="00C604EE" w:rsidRDefault="009406CF" w:rsidP="002A3C46">
            <w:pPr>
              <w:widowControl/>
              <w:autoSpaceDE/>
              <w:autoSpaceDN/>
              <w:adjustRightInd/>
              <w:jc w:val="both"/>
              <w:rPr>
                <w:sz w:val="20"/>
              </w:rPr>
            </w:pPr>
            <w:r w:rsidRPr="00C604EE">
              <w:rPr>
                <w:sz w:val="20"/>
              </w:rPr>
              <w:t>Tieslietu padome</w:t>
            </w:r>
          </w:p>
        </w:tc>
        <w:tc>
          <w:tcPr>
            <w:tcW w:w="1134" w:type="dxa"/>
            <w:shd w:val="clear" w:color="auto" w:fill="FFFFFF" w:themeFill="background1"/>
            <w:tcMar>
              <w:left w:w="57" w:type="dxa"/>
              <w:right w:w="57" w:type="dxa"/>
            </w:tcMar>
          </w:tcPr>
          <w:p w14:paraId="7C2A1D37" w14:textId="77777777" w:rsidR="00E66136" w:rsidRPr="00C604EE" w:rsidRDefault="009406CF" w:rsidP="002A3C46">
            <w:pPr>
              <w:jc w:val="both"/>
              <w:rPr>
                <w:sz w:val="20"/>
              </w:rPr>
            </w:pPr>
            <w:r w:rsidRPr="00C604EE">
              <w:rPr>
                <w:sz w:val="20"/>
              </w:rPr>
              <w:t>2017.gada 3.ceturksnis</w:t>
            </w:r>
          </w:p>
        </w:tc>
      </w:tr>
      <w:tr w:rsidR="00C604EE" w:rsidRPr="002A3C46" w14:paraId="3AC19B9D" w14:textId="77777777" w:rsidTr="00C604EE">
        <w:tc>
          <w:tcPr>
            <w:tcW w:w="426" w:type="dxa"/>
            <w:shd w:val="clear" w:color="auto" w:fill="FFFFFF" w:themeFill="background1"/>
            <w:tcMar>
              <w:left w:w="57" w:type="dxa"/>
              <w:right w:w="57" w:type="dxa"/>
            </w:tcMar>
          </w:tcPr>
          <w:p w14:paraId="511D0060" w14:textId="77777777" w:rsidR="009406CF" w:rsidRPr="00C604EE" w:rsidRDefault="009406CF" w:rsidP="002A3C46">
            <w:pPr>
              <w:jc w:val="both"/>
              <w:rPr>
                <w:sz w:val="20"/>
              </w:rPr>
            </w:pPr>
            <w:r w:rsidRPr="00C604EE">
              <w:rPr>
                <w:sz w:val="20"/>
              </w:rPr>
              <w:t>28</w:t>
            </w:r>
          </w:p>
        </w:tc>
        <w:tc>
          <w:tcPr>
            <w:tcW w:w="1984" w:type="dxa"/>
            <w:shd w:val="clear" w:color="auto" w:fill="FFFFFF" w:themeFill="background1"/>
            <w:tcMar>
              <w:left w:w="57" w:type="dxa"/>
              <w:right w:w="57" w:type="dxa"/>
            </w:tcMar>
          </w:tcPr>
          <w:p w14:paraId="60A4379E" w14:textId="77777777" w:rsidR="009406CF" w:rsidRPr="00C604EE" w:rsidRDefault="009406CF" w:rsidP="002A3C46">
            <w:pPr>
              <w:jc w:val="both"/>
              <w:rPr>
                <w:sz w:val="20"/>
              </w:rPr>
            </w:pPr>
            <w:r w:rsidRPr="00C604EE">
              <w:rPr>
                <w:sz w:val="20"/>
              </w:rPr>
              <w:t xml:space="preserve">Pētījums par ECT praksi jautājumā par nosakāmo atlīdzinājuma apmēru </w:t>
            </w:r>
          </w:p>
        </w:tc>
        <w:tc>
          <w:tcPr>
            <w:tcW w:w="1559" w:type="dxa"/>
            <w:shd w:val="clear" w:color="auto" w:fill="FFFFFF" w:themeFill="background1"/>
            <w:tcMar>
              <w:left w:w="57" w:type="dxa"/>
              <w:right w:w="57" w:type="dxa"/>
            </w:tcMar>
          </w:tcPr>
          <w:p w14:paraId="16F692F3" w14:textId="77777777" w:rsidR="009406CF" w:rsidRPr="00C604EE" w:rsidRDefault="009406CF" w:rsidP="002A3C46">
            <w:pPr>
              <w:jc w:val="both"/>
              <w:rPr>
                <w:sz w:val="20"/>
              </w:rPr>
            </w:pPr>
            <w:r w:rsidRPr="00C604EE">
              <w:rPr>
                <w:sz w:val="20"/>
              </w:rPr>
              <w:t xml:space="preserve">Paaugstinot tiesu un tiesībsargājošo institūciju personāla kompetenci, </w:t>
            </w:r>
            <w:r w:rsidRPr="00C604EE">
              <w:rPr>
                <w:sz w:val="20"/>
              </w:rPr>
              <w:lastRenderedPageBreak/>
              <w:t>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0C7032FF" w14:textId="77777777" w:rsidR="009406CF" w:rsidRPr="00C604EE" w:rsidRDefault="009406CF" w:rsidP="002A3C46">
            <w:pPr>
              <w:jc w:val="both"/>
              <w:rPr>
                <w:sz w:val="20"/>
              </w:rPr>
            </w:pPr>
            <w:r w:rsidRPr="00C604EE">
              <w:rPr>
                <w:sz w:val="20"/>
              </w:rPr>
              <w:lastRenderedPageBreak/>
              <w:t>Pētījumu skaits</w:t>
            </w:r>
            <w:r w:rsidR="00AE1D86" w:rsidRPr="00C604EE">
              <w:rPr>
                <w:sz w:val="20"/>
              </w:rPr>
              <w:t>: 2020.gadā – 1.</w:t>
            </w:r>
          </w:p>
        </w:tc>
        <w:tc>
          <w:tcPr>
            <w:tcW w:w="1134" w:type="dxa"/>
            <w:shd w:val="clear" w:color="auto" w:fill="FFFFFF" w:themeFill="background1"/>
            <w:tcMar>
              <w:left w:w="57" w:type="dxa"/>
              <w:right w:w="57" w:type="dxa"/>
            </w:tcMar>
          </w:tcPr>
          <w:p w14:paraId="47611563" w14:textId="77777777" w:rsidR="009406CF" w:rsidRPr="00C604EE" w:rsidRDefault="009406CF"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727E4C01" w14:textId="77777777" w:rsidR="009406CF" w:rsidRPr="00C604EE" w:rsidRDefault="00090956" w:rsidP="002A3C46">
            <w:pPr>
              <w:widowControl/>
              <w:autoSpaceDE/>
              <w:autoSpaceDN/>
              <w:adjustRightInd/>
              <w:jc w:val="both"/>
              <w:rPr>
                <w:sz w:val="20"/>
              </w:rPr>
            </w:pPr>
            <w:r w:rsidRPr="00C604EE">
              <w:rPr>
                <w:sz w:val="20"/>
              </w:rPr>
              <w:t>Latvijas</w:t>
            </w:r>
            <w:r w:rsidR="009406CF" w:rsidRPr="00C604EE">
              <w:rPr>
                <w:sz w:val="20"/>
              </w:rPr>
              <w:t xml:space="preserve"> pārstāvja Eiropas Cilvēktiesību institūcijās </w:t>
            </w:r>
            <w:r w:rsidR="009406CF" w:rsidRPr="00C604EE">
              <w:rPr>
                <w:sz w:val="20"/>
              </w:rPr>
              <w:lastRenderedPageBreak/>
              <w:t>birojs</w:t>
            </w:r>
          </w:p>
        </w:tc>
        <w:tc>
          <w:tcPr>
            <w:tcW w:w="1134" w:type="dxa"/>
            <w:shd w:val="clear" w:color="auto" w:fill="FFFFFF" w:themeFill="background1"/>
            <w:tcMar>
              <w:left w:w="57" w:type="dxa"/>
              <w:right w:w="57" w:type="dxa"/>
            </w:tcMar>
          </w:tcPr>
          <w:p w14:paraId="7236C8C8" w14:textId="77777777" w:rsidR="009406CF" w:rsidRPr="00C604EE" w:rsidRDefault="009406CF" w:rsidP="002A3C46">
            <w:pPr>
              <w:jc w:val="both"/>
              <w:rPr>
                <w:sz w:val="20"/>
              </w:rPr>
            </w:pPr>
            <w:r w:rsidRPr="00C604EE">
              <w:rPr>
                <w:sz w:val="20"/>
              </w:rPr>
              <w:lastRenderedPageBreak/>
              <w:t>2019.gada 2.ceturksnis</w:t>
            </w:r>
          </w:p>
        </w:tc>
      </w:tr>
      <w:tr w:rsidR="00C604EE" w:rsidRPr="002A3C46" w14:paraId="2AE37C9E" w14:textId="77777777" w:rsidTr="00C604EE">
        <w:tc>
          <w:tcPr>
            <w:tcW w:w="426" w:type="dxa"/>
            <w:shd w:val="clear" w:color="auto" w:fill="FFFFFF" w:themeFill="background1"/>
            <w:tcMar>
              <w:left w:w="57" w:type="dxa"/>
              <w:right w:w="57" w:type="dxa"/>
            </w:tcMar>
          </w:tcPr>
          <w:p w14:paraId="307BB2B9" w14:textId="77777777" w:rsidR="009406CF" w:rsidRPr="00C604EE" w:rsidRDefault="009406CF" w:rsidP="002A3C46">
            <w:pPr>
              <w:jc w:val="both"/>
              <w:rPr>
                <w:sz w:val="20"/>
              </w:rPr>
            </w:pPr>
            <w:r w:rsidRPr="00C604EE">
              <w:rPr>
                <w:sz w:val="20"/>
              </w:rPr>
              <w:lastRenderedPageBreak/>
              <w:t>29</w:t>
            </w:r>
          </w:p>
        </w:tc>
        <w:tc>
          <w:tcPr>
            <w:tcW w:w="1984" w:type="dxa"/>
            <w:shd w:val="clear" w:color="auto" w:fill="FFFFFF" w:themeFill="background1"/>
            <w:tcMar>
              <w:left w:w="57" w:type="dxa"/>
              <w:right w:w="57" w:type="dxa"/>
            </w:tcMar>
          </w:tcPr>
          <w:p w14:paraId="14843123" w14:textId="77777777" w:rsidR="009406CF" w:rsidRPr="00C604EE" w:rsidRDefault="009406CF" w:rsidP="002A3C46">
            <w:pPr>
              <w:jc w:val="both"/>
              <w:rPr>
                <w:sz w:val="20"/>
              </w:rPr>
            </w:pPr>
            <w:r w:rsidRPr="00C604EE">
              <w:rPr>
                <w:sz w:val="20"/>
              </w:rPr>
              <w:t>Pētījums par tiesu ekspertīžu izmantošanu tiesvedībā</w:t>
            </w:r>
          </w:p>
        </w:tc>
        <w:tc>
          <w:tcPr>
            <w:tcW w:w="1559" w:type="dxa"/>
            <w:shd w:val="clear" w:color="auto" w:fill="FFFFFF" w:themeFill="background1"/>
            <w:tcMar>
              <w:left w:w="57" w:type="dxa"/>
              <w:right w:w="57" w:type="dxa"/>
            </w:tcMar>
          </w:tcPr>
          <w:p w14:paraId="2E5DBB98" w14:textId="77777777" w:rsidR="009406CF" w:rsidRPr="00C604EE" w:rsidRDefault="009406CF"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5CF292AE" w14:textId="77777777" w:rsidR="009406CF" w:rsidRPr="00C604EE" w:rsidRDefault="009406CF" w:rsidP="002A3C46">
            <w:pPr>
              <w:jc w:val="both"/>
              <w:rPr>
                <w:sz w:val="20"/>
              </w:rPr>
            </w:pPr>
            <w:r w:rsidRPr="00C604EE">
              <w:rPr>
                <w:sz w:val="20"/>
              </w:rPr>
              <w:t>Pētījumu skaits</w:t>
            </w:r>
            <w:r w:rsidR="00AE1D86" w:rsidRPr="00C604EE">
              <w:rPr>
                <w:sz w:val="20"/>
              </w:rPr>
              <w:t>: 2020.gadā – 1.</w:t>
            </w:r>
          </w:p>
        </w:tc>
        <w:tc>
          <w:tcPr>
            <w:tcW w:w="1134" w:type="dxa"/>
            <w:shd w:val="clear" w:color="auto" w:fill="FFFFFF" w:themeFill="background1"/>
            <w:tcMar>
              <w:left w:w="57" w:type="dxa"/>
              <w:right w:w="57" w:type="dxa"/>
            </w:tcMar>
          </w:tcPr>
          <w:p w14:paraId="60F1FC98" w14:textId="77777777" w:rsidR="009406CF" w:rsidRPr="00C604EE" w:rsidRDefault="009406CF"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3E7435D3" w14:textId="77777777" w:rsidR="009406CF" w:rsidRPr="00C604EE" w:rsidRDefault="009406CF" w:rsidP="002A3C46">
            <w:pPr>
              <w:widowControl/>
              <w:autoSpaceDE/>
              <w:autoSpaceDN/>
              <w:adjustRightInd/>
              <w:jc w:val="both"/>
              <w:rPr>
                <w:sz w:val="20"/>
              </w:rPr>
            </w:pPr>
            <w:r w:rsidRPr="00C604EE">
              <w:rPr>
                <w:sz w:val="20"/>
              </w:rPr>
              <w:t>VTEB</w:t>
            </w:r>
          </w:p>
          <w:p w14:paraId="0B41BAFE" w14:textId="77777777" w:rsidR="00467AF3" w:rsidRPr="00C604EE" w:rsidRDefault="00467AF3" w:rsidP="002A3C46">
            <w:pPr>
              <w:widowControl/>
              <w:autoSpaceDE/>
              <w:autoSpaceDN/>
              <w:adjustRightInd/>
              <w:jc w:val="both"/>
              <w:rPr>
                <w:sz w:val="20"/>
              </w:rPr>
            </w:pPr>
            <w:r w:rsidRPr="00C604EE">
              <w:rPr>
                <w:sz w:val="20"/>
              </w:rPr>
              <w:t>IeM</w:t>
            </w:r>
          </w:p>
        </w:tc>
        <w:tc>
          <w:tcPr>
            <w:tcW w:w="1134" w:type="dxa"/>
            <w:shd w:val="clear" w:color="auto" w:fill="FFFFFF" w:themeFill="background1"/>
            <w:tcMar>
              <w:left w:w="57" w:type="dxa"/>
              <w:right w:w="57" w:type="dxa"/>
            </w:tcMar>
          </w:tcPr>
          <w:p w14:paraId="73AF65DB" w14:textId="77777777" w:rsidR="009406CF" w:rsidRPr="00C604EE" w:rsidRDefault="00AE1D86" w:rsidP="002A3C46">
            <w:pPr>
              <w:jc w:val="both"/>
              <w:rPr>
                <w:sz w:val="20"/>
              </w:rPr>
            </w:pPr>
            <w:r w:rsidRPr="00C604EE">
              <w:rPr>
                <w:sz w:val="20"/>
              </w:rPr>
              <w:t>2019.gada 1.pusgads</w:t>
            </w:r>
          </w:p>
        </w:tc>
      </w:tr>
      <w:tr w:rsidR="00C604EE" w:rsidRPr="002A3C46" w14:paraId="07444FDE" w14:textId="77777777" w:rsidTr="00C604EE">
        <w:tc>
          <w:tcPr>
            <w:tcW w:w="426" w:type="dxa"/>
            <w:shd w:val="clear" w:color="auto" w:fill="FFFFFF" w:themeFill="background1"/>
            <w:tcMar>
              <w:left w:w="57" w:type="dxa"/>
              <w:right w:w="57" w:type="dxa"/>
            </w:tcMar>
          </w:tcPr>
          <w:p w14:paraId="74308F30" w14:textId="77777777" w:rsidR="009406CF" w:rsidRPr="00C604EE" w:rsidRDefault="009406CF" w:rsidP="002A3C46">
            <w:pPr>
              <w:jc w:val="both"/>
              <w:rPr>
                <w:sz w:val="20"/>
              </w:rPr>
            </w:pPr>
            <w:r w:rsidRPr="00C604EE">
              <w:rPr>
                <w:sz w:val="20"/>
              </w:rPr>
              <w:t>30</w:t>
            </w:r>
          </w:p>
        </w:tc>
        <w:tc>
          <w:tcPr>
            <w:tcW w:w="1984" w:type="dxa"/>
            <w:shd w:val="clear" w:color="auto" w:fill="FFFFFF" w:themeFill="background1"/>
            <w:tcMar>
              <w:left w:w="57" w:type="dxa"/>
              <w:right w:w="57" w:type="dxa"/>
            </w:tcMar>
          </w:tcPr>
          <w:p w14:paraId="05F223D2" w14:textId="77777777" w:rsidR="009406CF" w:rsidRPr="00C604EE" w:rsidRDefault="009406CF" w:rsidP="002A3C46">
            <w:pPr>
              <w:jc w:val="both"/>
              <w:rPr>
                <w:sz w:val="20"/>
              </w:rPr>
            </w:pPr>
            <w:r w:rsidRPr="00C604EE">
              <w:rPr>
                <w:sz w:val="20"/>
              </w:rPr>
              <w:t>Pētījums par tiesu varas un tiesībaizsardzības iestāžu darbinieku apmācības iespējamajiem modeļiem</w:t>
            </w:r>
          </w:p>
          <w:p w14:paraId="3554DAAC" w14:textId="77777777" w:rsidR="009406CF" w:rsidRPr="00C604EE" w:rsidRDefault="009406CF" w:rsidP="002A3C46">
            <w:pPr>
              <w:ind w:firstLine="720"/>
              <w:jc w:val="both"/>
              <w:rPr>
                <w:sz w:val="20"/>
              </w:rPr>
            </w:pPr>
          </w:p>
        </w:tc>
        <w:tc>
          <w:tcPr>
            <w:tcW w:w="1559" w:type="dxa"/>
            <w:shd w:val="clear" w:color="auto" w:fill="FFFFFF" w:themeFill="background1"/>
            <w:tcMar>
              <w:left w:w="57" w:type="dxa"/>
              <w:right w:w="57" w:type="dxa"/>
            </w:tcMar>
          </w:tcPr>
          <w:p w14:paraId="1355D8D8" w14:textId="77777777" w:rsidR="009406CF" w:rsidRPr="00C604EE" w:rsidRDefault="009406CF"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5F6CA092" w14:textId="77777777" w:rsidR="009406CF" w:rsidRPr="00C604EE" w:rsidRDefault="009406CF" w:rsidP="002A3C46">
            <w:pPr>
              <w:jc w:val="both"/>
              <w:rPr>
                <w:sz w:val="20"/>
              </w:rPr>
            </w:pPr>
            <w:r w:rsidRPr="00C604EE">
              <w:rPr>
                <w:sz w:val="20"/>
              </w:rPr>
              <w:t>Pētījumu skaits</w:t>
            </w:r>
            <w:r w:rsidR="00AE1D86" w:rsidRPr="00C604EE">
              <w:rPr>
                <w:sz w:val="20"/>
              </w:rPr>
              <w:t>: 2020.gadā -1.</w:t>
            </w:r>
          </w:p>
        </w:tc>
        <w:tc>
          <w:tcPr>
            <w:tcW w:w="1134" w:type="dxa"/>
            <w:shd w:val="clear" w:color="auto" w:fill="FFFFFF" w:themeFill="background1"/>
            <w:tcMar>
              <w:left w:w="57" w:type="dxa"/>
              <w:right w:w="57" w:type="dxa"/>
            </w:tcMar>
          </w:tcPr>
          <w:p w14:paraId="6558F387" w14:textId="77777777" w:rsidR="009406CF" w:rsidRPr="00C604EE" w:rsidRDefault="009406CF"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208370DD" w14:textId="77777777" w:rsidR="009406CF" w:rsidRPr="00C604EE" w:rsidRDefault="009406CF" w:rsidP="002A3C46">
            <w:pPr>
              <w:widowControl/>
              <w:autoSpaceDE/>
              <w:autoSpaceDN/>
              <w:adjustRightInd/>
              <w:jc w:val="both"/>
              <w:rPr>
                <w:sz w:val="20"/>
              </w:rPr>
            </w:pPr>
            <w:r w:rsidRPr="00C604EE">
              <w:rPr>
                <w:sz w:val="20"/>
              </w:rPr>
              <w:t>TA</w:t>
            </w:r>
          </w:p>
          <w:p w14:paraId="6D8D9A8F" w14:textId="77777777" w:rsidR="009406CF" w:rsidRPr="00C604EE" w:rsidRDefault="009406CF" w:rsidP="002A3C46">
            <w:pPr>
              <w:widowControl/>
              <w:autoSpaceDE/>
              <w:autoSpaceDN/>
              <w:adjustRightInd/>
              <w:jc w:val="both"/>
              <w:rPr>
                <w:sz w:val="20"/>
              </w:rPr>
            </w:pPr>
            <w:r w:rsidRPr="00C604EE">
              <w:rPr>
                <w:sz w:val="20"/>
              </w:rPr>
              <w:t>LTMC</w:t>
            </w:r>
          </w:p>
        </w:tc>
        <w:tc>
          <w:tcPr>
            <w:tcW w:w="1134" w:type="dxa"/>
            <w:shd w:val="clear" w:color="auto" w:fill="FFFFFF" w:themeFill="background1"/>
            <w:tcMar>
              <w:left w:w="57" w:type="dxa"/>
              <w:right w:w="57" w:type="dxa"/>
            </w:tcMar>
          </w:tcPr>
          <w:p w14:paraId="6C6F5CB4" w14:textId="77777777" w:rsidR="009406CF" w:rsidRPr="00C604EE" w:rsidRDefault="009406CF" w:rsidP="002A3C46">
            <w:pPr>
              <w:jc w:val="both"/>
              <w:rPr>
                <w:sz w:val="20"/>
              </w:rPr>
            </w:pPr>
            <w:r w:rsidRPr="00C604EE">
              <w:rPr>
                <w:sz w:val="20"/>
              </w:rPr>
              <w:t xml:space="preserve">2018.gada </w:t>
            </w:r>
            <w:r w:rsidR="00AE1D86" w:rsidRPr="00C604EE">
              <w:rPr>
                <w:sz w:val="20"/>
              </w:rPr>
              <w:t>2.pusgads</w:t>
            </w:r>
          </w:p>
        </w:tc>
      </w:tr>
      <w:tr w:rsidR="00C604EE" w:rsidRPr="002A3C46" w14:paraId="21724493" w14:textId="77777777" w:rsidTr="00C604EE">
        <w:tc>
          <w:tcPr>
            <w:tcW w:w="426" w:type="dxa"/>
            <w:shd w:val="clear" w:color="auto" w:fill="FFFFFF" w:themeFill="background1"/>
            <w:tcMar>
              <w:left w:w="57" w:type="dxa"/>
              <w:right w:w="57" w:type="dxa"/>
            </w:tcMar>
          </w:tcPr>
          <w:p w14:paraId="62B8AF78" w14:textId="77777777" w:rsidR="009406CF" w:rsidRPr="00C604EE" w:rsidRDefault="009406CF" w:rsidP="002A3C46">
            <w:pPr>
              <w:jc w:val="both"/>
              <w:rPr>
                <w:sz w:val="20"/>
              </w:rPr>
            </w:pPr>
            <w:r w:rsidRPr="00C604EE">
              <w:rPr>
                <w:sz w:val="20"/>
              </w:rPr>
              <w:t>31</w:t>
            </w:r>
          </w:p>
        </w:tc>
        <w:tc>
          <w:tcPr>
            <w:tcW w:w="1984" w:type="dxa"/>
            <w:shd w:val="clear" w:color="auto" w:fill="FFFFFF" w:themeFill="background1"/>
            <w:tcMar>
              <w:left w:w="57" w:type="dxa"/>
              <w:right w:w="57" w:type="dxa"/>
            </w:tcMar>
          </w:tcPr>
          <w:p w14:paraId="623074CB" w14:textId="77777777" w:rsidR="009406CF" w:rsidRPr="00C604EE" w:rsidRDefault="009406CF" w:rsidP="002A3C46">
            <w:pPr>
              <w:jc w:val="both"/>
              <w:rPr>
                <w:sz w:val="20"/>
              </w:rPr>
            </w:pPr>
            <w:r w:rsidRPr="00C604EE">
              <w:rPr>
                <w:sz w:val="20"/>
              </w:rPr>
              <w:t xml:space="preserve">Tiesu prakses pētījumu un apkopojumu konkrētās jomās sagatavošana, publicēšana un izplatīšana (piemēram, konkurences tiesību jomā, maksātnespējas, vides aizsardzības, būvniecības) </w:t>
            </w:r>
          </w:p>
        </w:tc>
        <w:tc>
          <w:tcPr>
            <w:tcW w:w="1559" w:type="dxa"/>
            <w:shd w:val="clear" w:color="auto" w:fill="FFFFFF" w:themeFill="background1"/>
            <w:tcMar>
              <w:left w:w="57" w:type="dxa"/>
              <w:right w:w="57" w:type="dxa"/>
            </w:tcMar>
          </w:tcPr>
          <w:p w14:paraId="77FD86A7" w14:textId="77777777" w:rsidR="009406CF" w:rsidRPr="00C604EE" w:rsidRDefault="009406CF"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5423BEFC" w14:textId="77777777" w:rsidR="009406CF" w:rsidRPr="00C604EE" w:rsidRDefault="009406CF" w:rsidP="002A3C46">
            <w:pPr>
              <w:jc w:val="both"/>
              <w:rPr>
                <w:sz w:val="20"/>
              </w:rPr>
            </w:pPr>
            <w:r w:rsidRPr="00C604EE">
              <w:rPr>
                <w:sz w:val="20"/>
              </w:rPr>
              <w:t>Pētījumu skaits</w:t>
            </w:r>
            <w:r w:rsidR="00AE1D86" w:rsidRPr="00C604EE">
              <w:rPr>
                <w:sz w:val="20"/>
              </w:rPr>
              <w:t>: 2020.gadā -5.</w:t>
            </w:r>
          </w:p>
        </w:tc>
        <w:tc>
          <w:tcPr>
            <w:tcW w:w="1134" w:type="dxa"/>
            <w:shd w:val="clear" w:color="auto" w:fill="FFFFFF" w:themeFill="background1"/>
            <w:tcMar>
              <w:left w:w="57" w:type="dxa"/>
              <w:right w:w="57" w:type="dxa"/>
            </w:tcMar>
          </w:tcPr>
          <w:p w14:paraId="7A62AF39" w14:textId="77777777" w:rsidR="009406CF" w:rsidRPr="00C604EE" w:rsidRDefault="009406CF"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36E90A34" w14:textId="77777777" w:rsidR="009406CF" w:rsidRPr="00C604EE" w:rsidRDefault="009406CF" w:rsidP="002A3C46">
            <w:pPr>
              <w:widowControl/>
              <w:autoSpaceDE/>
              <w:autoSpaceDN/>
              <w:adjustRightInd/>
              <w:jc w:val="both"/>
              <w:rPr>
                <w:sz w:val="20"/>
              </w:rPr>
            </w:pPr>
            <w:r w:rsidRPr="00C604EE">
              <w:rPr>
                <w:sz w:val="20"/>
              </w:rPr>
              <w:t>Augstākā tiesa</w:t>
            </w:r>
          </w:p>
        </w:tc>
        <w:tc>
          <w:tcPr>
            <w:tcW w:w="1134" w:type="dxa"/>
            <w:shd w:val="clear" w:color="auto" w:fill="FFFFFF" w:themeFill="background1"/>
            <w:tcMar>
              <w:left w:w="57" w:type="dxa"/>
              <w:right w:w="57" w:type="dxa"/>
            </w:tcMar>
          </w:tcPr>
          <w:p w14:paraId="25394755" w14:textId="77777777" w:rsidR="009406CF" w:rsidRPr="00C604EE" w:rsidRDefault="009406CF" w:rsidP="002A3C46">
            <w:pPr>
              <w:jc w:val="both"/>
              <w:rPr>
                <w:sz w:val="20"/>
              </w:rPr>
            </w:pPr>
            <w:r w:rsidRPr="00C604EE">
              <w:rPr>
                <w:sz w:val="20"/>
              </w:rPr>
              <w:t>Regulāri līdz 2020.gadam</w:t>
            </w:r>
          </w:p>
        </w:tc>
      </w:tr>
      <w:tr w:rsidR="00C604EE" w:rsidRPr="002A3C46" w14:paraId="5B142F70" w14:textId="77777777" w:rsidTr="00C604EE">
        <w:tc>
          <w:tcPr>
            <w:tcW w:w="426" w:type="dxa"/>
            <w:shd w:val="clear" w:color="auto" w:fill="FFFFFF" w:themeFill="background1"/>
            <w:tcMar>
              <w:left w:w="57" w:type="dxa"/>
              <w:right w:w="57" w:type="dxa"/>
            </w:tcMar>
          </w:tcPr>
          <w:p w14:paraId="37BD73D3" w14:textId="77777777" w:rsidR="009406CF" w:rsidRPr="00C604EE" w:rsidRDefault="009406CF" w:rsidP="002A3C46">
            <w:pPr>
              <w:jc w:val="both"/>
              <w:rPr>
                <w:sz w:val="20"/>
              </w:rPr>
            </w:pPr>
            <w:r w:rsidRPr="00C604EE">
              <w:rPr>
                <w:sz w:val="20"/>
              </w:rPr>
              <w:t>32</w:t>
            </w:r>
          </w:p>
        </w:tc>
        <w:tc>
          <w:tcPr>
            <w:tcW w:w="1984" w:type="dxa"/>
            <w:shd w:val="clear" w:color="auto" w:fill="FFFFFF" w:themeFill="background1"/>
            <w:tcMar>
              <w:left w:w="57" w:type="dxa"/>
              <w:right w:w="57" w:type="dxa"/>
            </w:tcMar>
          </w:tcPr>
          <w:p w14:paraId="7A1136DF" w14:textId="77777777" w:rsidR="009406CF" w:rsidRPr="00C604EE" w:rsidRDefault="009406CF" w:rsidP="002A3C46">
            <w:pPr>
              <w:jc w:val="both"/>
              <w:rPr>
                <w:sz w:val="20"/>
              </w:rPr>
            </w:pPr>
            <w:r w:rsidRPr="00C604EE">
              <w:rPr>
                <w:sz w:val="20"/>
              </w:rPr>
              <w:t>Pētījumi par tiesvedības ilguma problemātiku un citās jomās</w:t>
            </w:r>
          </w:p>
        </w:tc>
        <w:tc>
          <w:tcPr>
            <w:tcW w:w="1559" w:type="dxa"/>
            <w:shd w:val="clear" w:color="auto" w:fill="FFFFFF" w:themeFill="background1"/>
            <w:tcMar>
              <w:left w:w="57" w:type="dxa"/>
              <w:right w:w="57" w:type="dxa"/>
            </w:tcMar>
          </w:tcPr>
          <w:p w14:paraId="01730552" w14:textId="77777777" w:rsidR="009406CF" w:rsidRPr="00C604EE" w:rsidRDefault="009406CF"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349FDB74" w14:textId="77777777" w:rsidR="009406CF" w:rsidRPr="00C604EE" w:rsidRDefault="009406CF" w:rsidP="002A3C46">
            <w:pPr>
              <w:jc w:val="both"/>
              <w:rPr>
                <w:sz w:val="20"/>
              </w:rPr>
            </w:pPr>
            <w:r w:rsidRPr="00C604EE">
              <w:rPr>
                <w:sz w:val="20"/>
              </w:rPr>
              <w:t>Pētījumu skaits</w:t>
            </w:r>
            <w:r w:rsidR="00AE1D86" w:rsidRPr="00C604EE">
              <w:rPr>
                <w:sz w:val="20"/>
              </w:rPr>
              <w:t>: 2020.gadā – 1.</w:t>
            </w:r>
          </w:p>
        </w:tc>
        <w:tc>
          <w:tcPr>
            <w:tcW w:w="1134" w:type="dxa"/>
            <w:shd w:val="clear" w:color="auto" w:fill="FFFFFF" w:themeFill="background1"/>
            <w:tcMar>
              <w:left w:w="57" w:type="dxa"/>
              <w:right w:w="57" w:type="dxa"/>
            </w:tcMar>
          </w:tcPr>
          <w:p w14:paraId="73B2C19D" w14:textId="77777777" w:rsidR="009406CF" w:rsidRPr="00C604EE" w:rsidRDefault="009406CF"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2BBA8C86" w14:textId="77777777" w:rsidR="009406CF" w:rsidRPr="00C604EE" w:rsidRDefault="009406CF" w:rsidP="002A3C46">
            <w:pPr>
              <w:widowControl/>
              <w:autoSpaceDE/>
              <w:autoSpaceDN/>
              <w:adjustRightInd/>
              <w:jc w:val="both"/>
              <w:rPr>
                <w:sz w:val="20"/>
              </w:rPr>
            </w:pPr>
          </w:p>
        </w:tc>
        <w:tc>
          <w:tcPr>
            <w:tcW w:w="1134" w:type="dxa"/>
            <w:shd w:val="clear" w:color="auto" w:fill="FFFFFF" w:themeFill="background1"/>
            <w:tcMar>
              <w:left w:w="57" w:type="dxa"/>
              <w:right w:w="57" w:type="dxa"/>
            </w:tcMar>
          </w:tcPr>
          <w:p w14:paraId="2EADC2BA" w14:textId="77777777" w:rsidR="009406CF" w:rsidRPr="00C604EE" w:rsidRDefault="009406CF" w:rsidP="002A3C46">
            <w:pPr>
              <w:jc w:val="both"/>
              <w:rPr>
                <w:sz w:val="20"/>
              </w:rPr>
            </w:pPr>
            <w:r w:rsidRPr="00C604EE">
              <w:rPr>
                <w:sz w:val="20"/>
              </w:rPr>
              <w:t xml:space="preserve">2019.gada </w:t>
            </w:r>
            <w:r w:rsidR="00AE1D86" w:rsidRPr="00C604EE">
              <w:rPr>
                <w:sz w:val="20"/>
              </w:rPr>
              <w:t>1.pusgads</w:t>
            </w:r>
          </w:p>
        </w:tc>
      </w:tr>
      <w:tr w:rsidR="00C604EE" w:rsidRPr="002A3C46" w14:paraId="52C79FFF" w14:textId="77777777" w:rsidTr="00C604EE">
        <w:tc>
          <w:tcPr>
            <w:tcW w:w="426" w:type="dxa"/>
            <w:shd w:val="clear" w:color="auto" w:fill="FFFFFF" w:themeFill="background1"/>
            <w:tcMar>
              <w:left w:w="57" w:type="dxa"/>
              <w:right w:w="57" w:type="dxa"/>
            </w:tcMar>
          </w:tcPr>
          <w:p w14:paraId="306CBBAC" w14:textId="77777777" w:rsidR="009406CF" w:rsidRPr="00C604EE" w:rsidRDefault="009406CF" w:rsidP="002A3C46">
            <w:pPr>
              <w:jc w:val="both"/>
              <w:rPr>
                <w:sz w:val="20"/>
              </w:rPr>
            </w:pPr>
            <w:r w:rsidRPr="00C604EE">
              <w:rPr>
                <w:sz w:val="20"/>
              </w:rPr>
              <w:t>33</w:t>
            </w:r>
          </w:p>
        </w:tc>
        <w:tc>
          <w:tcPr>
            <w:tcW w:w="1984" w:type="dxa"/>
            <w:shd w:val="clear" w:color="auto" w:fill="FFFFFF" w:themeFill="background1"/>
            <w:tcMar>
              <w:left w:w="57" w:type="dxa"/>
              <w:right w:w="57" w:type="dxa"/>
            </w:tcMar>
          </w:tcPr>
          <w:p w14:paraId="5668831C" w14:textId="77777777" w:rsidR="009406CF" w:rsidRPr="00C604EE" w:rsidRDefault="009406CF" w:rsidP="002A3C46">
            <w:pPr>
              <w:jc w:val="both"/>
              <w:rPr>
                <w:sz w:val="20"/>
              </w:rPr>
            </w:pPr>
            <w:r w:rsidRPr="00C604EE">
              <w:rPr>
                <w:sz w:val="20"/>
              </w:rPr>
              <w:t>Aptauja par sabiedrības uzticēšanos tiesām</w:t>
            </w:r>
          </w:p>
        </w:tc>
        <w:tc>
          <w:tcPr>
            <w:tcW w:w="1559" w:type="dxa"/>
            <w:shd w:val="clear" w:color="auto" w:fill="FFFFFF" w:themeFill="background1"/>
            <w:tcMar>
              <w:left w:w="57" w:type="dxa"/>
              <w:right w:w="57" w:type="dxa"/>
            </w:tcMar>
          </w:tcPr>
          <w:p w14:paraId="027AA9E9" w14:textId="77777777" w:rsidR="009406CF" w:rsidRPr="00C604EE" w:rsidRDefault="009406CF" w:rsidP="002A3C46">
            <w:pPr>
              <w:jc w:val="both"/>
              <w:rPr>
                <w:sz w:val="20"/>
              </w:rPr>
            </w:pPr>
            <w:r w:rsidRPr="00C604EE">
              <w:rPr>
                <w:sz w:val="20"/>
              </w:rPr>
              <w:t>Paaugstinot tiesu un tiesībsargājošo institūciju personāla kompetenci, veicināt ātrāku lietu izmeklēšanu un iztiesāšanu uzņēmējdarbības vides uzlabošanas sekmēšanai</w:t>
            </w:r>
          </w:p>
        </w:tc>
        <w:tc>
          <w:tcPr>
            <w:tcW w:w="1418" w:type="dxa"/>
            <w:gridSpan w:val="2"/>
            <w:shd w:val="clear" w:color="auto" w:fill="FFFFFF" w:themeFill="background1"/>
            <w:tcMar>
              <w:left w:w="57" w:type="dxa"/>
              <w:right w:w="57" w:type="dxa"/>
            </w:tcMar>
          </w:tcPr>
          <w:p w14:paraId="36D4EFDD" w14:textId="77777777" w:rsidR="009406CF" w:rsidRPr="00C604EE" w:rsidRDefault="009406CF" w:rsidP="002A3C46">
            <w:pPr>
              <w:jc w:val="both"/>
              <w:rPr>
                <w:sz w:val="20"/>
              </w:rPr>
            </w:pPr>
            <w:r w:rsidRPr="00C604EE">
              <w:rPr>
                <w:sz w:val="20"/>
              </w:rPr>
              <w:t>Sabiedrības daļas, kas pilnībā vai daļēji uzticas tiesām, īpatsvars (%)</w:t>
            </w:r>
            <w:r w:rsidR="00AE1D86" w:rsidRPr="00C604EE">
              <w:rPr>
                <w:sz w:val="20"/>
              </w:rPr>
              <w:t xml:space="preserve">: </w:t>
            </w:r>
          </w:p>
          <w:p w14:paraId="2202CF2D" w14:textId="77777777" w:rsidR="00AE1D86" w:rsidRPr="00C604EE" w:rsidRDefault="00AE1D86" w:rsidP="002A3C46">
            <w:pPr>
              <w:jc w:val="both"/>
              <w:rPr>
                <w:sz w:val="20"/>
              </w:rPr>
            </w:pPr>
            <w:r w:rsidRPr="00C604EE">
              <w:rPr>
                <w:sz w:val="20"/>
              </w:rPr>
              <w:t>2020.gadā – 50.</w:t>
            </w:r>
          </w:p>
        </w:tc>
        <w:tc>
          <w:tcPr>
            <w:tcW w:w="1134" w:type="dxa"/>
            <w:shd w:val="clear" w:color="auto" w:fill="FFFFFF" w:themeFill="background1"/>
            <w:tcMar>
              <w:left w:w="57" w:type="dxa"/>
              <w:right w:w="57" w:type="dxa"/>
            </w:tcMar>
          </w:tcPr>
          <w:p w14:paraId="60D2AC51" w14:textId="77777777" w:rsidR="009406CF" w:rsidRPr="00C604EE" w:rsidRDefault="009406CF" w:rsidP="002A3C46">
            <w:pPr>
              <w:jc w:val="both"/>
              <w:rPr>
                <w:sz w:val="20"/>
              </w:rPr>
            </w:pPr>
            <w:r w:rsidRPr="00C604EE">
              <w:rPr>
                <w:sz w:val="20"/>
              </w:rPr>
              <w:t>TM</w:t>
            </w:r>
          </w:p>
        </w:tc>
        <w:tc>
          <w:tcPr>
            <w:tcW w:w="1417" w:type="dxa"/>
            <w:shd w:val="clear" w:color="auto" w:fill="FFFFFF" w:themeFill="background1"/>
            <w:tcMar>
              <w:left w:w="57" w:type="dxa"/>
              <w:right w:w="57" w:type="dxa"/>
            </w:tcMar>
          </w:tcPr>
          <w:p w14:paraId="0D297765" w14:textId="77777777" w:rsidR="009406CF" w:rsidRPr="00C604EE" w:rsidRDefault="009406CF" w:rsidP="002A3C46">
            <w:pPr>
              <w:widowControl/>
              <w:autoSpaceDE/>
              <w:autoSpaceDN/>
              <w:adjustRightInd/>
              <w:jc w:val="both"/>
              <w:rPr>
                <w:sz w:val="20"/>
              </w:rPr>
            </w:pPr>
          </w:p>
        </w:tc>
        <w:tc>
          <w:tcPr>
            <w:tcW w:w="1134" w:type="dxa"/>
            <w:shd w:val="clear" w:color="auto" w:fill="FFFFFF" w:themeFill="background1"/>
            <w:tcMar>
              <w:left w:w="57" w:type="dxa"/>
              <w:right w:w="57" w:type="dxa"/>
            </w:tcMar>
          </w:tcPr>
          <w:p w14:paraId="0AD61A9D" w14:textId="77777777" w:rsidR="009406CF" w:rsidRPr="00C604EE" w:rsidRDefault="009406CF" w:rsidP="002A3C46">
            <w:pPr>
              <w:jc w:val="both"/>
              <w:rPr>
                <w:sz w:val="20"/>
              </w:rPr>
            </w:pPr>
            <w:r w:rsidRPr="00C604EE">
              <w:rPr>
                <w:sz w:val="20"/>
              </w:rPr>
              <w:t>Regulāri līdz 2020.gadam</w:t>
            </w:r>
          </w:p>
        </w:tc>
      </w:tr>
    </w:tbl>
    <w:p w14:paraId="4F51E4DC" w14:textId="77777777" w:rsidR="00681E55" w:rsidRPr="002A3C46" w:rsidRDefault="00681E55" w:rsidP="002A3C46">
      <w:pPr>
        <w:pStyle w:val="Paraststmeklis"/>
        <w:spacing w:before="0" w:beforeAutospacing="0" w:after="0" w:afterAutospacing="0"/>
        <w:ind w:firstLine="720"/>
        <w:jc w:val="both"/>
      </w:pPr>
    </w:p>
    <w:p w14:paraId="13C5A2FE" w14:textId="77777777" w:rsidR="005B2950" w:rsidRPr="006B6C77" w:rsidRDefault="006B6C77" w:rsidP="006B6C77">
      <w:pPr>
        <w:pStyle w:val="tv2131"/>
        <w:spacing w:line="240" w:lineRule="auto"/>
        <w:jc w:val="center"/>
        <w:rPr>
          <w:b/>
          <w:caps/>
          <w:color w:val="auto"/>
          <w:sz w:val="24"/>
          <w:szCs w:val="24"/>
        </w:rPr>
      </w:pPr>
      <w:r w:rsidRPr="006B6C77">
        <w:rPr>
          <w:b/>
          <w:caps/>
          <w:color w:val="auto"/>
          <w:sz w:val="24"/>
          <w:szCs w:val="24"/>
        </w:rPr>
        <w:t xml:space="preserve">IV </w:t>
      </w:r>
      <w:r w:rsidR="005B2950" w:rsidRPr="006B6C77">
        <w:rPr>
          <w:b/>
          <w:caps/>
          <w:color w:val="auto"/>
          <w:sz w:val="24"/>
          <w:szCs w:val="24"/>
        </w:rPr>
        <w:t>Pasākumu izpildei pieejam</w:t>
      </w:r>
      <w:r w:rsidR="00740769" w:rsidRPr="006B6C77">
        <w:rPr>
          <w:b/>
          <w:caps/>
          <w:color w:val="auto"/>
          <w:sz w:val="24"/>
          <w:szCs w:val="24"/>
        </w:rPr>
        <w:t>ais</w:t>
      </w:r>
      <w:r w:rsidR="005B2950" w:rsidRPr="006B6C77">
        <w:rPr>
          <w:b/>
          <w:caps/>
          <w:color w:val="auto"/>
          <w:sz w:val="24"/>
          <w:szCs w:val="24"/>
        </w:rPr>
        <w:t xml:space="preserve"> un papildus nepieciešamais finansējums un par pasākumu īstenošanu atbildīgās institūcijas</w:t>
      </w:r>
    </w:p>
    <w:p w14:paraId="200AA04D" w14:textId="77777777" w:rsidR="006B6C77" w:rsidRPr="006B6C77" w:rsidRDefault="006B6C77" w:rsidP="006B6C77">
      <w:pPr>
        <w:pStyle w:val="tv2131"/>
        <w:spacing w:line="240" w:lineRule="auto"/>
        <w:jc w:val="center"/>
        <w:rPr>
          <w:b/>
          <w:caps/>
          <w:color w:val="auto"/>
          <w:sz w:val="24"/>
          <w:szCs w:val="24"/>
        </w:rPr>
      </w:pPr>
    </w:p>
    <w:p w14:paraId="52B45C06" w14:textId="50057C7C" w:rsidR="005B2950" w:rsidRPr="002A3C46" w:rsidRDefault="005B2950" w:rsidP="002A3C46">
      <w:pPr>
        <w:pStyle w:val="Komentrateksts"/>
        <w:ind w:firstLine="720"/>
        <w:jc w:val="both"/>
        <w:rPr>
          <w:sz w:val="24"/>
          <w:szCs w:val="24"/>
          <w:lang w:val="lv-LV"/>
        </w:rPr>
      </w:pPr>
      <w:r w:rsidRPr="002A3C46">
        <w:rPr>
          <w:sz w:val="24"/>
          <w:szCs w:val="24"/>
          <w:lang w:val="lv-LV"/>
        </w:rPr>
        <w:t xml:space="preserve">Iepriekš aprakstīto problēmu risināšanai un izvirzīto uzdevumu ieviešanai plānots piesaistīt ESF līdzekļus. </w:t>
      </w:r>
      <w:r w:rsidR="00DD7465" w:rsidRPr="002A3C46">
        <w:rPr>
          <w:sz w:val="24"/>
          <w:szCs w:val="24"/>
          <w:lang w:val="lv-LV"/>
        </w:rPr>
        <w:t>K</w:t>
      </w:r>
      <w:r w:rsidRPr="002A3C46">
        <w:rPr>
          <w:sz w:val="24"/>
          <w:szCs w:val="24"/>
          <w:lang w:val="lv-LV"/>
        </w:rPr>
        <w:t xml:space="preserve">opējais tiesu varas un tiesībaizsardzības iestāžu darbinieku kapacitātes celšanai pieejamais indikatīvais finansējums ir </w:t>
      </w:r>
      <w:r w:rsidR="00CE4D62">
        <w:rPr>
          <w:sz w:val="24"/>
          <w:szCs w:val="24"/>
          <w:lang w:val="lv-LV"/>
        </w:rPr>
        <w:t>11 759 617</w:t>
      </w:r>
      <w:r w:rsidR="00CE4D62" w:rsidRPr="00C604EE">
        <w:rPr>
          <w:sz w:val="24"/>
          <w:lang w:val="lv-LV"/>
        </w:rPr>
        <w:t xml:space="preserve"> </w:t>
      </w:r>
      <w:r w:rsidR="009406CF" w:rsidRPr="002A3C46">
        <w:rPr>
          <w:sz w:val="24"/>
          <w:szCs w:val="24"/>
          <w:lang w:val="lv-LV"/>
        </w:rPr>
        <w:t>EUR</w:t>
      </w:r>
      <w:r w:rsidRPr="002A3C46">
        <w:rPr>
          <w:sz w:val="24"/>
          <w:szCs w:val="24"/>
          <w:lang w:val="lv-LV"/>
        </w:rPr>
        <w:t xml:space="preserve">, no kuriem 85% jeb </w:t>
      </w:r>
      <w:r w:rsidR="009406CF" w:rsidRPr="002A3C46">
        <w:rPr>
          <w:sz w:val="24"/>
          <w:szCs w:val="24"/>
        </w:rPr>
        <w:t>9 995 </w:t>
      </w:r>
      <w:r w:rsidR="00CE4D62">
        <w:rPr>
          <w:sz w:val="24"/>
          <w:szCs w:val="24"/>
          <w:lang w:val="lv-LV"/>
        </w:rPr>
        <w:t>674</w:t>
      </w:r>
      <w:r w:rsidR="00CE4D62" w:rsidRPr="002A3C46">
        <w:rPr>
          <w:sz w:val="24"/>
          <w:szCs w:val="24"/>
        </w:rPr>
        <w:t xml:space="preserve"> </w:t>
      </w:r>
      <w:r w:rsidR="009406CF" w:rsidRPr="002A3C46">
        <w:rPr>
          <w:sz w:val="24"/>
          <w:szCs w:val="24"/>
          <w:lang w:val="lv-LV"/>
        </w:rPr>
        <w:t>EUR</w:t>
      </w:r>
      <w:r w:rsidRPr="002A3C46">
        <w:rPr>
          <w:sz w:val="24"/>
          <w:szCs w:val="24"/>
          <w:lang w:val="lv-LV"/>
        </w:rPr>
        <w:t xml:space="preserve"> veido </w:t>
      </w:r>
      <w:r w:rsidR="00DD7465" w:rsidRPr="002A3C46">
        <w:rPr>
          <w:sz w:val="24"/>
          <w:szCs w:val="24"/>
          <w:lang w:val="lv-LV"/>
        </w:rPr>
        <w:t>ESF</w:t>
      </w:r>
      <w:r w:rsidRPr="002A3C46">
        <w:rPr>
          <w:sz w:val="24"/>
          <w:szCs w:val="24"/>
          <w:lang w:val="lv-LV"/>
        </w:rPr>
        <w:t xml:space="preserve"> finansējums, bet 15% jeb </w:t>
      </w:r>
      <w:r w:rsidR="00CE4D62">
        <w:rPr>
          <w:sz w:val="24"/>
          <w:szCs w:val="24"/>
          <w:lang w:val="lv-LV"/>
        </w:rPr>
        <w:t>1 763 943</w:t>
      </w:r>
      <w:r w:rsidR="009406CF" w:rsidRPr="002A3C46">
        <w:rPr>
          <w:sz w:val="24"/>
          <w:szCs w:val="24"/>
        </w:rPr>
        <w:t xml:space="preserve"> EUR</w:t>
      </w:r>
      <w:r w:rsidRPr="002A3C46">
        <w:rPr>
          <w:sz w:val="24"/>
          <w:szCs w:val="24"/>
          <w:lang w:val="lv-LV"/>
        </w:rPr>
        <w:t xml:space="preserve"> ir nacionālais publiskais finansējums.</w:t>
      </w:r>
    </w:p>
    <w:p w14:paraId="6C3B38E7" w14:textId="77777777" w:rsidR="005B2950" w:rsidRPr="002A3C46" w:rsidRDefault="005B2950" w:rsidP="002A3C46">
      <w:pPr>
        <w:pStyle w:val="Komentrateksts"/>
        <w:ind w:firstLine="720"/>
        <w:jc w:val="both"/>
        <w:rPr>
          <w:sz w:val="24"/>
          <w:szCs w:val="24"/>
          <w:lang w:val="lv-LV"/>
        </w:rPr>
      </w:pPr>
      <w:r w:rsidRPr="002A3C46">
        <w:rPr>
          <w:sz w:val="24"/>
          <w:szCs w:val="24"/>
          <w:lang w:val="lv-LV"/>
        </w:rPr>
        <w:t xml:space="preserve">Papildus ESF valsts budžeta līdzfinansējumam, paredzēts saglabāt ikgadējo valsts budžeta finansējumu, ar kuru līdz šim ir tikušas nodrošinātas apmācības. Minētais finansējums tiks izmantots, lai iespēju robežās nodrošinātu ieviesto apmācību programmu ilgtspēju un </w:t>
      </w:r>
      <w:proofErr w:type="spellStart"/>
      <w:r w:rsidRPr="002A3C46">
        <w:rPr>
          <w:sz w:val="24"/>
          <w:szCs w:val="24"/>
          <w:lang w:val="lv-LV"/>
        </w:rPr>
        <w:t>turpinātību</w:t>
      </w:r>
      <w:proofErr w:type="spellEnd"/>
      <w:r w:rsidRPr="002A3C46">
        <w:rPr>
          <w:sz w:val="24"/>
          <w:szCs w:val="24"/>
          <w:lang w:val="lv-LV"/>
        </w:rPr>
        <w:t xml:space="preserve"> arī pēc ESF plānošanas termiņa beigām, piemēram, izstrādājot atbilstošas IKT sistēmas apmācību programmām elektroniskā vidē, kā arī veicot citus pasākumus.</w:t>
      </w:r>
    </w:p>
    <w:p w14:paraId="3702F73F" w14:textId="77777777" w:rsidR="005B2950" w:rsidRPr="002A3C46" w:rsidRDefault="005B2950" w:rsidP="002A3C46">
      <w:pPr>
        <w:pStyle w:val="Komentrateksts"/>
        <w:ind w:firstLine="720"/>
        <w:jc w:val="both"/>
        <w:rPr>
          <w:sz w:val="24"/>
          <w:szCs w:val="24"/>
          <w:lang w:val="lv-LV"/>
        </w:rPr>
      </w:pPr>
      <w:r w:rsidRPr="002A3C46">
        <w:rPr>
          <w:sz w:val="24"/>
          <w:szCs w:val="24"/>
          <w:lang w:val="lv-LV"/>
        </w:rPr>
        <w:t>Tāpat attiecīgām apmācību tēmām un pētījumiem tiks izstrādāti projekti un, ja attiecināms, piesaistīti līdzekļi no EK īpašajām programmām „</w:t>
      </w:r>
      <w:r w:rsidRPr="002A3C46">
        <w:rPr>
          <w:sz w:val="24"/>
          <w:szCs w:val="24"/>
        </w:rPr>
        <w:t>Tiesiskums”</w:t>
      </w:r>
      <w:r w:rsidRPr="002A3C46">
        <w:rPr>
          <w:sz w:val="24"/>
          <w:szCs w:val="24"/>
          <w:lang w:val="lv-LV"/>
        </w:rPr>
        <w:t xml:space="preserve"> un </w:t>
      </w:r>
      <w:r w:rsidRPr="002A3C46">
        <w:rPr>
          <w:sz w:val="24"/>
          <w:szCs w:val="24"/>
        </w:rPr>
        <w:t>„</w:t>
      </w:r>
      <w:r w:rsidRPr="002A3C46">
        <w:rPr>
          <w:rFonts w:eastAsia="Calibri"/>
          <w:bCs/>
          <w:sz w:val="24"/>
          <w:szCs w:val="24"/>
        </w:rPr>
        <w:t>Tiesības un pilsonība</w:t>
      </w:r>
      <w:r w:rsidRPr="002A3C46">
        <w:rPr>
          <w:rFonts w:eastAsia="Calibri"/>
          <w:bCs/>
          <w:sz w:val="24"/>
          <w:szCs w:val="24"/>
          <w:lang w:val="lv-LV"/>
        </w:rPr>
        <w:t>”, kā arī citiem nākotnē pieejamiem finanšu instrumentiem. Pašlaik nav informācijas par pieejamiem alternatīviem finanšu instrumentiem (piemēram, Norvēģijas finanšu instruments, Šveices programma), kas varētu tikt piesaistīti aktivitāšu īstenošanai un mērķu sasniegšanai laika periodā no 2014.-2020.gadam.</w:t>
      </w:r>
    </w:p>
    <w:p w14:paraId="07D3F2FF" w14:textId="77777777" w:rsidR="005B2950" w:rsidRPr="002A3C46" w:rsidRDefault="005B2950" w:rsidP="002A3C46">
      <w:pPr>
        <w:pStyle w:val="Komentrateksts"/>
        <w:ind w:firstLine="720"/>
        <w:jc w:val="both"/>
        <w:rPr>
          <w:sz w:val="24"/>
          <w:szCs w:val="24"/>
          <w:lang w:val="lv-LV"/>
        </w:rPr>
      </w:pPr>
      <w:r w:rsidRPr="002A3C46">
        <w:rPr>
          <w:sz w:val="24"/>
          <w:szCs w:val="24"/>
          <w:lang w:val="lv-LV"/>
        </w:rPr>
        <w:t xml:space="preserve">Ar ESF finansējumu plānots risināt visas aprakstītās problēmas, radot pamatu ilgtspējīgam tiesu varas un tiesībaizsardzības iestāžu kapacitātes celšanai. Savukārt ar nacionālo publisko finansējumu un ikgadējo valsts budžeta apmācībām paredzēto finansējumu paredzēts nodrošināt ieviesto aktivitāšu ilgtspēju un </w:t>
      </w:r>
      <w:proofErr w:type="spellStart"/>
      <w:r w:rsidRPr="002A3C46">
        <w:rPr>
          <w:sz w:val="24"/>
          <w:szCs w:val="24"/>
          <w:lang w:val="lv-LV"/>
        </w:rPr>
        <w:t>turpinātību</w:t>
      </w:r>
      <w:proofErr w:type="spellEnd"/>
      <w:r w:rsidRPr="002A3C46">
        <w:rPr>
          <w:sz w:val="24"/>
          <w:szCs w:val="24"/>
          <w:lang w:val="lv-LV"/>
        </w:rPr>
        <w:t xml:space="preserve"> arī pēc ESF plānošanas termiņa beigām, tādējādi uzturot un uzlabojot apmācību sistēmu.</w:t>
      </w:r>
    </w:p>
    <w:p w14:paraId="691DE292" w14:textId="77777777" w:rsidR="003E1F92" w:rsidRPr="002A3C46" w:rsidRDefault="003E1F92" w:rsidP="002A3C46">
      <w:pPr>
        <w:ind w:firstLine="720"/>
        <w:jc w:val="both"/>
      </w:pPr>
    </w:p>
    <w:tbl>
      <w:tblPr>
        <w:tblW w:w="9082" w:type="dxa"/>
        <w:tblLayout w:type="fixed"/>
        <w:tblCellMar>
          <w:left w:w="0" w:type="dxa"/>
          <w:right w:w="0" w:type="dxa"/>
        </w:tblCellMar>
        <w:tblLook w:val="04A0" w:firstRow="1" w:lastRow="0" w:firstColumn="1" w:lastColumn="0" w:noHBand="0" w:noVBand="1"/>
      </w:tblPr>
      <w:tblGrid>
        <w:gridCol w:w="1995"/>
        <w:gridCol w:w="709"/>
        <w:gridCol w:w="850"/>
        <w:gridCol w:w="567"/>
        <w:gridCol w:w="851"/>
        <w:gridCol w:w="425"/>
        <w:gridCol w:w="850"/>
        <w:gridCol w:w="567"/>
        <w:gridCol w:w="567"/>
        <w:gridCol w:w="426"/>
        <w:gridCol w:w="850"/>
        <w:gridCol w:w="425"/>
        <w:tblGridChange w:id="0">
          <w:tblGrid>
            <w:gridCol w:w="1995"/>
            <w:gridCol w:w="709"/>
            <w:gridCol w:w="850"/>
            <w:gridCol w:w="567"/>
            <w:gridCol w:w="851"/>
            <w:gridCol w:w="425"/>
            <w:gridCol w:w="850"/>
            <w:gridCol w:w="567"/>
            <w:gridCol w:w="567"/>
            <w:gridCol w:w="426"/>
            <w:gridCol w:w="850"/>
            <w:gridCol w:w="425"/>
          </w:tblGrid>
        </w:tblGridChange>
      </w:tblGrid>
      <w:tr w:rsidR="006C7CC3" w:rsidRPr="006B6C77" w14:paraId="71384FCB" w14:textId="77777777" w:rsidTr="00E54AD4">
        <w:trPr>
          <w:trHeight w:val="600"/>
        </w:trPr>
        <w:tc>
          <w:tcPr>
            <w:tcW w:w="1995" w:type="dxa"/>
            <w:vMerge w:val="restart"/>
            <w:tcBorders>
              <w:top w:val="single" w:sz="8" w:space="0" w:color="auto"/>
              <w:left w:val="single" w:sz="8" w:space="0" w:color="auto"/>
              <w:bottom w:val="single" w:sz="8" w:space="0" w:color="auto"/>
              <w:right w:val="single" w:sz="8" w:space="0" w:color="auto"/>
            </w:tcBorders>
            <w:shd w:val="clear" w:color="auto" w:fill="F2F2F2"/>
            <w:vAlign w:val="center"/>
          </w:tcPr>
          <w:p w14:paraId="3A89F53F" w14:textId="77777777" w:rsidR="003E1F92" w:rsidRPr="00C604EE" w:rsidRDefault="003E1F92" w:rsidP="002A3C46">
            <w:pPr>
              <w:jc w:val="both"/>
              <w:rPr>
                <w:sz w:val="18"/>
              </w:rPr>
            </w:pPr>
            <w:r w:rsidRPr="00C604EE">
              <w:rPr>
                <w:sz w:val="18"/>
              </w:rPr>
              <w:t>Aktivitāte</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F2F2F2"/>
            <w:textDirection w:val="btLr"/>
            <w:vAlign w:val="center"/>
          </w:tcPr>
          <w:p w14:paraId="5992558A" w14:textId="77777777" w:rsidR="003E1F92" w:rsidRPr="00C604EE" w:rsidRDefault="003E1F92" w:rsidP="002A3C46">
            <w:pPr>
              <w:jc w:val="both"/>
              <w:rPr>
                <w:sz w:val="18"/>
              </w:rPr>
            </w:pPr>
            <w:r w:rsidRPr="00C604EE">
              <w:rPr>
                <w:sz w:val="18"/>
              </w:rPr>
              <w:t>NAP uzdevums</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F2F2F2"/>
            <w:textDirection w:val="btLr"/>
            <w:vAlign w:val="center"/>
          </w:tcPr>
          <w:p w14:paraId="5DE87F4D" w14:textId="77777777" w:rsidR="003E1F92" w:rsidRPr="00C604EE" w:rsidRDefault="003E1F92" w:rsidP="002A3C46">
            <w:pPr>
              <w:jc w:val="both"/>
              <w:rPr>
                <w:sz w:val="18"/>
              </w:rPr>
            </w:pPr>
            <w:r w:rsidRPr="00C604EE">
              <w:rPr>
                <w:sz w:val="18"/>
              </w:rPr>
              <w:t>Kopējais finansējums</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F2F2F2"/>
            <w:vAlign w:val="center"/>
          </w:tcPr>
          <w:p w14:paraId="3B688397" w14:textId="77777777" w:rsidR="003E1F92" w:rsidRPr="00C604EE" w:rsidRDefault="003E1F92" w:rsidP="002A3C46">
            <w:pPr>
              <w:jc w:val="both"/>
              <w:rPr>
                <w:sz w:val="18"/>
              </w:rPr>
            </w:pPr>
            <w:r w:rsidRPr="00C604EE">
              <w:rPr>
                <w:sz w:val="18"/>
              </w:rPr>
              <w:t>%</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F2F2F2"/>
            <w:textDirection w:val="btLr"/>
            <w:vAlign w:val="center"/>
          </w:tcPr>
          <w:p w14:paraId="338D10CC" w14:textId="77777777" w:rsidR="003E1F92" w:rsidRPr="00C604EE" w:rsidRDefault="003E1F92" w:rsidP="002A3C46">
            <w:pPr>
              <w:jc w:val="both"/>
              <w:rPr>
                <w:sz w:val="18"/>
              </w:rPr>
            </w:pPr>
            <w:r w:rsidRPr="00C604EE">
              <w:rPr>
                <w:sz w:val="18"/>
              </w:rPr>
              <w:t>ES fondu līdz-finansējums</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F2F2F2"/>
            <w:vAlign w:val="center"/>
          </w:tcPr>
          <w:p w14:paraId="45CA2CE3" w14:textId="77777777" w:rsidR="003E1F92" w:rsidRPr="00C604EE" w:rsidRDefault="003E1F92" w:rsidP="002A3C46">
            <w:pPr>
              <w:jc w:val="both"/>
              <w:rPr>
                <w:sz w:val="18"/>
              </w:rPr>
            </w:pPr>
            <w:r w:rsidRPr="00C604EE">
              <w:rPr>
                <w:sz w:val="18"/>
              </w:rPr>
              <w:t>%</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F2F2F2"/>
            <w:textDirection w:val="btLr"/>
            <w:vAlign w:val="center"/>
          </w:tcPr>
          <w:p w14:paraId="7828E4F1" w14:textId="77777777" w:rsidR="003E1F92" w:rsidRPr="00C604EE" w:rsidRDefault="003E1F92" w:rsidP="002A3C46">
            <w:pPr>
              <w:jc w:val="both"/>
              <w:rPr>
                <w:sz w:val="18"/>
              </w:rPr>
            </w:pPr>
            <w:proofErr w:type="spellStart"/>
            <w:r w:rsidRPr="00C604EE">
              <w:rPr>
                <w:sz w:val="18"/>
              </w:rPr>
              <w:t>t.sk</w:t>
            </w:r>
            <w:proofErr w:type="spellEnd"/>
            <w:r w:rsidRPr="00C604EE">
              <w:rPr>
                <w:sz w:val="18"/>
              </w:rPr>
              <w:t>. ESF finansējums</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F2F2F2"/>
            <w:vAlign w:val="center"/>
          </w:tcPr>
          <w:p w14:paraId="53E3E1A5" w14:textId="77777777" w:rsidR="003E1F92" w:rsidRPr="00C604EE" w:rsidRDefault="003E1F92" w:rsidP="002A3C46">
            <w:pPr>
              <w:jc w:val="both"/>
              <w:rPr>
                <w:sz w:val="18"/>
              </w:rPr>
            </w:pPr>
            <w:r w:rsidRPr="00C604EE">
              <w:rPr>
                <w:sz w:val="18"/>
              </w:rPr>
              <w:t>%</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F2F2F2"/>
            <w:textDirection w:val="btLr"/>
            <w:vAlign w:val="center"/>
          </w:tcPr>
          <w:p w14:paraId="68544697" w14:textId="77777777" w:rsidR="003E1F92" w:rsidRPr="00C604EE" w:rsidRDefault="003E1F92" w:rsidP="002A3C46">
            <w:pPr>
              <w:jc w:val="both"/>
              <w:rPr>
                <w:sz w:val="18"/>
              </w:rPr>
            </w:pPr>
            <w:proofErr w:type="spellStart"/>
            <w:r w:rsidRPr="00C604EE">
              <w:rPr>
                <w:sz w:val="18"/>
              </w:rPr>
              <w:t>t.sk</w:t>
            </w:r>
            <w:proofErr w:type="spellEnd"/>
            <w:r w:rsidRPr="00C604EE">
              <w:rPr>
                <w:sz w:val="18"/>
              </w:rPr>
              <w:t>. ERAF finansējums</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F2F2F2"/>
            <w:vAlign w:val="center"/>
          </w:tcPr>
          <w:p w14:paraId="0424EBEC" w14:textId="77777777" w:rsidR="003E1F92" w:rsidRPr="00C604EE" w:rsidRDefault="003E1F92" w:rsidP="002A3C46">
            <w:pPr>
              <w:jc w:val="both"/>
              <w:rPr>
                <w:sz w:val="18"/>
              </w:rPr>
            </w:pPr>
            <w:r w:rsidRPr="00C604EE">
              <w:rPr>
                <w:sz w:val="18"/>
              </w:rPr>
              <w:t>%</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F2F2F2"/>
            <w:textDirection w:val="btLr"/>
            <w:vAlign w:val="center"/>
          </w:tcPr>
          <w:p w14:paraId="177B60C7" w14:textId="77777777" w:rsidR="003E1F92" w:rsidRPr="00C604EE" w:rsidRDefault="003E1F92" w:rsidP="002A3C46">
            <w:pPr>
              <w:jc w:val="both"/>
              <w:rPr>
                <w:sz w:val="18"/>
              </w:rPr>
            </w:pPr>
            <w:r w:rsidRPr="00C604EE">
              <w:rPr>
                <w:sz w:val="18"/>
              </w:rPr>
              <w:t>Nacionālais publiskais finansējums</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F2F2F2"/>
            <w:vAlign w:val="center"/>
          </w:tcPr>
          <w:p w14:paraId="733C73ED" w14:textId="77777777" w:rsidR="003E1F92" w:rsidRPr="00C604EE" w:rsidRDefault="003E1F92" w:rsidP="002A3C46">
            <w:pPr>
              <w:jc w:val="both"/>
              <w:rPr>
                <w:sz w:val="18"/>
              </w:rPr>
            </w:pPr>
            <w:r w:rsidRPr="00C604EE">
              <w:rPr>
                <w:sz w:val="18"/>
              </w:rPr>
              <w:t>%</w:t>
            </w:r>
          </w:p>
        </w:tc>
      </w:tr>
      <w:tr w:rsidR="006C7CC3" w:rsidRPr="006B6C77" w14:paraId="5DA46697" w14:textId="77777777" w:rsidTr="00E54AD4">
        <w:trPr>
          <w:trHeight w:val="470"/>
        </w:trPr>
        <w:tc>
          <w:tcPr>
            <w:tcW w:w="1995" w:type="dxa"/>
            <w:vMerge/>
            <w:tcBorders>
              <w:top w:val="single" w:sz="8" w:space="0" w:color="auto"/>
              <w:left w:val="single" w:sz="8" w:space="0" w:color="auto"/>
              <w:bottom w:val="single" w:sz="8" w:space="0" w:color="auto"/>
              <w:right w:val="single" w:sz="8" w:space="0" w:color="auto"/>
            </w:tcBorders>
            <w:shd w:val="clear" w:color="auto" w:fill="F2F2F2"/>
            <w:vAlign w:val="center"/>
          </w:tcPr>
          <w:p w14:paraId="185A12F6" w14:textId="77777777" w:rsidR="003E1F92" w:rsidRPr="00C604EE" w:rsidRDefault="003E1F92" w:rsidP="002A3C46">
            <w:pPr>
              <w:jc w:val="both"/>
              <w:rPr>
                <w:sz w:val="18"/>
              </w:rPr>
            </w:pPr>
          </w:p>
        </w:tc>
        <w:tc>
          <w:tcPr>
            <w:tcW w:w="709"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529636B7" w14:textId="77777777" w:rsidR="003E1F92" w:rsidRPr="00C604EE" w:rsidRDefault="003E1F92" w:rsidP="002A3C46">
            <w:pPr>
              <w:jc w:val="both"/>
              <w:rPr>
                <w:sz w:val="18"/>
              </w:rPr>
            </w:pPr>
          </w:p>
        </w:tc>
        <w:tc>
          <w:tcPr>
            <w:tcW w:w="850"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67BDF207" w14:textId="77777777" w:rsidR="003E1F92" w:rsidRPr="00C604EE" w:rsidRDefault="003E1F92" w:rsidP="002A3C46">
            <w:pPr>
              <w:jc w:val="both"/>
              <w:rPr>
                <w:sz w:val="18"/>
              </w:rPr>
            </w:pPr>
          </w:p>
        </w:tc>
        <w:tc>
          <w:tcPr>
            <w:tcW w:w="567"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7CFAF7CA" w14:textId="77777777" w:rsidR="003E1F92" w:rsidRPr="00C604EE" w:rsidRDefault="003E1F92" w:rsidP="002A3C46">
            <w:pPr>
              <w:jc w:val="both"/>
              <w:rPr>
                <w:sz w:val="18"/>
              </w:rPr>
            </w:pPr>
          </w:p>
        </w:tc>
        <w:tc>
          <w:tcPr>
            <w:tcW w:w="851"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43010D40" w14:textId="77777777" w:rsidR="003E1F92" w:rsidRPr="00C604EE" w:rsidRDefault="003E1F92" w:rsidP="002A3C46">
            <w:pPr>
              <w:jc w:val="both"/>
              <w:rPr>
                <w:sz w:val="18"/>
              </w:rPr>
            </w:pPr>
          </w:p>
        </w:tc>
        <w:tc>
          <w:tcPr>
            <w:tcW w:w="425"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1A661650" w14:textId="77777777" w:rsidR="003E1F92" w:rsidRPr="00C604EE" w:rsidRDefault="003E1F92" w:rsidP="002A3C46">
            <w:pPr>
              <w:jc w:val="both"/>
              <w:rPr>
                <w:sz w:val="18"/>
              </w:rPr>
            </w:pPr>
          </w:p>
        </w:tc>
        <w:tc>
          <w:tcPr>
            <w:tcW w:w="850"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5972A82B" w14:textId="77777777" w:rsidR="003E1F92" w:rsidRPr="00C604EE" w:rsidRDefault="003E1F92" w:rsidP="002A3C46">
            <w:pPr>
              <w:jc w:val="both"/>
              <w:rPr>
                <w:sz w:val="18"/>
              </w:rPr>
            </w:pPr>
          </w:p>
        </w:tc>
        <w:tc>
          <w:tcPr>
            <w:tcW w:w="567"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1EAA60CD" w14:textId="77777777" w:rsidR="003E1F92" w:rsidRPr="00C604EE" w:rsidRDefault="003E1F92" w:rsidP="002A3C46">
            <w:pPr>
              <w:jc w:val="both"/>
              <w:rPr>
                <w:sz w:val="18"/>
              </w:rPr>
            </w:pPr>
          </w:p>
        </w:tc>
        <w:tc>
          <w:tcPr>
            <w:tcW w:w="567"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09505086" w14:textId="77777777" w:rsidR="003E1F92" w:rsidRPr="00C604EE" w:rsidRDefault="003E1F92" w:rsidP="002A3C46">
            <w:pPr>
              <w:jc w:val="both"/>
              <w:rPr>
                <w:sz w:val="18"/>
              </w:rPr>
            </w:pPr>
          </w:p>
        </w:tc>
        <w:tc>
          <w:tcPr>
            <w:tcW w:w="426"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692DD30F" w14:textId="77777777" w:rsidR="003E1F92" w:rsidRPr="00C604EE" w:rsidRDefault="003E1F92" w:rsidP="002A3C46">
            <w:pPr>
              <w:jc w:val="both"/>
              <w:rPr>
                <w:sz w:val="18"/>
              </w:rPr>
            </w:pPr>
          </w:p>
        </w:tc>
        <w:tc>
          <w:tcPr>
            <w:tcW w:w="850"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1E06D100" w14:textId="77777777" w:rsidR="003E1F92" w:rsidRPr="00C604EE" w:rsidRDefault="003E1F92" w:rsidP="002A3C46">
            <w:pPr>
              <w:jc w:val="both"/>
              <w:rPr>
                <w:sz w:val="18"/>
              </w:rPr>
            </w:pPr>
          </w:p>
        </w:tc>
        <w:tc>
          <w:tcPr>
            <w:tcW w:w="425"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068CABB8" w14:textId="77777777" w:rsidR="003E1F92" w:rsidRPr="00C604EE" w:rsidRDefault="003E1F92" w:rsidP="002A3C46">
            <w:pPr>
              <w:jc w:val="both"/>
              <w:rPr>
                <w:sz w:val="18"/>
              </w:rPr>
            </w:pPr>
          </w:p>
        </w:tc>
      </w:tr>
      <w:tr w:rsidR="006C7CC3" w:rsidRPr="006B6C77" w14:paraId="5D277F55" w14:textId="77777777" w:rsidTr="00E54AD4">
        <w:trPr>
          <w:trHeight w:val="772"/>
        </w:trPr>
        <w:tc>
          <w:tcPr>
            <w:tcW w:w="1995" w:type="dxa"/>
            <w:vMerge/>
            <w:tcBorders>
              <w:top w:val="single" w:sz="8" w:space="0" w:color="auto"/>
              <w:left w:val="single" w:sz="8" w:space="0" w:color="auto"/>
              <w:bottom w:val="single" w:sz="8" w:space="0" w:color="auto"/>
              <w:right w:val="single" w:sz="8" w:space="0" w:color="auto"/>
            </w:tcBorders>
            <w:shd w:val="clear" w:color="auto" w:fill="F2F2F2"/>
            <w:vAlign w:val="center"/>
          </w:tcPr>
          <w:p w14:paraId="0700AA44" w14:textId="77777777" w:rsidR="003E1F92" w:rsidRPr="00C604EE" w:rsidRDefault="003E1F92" w:rsidP="002A3C46">
            <w:pPr>
              <w:jc w:val="both"/>
              <w:rPr>
                <w:sz w:val="18"/>
              </w:rPr>
            </w:pPr>
          </w:p>
        </w:tc>
        <w:tc>
          <w:tcPr>
            <w:tcW w:w="709"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3F90AC66" w14:textId="77777777" w:rsidR="003E1F92" w:rsidRPr="00C604EE" w:rsidRDefault="003E1F92" w:rsidP="002A3C46">
            <w:pPr>
              <w:jc w:val="both"/>
              <w:rPr>
                <w:sz w:val="18"/>
              </w:rPr>
            </w:pPr>
          </w:p>
        </w:tc>
        <w:tc>
          <w:tcPr>
            <w:tcW w:w="850"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2C3299A6" w14:textId="77777777" w:rsidR="003E1F92" w:rsidRPr="00C604EE" w:rsidRDefault="003E1F92" w:rsidP="002A3C46">
            <w:pPr>
              <w:jc w:val="both"/>
              <w:rPr>
                <w:sz w:val="18"/>
              </w:rPr>
            </w:pPr>
          </w:p>
        </w:tc>
        <w:tc>
          <w:tcPr>
            <w:tcW w:w="567"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2C3D51EB" w14:textId="77777777" w:rsidR="003E1F92" w:rsidRPr="00C604EE" w:rsidRDefault="003E1F92" w:rsidP="002A3C46">
            <w:pPr>
              <w:jc w:val="both"/>
              <w:rPr>
                <w:sz w:val="18"/>
              </w:rPr>
            </w:pPr>
          </w:p>
        </w:tc>
        <w:tc>
          <w:tcPr>
            <w:tcW w:w="851"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477C6B54" w14:textId="77777777" w:rsidR="003E1F92" w:rsidRPr="00C604EE" w:rsidRDefault="003E1F92" w:rsidP="002A3C46">
            <w:pPr>
              <w:jc w:val="both"/>
              <w:rPr>
                <w:sz w:val="18"/>
              </w:rPr>
            </w:pPr>
          </w:p>
        </w:tc>
        <w:tc>
          <w:tcPr>
            <w:tcW w:w="425"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0B2E4FE2" w14:textId="77777777" w:rsidR="003E1F92" w:rsidRPr="00C604EE" w:rsidRDefault="003E1F92" w:rsidP="002A3C46">
            <w:pPr>
              <w:jc w:val="both"/>
              <w:rPr>
                <w:sz w:val="18"/>
              </w:rPr>
            </w:pPr>
          </w:p>
        </w:tc>
        <w:tc>
          <w:tcPr>
            <w:tcW w:w="850"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0ABB46D4" w14:textId="77777777" w:rsidR="003E1F92" w:rsidRPr="00C604EE" w:rsidRDefault="003E1F92" w:rsidP="002A3C46">
            <w:pPr>
              <w:jc w:val="both"/>
              <w:rPr>
                <w:sz w:val="18"/>
              </w:rPr>
            </w:pPr>
          </w:p>
        </w:tc>
        <w:tc>
          <w:tcPr>
            <w:tcW w:w="567"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4D98EF8F" w14:textId="77777777" w:rsidR="003E1F92" w:rsidRPr="00C604EE" w:rsidRDefault="003E1F92" w:rsidP="002A3C46">
            <w:pPr>
              <w:jc w:val="both"/>
              <w:rPr>
                <w:sz w:val="18"/>
              </w:rPr>
            </w:pPr>
          </w:p>
        </w:tc>
        <w:tc>
          <w:tcPr>
            <w:tcW w:w="567"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7F2B11CB" w14:textId="77777777" w:rsidR="003E1F92" w:rsidRPr="00C604EE" w:rsidRDefault="003E1F92" w:rsidP="002A3C46">
            <w:pPr>
              <w:jc w:val="both"/>
              <w:rPr>
                <w:sz w:val="18"/>
              </w:rPr>
            </w:pPr>
          </w:p>
        </w:tc>
        <w:tc>
          <w:tcPr>
            <w:tcW w:w="426"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32569893" w14:textId="77777777" w:rsidR="003E1F92" w:rsidRPr="00C604EE" w:rsidRDefault="003E1F92" w:rsidP="002A3C46">
            <w:pPr>
              <w:jc w:val="both"/>
              <w:rPr>
                <w:sz w:val="18"/>
              </w:rPr>
            </w:pPr>
          </w:p>
        </w:tc>
        <w:tc>
          <w:tcPr>
            <w:tcW w:w="850"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3F281499" w14:textId="77777777" w:rsidR="003E1F92" w:rsidRPr="00C604EE" w:rsidRDefault="003E1F92" w:rsidP="002A3C46">
            <w:pPr>
              <w:jc w:val="both"/>
              <w:rPr>
                <w:sz w:val="18"/>
              </w:rPr>
            </w:pPr>
          </w:p>
        </w:tc>
        <w:tc>
          <w:tcPr>
            <w:tcW w:w="425"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7FAAF936" w14:textId="77777777" w:rsidR="003E1F92" w:rsidRPr="00C604EE" w:rsidRDefault="003E1F92" w:rsidP="002A3C46">
            <w:pPr>
              <w:jc w:val="both"/>
              <w:rPr>
                <w:sz w:val="18"/>
              </w:rPr>
            </w:pPr>
          </w:p>
        </w:tc>
      </w:tr>
      <w:tr w:rsidR="00C604EE" w:rsidRPr="006B6C77" w14:paraId="3B6DA3E0" w14:textId="77777777" w:rsidTr="00C604EE">
        <w:trPr>
          <w:trHeight w:val="885"/>
        </w:trPr>
        <w:tc>
          <w:tcPr>
            <w:tcW w:w="1995" w:type="dxa"/>
            <w:tcBorders>
              <w:top w:val="single" w:sz="8" w:space="0" w:color="auto"/>
              <w:left w:val="single" w:sz="8" w:space="0" w:color="auto"/>
              <w:bottom w:val="single" w:sz="8" w:space="0" w:color="auto"/>
              <w:right w:val="single" w:sz="8" w:space="0" w:color="000000"/>
            </w:tcBorders>
            <w:shd w:val="clear" w:color="auto" w:fill="auto"/>
          </w:tcPr>
          <w:p w14:paraId="4F4CBD50" w14:textId="77777777" w:rsidR="003E1F92" w:rsidRPr="00C604EE" w:rsidRDefault="003E1F92" w:rsidP="00B6611A">
            <w:pPr>
              <w:jc w:val="both"/>
              <w:rPr>
                <w:sz w:val="18"/>
              </w:rPr>
            </w:pPr>
            <w:r w:rsidRPr="00C604EE">
              <w:rPr>
                <w:sz w:val="18"/>
              </w:rPr>
              <w:t xml:space="preserve"> Tiesu sistēmas un tiesībsargājošo institūciju darbības un procesu uzlabošana un kapacitātes stiprināšana, </w:t>
            </w:r>
            <w:proofErr w:type="spellStart"/>
            <w:r w:rsidRPr="00C604EE">
              <w:rPr>
                <w:sz w:val="18"/>
              </w:rPr>
              <w:t>t.sk</w:t>
            </w:r>
            <w:proofErr w:type="spellEnd"/>
            <w:r w:rsidRPr="00C604EE">
              <w:rPr>
                <w:sz w:val="18"/>
              </w:rPr>
              <w:t xml:space="preserve">. nodrošinot uzņēmējdarbību atbalstošas un investīcijām labvēlīgas tiesiskās vides izveidi Latvijā. Izmeklēšanas un operatīvo darbību veicošo institūciju materiāli tehniskās un analītiskās bāzes uzlabošana, starptautiskās sadarbības kapacitātes veicināšana” darbībai „Izstrādāt vienotu tiesībaizsardzības iestāžu darbinieku kvalifikācijas celšanas sistēmu, radot pamatu kvalitatīvai un savlaicīgai lietu izmeklēšanai un </w:t>
            </w:r>
            <w:r w:rsidRPr="00C604EE">
              <w:rPr>
                <w:sz w:val="18"/>
              </w:rPr>
              <w:lastRenderedPageBreak/>
              <w:t>iztiesāšanai, tādējādi veicinot tautsaimniecības attīstību atbalstošu uzņēmējdarbības vidi, mazinot korupcijas riskus un nodrošinot ES finanšu līdzekļu likumīgu izmantošanu”</w:t>
            </w:r>
          </w:p>
        </w:tc>
        <w:tc>
          <w:tcPr>
            <w:tcW w:w="709" w:type="dxa"/>
            <w:tcBorders>
              <w:top w:val="nil"/>
              <w:left w:val="nil"/>
              <w:bottom w:val="single" w:sz="8" w:space="0" w:color="auto"/>
              <w:right w:val="single" w:sz="8" w:space="0" w:color="auto"/>
            </w:tcBorders>
            <w:shd w:val="clear" w:color="auto" w:fill="auto"/>
          </w:tcPr>
          <w:p w14:paraId="4E07934F" w14:textId="77777777" w:rsidR="003E1F92" w:rsidRPr="00C604EE" w:rsidRDefault="003E1F92" w:rsidP="00C604EE">
            <w:pPr>
              <w:jc w:val="both"/>
              <w:rPr>
                <w:sz w:val="18"/>
              </w:rPr>
            </w:pPr>
            <w:r w:rsidRPr="00C604EE">
              <w:rPr>
                <w:sz w:val="18"/>
              </w:rPr>
              <w:lastRenderedPageBreak/>
              <w:t>158.uzd.</w:t>
            </w:r>
          </w:p>
        </w:tc>
        <w:tc>
          <w:tcPr>
            <w:tcW w:w="850" w:type="dxa"/>
            <w:tcBorders>
              <w:top w:val="nil"/>
              <w:left w:val="nil"/>
              <w:bottom w:val="single" w:sz="8" w:space="0" w:color="auto"/>
              <w:right w:val="single" w:sz="8" w:space="0" w:color="auto"/>
            </w:tcBorders>
            <w:shd w:val="clear" w:color="auto" w:fill="auto"/>
            <w:noWrap/>
          </w:tcPr>
          <w:p w14:paraId="13AB1119" w14:textId="2C1E5D1E" w:rsidR="003E1F92" w:rsidRPr="00C604EE" w:rsidRDefault="00CE4D62" w:rsidP="00C604EE">
            <w:pPr>
              <w:jc w:val="both"/>
              <w:rPr>
                <w:sz w:val="18"/>
                <w:szCs w:val="18"/>
              </w:rPr>
            </w:pPr>
            <w:r w:rsidRPr="00C604EE">
              <w:rPr>
                <w:sz w:val="18"/>
                <w:szCs w:val="18"/>
              </w:rPr>
              <w:t xml:space="preserve">11 759 617 </w:t>
            </w:r>
            <w:r w:rsidR="003E1F92" w:rsidRPr="00C604EE">
              <w:rPr>
                <w:sz w:val="18"/>
                <w:szCs w:val="18"/>
              </w:rPr>
              <w:t>EUR</w:t>
            </w:r>
          </w:p>
        </w:tc>
        <w:tc>
          <w:tcPr>
            <w:tcW w:w="567" w:type="dxa"/>
            <w:tcBorders>
              <w:top w:val="nil"/>
              <w:left w:val="nil"/>
              <w:bottom w:val="single" w:sz="8" w:space="0" w:color="auto"/>
              <w:right w:val="single" w:sz="8" w:space="0" w:color="auto"/>
            </w:tcBorders>
            <w:shd w:val="clear" w:color="auto" w:fill="auto"/>
            <w:noWrap/>
          </w:tcPr>
          <w:p w14:paraId="24BBA5EE" w14:textId="77777777" w:rsidR="003E1F92" w:rsidRPr="00C604EE" w:rsidRDefault="003E1F92" w:rsidP="00C604EE">
            <w:pPr>
              <w:jc w:val="both"/>
              <w:rPr>
                <w:sz w:val="18"/>
                <w:szCs w:val="18"/>
              </w:rPr>
            </w:pPr>
            <w:r w:rsidRPr="00C604EE">
              <w:rPr>
                <w:sz w:val="18"/>
                <w:szCs w:val="18"/>
              </w:rPr>
              <w:t>100%</w:t>
            </w:r>
          </w:p>
        </w:tc>
        <w:tc>
          <w:tcPr>
            <w:tcW w:w="851" w:type="dxa"/>
            <w:tcBorders>
              <w:top w:val="nil"/>
              <w:left w:val="nil"/>
              <w:bottom w:val="single" w:sz="8" w:space="0" w:color="auto"/>
              <w:right w:val="single" w:sz="8" w:space="0" w:color="auto"/>
            </w:tcBorders>
            <w:shd w:val="clear" w:color="auto" w:fill="auto"/>
            <w:noWrap/>
          </w:tcPr>
          <w:p w14:paraId="4DD957A1" w14:textId="05B0FDAA" w:rsidR="003E1F92" w:rsidRPr="00C604EE" w:rsidRDefault="003E1F92" w:rsidP="00C604EE">
            <w:pPr>
              <w:jc w:val="both"/>
              <w:rPr>
                <w:sz w:val="18"/>
                <w:szCs w:val="18"/>
              </w:rPr>
            </w:pPr>
            <w:r w:rsidRPr="00C604EE">
              <w:rPr>
                <w:sz w:val="18"/>
                <w:szCs w:val="18"/>
              </w:rPr>
              <w:t>9 995 </w:t>
            </w:r>
            <w:r w:rsidR="00CE4D62" w:rsidRPr="00C604EE">
              <w:rPr>
                <w:sz w:val="18"/>
                <w:szCs w:val="18"/>
              </w:rPr>
              <w:t xml:space="preserve">674 </w:t>
            </w:r>
            <w:r w:rsidRPr="00C604EE">
              <w:rPr>
                <w:sz w:val="18"/>
                <w:szCs w:val="18"/>
              </w:rPr>
              <w:t xml:space="preserve">EUR </w:t>
            </w:r>
          </w:p>
        </w:tc>
        <w:tc>
          <w:tcPr>
            <w:tcW w:w="425" w:type="dxa"/>
            <w:tcBorders>
              <w:top w:val="nil"/>
              <w:left w:val="nil"/>
              <w:bottom w:val="single" w:sz="8" w:space="0" w:color="auto"/>
              <w:right w:val="single" w:sz="8" w:space="0" w:color="auto"/>
            </w:tcBorders>
            <w:shd w:val="clear" w:color="auto" w:fill="auto"/>
            <w:noWrap/>
          </w:tcPr>
          <w:p w14:paraId="26038FDC" w14:textId="77777777" w:rsidR="003E1F92" w:rsidRPr="00C604EE" w:rsidRDefault="003E1F92" w:rsidP="00C604EE">
            <w:pPr>
              <w:jc w:val="both"/>
              <w:rPr>
                <w:sz w:val="18"/>
                <w:szCs w:val="18"/>
              </w:rPr>
            </w:pPr>
            <w:r w:rsidRPr="00C604EE">
              <w:rPr>
                <w:sz w:val="18"/>
                <w:szCs w:val="18"/>
              </w:rPr>
              <w:t>85%</w:t>
            </w:r>
          </w:p>
        </w:tc>
        <w:tc>
          <w:tcPr>
            <w:tcW w:w="850" w:type="dxa"/>
            <w:tcBorders>
              <w:top w:val="nil"/>
              <w:left w:val="nil"/>
              <w:bottom w:val="single" w:sz="8" w:space="0" w:color="auto"/>
              <w:right w:val="single" w:sz="8" w:space="0" w:color="auto"/>
            </w:tcBorders>
            <w:shd w:val="clear" w:color="auto" w:fill="auto"/>
            <w:noWrap/>
          </w:tcPr>
          <w:p w14:paraId="71B2B2A0" w14:textId="72002152" w:rsidR="003E1F92" w:rsidRPr="00C604EE" w:rsidRDefault="003E1F92" w:rsidP="00C604EE">
            <w:pPr>
              <w:jc w:val="both"/>
              <w:rPr>
                <w:sz w:val="18"/>
                <w:szCs w:val="18"/>
              </w:rPr>
            </w:pPr>
            <w:r w:rsidRPr="00C604EE">
              <w:rPr>
                <w:sz w:val="18"/>
                <w:szCs w:val="18"/>
              </w:rPr>
              <w:t>9 995 </w:t>
            </w:r>
            <w:r w:rsidR="00CE4D62" w:rsidRPr="00C604EE">
              <w:rPr>
                <w:sz w:val="18"/>
                <w:szCs w:val="18"/>
              </w:rPr>
              <w:t xml:space="preserve">674 </w:t>
            </w:r>
            <w:r w:rsidRPr="00C604EE">
              <w:rPr>
                <w:sz w:val="18"/>
                <w:szCs w:val="18"/>
              </w:rPr>
              <w:t xml:space="preserve">EUR </w:t>
            </w:r>
          </w:p>
        </w:tc>
        <w:tc>
          <w:tcPr>
            <w:tcW w:w="567" w:type="dxa"/>
            <w:tcBorders>
              <w:top w:val="nil"/>
              <w:left w:val="nil"/>
              <w:bottom w:val="single" w:sz="8" w:space="0" w:color="auto"/>
              <w:right w:val="single" w:sz="8" w:space="0" w:color="auto"/>
            </w:tcBorders>
            <w:shd w:val="clear" w:color="auto" w:fill="auto"/>
            <w:noWrap/>
          </w:tcPr>
          <w:p w14:paraId="6F7B9DCE" w14:textId="77777777" w:rsidR="003E1F92" w:rsidRPr="00C604EE" w:rsidRDefault="003E1F92" w:rsidP="00C604EE">
            <w:pPr>
              <w:jc w:val="both"/>
              <w:rPr>
                <w:sz w:val="18"/>
                <w:szCs w:val="18"/>
              </w:rPr>
            </w:pPr>
            <w:r w:rsidRPr="00C604EE">
              <w:rPr>
                <w:sz w:val="18"/>
                <w:szCs w:val="18"/>
              </w:rPr>
              <w:t>100%</w:t>
            </w:r>
          </w:p>
        </w:tc>
        <w:tc>
          <w:tcPr>
            <w:tcW w:w="567" w:type="dxa"/>
            <w:tcBorders>
              <w:top w:val="nil"/>
              <w:left w:val="nil"/>
              <w:bottom w:val="single" w:sz="8" w:space="0" w:color="auto"/>
              <w:right w:val="single" w:sz="8" w:space="0" w:color="auto"/>
            </w:tcBorders>
            <w:shd w:val="clear" w:color="auto" w:fill="auto"/>
            <w:noWrap/>
          </w:tcPr>
          <w:p w14:paraId="7461E770" w14:textId="77777777" w:rsidR="003E1F92" w:rsidRPr="00C604EE" w:rsidRDefault="003E1F92" w:rsidP="00C604EE">
            <w:pPr>
              <w:jc w:val="both"/>
              <w:rPr>
                <w:sz w:val="18"/>
                <w:szCs w:val="18"/>
              </w:rPr>
            </w:pPr>
            <w:r w:rsidRPr="00C604EE">
              <w:rPr>
                <w:sz w:val="18"/>
                <w:szCs w:val="18"/>
              </w:rPr>
              <w:t>0</w:t>
            </w:r>
          </w:p>
        </w:tc>
        <w:tc>
          <w:tcPr>
            <w:tcW w:w="426" w:type="dxa"/>
            <w:tcBorders>
              <w:top w:val="nil"/>
              <w:left w:val="nil"/>
              <w:bottom w:val="single" w:sz="8" w:space="0" w:color="auto"/>
              <w:right w:val="single" w:sz="8" w:space="0" w:color="auto"/>
            </w:tcBorders>
            <w:shd w:val="clear" w:color="auto" w:fill="auto"/>
            <w:noWrap/>
          </w:tcPr>
          <w:p w14:paraId="6AF89A69" w14:textId="77777777" w:rsidR="003E1F92" w:rsidRPr="00C604EE" w:rsidRDefault="003E1F92" w:rsidP="00C604EE">
            <w:pPr>
              <w:jc w:val="both"/>
              <w:rPr>
                <w:sz w:val="18"/>
                <w:szCs w:val="18"/>
              </w:rPr>
            </w:pPr>
            <w:r w:rsidRPr="00C604EE">
              <w:rPr>
                <w:sz w:val="18"/>
                <w:szCs w:val="18"/>
              </w:rPr>
              <w:t>0%</w:t>
            </w:r>
          </w:p>
        </w:tc>
        <w:tc>
          <w:tcPr>
            <w:tcW w:w="850" w:type="dxa"/>
            <w:tcBorders>
              <w:top w:val="nil"/>
              <w:left w:val="nil"/>
              <w:bottom w:val="single" w:sz="8" w:space="0" w:color="auto"/>
              <w:right w:val="single" w:sz="8" w:space="0" w:color="auto"/>
            </w:tcBorders>
            <w:shd w:val="clear" w:color="auto" w:fill="auto"/>
            <w:noWrap/>
          </w:tcPr>
          <w:p w14:paraId="5E48AF8B" w14:textId="0A0B3A55" w:rsidR="003E1F92" w:rsidRPr="00C604EE" w:rsidRDefault="00CE4D62" w:rsidP="00C604EE">
            <w:pPr>
              <w:jc w:val="both"/>
              <w:rPr>
                <w:sz w:val="18"/>
                <w:szCs w:val="18"/>
              </w:rPr>
            </w:pPr>
            <w:r w:rsidRPr="00C604EE">
              <w:rPr>
                <w:sz w:val="18"/>
                <w:szCs w:val="18"/>
              </w:rPr>
              <w:t>1 763 943</w:t>
            </w:r>
            <w:r w:rsidR="003E1F92" w:rsidRPr="00C604EE">
              <w:rPr>
                <w:sz w:val="18"/>
                <w:szCs w:val="18"/>
              </w:rPr>
              <w:t xml:space="preserve"> EUR </w:t>
            </w:r>
          </w:p>
        </w:tc>
        <w:tc>
          <w:tcPr>
            <w:tcW w:w="425" w:type="dxa"/>
            <w:tcBorders>
              <w:top w:val="nil"/>
              <w:left w:val="nil"/>
              <w:bottom w:val="single" w:sz="8" w:space="0" w:color="auto"/>
              <w:right w:val="single" w:sz="8" w:space="0" w:color="auto"/>
            </w:tcBorders>
            <w:shd w:val="clear" w:color="auto" w:fill="auto"/>
            <w:noWrap/>
          </w:tcPr>
          <w:p w14:paraId="25835C03" w14:textId="77777777" w:rsidR="003E1F92" w:rsidRPr="00C604EE" w:rsidRDefault="003E1F92" w:rsidP="00C604EE">
            <w:pPr>
              <w:jc w:val="both"/>
              <w:rPr>
                <w:sz w:val="18"/>
              </w:rPr>
            </w:pPr>
            <w:r w:rsidRPr="00C604EE">
              <w:rPr>
                <w:sz w:val="18"/>
              </w:rPr>
              <w:t>15%</w:t>
            </w:r>
          </w:p>
        </w:tc>
      </w:tr>
    </w:tbl>
    <w:p w14:paraId="78349878" w14:textId="77777777" w:rsidR="003E1F92" w:rsidRPr="002A3C46" w:rsidRDefault="003E1F92" w:rsidP="002A3C46">
      <w:pPr>
        <w:ind w:firstLine="720"/>
        <w:jc w:val="both"/>
        <w:rPr>
          <w:b/>
        </w:rPr>
      </w:pPr>
    </w:p>
    <w:p w14:paraId="14CA3A78" w14:textId="77777777" w:rsidR="00740769" w:rsidRPr="002A3C46" w:rsidRDefault="00740769" w:rsidP="002A3C46">
      <w:pPr>
        <w:ind w:firstLine="720"/>
        <w:jc w:val="both"/>
        <w:rPr>
          <w:b/>
        </w:rPr>
      </w:pPr>
      <w:r w:rsidRPr="002A3C46">
        <w:rPr>
          <w:b/>
        </w:rPr>
        <w:t>Indikatīvā finansējuma proporcionālais sadalījums atbilstoši rīcības virzieniem</w:t>
      </w:r>
    </w:p>
    <w:tbl>
      <w:tblPr>
        <w:tblW w:w="4992"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10"/>
        <w:gridCol w:w="4676"/>
      </w:tblGrid>
      <w:tr w:rsidR="005B2950" w:rsidRPr="002A3C46" w14:paraId="1D4380A2" w14:textId="77777777" w:rsidTr="00C604EE">
        <w:trPr>
          <w:trHeight w:val="60"/>
        </w:trPr>
        <w:tc>
          <w:tcPr>
            <w:tcW w:w="2427"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2D31BF46" w14:textId="77777777" w:rsidR="003E1F92" w:rsidRPr="002A3C46" w:rsidRDefault="00EC40CD" w:rsidP="002A3C46">
            <w:pPr>
              <w:widowControl/>
              <w:autoSpaceDE/>
              <w:autoSpaceDN/>
              <w:adjustRightInd/>
              <w:jc w:val="both"/>
            </w:pPr>
            <w:r w:rsidRPr="002A3C46">
              <w:rPr>
                <w:b/>
                <w:bCs/>
              </w:rPr>
              <w:t>Rīcības virzieni</w:t>
            </w:r>
          </w:p>
        </w:tc>
        <w:tc>
          <w:tcPr>
            <w:tcW w:w="2573" w:type="pct"/>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883A450" w14:textId="77777777" w:rsidR="003E1F92" w:rsidRPr="002A3C46" w:rsidRDefault="003E1F92" w:rsidP="002A3C46">
            <w:pPr>
              <w:widowControl/>
              <w:autoSpaceDE/>
              <w:autoSpaceDN/>
              <w:adjustRightInd/>
              <w:jc w:val="both"/>
            </w:pPr>
            <w:r w:rsidRPr="002A3C46">
              <w:rPr>
                <w:b/>
                <w:bCs/>
              </w:rPr>
              <w:t>Nepieciešamais finansējums un tā avoti</w:t>
            </w:r>
            <w:r w:rsidRPr="002A3C46">
              <w:rPr>
                <w:rStyle w:val="Vresatsauce"/>
                <w:b/>
                <w:bCs/>
              </w:rPr>
              <w:footnoteReference w:id="8"/>
            </w:r>
            <w:r w:rsidRPr="002A3C46">
              <w:t xml:space="preserve"> </w:t>
            </w:r>
          </w:p>
        </w:tc>
      </w:tr>
      <w:tr w:rsidR="005B2950" w:rsidRPr="002A3C46" w14:paraId="1EF57F4C" w14:textId="77777777" w:rsidTr="00C604EE">
        <w:trPr>
          <w:trHeight w:val="60"/>
        </w:trPr>
        <w:tc>
          <w:tcPr>
            <w:tcW w:w="2427" w:type="pct"/>
            <w:tcBorders>
              <w:top w:val="single" w:sz="6" w:space="0" w:color="000000"/>
              <w:left w:val="single" w:sz="6" w:space="0" w:color="000000"/>
              <w:bottom w:val="single" w:sz="6" w:space="0" w:color="000000"/>
              <w:right w:val="single" w:sz="6" w:space="0" w:color="000000"/>
            </w:tcBorders>
            <w:vAlign w:val="center"/>
            <w:hideMark/>
          </w:tcPr>
          <w:p w14:paraId="41AA8C16" w14:textId="77777777" w:rsidR="003E1F92" w:rsidRPr="002A3C46" w:rsidRDefault="003E1F92" w:rsidP="002A3C46">
            <w:pPr>
              <w:jc w:val="both"/>
            </w:pPr>
            <w:r w:rsidRPr="002A3C46">
              <w:t>Plānveidīgi nodrošināt tiesu varas un tiesībaizsardzības iestāžu darbiniekiem nepieciešamās zināšanas, prasmes un iemaņas</w:t>
            </w:r>
            <w:r w:rsidRPr="002A3C46">
              <w:rPr>
                <w:bCs/>
              </w:rPr>
              <w:t xml:space="preserve">, izveidojot </w:t>
            </w:r>
            <w:r w:rsidRPr="002A3C46">
              <w:t xml:space="preserve">pastāvīgas uz vajadzībām bāzētas </w:t>
            </w:r>
            <w:bookmarkStart w:id="1" w:name="OLE_LINK1"/>
            <w:bookmarkStart w:id="2" w:name="OLE_LINK2"/>
            <w:r w:rsidRPr="002A3C46">
              <w:t xml:space="preserve">apmācību programmas, veicot pētījumus, izdodot rokasgrāmatas, dodoties apmaiņas braucienos </w:t>
            </w:r>
            <w:proofErr w:type="spellStart"/>
            <w:r w:rsidRPr="002A3C46">
              <w:t>u.tml</w:t>
            </w:r>
            <w:proofErr w:type="spellEnd"/>
            <w:r w:rsidRPr="002A3C46">
              <w:t>.</w:t>
            </w:r>
            <w:bookmarkEnd w:id="1"/>
            <w:bookmarkEnd w:id="2"/>
            <w:r w:rsidRPr="002A3C46">
              <w:t>;</w:t>
            </w:r>
          </w:p>
        </w:tc>
        <w:tc>
          <w:tcPr>
            <w:tcW w:w="2573" w:type="pct"/>
            <w:tcBorders>
              <w:top w:val="single" w:sz="6" w:space="0" w:color="000000"/>
              <w:left w:val="single" w:sz="6" w:space="0" w:color="000000"/>
              <w:bottom w:val="single" w:sz="6" w:space="0" w:color="000000"/>
              <w:right w:val="single" w:sz="6" w:space="0" w:color="000000"/>
            </w:tcBorders>
          </w:tcPr>
          <w:p w14:paraId="46CCFB8A" w14:textId="6BC985CD" w:rsidR="003E1F92" w:rsidRPr="002A3C46" w:rsidRDefault="00CE4D62" w:rsidP="002A3C46">
            <w:pPr>
              <w:widowControl/>
              <w:autoSpaceDE/>
              <w:autoSpaceDN/>
              <w:adjustRightInd/>
              <w:jc w:val="both"/>
            </w:pPr>
            <w:r>
              <w:t>5879808,5</w:t>
            </w:r>
            <w:r w:rsidRPr="002A3C46">
              <w:t xml:space="preserve"> </w:t>
            </w:r>
            <w:r w:rsidR="003E1F92" w:rsidRPr="002A3C46">
              <w:t>EUR</w:t>
            </w:r>
          </w:p>
          <w:p w14:paraId="40DAA4EA" w14:textId="77777777" w:rsidR="003E1F92" w:rsidRPr="002A3C46" w:rsidRDefault="003E1F92" w:rsidP="002A3C46">
            <w:pPr>
              <w:widowControl/>
              <w:autoSpaceDE/>
              <w:autoSpaceDN/>
              <w:adjustRightInd/>
              <w:jc w:val="both"/>
            </w:pPr>
            <w:r w:rsidRPr="002A3C46">
              <w:t>(50% ESF un valsts budžeta finansējums)</w:t>
            </w:r>
          </w:p>
        </w:tc>
      </w:tr>
      <w:tr w:rsidR="005B2950" w:rsidRPr="002A3C46" w14:paraId="742F3912" w14:textId="77777777" w:rsidTr="00C604EE">
        <w:trPr>
          <w:trHeight w:val="303"/>
        </w:trPr>
        <w:tc>
          <w:tcPr>
            <w:tcW w:w="2427" w:type="pct"/>
            <w:tcBorders>
              <w:top w:val="single" w:sz="6" w:space="0" w:color="000000"/>
              <w:left w:val="single" w:sz="6" w:space="0" w:color="000000"/>
              <w:bottom w:val="single" w:sz="6" w:space="0" w:color="000000"/>
              <w:right w:val="single" w:sz="6" w:space="0" w:color="000000"/>
            </w:tcBorders>
          </w:tcPr>
          <w:p w14:paraId="4B215BBA" w14:textId="77777777" w:rsidR="003E1F92" w:rsidRPr="002A3C46" w:rsidRDefault="003E1F92" w:rsidP="002A3C46">
            <w:pPr>
              <w:jc w:val="both"/>
            </w:pPr>
            <w:r w:rsidRPr="002A3C46">
              <w:t>Efektīva cilvēkresursu izmantošana</w:t>
            </w:r>
          </w:p>
        </w:tc>
        <w:tc>
          <w:tcPr>
            <w:tcW w:w="2573" w:type="pct"/>
            <w:tcBorders>
              <w:top w:val="single" w:sz="6" w:space="0" w:color="000000"/>
              <w:left w:val="single" w:sz="6" w:space="0" w:color="000000"/>
              <w:bottom w:val="single" w:sz="6" w:space="0" w:color="000000"/>
              <w:right w:val="single" w:sz="6" w:space="0" w:color="000000"/>
            </w:tcBorders>
          </w:tcPr>
          <w:p w14:paraId="59C8D598" w14:textId="2D1EE8C8" w:rsidR="003E1F92" w:rsidRPr="002A3C46" w:rsidRDefault="00AC09C7" w:rsidP="002A3C46">
            <w:pPr>
              <w:widowControl/>
              <w:autoSpaceDE/>
              <w:autoSpaceDN/>
              <w:adjustRightInd/>
              <w:jc w:val="both"/>
            </w:pPr>
            <w:r>
              <w:t>1763942,55</w:t>
            </w:r>
            <w:r w:rsidRPr="002A3C46">
              <w:t xml:space="preserve"> </w:t>
            </w:r>
            <w:r w:rsidR="003E1F92" w:rsidRPr="002A3C46">
              <w:t>EUR</w:t>
            </w:r>
          </w:p>
          <w:p w14:paraId="08B71F0F" w14:textId="77777777" w:rsidR="003E1F92" w:rsidRPr="002A3C46" w:rsidRDefault="003E1F92" w:rsidP="002A3C46">
            <w:pPr>
              <w:widowControl/>
              <w:autoSpaceDE/>
              <w:autoSpaceDN/>
              <w:adjustRightInd/>
              <w:jc w:val="both"/>
            </w:pPr>
            <w:r w:rsidRPr="002A3C46">
              <w:t>(15% ESF un valsts budžeta finansējums)</w:t>
            </w:r>
          </w:p>
        </w:tc>
      </w:tr>
      <w:tr w:rsidR="005B2950" w:rsidRPr="002A3C46" w14:paraId="7C1505AE" w14:textId="77777777" w:rsidTr="00C604EE">
        <w:trPr>
          <w:trHeight w:val="303"/>
        </w:trPr>
        <w:tc>
          <w:tcPr>
            <w:tcW w:w="2427" w:type="pct"/>
            <w:tcBorders>
              <w:top w:val="single" w:sz="6" w:space="0" w:color="000000"/>
              <w:left w:val="single" w:sz="6" w:space="0" w:color="000000"/>
              <w:bottom w:val="single" w:sz="6" w:space="0" w:color="000000"/>
              <w:right w:val="single" w:sz="6" w:space="0" w:color="000000"/>
            </w:tcBorders>
          </w:tcPr>
          <w:p w14:paraId="52AD5156" w14:textId="77777777" w:rsidR="003E1F92" w:rsidRPr="002A3C46" w:rsidRDefault="00740769" w:rsidP="002A3C46">
            <w:pPr>
              <w:jc w:val="both"/>
            </w:pPr>
            <w:r w:rsidRPr="002A3C46">
              <w:t>Tiesu noslodzes jautājumu risināšana, veicinot alternatīvo domstarpību risināšanas (ADR) veidu izmantošanu</w:t>
            </w:r>
          </w:p>
        </w:tc>
        <w:tc>
          <w:tcPr>
            <w:tcW w:w="2573" w:type="pct"/>
            <w:tcBorders>
              <w:top w:val="single" w:sz="6" w:space="0" w:color="000000"/>
              <w:left w:val="single" w:sz="6" w:space="0" w:color="000000"/>
              <w:bottom w:val="single" w:sz="6" w:space="0" w:color="000000"/>
              <w:right w:val="single" w:sz="6" w:space="0" w:color="000000"/>
            </w:tcBorders>
          </w:tcPr>
          <w:p w14:paraId="5E163C5D" w14:textId="15D51C4C" w:rsidR="003E1F92" w:rsidRPr="002A3C46" w:rsidRDefault="00AC09C7" w:rsidP="002A3C46">
            <w:pPr>
              <w:widowControl/>
              <w:autoSpaceDE/>
              <w:autoSpaceDN/>
              <w:adjustRightInd/>
              <w:jc w:val="both"/>
            </w:pPr>
            <w:r>
              <w:t>587980,85</w:t>
            </w:r>
            <w:r w:rsidRPr="002A3C46">
              <w:t xml:space="preserve"> </w:t>
            </w:r>
            <w:r w:rsidR="003E1F92" w:rsidRPr="002A3C46">
              <w:t>EUR</w:t>
            </w:r>
          </w:p>
          <w:p w14:paraId="161699C0" w14:textId="77777777" w:rsidR="003E1F92" w:rsidRPr="002A3C46" w:rsidRDefault="003E1F92" w:rsidP="002A3C46">
            <w:pPr>
              <w:widowControl/>
              <w:autoSpaceDE/>
              <w:autoSpaceDN/>
              <w:adjustRightInd/>
              <w:jc w:val="both"/>
            </w:pPr>
            <w:r w:rsidRPr="002A3C46">
              <w:t>(5% ESF un valsts budžeta finansējums)</w:t>
            </w:r>
          </w:p>
        </w:tc>
      </w:tr>
      <w:tr w:rsidR="005B2950" w:rsidRPr="002A3C46" w14:paraId="46DE59FC" w14:textId="77777777" w:rsidTr="00C604EE">
        <w:trPr>
          <w:trHeight w:val="303"/>
        </w:trPr>
        <w:tc>
          <w:tcPr>
            <w:tcW w:w="2427" w:type="pct"/>
            <w:tcBorders>
              <w:top w:val="single" w:sz="6" w:space="0" w:color="000000"/>
              <w:left w:val="single" w:sz="6" w:space="0" w:color="000000"/>
              <w:bottom w:val="single" w:sz="6" w:space="0" w:color="000000"/>
              <w:right w:val="single" w:sz="6" w:space="0" w:color="000000"/>
            </w:tcBorders>
          </w:tcPr>
          <w:p w14:paraId="4D87E77C" w14:textId="77777777" w:rsidR="003E1F92" w:rsidRPr="002A3C46" w:rsidRDefault="003E1F92" w:rsidP="002A3C46">
            <w:pPr>
              <w:jc w:val="both"/>
            </w:pPr>
            <w:r w:rsidRPr="002A3C46">
              <w:t>Uz pētījumiem un izvērtējumu balstīta politikas īstenošana un cilvēkresursu attīstības plānošana</w:t>
            </w:r>
          </w:p>
        </w:tc>
        <w:tc>
          <w:tcPr>
            <w:tcW w:w="2573" w:type="pct"/>
            <w:tcBorders>
              <w:top w:val="single" w:sz="6" w:space="0" w:color="000000"/>
              <w:left w:val="single" w:sz="6" w:space="0" w:color="000000"/>
              <w:bottom w:val="single" w:sz="6" w:space="0" w:color="000000"/>
              <w:right w:val="single" w:sz="6" w:space="0" w:color="000000"/>
            </w:tcBorders>
          </w:tcPr>
          <w:p w14:paraId="71C862E0" w14:textId="2BAB48B5" w:rsidR="003E1F92" w:rsidRPr="002A3C46" w:rsidRDefault="00AC09C7" w:rsidP="002A3C46">
            <w:pPr>
              <w:widowControl/>
              <w:autoSpaceDE/>
              <w:autoSpaceDN/>
              <w:adjustRightInd/>
              <w:jc w:val="both"/>
            </w:pPr>
            <w:r>
              <w:t>3527885,1</w:t>
            </w:r>
            <w:r w:rsidRPr="002A3C46">
              <w:t xml:space="preserve"> </w:t>
            </w:r>
            <w:r w:rsidR="003E1F92" w:rsidRPr="002A3C46">
              <w:t>EUR</w:t>
            </w:r>
          </w:p>
          <w:p w14:paraId="2F861B9E" w14:textId="77777777" w:rsidR="003E1F92" w:rsidRPr="002A3C46" w:rsidRDefault="003E1F92" w:rsidP="002A3C46">
            <w:pPr>
              <w:widowControl/>
              <w:autoSpaceDE/>
              <w:autoSpaceDN/>
              <w:adjustRightInd/>
              <w:jc w:val="both"/>
            </w:pPr>
            <w:r w:rsidRPr="002A3C46">
              <w:t>(30% ESF un valsts budžeta finansējums)</w:t>
            </w:r>
          </w:p>
        </w:tc>
      </w:tr>
    </w:tbl>
    <w:p w14:paraId="5B2EED5D" w14:textId="77777777" w:rsidR="00CC4C1B" w:rsidRDefault="00CC4C1B" w:rsidP="002A3C46">
      <w:pPr>
        <w:ind w:firstLine="720"/>
        <w:jc w:val="both"/>
        <w:rPr>
          <w:b/>
        </w:rPr>
      </w:pPr>
    </w:p>
    <w:p w14:paraId="3254FA4D" w14:textId="77777777" w:rsidR="003E1F92" w:rsidRPr="002A3C46" w:rsidRDefault="00B14425" w:rsidP="002A3C46">
      <w:pPr>
        <w:ind w:firstLine="720"/>
        <w:jc w:val="both"/>
      </w:pPr>
      <w:r w:rsidRPr="002A3C46">
        <w:rPr>
          <w:b/>
        </w:rPr>
        <w:t>Plāna</w:t>
      </w:r>
      <w:r w:rsidR="003E1F92" w:rsidRPr="002A3C46">
        <w:rPr>
          <w:b/>
        </w:rPr>
        <w:t xml:space="preserve"> uzdevumu realizācijā iesaistītie partneri (mērķauditoriju profesionālās organizācijas un institūcijas): </w:t>
      </w:r>
      <w:r w:rsidR="003E1F92" w:rsidRPr="002A3C46">
        <w:t>tiesībaizsardzības iestāžu darbinieku kvalifikācijas paaugstināšanā kā partneri tiek piesaistītas atbildīgās institūcijas: TM, ĢP, IeM (VP), VTEB, izmeklēšanas iestādes, apmācības nodrošinoša organizācija, Augstākā tiesa un Tieslietu padome.</w:t>
      </w:r>
    </w:p>
    <w:p w14:paraId="01133CEF" w14:textId="77777777" w:rsidR="005F344D" w:rsidRPr="002A3C46" w:rsidRDefault="003E1F92" w:rsidP="002A3C46">
      <w:pPr>
        <w:ind w:firstLine="720"/>
        <w:jc w:val="both"/>
      </w:pPr>
      <w:r w:rsidRPr="002A3C46">
        <w:rPr>
          <w:b/>
        </w:rPr>
        <w:t>Plān</w:t>
      </w:r>
      <w:r w:rsidR="005F344D" w:rsidRPr="002A3C46">
        <w:rPr>
          <w:b/>
        </w:rPr>
        <w:t xml:space="preserve">a realizācijas partneri: </w:t>
      </w:r>
      <w:r w:rsidR="005F344D" w:rsidRPr="002A3C46">
        <w:t>ĢP, IeM, VTEB, Augstākā tiesa.</w:t>
      </w:r>
    </w:p>
    <w:p w14:paraId="5A1551F2" w14:textId="77777777" w:rsidR="003E1F92" w:rsidRPr="002A3C46" w:rsidRDefault="00B14425" w:rsidP="002A3C46">
      <w:pPr>
        <w:ind w:firstLine="720"/>
        <w:jc w:val="both"/>
      </w:pPr>
      <w:r w:rsidRPr="002A3C46">
        <w:rPr>
          <w:b/>
        </w:rPr>
        <w:t>Plāna</w:t>
      </w:r>
      <w:r w:rsidR="003E1F92" w:rsidRPr="002A3C46">
        <w:rPr>
          <w:b/>
        </w:rPr>
        <w:t xml:space="preserve"> uzdevumu realizācijai atbalstāmā </w:t>
      </w:r>
      <w:proofErr w:type="spellStart"/>
      <w:r w:rsidR="003E1F92" w:rsidRPr="002A3C46">
        <w:rPr>
          <w:b/>
        </w:rPr>
        <w:t>mērķteritorija</w:t>
      </w:r>
      <w:proofErr w:type="spellEnd"/>
      <w:r w:rsidR="003E1F92" w:rsidRPr="002A3C46">
        <w:t xml:space="preserve"> – visa Latvija.</w:t>
      </w:r>
    </w:p>
    <w:p w14:paraId="7EF5A8CC" w14:textId="77777777" w:rsidR="003E1F92" w:rsidRPr="002A3C46" w:rsidRDefault="003E1F92" w:rsidP="002A3C46">
      <w:pPr>
        <w:ind w:firstLine="720"/>
        <w:jc w:val="both"/>
      </w:pPr>
      <w:r w:rsidRPr="002A3C46">
        <w:rPr>
          <w:b/>
        </w:rPr>
        <w:t>ESF piešķirtā finansējuma administrators</w:t>
      </w:r>
      <w:r w:rsidRPr="002A3C46">
        <w:t xml:space="preserve"> – TA.</w:t>
      </w:r>
    </w:p>
    <w:p w14:paraId="31599764" w14:textId="77777777" w:rsidR="003E1F92" w:rsidRDefault="003E1F92" w:rsidP="002A3C46">
      <w:pPr>
        <w:ind w:firstLine="720"/>
        <w:jc w:val="both"/>
      </w:pPr>
    </w:p>
    <w:p w14:paraId="5511A5C7" w14:textId="40E095A5" w:rsidR="003E1F92" w:rsidRPr="002A3C46" w:rsidRDefault="003E1F92" w:rsidP="00C604EE">
      <w:pPr>
        <w:tabs>
          <w:tab w:val="right" w:pos="9072"/>
        </w:tabs>
        <w:ind w:firstLine="720"/>
        <w:jc w:val="both"/>
      </w:pPr>
      <w:r w:rsidRPr="002A3C46">
        <w:t>Tieslietu ministrs</w:t>
      </w:r>
      <w:r w:rsidRPr="002A3C46">
        <w:tab/>
        <w:t>Dz</w:t>
      </w:r>
      <w:r w:rsidR="00E54AD4">
        <w:t xml:space="preserve">intars </w:t>
      </w:r>
      <w:r w:rsidRPr="002A3C46">
        <w:t>Rasnačs</w:t>
      </w:r>
    </w:p>
    <w:p w14:paraId="2111A3F4" w14:textId="77777777" w:rsidR="003E1F92" w:rsidRPr="002A3C46" w:rsidRDefault="003E1F92" w:rsidP="002A3C46">
      <w:pPr>
        <w:ind w:firstLine="720"/>
        <w:jc w:val="both"/>
      </w:pPr>
    </w:p>
    <w:p w14:paraId="3CCB8741" w14:textId="7EA82E48" w:rsidR="003E1F92" w:rsidRPr="002A3C46" w:rsidRDefault="00090956" w:rsidP="002A3C46">
      <w:pPr>
        <w:pStyle w:val="Pamatteksts2"/>
        <w:spacing w:after="0" w:line="240" w:lineRule="auto"/>
        <w:jc w:val="both"/>
        <w:rPr>
          <w:sz w:val="20"/>
        </w:rPr>
      </w:pPr>
      <w:r>
        <w:rPr>
          <w:sz w:val="20"/>
        </w:rPr>
        <w:t>2</w:t>
      </w:r>
      <w:r w:rsidR="00FC5F64">
        <w:rPr>
          <w:sz w:val="20"/>
        </w:rPr>
        <w:t>6</w:t>
      </w:r>
      <w:r w:rsidR="008B5C5D" w:rsidRPr="002A3C46">
        <w:rPr>
          <w:sz w:val="20"/>
        </w:rPr>
        <w:t>.01.2015.</w:t>
      </w:r>
      <w:r w:rsidR="003E1F92" w:rsidRPr="002A3C46">
        <w:rPr>
          <w:sz w:val="20"/>
        </w:rPr>
        <w:t xml:space="preserve"> </w:t>
      </w:r>
      <w:r w:rsidR="00FC5F64">
        <w:rPr>
          <w:sz w:val="20"/>
        </w:rPr>
        <w:t>1</w:t>
      </w:r>
      <w:r w:rsidR="00C604EE">
        <w:rPr>
          <w:sz w:val="20"/>
        </w:rPr>
        <w:t>6</w:t>
      </w:r>
      <w:r w:rsidR="00CC4C1B">
        <w:rPr>
          <w:sz w:val="20"/>
        </w:rPr>
        <w:t>:</w:t>
      </w:r>
      <w:r w:rsidR="00C604EE">
        <w:rPr>
          <w:sz w:val="20"/>
        </w:rPr>
        <w:t>0</w:t>
      </w:r>
      <w:r w:rsidR="00D96852">
        <w:rPr>
          <w:sz w:val="20"/>
        </w:rPr>
        <w:t>6</w:t>
      </w:r>
      <w:bookmarkStart w:id="3" w:name="_GoBack"/>
      <w:bookmarkEnd w:id="3"/>
    </w:p>
    <w:p w14:paraId="6710AA9E" w14:textId="5B529B87" w:rsidR="003E1F92" w:rsidRPr="002A3C46" w:rsidRDefault="00106A7C" w:rsidP="002A3C46">
      <w:pPr>
        <w:pStyle w:val="Pamatteksts2"/>
        <w:spacing w:after="0" w:line="240" w:lineRule="auto"/>
        <w:jc w:val="both"/>
        <w:rPr>
          <w:sz w:val="20"/>
        </w:rPr>
      </w:pPr>
      <w:r>
        <w:rPr>
          <w:sz w:val="20"/>
        </w:rPr>
        <w:t>33</w:t>
      </w:r>
      <w:r w:rsidR="00C604EE">
        <w:rPr>
          <w:sz w:val="20"/>
        </w:rPr>
        <w:t>69</w:t>
      </w:r>
    </w:p>
    <w:p w14:paraId="056E5FB8" w14:textId="77777777" w:rsidR="003E1F92" w:rsidRPr="002A3C46" w:rsidRDefault="00A16854" w:rsidP="002A3C46">
      <w:pPr>
        <w:pStyle w:val="Pamatteksts2"/>
        <w:spacing w:after="0" w:line="240" w:lineRule="auto"/>
        <w:jc w:val="both"/>
        <w:rPr>
          <w:sz w:val="20"/>
        </w:rPr>
      </w:pPr>
      <w:r>
        <w:rPr>
          <w:sz w:val="20"/>
        </w:rPr>
        <w:t>I. </w:t>
      </w:r>
      <w:proofErr w:type="spellStart"/>
      <w:r>
        <w:rPr>
          <w:sz w:val="20"/>
        </w:rPr>
        <w:t>Zača</w:t>
      </w:r>
      <w:proofErr w:type="spellEnd"/>
    </w:p>
    <w:p w14:paraId="765AD408" w14:textId="77777777" w:rsidR="004A4BCC" w:rsidRDefault="003E1F92" w:rsidP="002A3C46">
      <w:pPr>
        <w:pStyle w:val="Pamatteksts2"/>
        <w:spacing w:after="0" w:line="240" w:lineRule="auto"/>
        <w:jc w:val="both"/>
        <w:rPr>
          <w:sz w:val="20"/>
        </w:rPr>
      </w:pPr>
      <w:r w:rsidRPr="002A3C46">
        <w:rPr>
          <w:sz w:val="20"/>
        </w:rPr>
        <w:t>670368</w:t>
      </w:r>
      <w:r w:rsidR="00A16854">
        <w:rPr>
          <w:sz w:val="20"/>
        </w:rPr>
        <w:t>30</w:t>
      </w:r>
      <w:r w:rsidRPr="002A3C46">
        <w:rPr>
          <w:sz w:val="20"/>
        </w:rPr>
        <w:t xml:space="preserve">, </w:t>
      </w:r>
      <w:hyperlink r:id="rId9" w:history="1">
        <w:r w:rsidR="00A16854" w:rsidRPr="00D040CF">
          <w:rPr>
            <w:rStyle w:val="Hipersaite"/>
            <w:sz w:val="20"/>
          </w:rPr>
          <w:t>Inese.Zaca@tm.gov.lv</w:t>
        </w:r>
      </w:hyperlink>
    </w:p>
    <w:p w14:paraId="15852DF8" w14:textId="77777777" w:rsidR="00A16854" w:rsidRDefault="00A16854" w:rsidP="002A3C46">
      <w:pPr>
        <w:pStyle w:val="Pamatteksts2"/>
        <w:spacing w:after="0" w:line="240" w:lineRule="auto"/>
        <w:jc w:val="both"/>
        <w:rPr>
          <w:sz w:val="20"/>
        </w:rPr>
      </w:pPr>
    </w:p>
    <w:p w14:paraId="31414EB3" w14:textId="77777777" w:rsidR="00A16854" w:rsidRDefault="00A16854" w:rsidP="002A3C46">
      <w:pPr>
        <w:pStyle w:val="Pamatteksts2"/>
        <w:spacing w:after="0" w:line="240" w:lineRule="auto"/>
        <w:jc w:val="both"/>
        <w:rPr>
          <w:sz w:val="20"/>
        </w:rPr>
      </w:pPr>
      <w:r>
        <w:rPr>
          <w:sz w:val="20"/>
        </w:rPr>
        <w:t>K. </w:t>
      </w:r>
      <w:proofErr w:type="spellStart"/>
      <w:r>
        <w:rPr>
          <w:sz w:val="20"/>
        </w:rPr>
        <w:t>Bajāre-Grīnberga</w:t>
      </w:r>
      <w:proofErr w:type="spellEnd"/>
    </w:p>
    <w:p w14:paraId="3174E712" w14:textId="77777777" w:rsidR="00A16854" w:rsidRPr="00A16854" w:rsidRDefault="00A16854" w:rsidP="002A3C46">
      <w:pPr>
        <w:pStyle w:val="Pamatteksts2"/>
        <w:spacing w:after="0" w:line="240" w:lineRule="auto"/>
        <w:jc w:val="both"/>
        <w:rPr>
          <w:sz w:val="20"/>
        </w:rPr>
      </w:pPr>
      <w:r>
        <w:rPr>
          <w:sz w:val="20"/>
        </w:rPr>
        <w:t xml:space="preserve">67036775, </w:t>
      </w:r>
      <w:hyperlink r:id="rId10" w:history="1">
        <w:r w:rsidR="00B82976" w:rsidRPr="00741675">
          <w:rPr>
            <w:rStyle w:val="Hipersaite"/>
            <w:sz w:val="20"/>
          </w:rPr>
          <w:t>Kintija.Bajare-Grinberga@tm.gov.lv</w:t>
        </w:r>
      </w:hyperlink>
    </w:p>
    <w:sectPr w:rsidR="00A16854" w:rsidRPr="00A16854" w:rsidSect="00C604EE">
      <w:headerReference w:type="default" r:id="rId11"/>
      <w:footerReference w:type="defaul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03BE3" w14:textId="77777777" w:rsidR="00C604EE" w:rsidRDefault="00C604EE" w:rsidP="00495BC3">
      <w:r>
        <w:separator/>
      </w:r>
    </w:p>
  </w:endnote>
  <w:endnote w:type="continuationSeparator" w:id="0">
    <w:p w14:paraId="6341A9C0" w14:textId="77777777" w:rsidR="00C604EE" w:rsidRDefault="00C604EE" w:rsidP="00495BC3">
      <w:r>
        <w:continuationSeparator/>
      </w:r>
    </w:p>
  </w:endnote>
  <w:endnote w:type="continuationNotice" w:id="1">
    <w:p w14:paraId="67CA6669" w14:textId="77777777" w:rsidR="00C604EE" w:rsidRDefault="00C60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61A7" w14:textId="296852B1" w:rsidR="00C604EE" w:rsidRPr="00DE7287" w:rsidRDefault="00C604EE" w:rsidP="00DE7287">
    <w:pPr>
      <w:tabs>
        <w:tab w:val="left" w:pos="142"/>
      </w:tabs>
      <w:jc w:val="both"/>
      <w:rPr>
        <w:sz w:val="22"/>
      </w:rPr>
    </w:pPr>
    <w:r w:rsidRPr="00DE7287">
      <w:rPr>
        <w:sz w:val="22"/>
      </w:rPr>
      <w:t>TMPlans_</w:t>
    </w:r>
    <w:r>
      <w:rPr>
        <w:sz w:val="22"/>
      </w:rPr>
      <w:t>260115</w:t>
    </w:r>
    <w:r w:rsidRPr="00DE7287">
      <w:rPr>
        <w:sz w:val="22"/>
      </w:rPr>
      <w:t>_ESF; Tiesu varas un tiesībaizsardzības iestāžu darbinieku cilvēkresursu kapacitātes stiprināšanas un kompetenču attīstīšanas plāns 201</w:t>
    </w:r>
    <w:r>
      <w:rPr>
        <w:sz w:val="22"/>
      </w:rPr>
      <w:t>5</w:t>
    </w:r>
    <w:r w:rsidRPr="00DE7287">
      <w:rPr>
        <w:sz w:val="22"/>
      </w:rPr>
      <w:t>.-</w:t>
    </w:r>
    <w:proofErr w:type="gramStart"/>
    <w:r w:rsidRPr="00DE7287">
      <w:rPr>
        <w:sz w:val="22"/>
      </w:rPr>
      <w:t>2020.gadam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62747" w14:textId="77777777" w:rsidR="00C604EE" w:rsidRDefault="00C604EE" w:rsidP="00495BC3">
      <w:r>
        <w:separator/>
      </w:r>
    </w:p>
  </w:footnote>
  <w:footnote w:type="continuationSeparator" w:id="0">
    <w:p w14:paraId="359D2EE5" w14:textId="77777777" w:rsidR="00C604EE" w:rsidRDefault="00C604EE" w:rsidP="00495BC3">
      <w:r>
        <w:continuationSeparator/>
      </w:r>
    </w:p>
  </w:footnote>
  <w:footnote w:type="continuationNotice" w:id="1">
    <w:p w14:paraId="2EA18BDB" w14:textId="77777777" w:rsidR="00C604EE" w:rsidRDefault="00C604EE"/>
  </w:footnote>
  <w:footnote w:id="2">
    <w:p w14:paraId="6CD1604C" w14:textId="77777777" w:rsidR="00C604EE" w:rsidRPr="002A3C46" w:rsidRDefault="00C604EE" w:rsidP="00A127EE">
      <w:pPr>
        <w:pStyle w:val="Vresteksts"/>
        <w:jc w:val="both"/>
        <w:rPr>
          <w:rFonts w:ascii="Times New Roman" w:hAnsi="Times New Roman"/>
          <w:lang w:val="lv-LV"/>
        </w:rPr>
      </w:pPr>
      <w:r w:rsidRPr="002A3C46">
        <w:rPr>
          <w:rStyle w:val="Vresatsauce"/>
          <w:rFonts w:ascii="Times New Roman" w:hAnsi="Times New Roman"/>
        </w:rPr>
        <w:footnoteRef/>
      </w:r>
      <w:r w:rsidRPr="002A3C46">
        <w:rPr>
          <w:rFonts w:ascii="Times New Roman" w:hAnsi="Times New Roman"/>
        </w:rPr>
        <w:t xml:space="preserve"> </w:t>
      </w:r>
      <w:r w:rsidRPr="002A3C46">
        <w:rPr>
          <w:rFonts w:ascii="Times New Roman" w:hAnsi="Times New Roman"/>
          <w:lang w:val="lv-LV"/>
        </w:rPr>
        <w:t>Šeit un t</w:t>
      </w:r>
      <w:proofErr w:type="spellStart"/>
      <w:r w:rsidRPr="002A3C46">
        <w:rPr>
          <w:rFonts w:ascii="Times New Roman" w:hAnsi="Times New Roman"/>
        </w:rPr>
        <w:t>urpmāk</w:t>
      </w:r>
      <w:proofErr w:type="spellEnd"/>
      <w:r w:rsidRPr="002A3C46">
        <w:rPr>
          <w:rFonts w:ascii="Times New Roman" w:hAnsi="Times New Roman"/>
        </w:rPr>
        <w:t xml:space="preserve"> </w:t>
      </w:r>
      <w:r>
        <w:rPr>
          <w:rFonts w:ascii="Times New Roman" w:hAnsi="Times New Roman"/>
          <w:lang w:val="lv-LV"/>
        </w:rPr>
        <w:t>p</w:t>
      </w:r>
      <w:r w:rsidRPr="002A3C46">
        <w:rPr>
          <w:rFonts w:ascii="Times New Roman" w:hAnsi="Times New Roman"/>
          <w:lang w:val="lv-LV"/>
        </w:rPr>
        <w:t xml:space="preserve">lānā </w:t>
      </w:r>
      <w:r w:rsidRPr="002A3C46">
        <w:rPr>
          <w:rFonts w:ascii="Times New Roman" w:hAnsi="Times New Roman"/>
        </w:rPr>
        <w:t>ar vārdiem „</w:t>
      </w:r>
      <w:r w:rsidRPr="002A3C46">
        <w:rPr>
          <w:rFonts w:ascii="Times New Roman" w:hAnsi="Times New Roman"/>
          <w:lang w:val="lv-LV"/>
        </w:rPr>
        <w:t xml:space="preserve">tiesu un </w:t>
      </w:r>
      <w:r w:rsidRPr="002A3C46">
        <w:rPr>
          <w:rFonts w:ascii="Times New Roman" w:hAnsi="Times New Roman"/>
        </w:rPr>
        <w:t>tiesībaizsardzības iestāžu darbinieki” tiek saprast</w:t>
      </w:r>
      <w:r w:rsidRPr="002A3C46">
        <w:rPr>
          <w:rFonts w:ascii="Times New Roman" w:hAnsi="Times New Roman"/>
          <w:lang w:val="lv-LV"/>
        </w:rPr>
        <w:t xml:space="preserve">as </w:t>
      </w:r>
      <w:r w:rsidRPr="002A3C46">
        <w:rPr>
          <w:rFonts w:ascii="Times New Roman" w:hAnsi="Times New Roman"/>
        </w:rPr>
        <w:t>amatā ieceltas vai ievēlētas tiesībaizsardzības iestāžu amatpersonas, neatkarīgi no to juridiskā statusa</w:t>
      </w:r>
      <w:r w:rsidRPr="002A3C46">
        <w:rPr>
          <w:rFonts w:ascii="Times New Roman" w:hAnsi="Times New Roman"/>
          <w:lang w:val="lv-LV"/>
        </w:rPr>
        <w:t>, kas piesaistītas tiesu varas realizācijai Latvijā, proti, tiesneši, dažāda līmeņa izmeklētāji pirmstiesas procesā, specializēto struktūrvienību izmeklētāji pirmstiesas procesā, prokurori</w:t>
      </w:r>
      <w:r w:rsidRPr="002A3C46">
        <w:rPr>
          <w:rFonts w:ascii="Times New Roman" w:hAnsi="Times New Roman"/>
        </w:rPr>
        <w:t>.</w:t>
      </w:r>
      <w:r w:rsidRPr="002A3C46">
        <w:rPr>
          <w:rFonts w:ascii="Times New Roman" w:hAnsi="Times New Roman"/>
          <w:lang w:val="lv-LV"/>
        </w:rPr>
        <w:t xml:space="preserve"> Mērķauditorija aptver arī tiesu sistēmai piederīgās profesijas: zvērinātus tiesu izpildītājus, zvērinātus notārus, zvērinātus advokātus, maksātnespējas administratorus, šķīrējtiesnešus un sertificētus mediatorus.</w:t>
      </w:r>
    </w:p>
  </w:footnote>
  <w:footnote w:id="3">
    <w:p w14:paraId="37683DBE" w14:textId="77777777" w:rsidR="00C604EE" w:rsidRPr="002A3C46" w:rsidRDefault="00C604EE" w:rsidP="00680537">
      <w:pPr>
        <w:pStyle w:val="Vresteksts"/>
        <w:jc w:val="both"/>
        <w:rPr>
          <w:rFonts w:ascii="Times New Roman" w:hAnsi="Times New Roman"/>
          <w:lang w:val="lv-LV"/>
        </w:rPr>
      </w:pPr>
      <w:r w:rsidRPr="002A3C46">
        <w:rPr>
          <w:rStyle w:val="Vresatsauce"/>
          <w:rFonts w:ascii="Times New Roman" w:eastAsiaTheme="majorEastAsia" w:hAnsi="Times New Roman"/>
        </w:rPr>
        <w:footnoteRef/>
      </w:r>
      <w:r w:rsidRPr="002A3C46">
        <w:rPr>
          <w:rFonts w:ascii="Times New Roman" w:hAnsi="Times New Roman"/>
        </w:rPr>
        <w:t xml:space="preserve"> </w:t>
      </w:r>
      <w:r w:rsidRPr="002A3C46">
        <w:rPr>
          <w:rFonts w:ascii="Times New Roman" w:hAnsi="Times New Roman"/>
          <w:lang w:val="lv-LV"/>
        </w:rPr>
        <w:t>Šeit un t</w:t>
      </w:r>
      <w:proofErr w:type="spellStart"/>
      <w:r w:rsidRPr="002A3C46">
        <w:rPr>
          <w:rFonts w:ascii="Times New Roman" w:hAnsi="Times New Roman"/>
        </w:rPr>
        <w:t>urpmāk</w:t>
      </w:r>
      <w:proofErr w:type="spellEnd"/>
      <w:r w:rsidRPr="002A3C46">
        <w:rPr>
          <w:rFonts w:ascii="Times New Roman" w:hAnsi="Times New Roman"/>
        </w:rPr>
        <w:t xml:space="preserve"> </w:t>
      </w:r>
      <w:r w:rsidRPr="002A3C46">
        <w:rPr>
          <w:rFonts w:ascii="Times New Roman" w:hAnsi="Times New Roman"/>
          <w:lang w:val="lv-LV"/>
        </w:rPr>
        <w:t xml:space="preserve">Plānā </w:t>
      </w:r>
      <w:r w:rsidRPr="002A3C46">
        <w:rPr>
          <w:rFonts w:ascii="Times New Roman" w:hAnsi="Times New Roman"/>
        </w:rPr>
        <w:t>ar vārdiem „tiesībaizsardzības iestāžu darbinieki” tiek saprasti gan ierēdņi, gan darbinieki, gan citas amatā ieceltas vai ievēlētas tiesībaizsardzības iestāžu amatpersonas, neatkarīgi no to juridiskā statusa</w:t>
      </w:r>
      <w:r w:rsidRPr="002A3C46">
        <w:rPr>
          <w:rFonts w:ascii="Times New Roman" w:hAnsi="Times New Roman"/>
          <w:lang w:val="lv-LV"/>
        </w:rPr>
        <w:t>, kas piesaistītas tiesu varas realizācijai Latvijā, proti, dažāda līmeņa izmeklētāji pirmstiesas procesā, specializēto struktūrvienību izmeklētāji pirmstiesas procesā, prokurori</w:t>
      </w:r>
      <w:r w:rsidRPr="002A3C46">
        <w:rPr>
          <w:rFonts w:ascii="Times New Roman" w:hAnsi="Times New Roman"/>
        </w:rPr>
        <w:t>.</w:t>
      </w:r>
      <w:r w:rsidRPr="002A3C46">
        <w:rPr>
          <w:rFonts w:ascii="Times New Roman" w:hAnsi="Times New Roman"/>
          <w:lang w:val="lv-LV"/>
        </w:rPr>
        <w:t xml:space="preserve"> Mērķauditorija aptver arī tiesu sistēmai piederīgās profesijas: zvērinātus tiesu izpildītājus, zvērinātus notārus, zvērinātus advokātus, maksātnespējas administratorus, šķīrējtiesnešus un sertificētus mediatorus.</w:t>
      </w:r>
    </w:p>
  </w:footnote>
  <w:footnote w:id="4">
    <w:p w14:paraId="35157EB6" w14:textId="77777777" w:rsidR="00C604EE" w:rsidRPr="002A3C46" w:rsidRDefault="00C604EE">
      <w:pPr>
        <w:pStyle w:val="Vresteksts"/>
        <w:rPr>
          <w:rFonts w:ascii="Times New Roman" w:eastAsia="BatangChe" w:hAnsi="Times New Roman"/>
          <w:lang w:val="lv-LV"/>
        </w:rPr>
      </w:pPr>
      <w:r w:rsidRPr="002A3C46">
        <w:rPr>
          <w:rStyle w:val="Vresatsauce"/>
          <w:rFonts w:ascii="Times New Roman" w:hAnsi="Times New Roman"/>
        </w:rPr>
        <w:footnoteRef/>
      </w:r>
      <w:r w:rsidRPr="002A3C46">
        <w:rPr>
          <w:rFonts w:ascii="Times New Roman" w:hAnsi="Times New Roman"/>
        </w:rPr>
        <w:t xml:space="preserve"> </w:t>
      </w:r>
      <w:r w:rsidRPr="002A3C46">
        <w:rPr>
          <w:rFonts w:ascii="Times New Roman" w:eastAsia="BatangChe" w:hAnsi="Times New Roman"/>
          <w:lang w:val="lv-LV"/>
        </w:rPr>
        <w:t>Plašāka rīcības virziena „Plānveidīga tiesu varas un tiesībaizsardzības iestāžu darbinieku nepieciešamo zināšanu, prasmju un iemaņu nodrošināšana” konstatēto problēmu analīze atrodama plāna pielikumā</w:t>
      </w:r>
    </w:p>
  </w:footnote>
  <w:footnote w:id="5">
    <w:p w14:paraId="14AADA0C" w14:textId="77777777" w:rsidR="00C604EE" w:rsidRPr="002A3C46" w:rsidRDefault="00C604EE" w:rsidP="00E46A1C">
      <w:pPr>
        <w:pStyle w:val="Vresteksts"/>
        <w:rPr>
          <w:rFonts w:ascii="Times New Roman" w:eastAsia="BatangChe" w:hAnsi="Times New Roman"/>
          <w:lang w:val="lv-LV"/>
        </w:rPr>
      </w:pPr>
      <w:r w:rsidRPr="002A3C46">
        <w:rPr>
          <w:rStyle w:val="Vresatsauce"/>
          <w:rFonts w:ascii="Times New Roman" w:hAnsi="Times New Roman"/>
        </w:rPr>
        <w:footnoteRef/>
      </w:r>
      <w:r w:rsidRPr="002A3C46">
        <w:rPr>
          <w:rFonts w:ascii="Times New Roman" w:hAnsi="Times New Roman"/>
        </w:rPr>
        <w:t xml:space="preserve"> </w:t>
      </w:r>
      <w:r w:rsidRPr="002A3C46">
        <w:rPr>
          <w:rFonts w:ascii="Times New Roman" w:eastAsia="BatangChe" w:hAnsi="Times New Roman"/>
          <w:lang w:val="lv-LV"/>
        </w:rPr>
        <w:t>Plašāka rīcības virziena „Efektīva cilvēkresursu izmantošana” konstatēto problēmu analīze atrodama plāna pielikumā</w:t>
      </w:r>
    </w:p>
    <w:p w14:paraId="797BAE3C" w14:textId="77777777" w:rsidR="00C604EE" w:rsidRPr="002A3C46" w:rsidRDefault="00C604EE">
      <w:pPr>
        <w:pStyle w:val="Vresteksts"/>
        <w:rPr>
          <w:rFonts w:ascii="Times New Roman" w:hAnsi="Times New Roman"/>
          <w:lang w:val="lv-LV"/>
        </w:rPr>
      </w:pPr>
    </w:p>
  </w:footnote>
  <w:footnote w:id="6">
    <w:p w14:paraId="18D836A0" w14:textId="77777777" w:rsidR="00C604EE" w:rsidRPr="002A3C46" w:rsidRDefault="00C604EE">
      <w:pPr>
        <w:pStyle w:val="Vresteksts"/>
        <w:rPr>
          <w:rFonts w:ascii="Times New Roman" w:hAnsi="Times New Roman"/>
          <w:lang w:val="lv-LV"/>
        </w:rPr>
      </w:pPr>
      <w:r w:rsidRPr="002A3C46">
        <w:rPr>
          <w:rStyle w:val="Vresatsauce"/>
          <w:rFonts w:ascii="Times New Roman" w:hAnsi="Times New Roman"/>
        </w:rPr>
        <w:footnoteRef/>
      </w:r>
      <w:r w:rsidRPr="002A3C46">
        <w:rPr>
          <w:rFonts w:ascii="Times New Roman" w:hAnsi="Times New Roman"/>
        </w:rPr>
        <w:t xml:space="preserve"> </w:t>
      </w:r>
      <w:r w:rsidRPr="002A3C46">
        <w:rPr>
          <w:rFonts w:ascii="Times New Roman" w:eastAsia="BatangChe" w:hAnsi="Times New Roman"/>
          <w:lang w:val="lv-LV"/>
        </w:rPr>
        <w:t>Plašāka rīcības virziena „Tiesu noslodzes jautājumu risināšana, veicinot alternatīvo domstarpību risināšanas (ADR) veidu izmantošanu” konstatēto problēmu analīze atrodama plāna pielikumā</w:t>
      </w:r>
    </w:p>
  </w:footnote>
  <w:footnote w:id="7">
    <w:p w14:paraId="39B45125" w14:textId="77777777" w:rsidR="00C604EE" w:rsidRPr="002A3C46" w:rsidRDefault="00C604EE">
      <w:pPr>
        <w:pStyle w:val="Vresteksts"/>
        <w:rPr>
          <w:rFonts w:ascii="Times New Roman" w:hAnsi="Times New Roman"/>
          <w:lang w:val="lv-LV"/>
        </w:rPr>
      </w:pPr>
      <w:r w:rsidRPr="002A3C46">
        <w:rPr>
          <w:rStyle w:val="Vresatsauce"/>
          <w:rFonts w:ascii="Times New Roman" w:hAnsi="Times New Roman"/>
        </w:rPr>
        <w:footnoteRef/>
      </w:r>
      <w:r w:rsidRPr="002A3C46">
        <w:rPr>
          <w:rFonts w:ascii="Times New Roman" w:hAnsi="Times New Roman"/>
        </w:rPr>
        <w:t xml:space="preserve"> </w:t>
      </w:r>
      <w:r w:rsidRPr="002A3C46">
        <w:rPr>
          <w:rFonts w:ascii="Times New Roman" w:eastAsia="BatangChe" w:hAnsi="Times New Roman"/>
          <w:lang w:val="lv-LV"/>
        </w:rPr>
        <w:t>Plašāka rīcības virziena „Uz pētījumiem un izvērtējumu balstīta politikas īstenošana un cilvēkresursu attīstības plānošana” konstatēto problēmu analīze atrodama plāna pielikumā</w:t>
      </w:r>
    </w:p>
  </w:footnote>
  <w:footnote w:id="8">
    <w:p w14:paraId="5599DB0C" w14:textId="77777777" w:rsidR="00C604EE" w:rsidRPr="002A3C46" w:rsidRDefault="00C604EE" w:rsidP="003E1F92">
      <w:pPr>
        <w:pStyle w:val="Vresteksts"/>
        <w:jc w:val="both"/>
        <w:rPr>
          <w:rFonts w:ascii="Times New Roman" w:hAnsi="Times New Roman"/>
          <w:lang w:val="lv-LV"/>
        </w:rPr>
      </w:pPr>
      <w:r w:rsidRPr="002A3C46">
        <w:rPr>
          <w:rStyle w:val="Vresatsauce"/>
          <w:rFonts w:ascii="Times New Roman" w:hAnsi="Times New Roman"/>
        </w:rPr>
        <w:footnoteRef/>
      </w:r>
      <w:r w:rsidRPr="002A3C46">
        <w:rPr>
          <w:rFonts w:ascii="Times New Roman" w:hAnsi="Times New Roman"/>
        </w:rPr>
        <w:t xml:space="preserve"> </w:t>
      </w:r>
      <w:r w:rsidRPr="002A3C46">
        <w:rPr>
          <w:rFonts w:ascii="Times New Roman" w:hAnsi="Times New Roman"/>
          <w:lang w:val="lv-LV"/>
        </w:rPr>
        <w:t>F</w:t>
      </w:r>
      <w:proofErr w:type="spellStart"/>
      <w:r w:rsidRPr="002A3C46">
        <w:rPr>
          <w:rFonts w:ascii="Times New Roman" w:hAnsi="Times New Roman"/>
        </w:rPr>
        <w:t>inansējuma</w:t>
      </w:r>
      <w:proofErr w:type="spellEnd"/>
      <w:r w:rsidRPr="002A3C46">
        <w:rPr>
          <w:rFonts w:ascii="Times New Roman" w:hAnsi="Times New Roman"/>
        </w:rPr>
        <w:t xml:space="preserve"> apmērs </w:t>
      </w:r>
      <w:r w:rsidRPr="002A3C46">
        <w:rPr>
          <w:rFonts w:ascii="Times New Roman" w:hAnsi="Times New Roman"/>
          <w:lang w:val="lv-LV"/>
        </w:rPr>
        <w:t xml:space="preserve">tiks noteikts </w:t>
      </w:r>
      <w:r w:rsidRPr="002A3C46">
        <w:rPr>
          <w:rFonts w:ascii="Times New Roman" w:hAnsi="Times New Roman"/>
        </w:rPr>
        <w:t xml:space="preserve">pēc iesaistīto </w:t>
      </w:r>
      <w:r w:rsidRPr="002A3C46">
        <w:rPr>
          <w:rFonts w:ascii="Times New Roman" w:hAnsi="Times New Roman"/>
          <w:lang w:val="lv-LV"/>
        </w:rPr>
        <w:t xml:space="preserve">mērķauditoriju </w:t>
      </w:r>
      <w:r w:rsidRPr="002A3C46">
        <w:rPr>
          <w:rFonts w:ascii="Times New Roman" w:hAnsi="Times New Roman"/>
        </w:rPr>
        <w:t>personu apmācību un citu aktivitāšu precizēšanas un nepieciešamību apzināšanas</w:t>
      </w:r>
      <w:r w:rsidRPr="002A3C46">
        <w:rPr>
          <w:rFonts w:ascii="Times New Roman" w:hAnsi="Times New Roman"/>
          <w:lang w:val="lv-LV"/>
        </w:rPr>
        <w:t xml:space="preserve"> šim nolūkam speciāli izveidotā darba grupā</w:t>
      </w:r>
      <w:r w:rsidRPr="002A3C46">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51723"/>
      <w:docPartObj>
        <w:docPartGallery w:val="Page Numbers (Top of Page)"/>
        <w:docPartUnique/>
      </w:docPartObj>
    </w:sdtPr>
    <w:sdtContent>
      <w:p w14:paraId="0A7536B3" w14:textId="77777777" w:rsidR="00C604EE" w:rsidRDefault="00C604EE">
        <w:pPr>
          <w:pStyle w:val="Galvene"/>
          <w:jc w:val="center"/>
        </w:pPr>
        <w:r>
          <w:fldChar w:fldCharType="begin"/>
        </w:r>
        <w:r>
          <w:instrText>PAGE   \* MERGEFORMAT</w:instrText>
        </w:r>
        <w:r>
          <w:fldChar w:fldCharType="separate"/>
        </w:r>
        <w:r w:rsidR="00D96852">
          <w:rPr>
            <w:noProof/>
          </w:rPr>
          <w:t>14</w:t>
        </w:r>
        <w:r>
          <w:fldChar w:fldCharType="end"/>
        </w:r>
      </w:p>
    </w:sdtContent>
  </w:sdt>
  <w:p w14:paraId="4DC0349D" w14:textId="77777777" w:rsidR="00C604EE" w:rsidRDefault="00C604E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DD0DED"/>
    <w:multiLevelType w:val="multilevel"/>
    <w:tmpl w:val="C53E6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E749C"/>
    <w:multiLevelType w:val="hybridMultilevel"/>
    <w:tmpl w:val="8CC006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C34717"/>
    <w:multiLevelType w:val="multilevel"/>
    <w:tmpl w:val="68E46838"/>
    <w:lvl w:ilvl="0">
      <w:start w:val="3"/>
      <w:numFmt w:val="decimal"/>
      <w:lvlText w:val="%1."/>
      <w:lvlJc w:val="left"/>
      <w:pPr>
        <w:ind w:left="1080" w:hanging="360"/>
      </w:pPr>
      <w:rPr>
        <w:rFonts w:hint="default"/>
        <w:b/>
      </w:rPr>
    </w:lvl>
    <w:lvl w:ilvl="1">
      <w:start w:val="2"/>
      <w:numFmt w:val="decimal"/>
      <w:isLgl/>
      <w:lvlText w:val="%1.%2."/>
      <w:lvlJc w:val="left"/>
      <w:pPr>
        <w:ind w:left="1140" w:hanging="42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4B10749"/>
    <w:multiLevelType w:val="hybridMultilevel"/>
    <w:tmpl w:val="C65067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3975EB"/>
    <w:multiLevelType w:val="hybridMultilevel"/>
    <w:tmpl w:val="EEE8CC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CD1EA3"/>
    <w:multiLevelType w:val="multilevel"/>
    <w:tmpl w:val="DCB4732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3958E3"/>
    <w:multiLevelType w:val="hybridMultilevel"/>
    <w:tmpl w:val="89CCEABA"/>
    <w:lvl w:ilvl="0" w:tplc="994EE086">
      <w:numFmt w:val="bullet"/>
      <w:lvlText w:val="-"/>
      <w:lvlJc w:val="left"/>
      <w:pPr>
        <w:ind w:left="720" w:hanging="360"/>
      </w:pPr>
      <w:rPr>
        <w:rFonts w:ascii="Courier New" w:eastAsia="Times New Roman" w:hAnsi="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nsid w:val="20D416BB"/>
    <w:multiLevelType w:val="hybridMultilevel"/>
    <w:tmpl w:val="871CE5C6"/>
    <w:lvl w:ilvl="0" w:tplc="994EE086">
      <w:numFmt w:val="bullet"/>
      <w:lvlText w:val="-"/>
      <w:lvlJc w:val="left"/>
      <w:pPr>
        <w:ind w:left="1429" w:hanging="360"/>
      </w:pPr>
      <w:rPr>
        <w:rFonts w:ascii="Courier New" w:eastAsia="Times New Roman" w:hAnsi="Courier New" w:hint="default"/>
      </w:rPr>
    </w:lvl>
    <w:lvl w:ilvl="1" w:tplc="994EE086">
      <w:numFmt w:val="bullet"/>
      <w:lvlText w:val="-"/>
      <w:lvlJc w:val="left"/>
      <w:pPr>
        <w:ind w:left="2149" w:hanging="360"/>
      </w:pPr>
      <w:rPr>
        <w:rFonts w:ascii="Courier New" w:eastAsia="Times New Roman"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nsid w:val="21BE3E9A"/>
    <w:multiLevelType w:val="hybridMultilevel"/>
    <w:tmpl w:val="D666C990"/>
    <w:lvl w:ilvl="0" w:tplc="16D422D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497859"/>
    <w:multiLevelType w:val="hybridMultilevel"/>
    <w:tmpl w:val="D1E0F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7D2FC3"/>
    <w:multiLevelType w:val="hybridMultilevel"/>
    <w:tmpl w:val="21F04B04"/>
    <w:lvl w:ilvl="0" w:tplc="F21A72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55F22B6"/>
    <w:multiLevelType w:val="hybridMultilevel"/>
    <w:tmpl w:val="6636B43E"/>
    <w:lvl w:ilvl="0" w:tplc="EB781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83C6609"/>
    <w:multiLevelType w:val="hybridMultilevel"/>
    <w:tmpl w:val="4BA6AEC8"/>
    <w:lvl w:ilvl="0" w:tplc="994EE086">
      <w:numFmt w:val="bullet"/>
      <w:lvlText w:val="-"/>
      <w:lvlJc w:val="left"/>
      <w:pPr>
        <w:ind w:left="1020" w:hanging="360"/>
      </w:pPr>
      <w:rPr>
        <w:rFonts w:ascii="Courier New" w:eastAsia="Times New Roman" w:hAnsi="Courier New"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4">
    <w:nsid w:val="4C812AE5"/>
    <w:multiLevelType w:val="hybridMultilevel"/>
    <w:tmpl w:val="7EB8DCEA"/>
    <w:lvl w:ilvl="0" w:tplc="7436C0E4">
      <w:start w:val="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C2F39F9"/>
    <w:multiLevelType w:val="hybridMultilevel"/>
    <w:tmpl w:val="AAECAAB0"/>
    <w:lvl w:ilvl="0" w:tplc="91E812DA">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CD638BD"/>
    <w:multiLevelType w:val="hybridMultilevel"/>
    <w:tmpl w:val="36E0C2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29A729A"/>
    <w:multiLevelType w:val="multilevel"/>
    <w:tmpl w:val="AEDA757E"/>
    <w:lvl w:ilvl="0">
      <w:start w:val="1"/>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8">
    <w:nsid w:val="6EAE6628"/>
    <w:multiLevelType w:val="hybridMultilevel"/>
    <w:tmpl w:val="6D5CF7DA"/>
    <w:lvl w:ilvl="0" w:tplc="8EFE2F2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FE45F44"/>
    <w:multiLevelType w:val="hybridMultilevel"/>
    <w:tmpl w:val="61E86540"/>
    <w:lvl w:ilvl="0" w:tplc="493CFF36">
      <w:start w:val="1"/>
      <w:numFmt w:val="bullet"/>
      <w:lvlText w:val=""/>
      <w:lvlJc w:val="left"/>
      <w:pPr>
        <w:ind w:left="720" w:hanging="360"/>
      </w:pPr>
      <w:rPr>
        <w:rFonts w:ascii="Symbol" w:hAnsi="Symbol"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8854826"/>
    <w:multiLevelType w:val="hybridMultilevel"/>
    <w:tmpl w:val="A052F5C8"/>
    <w:lvl w:ilvl="0" w:tplc="493CFF3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96F6BCD"/>
    <w:multiLevelType w:val="hybridMultilevel"/>
    <w:tmpl w:val="21F04B04"/>
    <w:lvl w:ilvl="0" w:tplc="F21A72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CBB75A6"/>
    <w:multiLevelType w:val="hybridMultilevel"/>
    <w:tmpl w:val="86B20054"/>
    <w:lvl w:ilvl="0" w:tplc="304A04A2">
      <w:start w:val="1"/>
      <w:numFmt w:val="bullet"/>
      <w:lvlText w:val=""/>
      <w:lvlJc w:val="left"/>
      <w:pPr>
        <w:ind w:left="1004" w:hanging="360"/>
      </w:pPr>
      <w:rPr>
        <w:rFonts w:ascii="Symbol" w:hAnsi="Symbol" w:cs="Symbol" w:hint="default"/>
      </w:rPr>
    </w:lvl>
    <w:lvl w:ilvl="1" w:tplc="04260003" w:tentative="1">
      <w:start w:val="1"/>
      <w:numFmt w:val="bullet"/>
      <w:lvlText w:val="o"/>
      <w:lvlJc w:val="left"/>
      <w:pPr>
        <w:ind w:left="1724" w:hanging="360"/>
      </w:pPr>
      <w:rPr>
        <w:rFonts w:ascii="Courier New" w:hAnsi="Courier New" w:cs="Courier New" w:hint="default"/>
      </w:rPr>
    </w:lvl>
    <w:lvl w:ilvl="2" w:tplc="994EE086">
      <w:numFmt w:val="bullet"/>
      <w:lvlText w:val="-"/>
      <w:lvlJc w:val="left"/>
      <w:pPr>
        <w:ind w:left="2444" w:hanging="360"/>
      </w:pPr>
      <w:rPr>
        <w:rFonts w:ascii="Courier New" w:eastAsia="Times New Roman" w:hAnsi="Courier New"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12"/>
  </w:num>
  <w:num w:numId="2">
    <w:abstractNumId w:val="22"/>
  </w:num>
  <w:num w:numId="3">
    <w:abstractNumId w:val="8"/>
  </w:num>
  <w:num w:numId="4">
    <w:abstractNumId w:val="14"/>
  </w:num>
  <w:num w:numId="5">
    <w:abstractNumId w:val="2"/>
  </w:num>
  <w:num w:numId="6">
    <w:abstractNumId w:val="13"/>
  </w:num>
  <w:num w:numId="7">
    <w:abstractNumId w:val="20"/>
  </w:num>
  <w:num w:numId="8">
    <w:abstractNumId w:val="19"/>
  </w:num>
  <w:num w:numId="9">
    <w:abstractNumId w:val="0"/>
  </w:num>
  <w:num w:numId="10">
    <w:abstractNumId w:val="6"/>
  </w:num>
  <w:num w:numId="11">
    <w:abstractNumId w:val="3"/>
  </w:num>
  <w:num w:numId="12">
    <w:abstractNumId w:val="9"/>
  </w:num>
  <w:num w:numId="13">
    <w:abstractNumId w:val="7"/>
  </w:num>
  <w:num w:numId="14">
    <w:abstractNumId w:val="16"/>
  </w:num>
  <w:num w:numId="15">
    <w:abstractNumId w:val="17"/>
  </w:num>
  <w:num w:numId="16">
    <w:abstractNumId w:val="18"/>
  </w:num>
  <w:num w:numId="17">
    <w:abstractNumId w:val="1"/>
  </w:num>
  <w:num w:numId="18">
    <w:abstractNumId w:val="15"/>
  </w:num>
  <w:num w:numId="19">
    <w:abstractNumId w:val="5"/>
  </w:num>
  <w:num w:numId="20">
    <w:abstractNumId w:val="4"/>
  </w:num>
  <w:num w:numId="21">
    <w:abstractNumId w:val="11"/>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CC"/>
    <w:rsid w:val="00000D2C"/>
    <w:rsid w:val="000016B1"/>
    <w:rsid w:val="000035F6"/>
    <w:rsid w:val="000036B4"/>
    <w:rsid w:val="00005AEB"/>
    <w:rsid w:val="00010B73"/>
    <w:rsid w:val="00011130"/>
    <w:rsid w:val="000112DA"/>
    <w:rsid w:val="000136A3"/>
    <w:rsid w:val="000156C8"/>
    <w:rsid w:val="000167FD"/>
    <w:rsid w:val="00021849"/>
    <w:rsid w:val="00024F17"/>
    <w:rsid w:val="000268AE"/>
    <w:rsid w:val="000271F0"/>
    <w:rsid w:val="00030C32"/>
    <w:rsid w:val="00030EB0"/>
    <w:rsid w:val="00031892"/>
    <w:rsid w:val="00032566"/>
    <w:rsid w:val="00034A3B"/>
    <w:rsid w:val="000401A5"/>
    <w:rsid w:val="0004300C"/>
    <w:rsid w:val="000471A7"/>
    <w:rsid w:val="00051B3A"/>
    <w:rsid w:val="00053A4F"/>
    <w:rsid w:val="00060997"/>
    <w:rsid w:val="000618E3"/>
    <w:rsid w:val="00063E7D"/>
    <w:rsid w:val="00064581"/>
    <w:rsid w:val="00064CA2"/>
    <w:rsid w:val="00064EFA"/>
    <w:rsid w:val="00067CE7"/>
    <w:rsid w:val="00070D21"/>
    <w:rsid w:val="00072F41"/>
    <w:rsid w:val="00072FD2"/>
    <w:rsid w:val="00075FAE"/>
    <w:rsid w:val="0007780B"/>
    <w:rsid w:val="00080A4B"/>
    <w:rsid w:val="0008284B"/>
    <w:rsid w:val="00086E58"/>
    <w:rsid w:val="00090956"/>
    <w:rsid w:val="0009125E"/>
    <w:rsid w:val="000923DB"/>
    <w:rsid w:val="00092CDB"/>
    <w:rsid w:val="00093AFC"/>
    <w:rsid w:val="000977FC"/>
    <w:rsid w:val="000A050F"/>
    <w:rsid w:val="000A383B"/>
    <w:rsid w:val="000A3920"/>
    <w:rsid w:val="000A773A"/>
    <w:rsid w:val="000B0B7B"/>
    <w:rsid w:val="000B176C"/>
    <w:rsid w:val="000C156A"/>
    <w:rsid w:val="000C25BD"/>
    <w:rsid w:val="000C313D"/>
    <w:rsid w:val="000C32BD"/>
    <w:rsid w:val="000C4214"/>
    <w:rsid w:val="000C5278"/>
    <w:rsid w:val="000C7424"/>
    <w:rsid w:val="000C791C"/>
    <w:rsid w:val="000D2B6A"/>
    <w:rsid w:val="000D3D4C"/>
    <w:rsid w:val="000D5D49"/>
    <w:rsid w:val="000D7A21"/>
    <w:rsid w:val="000E04F7"/>
    <w:rsid w:val="000E1B80"/>
    <w:rsid w:val="000E2032"/>
    <w:rsid w:val="000E38F1"/>
    <w:rsid w:val="000E5746"/>
    <w:rsid w:val="000E6B6C"/>
    <w:rsid w:val="000E7C36"/>
    <w:rsid w:val="000F03A1"/>
    <w:rsid w:val="000F6FB0"/>
    <w:rsid w:val="00100F5F"/>
    <w:rsid w:val="001010D7"/>
    <w:rsid w:val="001012A3"/>
    <w:rsid w:val="0010578C"/>
    <w:rsid w:val="00106A7C"/>
    <w:rsid w:val="0010710D"/>
    <w:rsid w:val="00111628"/>
    <w:rsid w:val="001129C7"/>
    <w:rsid w:val="001133FD"/>
    <w:rsid w:val="00115D2B"/>
    <w:rsid w:val="00116210"/>
    <w:rsid w:val="00117126"/>
    <w:rsid w:val="00120C11"/>
    <w:rsid w:val="00120F92"/>
    <w:rsid w:val="0012327F"/>
    <w:rsid w:val="00126850"/>
    <w:rsid w:val="00126CC6"/>
    <w:rsid w:val="00133B42"/>
    <w:rsid w:val="00133E3F"/>
    <w:rsid w:val="001362F3"/>
    <w:rsid w:val="00141DF7"/>
    <w:rsid w:val="00143C03"/>
    <w:rsid w:val="001441E4"/>
    <w:rsid w:val="00144F9E"/>
    <w:rsid w:val="0014540F"/>
    <w:rsid w:val="00145F14"/>
    <w:rsid w:val="00146EF5"/>
    <w:rsid w:val="0015203D"/>
    <w:rsid w:val="00157CE3"/>
    <w:rsid w:val="00157DA9"/>
    <w:rsid w:val="00157FF0"/>
    <w:rsid w:val="00162B7C"/>
    <w:rsid w:val="00162DCE"/>
    <w:rsid w:val="00174221"/>
    <w:rsid w:val="00175BD6"/>
    <w:rsid w:val="0018289C"/>
    <w:rsid w:val="0018373A"/>
    <w:rsid w:val="00183C0E"/>
    <w:rsid w:val="00183CB8"/>
    <w:rsid w:val="001934EE"/>
    <w:rsid w:val="001939D2"/>
    <w:rsid w:val="00194D43"/>
    <w:rsid w:val="001966A7"/>
    <w:rsid w:val="001975F0"/>
    <w:rsid w:val="001A51D9"/>
    <w:rsid w:val="001A55D6"/>
    <w:rsid w:val="001A58F0"/>
    <w:rsid w:val="001B2024"/>
    <w:rsid w:val="001B4B98"/>
    <w:rsid w:val="001B5663"/>
    <w:rsid w:val="001B5770"/>
    <w:rsid w:val="001B5FD0"/>
    <w:rsid w:val="001C2BB5"/>
    <w:rsid w:val="001C45EA"/>
    <w:rsid w:val="001C4623"/>
    <w:rsid w:val="001C5420"/>
    <w:rsid w:val="001C55C6"/>
    <w:rsid w:val="001C6CA0"/>
    <w:rsid w:val="001C78BC"/>
    <w:rsid w:val="001C7F85"/>
    <w:rsid w:val="001D090F"/>
    <w:rsid w:val="001D13D5"/>
    <w:rsid w:val="001D328E"/>
    <w:rsid w:val="001D4DC0"/>
    <w:rsid w:val="001D5086"/>
    <w:rsid w:val="001D55B6"/>
    <w:rsid w:val="001D612C"/>
    <w:rsid w:val="001D61AE"/>
    <w:rsid w:val="001D6E08"/>
    <w:rsid w:val="001E023C"/>
    <w:rsid w:val="001E08C6"/>
    <w:rsid w:val="001E0CD9"/>
    <w:rsid w:val="001E0F25"/>
    <w:rsid w:val="001E4A54"/>
    <w:rsid w:val="001E50C7"/>
    <w:rsid w:val="001E530B"/>
    <w:rsid w:val="001F2DA3"/>
    <w:rsid w:val="001F5D1C"/>
    <w:rsid w:val="0020177D"/>
    <w:rsid w:val="002112C4"/>
    <w:rsid w:val="00211EB7"/>
    <w:rsid w:val="002120AF"/>
    <w:rsid w:val="002127A2"/>
    <w:rsid w:val="002129FB"/>
    <w:rsid w:val="002131E9"/>
    <w:rsid w:val="00214CA9"/>
    <w:rsid w:val="00216E36"/>
    <w:rsid w:val="002206F4"/>
    <w:rsid w:val="00223613"/>
    <w:rsid w:val="00224EC5"/>
    <w:rsid w:val="00225863"/>
    <w:rsid w:val="00236E73"/>
    <w:rsid w:val="00240EDE"/>
    <w:rsid w:val="00241ACE"/>
    <w:rsid w:val="002503BA"/>
    <w:rsid w:val="00254F78"/>
    <w:rsid w:val="002551E6"/>
    <w:rsid w:val="00257C89"/>
    <w:rsid w:val="002614E0"/>
    <w:rsid w:val="002629EC"/>
    <w:rsid w:val="00263C7B"/>
    <w:rsid w:val="002644EB"/>
    <w:rsid w:val="00264B50"/>
    <w:rsid w:val="0026738B"/>
    <w:rsid w:val="002711EA"/>
    <w:rsid w:val="00272B20"/>
    <w:rsid w:val="0027316F"/>
    <w:rsid w:val="0027346F"/>
    <w:rsid w:val="00274815"/>
    <w:rsid w:val="00275364"/>
    <w:rsid w:val="00277E13"/>
    <w:rsid w:val="00281334"/>
    <w:rsid w:val="00283409"/>
    <w:rsid w:val="00283897"/>
    <w:rsid w:val="00283F84"/>
    <w:rsid w:val="00286358"/>
    <w:rsid w:val="0028726C"/>
    <w:rsid w:val="002872BC"/>
    <w:rsid w:val="00287503"/>
    <w:rsid w:val="00290F2D"/>
    <w:rsid w:val="00294F1E"/>
    <w:rsid w:val="00295AFB"/>
    <w:rsid w:val="002A0106"/>
    <w:rsid w:val="002A34F9"/>
    <w:rsid w:val="002A3C46"/>
    <w:rsid w:val="002A487B"/>
    <w:rsid w:val="002A48FA"/>
    <w:rsid w:val="002A540E"/>
    <w:rsid w:val="002A5E5B"/>
    <w:rsid w:val="002A6841"/>
    <w:rsid w:val="002A6B01"/>
    <w:rsid w:val="002A6F4D"/>
    <w:rsid w:val="002B1001"/>
    <w:rsid w:val="002B2605"/>
    <w:rsid w:val="002B2850"/>
    <w:rsid w:val="002B368B"/>
    <w:rsid w:val="002B415E"/>
    <w:rsid w:val="002C073B"/>
    <w:rsid w:val="002C17BC"/>
    <w:rsid w:val="002C2248"/>
    <w:rsid w:val="002C5CFB"/>
    <w:rsid w:val="002C64D2"/>
    <w:rsid w:val="002C6923"/>
    <w:rsid w:val="002C69F5"/>
    <w:rsid w:val="002D20C3"/>
    <w:rsid w:val="002D244F"/>
    <w:rsid w:val="002D3837"/>
    <w:rsid w:val="002D49F9"/>
    <w:rsid w:val="002D4DC5"/>
    <w:rsid w:val="002E1407"/>
    <w:rsid w:val="002E2052"/>
    <w:rsid w:val="002E21E7"/>
    <w:rsid w:val="002E39F8"/>
    <w:rsid w:val="002E3FB7"/>
    <w:rsid w:val="002F0A19"/>
    <w:rsid w:val="002F34D7"/>
    <w:rsid w:val="002F48C6"/>
    <w:rsid w:val="002F57CF"/>
    <w:rsid w:val="002F73EA"/>
    <w:rsid w:val="00302626"/>
    <w:rsid w:val="00306655"/>
    <w:rsid w:val="00310980"/>
    <w:rsid w:val="00313037"/>
    <w:rsid w:val="00315632"/>
    <w:rsid w:val="00316633"/>
    <w:rsid w:val="003172CC"/>
    <w:rsid w:val="00317852"/>
    <w:rsid w:val="0032661A"/>
    <w:rsid w:val="00327A5B"/>
    <w:rsid w:val="003317D1"/>
    <w:rsid w:val="0033264B"/>
    <w:rsid w:val="003373DC"/>
    <w:rsid w:val="0034192D"/>
    <w:rsid w:val="00343343"/>
    <w:rsid w:val="003434F4"/>
    <w:rsid w:val="00344432"/>
    <w:rsid w:val="003447C5"/>
    <w:rsid w:val="00345323"/>
    <w:rsid w:val="00350B24"/>
    <w:rsid w:val="00351E64"/>
    <w:rsid w:val="0035393B"/>
    <w:rsid w:val="00353EFF"/>
    <w:rsid w:val="00355582"/>
    <w:rsid w:val="00362142"/>
    <w:rsid w:val="00363700"/>
    <w:rsid w:val="0036768D"/>
    <w:rsid w:val="003702F6"/>
    <w:rsid w:val="00372B3C"/>
    <w:rsid w:val="00375170"/>
    <w:rsid w:val="0037623D"/>
    <w:rsid w:val="003816A6"/>
    <w:rsid w:val="00384621"/>
    <w:rsid w:val="00393A1E"/>
    <w:rsid w:val="00393C8E"/>
    <w:rsid w:val="003950AE"/>
    <w:rsid w:val="003A35B9"/>
    <w:rsid w:val="003A3DCC"/>
    <w:rsid w:val="003A550F"/>
    <w:rsid w:val="003A5FC4"/>
    <w:rsid w:val="003A62C7"/>
    <w:rsid w:val="003B10C5"/>
    <w:rsid w:val="003B3C93"/>
    <w:rsid w:val="003B4067"/>
    <w:rsid w:val="003B5CE9"/>
    <w:rsid w:val="003C1850"/>
    <w:rsid w:val="003C490F"/>
    <w:rsid w:val="003C4E80"/>
    <w:rsid w:val="003C527B"/>
    <w:rsid w:val="003D1EEF"/>
    <w:rsid w:val="003D32DD"/>
    <w:rsid w:val="003E06F6"/>
    <w:rsid w:val="003E190F"/>
    <w:rsid w:val="003E1F92"/>
    <w:rsid w:val="003E38B4"/>
    <w:rsid w:val="003E56CD"/>
    <w:rsid w:val="003E67FF"/>
    <w:rsid w:val="003F0054"/>
    <w:rsid w:val="003F1108"/>
    <w:rsid w:val="003F18CA"/>
    <w:rsid w:val="003F1969"/>
    <w:rsid w:val="003F2335"/>
    <w:rsid w:val="003F294F"/>
    <w:rsid w:val="003F2B17"/>
    <w:rsid w:val="003F36CD"/>
    <w:rsid w:val="003F390B"/>
    <w:rsid w:val="003F42E0"/>
    <w:rsid w:val="003F5880"/>
    <w:rsid w:val="004006C3"/>
    <w:rsid w:val="00400977"/>
    <w:rsid w:val="00401F32"/>
    <w:rsid w:val="00403BAE"/>
    <w:rsid w:val="00405915"/>
    <w:rsid w:val="00410707"/>
    <w:rsid w:val="004116F6"/>
    <w:rsid w:val="004133D6"/>
    <w:rsid w:val="004152EA"/>
    <w:rsid w:val="004211B2"/>
    <w:rsid w:val="00422AC2"/>
    <w:rsid w:val="00422B28"/>
    <w:rsid w:val="00423FAC"/>
    <w:rsid w:val="00426704"/>
    <w:rsid w:val="0042792C"/>
    <w:rsid w:val="0043101D"/>
    <w:rsid w:val="004323C9"/>
    <w:rsid w:val="0043334E"/>
    <w:rsid w:val="00433A66"/>
    <w:rsid w:val="00435997"/>
    <w:rsid w:val="004370B9"/>
    <w:rsid w:val="0043755D"/>
    <w:rsid w:val="00440C41"/>
    <w:rsid w:val="00440E1A"/>
    <w:rsid w:val="0044395A"/>
    <w:rsid w:val="00443EE6"/>
    <w:rsid w:val="00452066"/>
    <w:rsid w:val="00452555"/>
    <w:rsid w:val="004543D5"/>
    <w:rsid w:val="00454AB7"/>
    <w:rsid w:val="00455570"/>
    <w:rsid w:val="00455C11"/>
    <w:rsid w:val="00457FA0"/>
    <w:rsid w:val="0046001F"/>
    <w:rsid w:val="00460931"/>
    <w:rsid w:val="0046104B"/>
    <w:rsid w:val="00463558"/>
    <w:rsid w:val="0046611A"/>
    <w:rsid w:val="00466715"/>
    <w:rsid w:val="00467AF3"/>
    <w:rsid w:val="00470D22"/>
    <w:rsid w:val="0047117C"/>
    <w:rsid w:val="0047393E"/>
    <w:rsid w:val="0047751B"/>
    <w:rsid w:val="004777BA"/>
    <w:rsid w:val="00482AD4"/>
    <w:rsid w:val="00485B95"/>
    <w:rsid w:val="00485DC3"/>
    <w:rsid w:val="004927B3"/>
    <w:rsid w:val="004935E4"/>
    <w:rsid w:val="0049363C"/>
    <w:rsid w:val="00493FAB"/>
    <w:rsid w:val="004959E4"/>
    <w:rsid w:val="00495BC3"/>
    <w:rsid w:val="00495F18"/>
    <w:rsid w:val="0049623D"/>
    <w:rsid w:val="00497D3B"/>
    <w:rsid w:val="004A1839"/>
    <w:rsid w:val="004A4A4A"/>
    <w:rsid w:val="004A4BCC"/>
    <w:rsid w:val="004B0994"/>
    <w:rsid w:val="004B1AA5"/>
    <w:rsid w:val="004B39F5"/>
    <w:rsid w:val="004B45DF"/>
    <w:rsid w:val="004B6518"/>
    <w:rsid w:val="004C0293"/>
    <w:rsid w:val="004C0B48"/>
    <w:rsid w:val="004C1373"/>
    <w:rsid w:val="004C2E9B"/>
    <w:rsid w:val="004C3DBF"/>
    <w:rsid w:val="004D01EF"/>
    <w:rsid w:val="004D326A"/>
    <w:rsid w:val="004D7673"/>
    <w:rsid w:val="004E6343"/>
    <w:rsid w:val="004E77B3"/>
    <w:rsid w:val="004F2819"/>
    <w:rsid w:val="004F35A4"/>
    <w:rsid w:val="004F5C9A"/>
    <w:rsid w:val="004F5D98"/>
    <w:rsid w:val="00502A1B"/>
    <w:rsid w:val="00503B17"/>
    <w:rsid w:val="00507003"/>
    <w:rsid w:val="0051243C"/>
    <w:rsid w:val="00513381"/>
    <w:rsid w:val="00516790"/>
    <w:rsid w:val="0052016E"/>
    <w:rsid w:val="00521AD8"/>
    <w:rsid w:val="005275BF"/>
    <w:rsid w:val="00527B2D"/>
    <w:rsid w:val="005308A8"/>
    <w:rsid w:val="005311EF"/>
    <w:rsid w:val="00531F9B"/>
    <w:rsid w:val="00531FAB"/>
    <w:rsid w:val="00532E75"/>
    <w:rsid w:val="0053306D"/>
    <w:rsid w:val="005372DE"/>
    <w:rsid w:val="005406C5"/>
    <w:rsid w:val="00544295"/>
    <w:rsid w:val="00544B0C"/>
    <w:rsid w:val="0055366E"/>
    <w:rsid w:val="00556FFA"/>
    <w:rsid w:val="00566453"/>
    <w:rsid w:val="0056720F"/>
    <w:rsid w:val="00567F85"/>
    <w:rsid w:val="005707D0"/>
    <w:rsid w:val="00571349"/>
    <w:rsid w:val="0057281B"/>
    <w:rsid w:val="0057283E"/>
    <w:rsid w:val="00572EDE"/>
    <w:rsid w:val="005758ED"/>
    <w:rsid w:val="005763B7"/>
    <w:rsid w:val="0058123A"/>
    <w:rsid w:val="00581532"/>
    <w:rsid w:val="0058415A"/>
    <w:rsid w:val="00590AA1"/>
    <w:rsid w:val="00590E4C"/>
    <w:rsid w:val="005916E7"/>
    <w:rsid w:val="00592A60"/>
    <w:rsid w:val="005A360E"/>
    <w:rsid w:val="005A3E29"/>
    <w:rsid w:val="005A432A"/>
    <w:rsid w:val="005A4BD4"/>
    <w:rsid w:val="005A4C64"/>
    <w:rsid w:val="005A59F2"/>
    <w:rsid w:val="005A63CF"/>
    <w:rsid w:val="005A6E7A"/>
    <w:rsid w:val="005A7A4C"/>
    <w:rsid w:val="005B2950"/>
    <w:rsid w:val="005B4F5B"/>
    <w:rsid w:val="005B721E"/>
    <w:rsid w:val="005C4F65"/>
    <w:rsid w:val="005D0E83"/>
    <w:rsid w:val="005D1B62"/>
    <w:rsid w:val="005D2B41"/>
    <w:rsid w:val="005D2BB5"/>
    <w:rsid w:val="005D35B9"/>
    <w:rsid w:val="005D7C80"/>
    <w:rsid w:val="005E1497"/>
    <w:rsid w:val="005E3383"/>
    <w:rsid w:val="005E767B"/>
    <w:rsid w:val="005E7E73"/>
    <w:rsid w:val="005F1973"/>
    <w:rsid w:val="005F255B"/>
    <w:rsid w:val="005F344D"/>
    <w:rsid w:val="005F42BE"/>
    <w:rsid w:val="00601E45"/>
    <w:rsid w:val="00612168"/>
    <w:rsid w:val="00613A63"/>
    <w:rsid w:val="0061768B"/>
    <w:rsid w:val="0061775A"/>
    <w:rsid w:val="00621180"/>
    <w:rsid w:val="00621B1F"/>
    <w:rsid w:val="00621D7F"/>
    <w:rsid w:val="006221A6"/>
    <w:rsid w:val="00625738"/>
    <w:rsid w:val="006263A6"/>
    <w:rsid w:val="006275DE"/>
    <w:rsid w:val="00627CDE"/>
    <w:rsid w:val="00630740"/>
    <w:rsid w:val="00630932"/>
    <w:rsid w:val="00630D5D"/>
    <w:rsid w:val="0063169B"/>
    <w:rsid w:val="00631BF7"/>
    <w:rsid w:val="00633691"/>
    <w:rsid w:val="00633711"/>
    <w:rsid w:val="00635A77"/>
    <w:rsid w:val="0063792D"/>
    <w:rsid w:val="00637CE6"/>
    <w:rsid w:val="00640FD4"/>
    <w:rsid w:val="006428D7"/>
    <w:rsid w:val="00644E22"/>
    <w:rsid w:val="00650484"/>
    <w:rsid w:val="00651C56"/>
    <w:rsid w:val="00653C7A"/>
    <w:rsid w:val="00654109"/>
    <w:rsid w:val="00655224"/>
    <w:rsid w:val="006556A3"/>
    <w:rsid w:val="00655D18"/>
    <w:rsid w:val="00657029"/>
    <w:rsid w:val="00661E32"/>
    <w:rsid w:val="00664888"/>
    <w:rsid w:val="00666AC0"/>
    <w:rsid w:val="00671EC7"/>
    <w:rsid w:val="00674B2B"/>
    <w:rsid w:val="0067558C"/>
    <w:rsid w:val="00675650"/>
    <w:rsid w:val="00676B1D"/>
    <w:rsid w:val="00680537"/>
    <w:rsid w:val="00681D07"/>
    <w:rsid w:val="00681E55"/>
    <w:rsid w:val="00683C63"/>
    <w:rsid w:val="00684B7A"/>
    <w:rsid w:val="00690043"/>
    <w:rsid w:val="0069328E"/>
    <w:rsid w:val="006938F5"/>
    <w:rsid w:val="006946BF"/>
    <w:rsid w:val="0069511A"/>
    <w:rsid w:val="00696777"/>
    <w:rsid w:val="006A493F"/>
    <w:rsid w:val="006A5294"/>
    <w:rsid w:val="006A5329"/>
    <w:rsid w:val="006A6367"/>
    <w:rsid w:val="006B157B"/>
    <w:rsid w:val="006B28A1"/>
    <w:rsid w:val="006B6C77"/>
    <w:rsid w:val="006B73A5"/>
    <w:rsid w:val="006C173D"/>
    <w:rsid w:val="006C4954"/>
    <w:rsid w:val="006C72F4"/>
    <w:rsid w:val="006C7CC3"/>
    <w:rsid w:val="006D10DC"/>
    <w:rsid w:val="006D4B92"/>
    <w:rsid w:val="006D57B1"/>
    <w:rsid w:val="006D6AC8"/>
    <w:rsid w:val="006D7303"/>
    <w:rsid w:val="006D7CF8"/>
    <w:rsid w:val="006E02B1"/>
    <w:rsid w:val="006E26D9"/>
    <w:rsid w:val="006E4444"/>
    <w:rsid w:val="006E759A"/>
    <w:rsid w:val="006E7B9E"/>
    <w:rsid w:val="006F1F02"/>
    <w:rsid w:val="006F441E"/>
    <w:rsid w:val="006F5481"/>
    <w:rsid w:val="007047C8"/>
    <w:rsid w:val="00704C4E"/>
    <w:rsid w:val="0070650E"/>
    <w:rsid w:val="00706675"/>
    <w:rsid w:val="00710688"/>
    <w:rsid w:val="00713B61"/>
    <w:rsid w:val="00715A3A"/>
    <w:rsid w:val="00717378"/>
    <w:rsid w:val="00721AD9"/>
    <w:rsid w:val="0072224C"/>
    <w:rsid w:val="0072239F"/>
    <w:rsid w:val="00722508"/>
    <w:rsid w:val="00724FAB"/>
    <w:rsid w:val="007260E5"/>
    <w:rsid w:val="00727571"/>
    <w:rsid w:val="007335BD"/>
    <w:rsid w:val="00733DB4"/>
    <w:rsid w:val="00736E46"/>
    <w:rsid w:val="007373B8"/>
    <w:rsid w:val="00737A40"/>
    <w:rsid w:val="00737BA3"/>
    <w:rsid w:val="00740769"/>
    <w:rsid w:val="0074241E"/>
    <w:rsid w:val="007424BD"/>
    <w:rsid w:val="00742674"/>
    <w:rsid w:val="007431B4"/>
    <w:rsid w:val="00750D2F"/>
    <w:rsid w:val="00751132"/>
    <w:rsid w:val="0075226D"/>
    <w:rsid w:val="00752DDC"/>
    <w:rsid w:val="00753BDB"/>
    <w:rsid w:val="00754BC8"/>
    <w:rsid w:val="00754DC6"/>
    <w:rsid w:val="0076189A"/>
    <w:rsid w:val="0076225B"/>
    <w:rsid w:val="007623EB"/>
    <w:rsid w:val="00763C34"/>
    <w:rsid w:val="007715AF"/>
    <w:rsid w:val="00773A8A"/>
    <w:rsid w:val="007759E5"/>
    <w:rsid w:val="00777734"/>
    <w:rsid w:val="007830FC"/>
    <w:rsid w:val="00784AFF"/>
    <w:rsid w:val="0078729D"/>
    <w:rsid w:val="00787BB6"/>
    <w:rsid w:val="00790543"/>
    <w:rsid w:val="007928AF"/>
    <w:rsid w:val="00792A3F"/>
    <w:rsid w:val="00792AEC"/>
    <w:rsid w:val="007962D7"/>
    <w:rsid w:val="00796BDB"/>
    <w:rsid w:val="007A1A38"/>
    <w:rsid w:val="007A2309"/>
    <w:rsid w:val="007A3E29"/>
    <w:rsid w:val="007A7FBD"/>
    <w:rsid w:val="007B33D7"/>
    <w:rsid w:val="007B3588"/>
    <w:rsid w:val="007B49AE"/>
    <w:rsid w:val="007B520B"/>
    <w:rsid w:val="007B7946"/>
    <w:rsid w:val="007C0A92"/>
    <w:rsid w:val="007C28E9"/>
    <w:rsid w:val="007C2D95"/>
    <w:rsid w:val="007C7442"/>
    <w:rsid w:val="007D4451"/>
    <w:rsid w:val="007D4C04"/>
    <w:rsid w:val="007D798C"/>
    <w:rsid w:val="007E0B97"/>
    <w:rsid w:val="007E2C36"/>
    <w:rsid w:val="007E3243"/>
    <w:rsid w:val="007E4892"/>
    <w:rsid w:val="007E55EE"/>
    <w:rsid w:val="007E69A6"/>
    <w:rsid w:val="007F03B5"/>
    <w:rsid w:val="007F0D0D"/>
    <w:rsid w:val="007F3829"/>
    <w:rsid w:val="007F438B"/>
    <w:rsid w:val="007F4A47"/>
    <w:rsid w:val="007F4BB9"/>
    <w:rsid w:val="007F5DB1"/>
    <w:rsid w:val="00803F2D"/>
    <w:rsid w:val="00807E86"/>
    <w:rsid w:val="00810F8B"/>
    <w:rsid w:val="00811B53"/>
    <w:rsid w:val="00821995"/>
    <w:rsid w:val="00822877"/>
    <w:rsid w:val="00824BDD"/>
    <w:rsid w:val="00825DAC"/>
    <w:rsid w:val="00827AF5"/>
    <w:rsid w:val="008306D8"/>
    <w:rsid w:val="00830B83"/>
    <w:rsid w:val="0083233C"/>
    <w:rsid w:val="00832CF9"/>
    <w:rsid w:val="00832D7E"/>
    <w:rsid w:val="00834245"/>
    <w:rsid w:val="00834BFE"/>
    <w:rsid w:val="008409B1"/>
    <w:rsid w:val="00841A69"/>
    <w:rsid w:val="0084206A"/>
    <w:rsid w:val="00842621"/>
    <w:rsid w:val="008428C5"/>
    <w:rsid w:val="008466C6"/>
    <w:rsid w:val="008467D4"/>
    <w:rsid w:val="00846E86"/>
    <w:rsid w:val="008474D6"/>
    <w:rsid w:val="00860E29"/>
    <w:rsid w:val="008658A1"/>
    <w:rsid w:val="00867AFF"/>
    <w:rsid w:val="008725EE"/>
    <w:rsid w:val="00872A2F"/>
    <w:rsid w:val="00873751"/>
    <w:rsid w:val="00873BB2"/>
    <w:rsid w:val="008753B3"/>
    <w:rsid w:val="0087560B"/>
    <w:rsid w:val="00880060"/>
    <w:rsid w:val="008804A7"/>
    <w:rsid w:val="00882EC4"/>
    <w:rsid w:val="008835EB"/>
    <w:rsid w:val="00884327"/>
    <w:rsid w:val="008910E4"/>
    <w:rsid w:val="008946D4"/>
    <w:rsid w:val="008962F2"/>
    <w:rsid w:val="00897352"/>
    <w:rsid w:val="008A1BEF"/>
    <w:rsid w:val="008A2051"/>
    <w:rsid w:val="008A6AE5"/>
    <w:rsid w:val="008B2D7C"/>
    <w:rsid w:val="008B44AA"/>
    <w:rsid w:val="008B56D5"/>
    <w:rsid w:val="008B5C5D"/>
    <w:rsid w:val="008B7601"/>
    <w:rsid w:val="008C0380"/>
    <w:rsid w:val="008C1764"/>
    <w:rsid w:val="008C325C"/>
    <w:rsid w:val="008C43B2"/>
    <w:rsid w:val="008C6A7C"/>
    <w:rsid w:val="008D0C78"/>
    <w:rsid w:val="008D5B97"/>
    <w:rsid w:val="008D7045"/>
    <w:rsid w:val="008E16C0"/>
    <w:rsid w:val="008E22F6"/>
    <w:rsid w:val="008E6858"/>
    <w:rsid w:val="008E6AC6"/>
    <w:rsid w:val="008E7AF2"/>
    <w:rsid w:val="008F08D7"/>
    <w:rsid w:val="008F6A4B"/>
    <w:rsid w:val="008F7328"/>
    <w:rsid w:val="0090105A"/>
    <w:rsid w:val="009036C6"/>
    <w:rsid w:val="009042CE"/>
    <w:rsid w:val="009043B1"/>
    <w:rsid w:val="00911DAC"/>
    <w:rsid w:val="009135AB"/>
    <w:rsid w:val="009170BF"/>
    <w:rsid w:val="00917F52"/>
    <w:rsid w:val="00921E17"/>
    <w:rsid w:val="00925375"/>
    <w:rsid w:val="00925546"/>
    <w:rsid w:val="0092788A"/>
    <w:rsid w:val="00931854"/>
    <w:rsid w:val="00937391"/>
    <w:rsid w:val="009406CF"/>
    <w:rsid w:val="0094269C"/>
    <w:rsid w:val="00945B28"/>
    <w:rsid w:val="00947A05"/>
    <w:rsid w:val="00950D70"/>
    <w:rsid w:val="00951BF4"/>
    <w:rsid w:val="00952E4D"/>
    <w:rsid w:val="0095391D"/>
    <w:rsid w:val="00953BFC"/>
    <w:rsid w:val="00954A64"/>
    <w:rsid w:val="00954B3D"/>
    <w:rsid w:val="00955E09"/>
    <w:rsid w:val="00957ECC"/>
    <w:rsid w:val="0096090F"/>
    <w:rsid w:val="0096192E"/>
    <w:rsid w:val="009639D8"/>
    <w:rsid w:val="00964FCF"/>
    <w:rsid w:val="009658E7"/>
    <w:rsid w:val="00970A36"/>
    <w:rsid w:val="00971AB9"/>
    <w:rsid w:val="00972E93"/>
    <w:rsid w:val="00974936"/>
    <w:rsid w:val="00974EDA"/>
    <w:rsid w:val="00975132"/>
    <w:rsid w:val="00975C1F"/>
    <w:rsid w:val="00975E26"/>
    <w:rsid w:val="00980078"/>
    <w:rsid w:val="00980235"/>
    <w:rsid w:val="00980D84"/>
    <w:rsid w:val="009817AB"/>
    <w:rsid w:val="00981D6E"/>
    <w:rsid w:val="00981E7C"/>
    <w:rsid w:val="009820C3"/>
    <w:rsid w:val="00983869"/>
    <w:rsid w:val="00984521"/>
    <w:rsid w:val="00987DC6"/>
    <w:rsid w:val="0099124C"/>
    <w:rsid w:val="0099252F"/>
    <w:rsid w:val="009941D9"/>
    <w:rsid w:val="009948EC"/>
    <w:rsid w:val="009953E1"/>
    <w:rsid w:val="00995AC3"/>
    <w:rsid w:val="009A1F3E"/>
    <w:rsid w:val="009A47E3"/>
    <w:rsid w:val="009A4FCC"/>
    <w:rsid w:val="009A5252"/>
    <w:rsid w:val="009A644C"/>
    <w:rsid w:val="009A7D0B"/>
    <w:rsid w:val="009B04E4"/>
    <w:rsid w:val="009B3093"/>
    <w:rsid w:val="009B4768"/>
    <w:rsid w:val="009B5B05"/>
    <w:rsid w:val="009C0479"/>
    <w:rsid w:val="009C1DD9"/>
    <w:rsid w:val="009C20BE"/>
    <w:rsid w:val="009C2A04"/>
    <w:rsid w:val="009C2B2B"/>
    <w:rsid w:val="009C4CAE"/>
    <w:rsid w:val="009D08B8"/>
    <w:rsid w:val="009D10E3"/>
    <w:rsid w:val="009D1BB4"/>
    <w:rsid w:val="009D599B"/>
    <w:rsid w:val="009E7D2F"/>
    <w:rsid w:val="009E7FDE"/>
    <w:rsid w:val="009F3F1A"/>
    <w:rsid w:val="00A0076E"/>
    <w:rsid w:val="00A01236"/>
    <w:rsid w:val="00A03098"/>
    <w:rsid w:val="00A04942"/>
    <w:rsid w:val="00A072E1"/>
    <w:rsid w:val="00A10A31"/>
    <w:rsid w:val="00A10FD7"/>
    <w:rsid w:val="00A127EE"/>
    <w:rsid w:val="00A14318"/>
    <w:rsid w:val="00A16854"/>
    <w:rsid w:val="00A21682"/>
    <w:rsid w:val="00A2288D"/>
    <w:rsid w:val="00A264B1"/>
    <w:rsid w:val="00A31194"/>
    <w:rsid w:val="00A31569"/>
    <w:rsid w:val="00A31A9F"/>
    <w:rsid w:val="00A33D82"/>
    <w:rsid w:val="00A33DB1"/>
    <w:rsid w:val="00A34795"/>
    <w:rsid w:val="00A34FC5"/>
    <w:rsid w:val="00A36702"/>
    <w:rsid w:val="00A378E5"/>
    <w:rsid w:val="00A40FFD"/>
    <w:rsid w:val="00A4104F"/>
    <w:rsid w:val="00A441F4"/>
    <w:rsid w:val="00A44593"/>
    <w:rsid w:val="00A50E38"/>
    <w:rsid w:val="00A54A41"/>
    <w:rsid w:val="00A62894"/>
    <w:rsid w:val="00A63081"/>
    <w:rsid w:val="00A637CF"/>
    <w:rsid w:val="00A655B7"/>
    <w:rsid w:val="00A65AE1"/>
    <w:rsid w:val="00A72CA1"/>
    <w:rsid w:val="00A770F4"/>
    <w:rsid w:val="00A80F8A"/>
    <w:rsid w:val="00A830D0"/>
    <w:rsid w:val="00A859C9"/>
    <w:rsid w:val="00A87430"/>
    <w:rsid w:val="00A90C88"/>
    <w:rsid w:val="00A91230"/>
    <w:rsid w:val="00A92099"/>
    <w:rsid w:val="00A938FE"/>
    <w:rsid w:val="00A940E0"/>
    <w:rsid w:val="00A96BFB"/>
    <w:rsid w:val="00AA24B0"/>
    <w:rsid w:val="00AA2ACB"/>
    <w:rsid w:val="00AA3B08"/>
    <w:rsid w:val="00AA4978"/>
    <w:rsid w:val="00AA4B55"/>
    <w:rsid w:val="00AB2502"/>
    <w:rsid w:val="00AB3AF2"/>
    <w:rsid w:val="00AB5BC1"/>
    <w:rsid w:val="00AB70FD"/>
    <w:rsid w:val="00AC09C7"/>
    <w:rsid w:val="00AC0F6F"/>
    <w:rsid w:val="00AC25FE"/>
    <w:rsid w:val="00AC2DA7"/>
    <w:rsid w:val="00AC60FF"/>
    <w:rsid w:val="00AD2823"/>
    <w:rsid w:val="00AD2B21"/>
    <w:rsid w:val="00AD2C7E"/>
    <w:rsid w:val="00AD3EB8"/>
    <w:rsid w:val="00AD4278"/>
    <w:rsid w:val="00AD7E38"/>
    <w:rsid w:val="00AE1D86"/>
    <w:rsid w:val="00AE353D"/>
    <w:rsid w:val="00AE58D4"/>
    <w:rsid w:val="00AE66B4"/>
    <w:rsid w:val="00AF107A"/>
    <w:rsid w:val="00AF11F2"/>
    <w:rsid w:val="00AF48A4"/>
    <w:rsid w:val="00AF668B"/>
    <w:rsid w:val="00AF7F7B"/>
    <w:rsid w:val="00B030A5"/>
    <w:rsid w:val="00B03284"/>
    <w:rsid w:val="00B0457D"/>
    <w:rsid w:val="00B047AE"/>
    <w:rsid w:val="00B05B7C"/>
    <w:rsid w:val="00B1077C"/>
    <w:rsid w:val="00B11AA1"/>
    <w:rsid w:val="00B14425"/>
    <w:rsid w:val="00B14F3D"/>
    <w:rsid w:val="00B165F6"/>
    <w:rsid w:val="00B233FD"/>
    <w:rsid w:val="00B26A73"/>
    <w:rsid w:val="00B26C30"/>
    <w:rsid w:val="00B3226F"/>
    <w:rsid w:val="00B338AF"/>
    <w:rsid w:val="00B352AC"/>
    <w:rsid w:val="00B3598B"/>
    <w:rsid w:val="00B36757"/>
    <w:rsid w:val="00B375DD"/>
    <w:rsid w:val="00B37DF7"/>
    <w:rsid w:val="00B41CB6"/>
    <w:rsid w:val="00B41D38"/>
    <w:rsid w:val="00B4218D"/>
    <w:rsid w:val="00B428CE"/>
    <w:rsid w:val="00B4603A"/>
    <w:rsid w:val="00B47498"/>
    <w:rsid w:val="00B47C09"/>
    <w:rsid w:val="00B52510"/>
    <w:rsid w:val="00B5348C"/>
    <w:rsid w:val="00B53F8D"/>
    <w:rsid w:val="00B556EE"/>
    <w:rsid w:val="00B6336E"/>
    <w:rsid w:val="00B63D92"/>
    <w:rsid w:val="00B6400D"/>
    <w:rsid w:val="00B64230"/>
    <w:rsid w:val="00B64995"/>
    <w:rsid w:val="00B660E9"/>
    <w:rsid w:val="00B6611A"/>
    <w:rsid w:val="00B71AFB"/>
    <w:rsid w:val="00B7350A"/>
    <w:rsid w:val="00B8053D"/>
    <w:rsid w:val="00B82976"/>
    <w:rsid w:val="00B82F13"/>
    <w:rsid w:val="00B84086"/>
    <w:rsid w:val="00B845D1"/>
    <w:rsid w:val="00B859D5"/>
    <w:rsid w:val="00B86256"/>
    <w:rsid w:val="00B86347"/>
    <w:rsid w:val="00B940FD"/>
    <w:rsid w:val="00B95B63"/>
    <w:rsid w:val="00B96B0A"/>
    <w:rsid w:val="00BA1083"/>
    <w:rsid w:val="00BA1D4C"/>
    <w:rsid w:val="00BA2216"/>
    <w:rsid w:val="00BA22DA"/>
    <w:rsid w:val="00BA2CD3"/>
    <w:rsid w:val="00BA7DEB"/>
    <w:rsid w:val="00BB0852"/>
    <w:rsid w:val="00BB170E"/>
    <w:rsid w:val="00BB3CEB"/>
    <w:rsid w:val="00BB52B4"/>
    <w:rsid w:val="00BC239C"/>
    <w:rsid w:val="00BC47DC"/>
    <w:rsid w:val="00BD2382"/>
    <w:rsid w:val="00BD2C25"/>
    <w:rsid w:val="00BD5868"/>
    <w:rsid w:val="00BE0517"/>
    <w:rsid w:val="00BE2AE7"/>
    <w:rsid w:val="00BE6B4C"/>
    <w:rsid w:val="00BF0C67"/>
    <w:rsid w:val="00BF10BC"/>
    <w:rsid w:val="00BF2432"/>
    <w:rsid w:val="00BF5428"/>
    <w:rsid w:val="00BF5E35"/>
    <w:rsid w:val="00C003B8"/>
    <w:rsid w:val="00C01C2C"/>
    <w:rsid w:val="00C02400"/>
    <w:rsid w:val="00C02E71"/>
    <w:rsid w:val="00C04814"/>
    <w:rsid w:val="00C0573A"/>
    <w:rsid w:val="00C07F84"/>
    <w:rsid w:val="00C12F52"/>
    <w:rsid w:val="00C139AF"/>
    <w:rsid w:val="00C1579A"/>
    <w:rsid w:val="00C157BD"/>
    <w:rsid w:val="00C16EDD"/>
    <w:rsid w:val="00C211D8"/>
    <w:rsid w:val="00C31DE1"/>
    <w:rsid w:val="00C33385"/>
    <w:rsid w:val="00C35AFD"/>
    <w:rsid w:val="00C35F27"/>
    <w:rsid w:val="00C37ABA"/>
    <w:rsid w:val="00C40A8F"/>
    <w:rsid w:val="00C419C1"/>
    <w:rsid w:val="00C4309C"/>
    <w:rsid w:val="00C452B6"/>
    <w:rsid w:val="00C471A5"/>
    <w:rsid w:val="00C50AE4"/>
    <w:rsid w:val="00C520F2"/>
    <w:rsid w:val="00C528E8"/>
    <w:rsid w:val="00C530D8"/>
    <w:rsid w:val="00C56FE2"/>
    <w:rsid w:val="00C57A64"/>
    <w:rsid w:val="00C57BB1"/>
    <w:rsid w:val="00C604EE"/>
    <w:rsid w:val="00C617D5"/>
    <w:rsid w:val="00C62167"/>
    <w:rsid w:val="00C631BD"/>
    <w:rsid w:val="00C71197"/>
    <w:rsid w:val="00C7516C"/>
    <w:rsid w:val="00C75F65"/>
    <w:rsid w:val="00C80DB6"/>
    <w:rsid w:val="00C80E2A"/>
    <w:rsid w:val="00C80E4E"/>
    <w:rsid w:val="00C8206A"/>
    <w:rsid w:val="00C84694"/>
    <w:rsid w:val="00C878DB"/>
    <w:rsid w:val="00C902C2"/>
    <w:rsid w:val="00C90CB0"/>
    <w:rsid w:val="00C943CF"/>
    <w:rsid w:val="00CA17B7"/>
    <w:rsid w:val="00CA53B3"/>
    <w:rsid w:val="00CA59D6"/>
    <w:rsid w:val="00CA5BAB"/>
    <w:rsid w:val="00CA76A9"/>
    <w:rsid w:val="00CB1778"/>
    <w:rsid w:val="00CB1AE8"/>
    <w:rsid w:val="00CB1FC7"/>
    <w:rsid w:val="00CB23AC"/>
    <w:rsid w:val="00CB3755"/>
    <w:rsid w:val="00CB37F6"/>
    <w:rsid w:val="00CB6030"/>
    <w:rsid w:val="00CC1FE6"/>
    <w:rsid w:val="00CC2ED5"/>
    <w:rsid w:val="00CC30B7"/>
    <w:rsid w:val="00CC4C1B"/>
    <w:rsid w:val="00CC58A6"/>
    <w:rsid w:val="00CC7F4E"/>
    <w:rsid w:val="00CD2BB2"/>
    <w:rsid w:val="00CD39F5"/>
    <w:rsid w:val="00CE13DF"/>
    <w:rsid w:val="00CE2C81"/>
    <w:rsid w:val="00CE44E6"/>
    <w:rsid w:val="00CE4D62"/>
    <w:rsid w:val="00CE6717"/>
    <w:rsid w:val="00CE6D80"/>
    <w:rsid w:val="00CE779C"/>
    <w:rsid w:val="00CF1A6E"/>
    <w:rsid w:val="00CF32A4"/>
    <w:rsid w:val="00CF3A9E"/>
    <w:rsid w:val="00CF61B8"/>
    <w:rsid w:val="00D01F32"/>
    <w:rsid w:val="00D0682F"/>
    <w:rsid w:val="00D137C8"/>
    <w:rsid w:val="00D13D2D"/>
    <w:rsid w:val="00D154E7"/>
    <w:rsid w:val="00D221CA"/>
    <w:rsid w:val="00D2261C"/>
    <w:rsid w:val="00D22901"/>
    <w:rsid w:val="00D23E0F"/>
    <w:rsid w:val="00D25023"/>
    <w:rsid w:val="00D250D5"/>
    <w:rsid w:val="00D3106A"/>
    <w:rsid w:val="00D313A5"/>
    <w:rsid w:val="00D31A4D"/>
    <w:rsid w:val="00D32BB1"/>
    <w:rsid w:val="00D33381"/>
    <w:rsid w:val="00D33506"/>
    <w:rsid w:val="00D3461D"/>
    <w:rsid w:val="00D34C87"/>
    <w:rsid w:val="00D364BE"/>
    <w:rsid w:val="00D40176"/>
    <w:rsid w:val="00D42A75"/>
    <w:rsid w:val="00D42E9C"/>
    <w:rsid w:val="00D445CC"/>
    <w:rsid w:val="00D471CD"/>
    <w:rsid w:val="00D47800"/>
    <w:rsid w:val="00D502BC"/>
    <w:rsid w:val="00D5089A"/>
    <w:rsid w:val="00D51323"/>
    <w:rsid w:val="00D52F31"/>
    <w:rsid w:val="00D535A7"/>
    <w:rsid w:val="00D565DD"/>
    <w:rsid w:val="00D57E6F"/>
    <w:rsid w:val="00D60A6D"/>
    <w:rsid w:val="00D60EFE"/>
    <w:rsid w:val="00D62F4C"/>
    <w:rsid w:val="00D63AD1"/>
    <w:rsid w:val="00D6413A"/>
    <w:rsid w:val="00D64915"/>
    <w:rsid w:val="00D64F01"/>
    <w:rsid w:val="00D65FEC"/>
    <w:rsid w:val="00D67E9B"/>
    <w:rsid w:val="00D710FB"/>
    <w:rsid w:val="00D7167F"/>
    <w:rsid w:val="00D71CFA"/>
    <w:rsid w:val="00D74643"/>
    <w:rsid w:val="00D74889"/>
    <w:rsid w:val="00D767A3"/>
    <w:rsid w:val="00D8120D"/>
    <w:rsid w:val="00D8347B"/>
    <w:rsid w:val="00D83FEC"/>
    <w:rsid w:val="00D844FA"/>
    <w:rsid w:val="00D8553D"/>
    <w:rsid w:val="00D85C6D"/>
    <w:rsid w:val="00D86387"/>
    <w:rsid w:val="00D8798A"/>
    <w:rsid w:val="00D94779"/>
    <w:rsid w:val="00D96035"/>
    <w:rsid w:val="00D96852"/>
    <w:rsid w:val="00D974FB"/>
    <w:rsid w:val="00D97D43"/>
    <w:rsid w:val="00DA02A1"/>
    <w:rsid w:val="00DA130E"/>
    <w:rsid w:val="00DA311D"/>
    <w:rsid w:val="00DA5954"/>
    <w:rsid w:val="00DB0C40"/>
    <w:rsid w:val="00DB1DAF"/>
    <w:rsid w:val="00DB4EB2"/>
    <w:rsid w:val="00DB6F12"/>
    <w:rsid w:val="00DB705A"/>
    <w:rsid w:val="00DB73D8"/>
    <w:rsid w:val="00DC06AC"/>
    <w:rsid w:val="00DC6504"/>
    <w:rsid w:val="00DC6F87"/>
    <w:rsid w:val="00DD1599"/>
    <w:rsid w:val="00DD2F0D"/>
    <w:rsid w:val="00DD30C8"/>
    <w:rsid w:val="00DD3AFE"/>
    <w:rsid w:val="00DD3DC8"/>
    <w:rsid w:val="00DD48DD"/>
    <w:rsid w:val="00DD6544"/>
    <w:rsid w:val="00DD6F40"/>
    <w:rsid w:val="00DD7465"/>
    <w:rsid w:val="00DE0509"/>
    <w:rsid w:val="00DE0E32"/>
    <w:rsid w:val="00DE114E"/>
    <w:rsid w:val="00DE423D"/>
    <w:rsid w:val="00DE7287"/>
    <w:rsid w:val="00DF0E8B"/>
    <w:rsid w:val="00DF1389"/>
    <w:rsid w:val="00DF1B33"/>
    <w:rsid w:val="00DF2A61"/>
    <w:rsid w:val="00DF4770"/>
    <w:rsid w:val="00DF5685"/>
    <w:rsid w:val="00E00282"/>
    <w:rsid w:val="00E00E91"/>
    <w:rsid w:val="00E02AF6"/>
    <w:rsid w:val="00E04B37"/>
    <w:rsid w:val="00E07388"/>
    <w:rsid w:val="00E1048D"/>
    <w:rsid w:val="00E10EFD"/>
    <w:rsid w:val="00E11499"/>
    <w:rsid w:val="00E127EF"/>
    <w:rsid w:val="00E132B1"/>
    <w:rsid w:val="00E14B3D"/>
    <w:rsid w:val="00E14FA2"/>
    <w:rsid w:val="00E17052"/>
    <w:rsid w:val="00E17B6F"/>
    <w:rsid w:val="00E210E8"/>
    <w:rsid w:val="00E2347B"/>
    <w:rsid w:val="00E3384B"/>
    <w:rsid w:val="00E37BCB"/>
    <w:rsid w:val="00E44D2D"/>
    <w:rsid w:val="00E45AE0"/>
    <w:rsid w:val="00E46A1C"/>
    <w:rsid w:val="00E4757F"/>
    <w:rsid w:val="00E47667"/>
    <w:rsid w:val="00E54AD4"/>
    <w:rsid w:val="00E565D4"/>
    <w:rsid w:val="00E603DF"/>
    <w:rsid w:val="00E60C04"/>
    <w:rsid w:val="00E64071"/>
    <w:rsid w:val="00E648F1"/>
    <w:rsid w:val="00E65F8D"/>
    <w:rsid w:val="00E66136"/>
    <w:rsid w:val="00E7069C"/>
    <w:rsid w:val="00E7183B"/>
    <w:rsid w:val="00E7582E"/>
    <w:rsid w:val="00E75C2D"/>
    <w:rsid w:val="00E8098A"/>
    <w:rsid w:val="00E81A6A"/>
    <w:rsid w:val="00E83BC5"/>
    <w:rsid w:val="00E854E4"/>
    <w:rsid w:val="00E855AD"/>
    <w:rsid w:val="00E85E1E"/>
    <w:rsid w:val="00E95AF0"/>
    <w:rsid w:val="00E95B74"/>
    <w:rsid w:val="00E97FDE"/>
    <w:rsid w:val="00EA0574"/>
    <w:rsid w:val="00EA0B4D"/>
    <w:rsid w:val="00EA1511"/>
    <w:rsid w:val="00EA2B08"/>
    <w:rsid w:val="00EA2BDF"/>
    <w:rsid w:val="00EA3C8B"/>
    <w:rsid w:val="00EA4757"/>
    <w:rsid w:val="00EA4D4A"/>
    <w:rsid w:val="00EA6874"/>
    <w:rsid w:val="00EC2A6A"/>
    <w:rsid w:val="00EC2FAD"/>
    <w:rsid w:val="00EC3B7F"/>
    <w:rsid w:val="00EC40CD"/>
    <w:rsid w:val="00EC4FB9"/>
    <w:rsid w:val="00EC639A"/>
    <w:rsid w:val="00EC7572"/>
    <w:rsid w:val="00ED03C2"/>
    <w:rsid w:val="00ED25E5"/>
    <w:rsid w:val="00ED2A92"/>
    <w:rsid w:val="00ED454B"/>
    <w:rsid w:val="00ED4CBB"/>
    <w:rsid w:val="00ED54C3"/>
    <w:rsid w:val="00ED609C"/>
    <w:rsid w:val="00ED7D2C"/>
    <w:rsid w:val="00EE2A3A"/>
    <w:rsid w:val="00EE52AC"/>
    <w:rsid w:val="00EE71C3"/>
    <w:rsid w:val="00EE7AAC"/>
    <w:rsid w:val="00EF0209"/>
    <w:rsid w:val="00EF03FC"/>
    <w:rsid w:val="00EF10F4"/>
    <w:rsid w:val="00EF282D"/>
    <w:rsid w:val="00EF3EB3"/>
    <w:rsid w:val="00EF437F"/>
    <w:rsid w:val="00EF6003"/>
    <w:rsid w:val="00F0463A"/>
    <w:rsid w:val="00F058DC"/>
    <w:rsid w:val="00F068E6"/>
    <w:rsid w:val="00F12A09"/>
    <w:rsid w:val="00F14565"/>
    <w:rsid w:val="00F14BD6"/>
    <w:rsid w:val="00F15422"/>
    <w:rsid w:val="00F17E2A"/>
    <w:rsid w:val="00F20545"/>
    <w:rsid w:val="00F208D5"/>
    <w:rsid w:val="00F20E3D"/>
    <w:rsid w:val="00F221A4"/>
    <w:rsid w:val="00F240DF"/>
    <w:rsid w:val="00F2774F"/>
    <w:rsid w:val="00F3003C"/>
    <w:rsid w:val="00F30C7C"/>
    <w:rsid w:val="00F32F64"/>
    <w:rsid w:val="00F332A2"/>
    <w:rsid w:val="00F336D2"/>
    <w:rsid w:val="00F3531A"/>
    <w:rsid w:val="00F35628"/>
    <w:rsid w:val="00F36740"/>
    <w:rsid w:val="00F36DEB"/>
    <w:rsid w:val="00F4660B"/>
    <w:rsid w:val="00F50D7D"/>
    <w:rsid w:val="00F51A50"/>
    <w:rsid w:val="00F5343C"/>
    <w:rsid w:val="00F55DF9"/>
    <w:rsid w:val="00F6412F"/>
    <w:rsid w:val="00F6543F"/>
    <w:rsid w:val="00F71A25"/>
    <w:rsid w:val="00F72113"/>
    <w:rsid w:val="00F72D93"/>
    <w:rsid w:val="00F743AD"/>
    <w:rsid w:val="00F74F26"/>
    <w:rsid w:val="00F765D4"/>
    <w:rsid w:val="00F7694D"/>
    <w:rsid w:val="00F77D31"/>
    <w:rsid w:val="00F90F9D"/>
    <w:rsid w:val="00F92162"/>
    <w:rsid w:val="00F92F0D"/>
    <w:rsid w:val="00F942AB"/>
    <w:rsid w:val="00F94F8D"/>
    <w:rsid w:val="00F966DC"/>
    <w:rsid w:val="00F97A2A"/>
    <w:rsid w:val="00FA060B"/>
    <w:rsid w:val="00FA1906"/>
    <w:rsid w:val="00FA239B"/>
    <w:rsid w:val="00FA2943"/>
    <w:rsid w:val="00FA2B63"/>
    <w:rsid w:val="00FA2CED"/>
    <w:rsid w:val="00FA3EC0"/>
    <w:rsid w:val="00FA5496"/>
    <w:rsid w:val="00FA57F1"/>
    <w:rsid w:val="00FA580D"/>
    <w:rsid w:val="00FA5F36"/>
    <w:rsid w:val="00FB77C2"/>
    <w:rsid w:val="00FC3C4C"/>
    <w:rsid w:val="00FC4254"/>
    <w:rsid w:val="00FC4D3C"/>
    <w:rsid w:val="00FC5F64"/>
    <w:rsid w:val="00FD30A2"/>
    <w:rsid w:val="00FD45C1"/>
    <w:rsid w:val="00FE0D74"/>
    <w:rsid w:val="00FE19E1"/>
    <w:rsid w:val="00FE2C7C"/>
    <w:rsid w:val="00FE36F4"/>
    <w:rsid w:val="00FE3D27"/>
    <w:rsid w:val="00FE4F56"/>
    <w:rsid w:val="00FE5B56"/>
    <w:rsid w:val="00FE6674"/>
    <w:rsid w:val="00FF191C"/>
    <w:rsid w:val="00FF2A6E"/>
    <w:rsid w:val="00FF4327"/>
    <w:rsid w:val="00FF6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F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A4BCC"/>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E1F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4A4B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777734"/>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s"/>
    <w:link w:val="SarakstarindkopaRakstz"/>
    <w:uiPriority w:val="34"/>
    <w:qFormat/>
    <w:rsid w:val="004A4BCC"/>
    <w:pPr>
      <w:widowControl/>
      <w:autoSpaceDE/>
      <w:autoSpaceDN/>
      <w:adjustRightInd/>
      <w:spacing w:after="200" w:line="276" w:lineRule="auto"/>
      <w:ind w:left="720"/>
    </w:pPr>
    <w:rPr>
      <w:rFonts w:ascii="Calibri" w:hAnsi="Calibri" w:cs="Calibri"/>
      <w:sz w:val="22"/>
      <w:szCs w:val="22"/>
      <w:lang w:eastAsia="en-US"/>
    </w:rPr>
  </w:style>
  <w:style w:type="paragraph" w:customStyle="1" w:styleId="vir2">
    <w:name w:val="vir2"/>
    <w:basedOn w:val="Virsraksts2"/>
    <w:link w:val="vir2Rakstz"/>
    <w:qFormat/>
    <w:rsid w:val="004A4BCC"/>
    <w:pPr>
      <w:keepNext w:val="0"/>
      <w:keepLines w:val="0"/>
      <w:spacing w:before="0"/>
      <w:jc w:val="center"/>
    </w:pPr>
    <w:rPr>
      <w:rFonts w:ascii="Times New Roman" w:eastAsia="Times New Roman" w:hAnsi="Times New Roman" w:cs="Times New Roman"/>
      <w:bCs w:val="0"/>
      <w:color w:val="auto"/>
      <w:lang w:val="x-none"/>
    </w:rPr>
  </w:style>
  <w:style w:type="character" w:customStyle="1" w:styleId="vir2Rakstz">
    <w:name w:val="vir2 Rakstz."/>
    <w:link w:val="vir2"/>
    <w:rsid w:val="004A4BCC"/>
    <w:rPr>
      <w:rFonts w:ascii="Times New Roman" w:eastAsia="Times New Roman" w:hAnsi="Times New Roman" w:cs="Times New Roman"/>
      <w:b/>
      <w:sz w:val="26"/>
      <w:szCs w:val="26"/>
      <w:lang w:val="x-none" w:eastAsia="lv-LV"/>
    </w:rPr>
  </w:style>
  <w:style w:type="character" w:customStyle="1" w:styleId="SarakstarindkopaRakstz">
    <w:name w:val="Saraksta rindkopa Rakstz."/>
    <w:aliases w:val="2 Rakstz."/>
    <w:link w:val="Sarakstarindkopa"/>
    <w:uiPriority w:val="34"/>
    <w:locked/>
    <w:rsid w:val="004A4BCC"/>
    <w:rPr>
      <w:rFonts w:ascii="Calibri" w:eastAsia="Times New Roman" w:hAnsi="Calibri" w:cs="Calibri"/>
    </w:rPr>
  </w:style>
  <w:style w:type="character" w:customStyle="1" w:styleId="Virsraksts2Rakstz">
    <w:name w:val="Virsraksts 2 Rakstz."/>
    <w:basedOn w:val="Noklusjumarindkopasfonts"/>
    <w:link w:val="Virsraksts2"/>
    <w:uiPriority w:val="9"/>
    <w:semiHidden/>
    <w:rsid w:val="004A4BCC"/>
    <w:rPr>
      <w:rFonts w:asciiTheme="majorHAnsi" w:eastAsiaTheme="majorEastAsia" w:hAnsiTheme="majorHAnsi" w:cstheme="majorBidi"/>
      <w:b/>
      <w:bCs/>
      <w:color w:val="4F81BD" w:themeColor="accent1"/>
      <w:sz w:val="26"/>
      <w:szCs w:val="26"/>
      <w:lang w:eastAsia="lv-LV"/>
    </w:rPr>
  </w:style>
  <w:style w:type="paragraph" w:styleId="Komentrateksts">
    <w:name w:val="annotation text"/>
    <w:basedOn w:val="Parasts"/>
    <w:link w:val="KomentratekstsRakstz"/>
    <w:uiPriority w:val="99"/>
    <w:rsid w:val="004A4BCC"/>
    <w:rPr>
      <w:sz w:val="20"/>
      <w:szCs w:val="20"/>
      <w:lang w:val="x-none"/>
    </w:rPr>
  </w:style>
  <w:style w:type="character" w:customStyle="1" w:styleId="KomentratekstsRakstz">
    <w:name w:val="Komentāra teksts Rakstz."/>
    <w:basedOn w:val="Noklusjumarindkopasfonts"/>
    <w:link w:val="Komentrateksts"/>
    <w:uiPriority w:val="99"/>
    <w:rsid w:val="004A4BCC"/>
    <w:rPr>
      <w:rFonts w:ascii="Times New Roman" w:eastAsia="Times New Roman" w:hAnsi="Times New Roman" w:cs="Times New Roman"/>
      <w:sz w:val="20"/>
      <w:szCs w:val="20"/>
      <w:lang w:val="x-none" w:eastAsia="lv-LV"/>
    </w:rPr>
  </w:style>
  <w:style w:type="paragraph" w:styleId="Paraststmeklis">
    <w:name w:val="Normal (Web)"/>
    <w:aliases w:val="sākums"/>
    <w:basedOn w:val="Parasts"/>
    <w:uiPriority w:val="99"/>
    <w:rsid w:val="004A4BCC"/>
    <w:pPr>
      <w:widowControl/>
      <w:autoSpaceDE/>
      <w:autoSpaceDN/>
      <w:adjustRightInd/>
      <w:spacing w:before="100" w:beforeAutospacing="1" w:after="100" w:afterAutospacing="1"/>
    </w:pPr>
  </w:style>
  <w:style w:type="paragraph" w:customStyle="1" w:styleId="naiskr">
    <w:name w:val="naiskr"/>
    <w:basedOn w:val="Parasts"/>
    <w:uiPriority w:val="99"/>
    <w:rsid w:val="004A4BCC"/>
    <w:pPr>
      <w:widowControl/>
      <w:autoSpaceDE/>
      <w:autoSpaceDN/>
      <w:adjustRightInd/>
      <w:spacing w:before="75" w:after="75"/>
    </w:pPr>
    <w:rPr>
      <w:rFonts w:eastAsia="Calibri"/>
    </w:rPr>
  </w:style>
  <w:style w:type="character" w:styleId="Izteiksmgs">
    <w:name w:val="Strong"/>
    <w:basedOn w:val="Noklusjumarindkopasfonts"/>
    <w:uiPriority w:val="22"/>
    <w:qFormat/>
    <w:rsid w:val="00495BC3"/>
    <w:rPr>
      <w:rFonts w:cs="Times New Roman"/>
      <w:b/>
      <w:bCs/>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rsid w:val="00495BC3"/>
    <w:pPr>
      <w:widowControl/>
      <w:autoSpaceDE/>
      <w:autoSpaceDN/>
      <w:adjustRightInd/>
    </w:pPr>
    <w:rPr>
      <w:rFonts w:ascii="Calibri" w:hAnsi="Calibri"/>
      <w:sz w:val="20"/>
      <w:szCs w:val="20"/>
      <w:lang w:val="x-none" w:eastAsia="x-none"/>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495BC3"/>
    <w:rPr>
      <w:rFonts w:ascii="Calibri" w:eastAsia="Times New Roman" w:hAnsi="Calibri" w:cs="Times New Roman"/>
      <w:sz w:val="20"/>
      <w:szCs w:val="20"/>
      <w:lang w:val="x-none" w:eastAsia="x-none"/>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495BC3"/>
    <w:rPr>
      <w:vertAlign w:val="superscript"/>
    </w:rPr>
  </w:style>
  <w:style w:type="character" w:styleId="Hipersaite">
    <w:name w:val="Hyperlink"/>
    <w:uiPriority w:val="99"/>
    <w:rsid w:val="00495BC3"/>
    <w:rPr>
      <w:color w:val="0000FF"/>
      <w:u w:val="single"/>
    </w:rPr>
  </w:style>
  <w:style w:type="paragraph" w:customStyle="1" w:styleId="Default">
    <w:name w:val="Default"/>
    <w:rsid w:val="00495BC3"/>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4">
    <w:name w:val="CM4"/>
    <w:basedOn w:val="Default"/>
    <w:next w:val="Default"/>
    <w:uiPriority w:val="99"/>
    <w:rsid w:val="00495BC3"/>
    <w:rPr>
      <w:rFonts w:cs="Times New Roman"/>
      <w:color w:val="auto"/>
    </w:rPr>
  </w:style>
  <w:style w:type="character" w:customStyle="1" w:styleId="FootnoteCharacters">
    <w:name w:val="Footnote Characters"/>
    <w:rsid w:val="00495BC3"/>
    <w:rPr>
      <w:vertAlign w:val="superscript"/>
    </w:rPr>
  </w:style>
  <w:style w:type="character" w:styleId="Izmantotahipersaite">
    <w:name w:val="FollowedHyperlink"/>
    <w:basedOn w:val="Noklusjumarindkopasfonts"/>
    <w:uiPriority w:val="99"/>
    <w:semiHidden/>
    <w:unhideWhenUsed/>
    <w:rsid w:val="00B41D38"/>
    <w:rPr>
      <w:color w:val="800080" w:themeColor="followedHyperlink"/>
      <w:u w:val="single"/>
    </w:rPr>
  </w:style>
  <w:style w:type="character" w:customStyle="1" w:styleId="Virsraksts3Rakstz">
    <w:name w:val="Virsraksts 3 Rakstz."/>
    <w:basedOn w:val="Noklusjumarindkopasfonts"/>
    <w:link w:val="Virsraksts3"/>
    <w:uiPriority w:val="9"/>
    <w:rsid w:val="00777734"/>
    <w:rPr>
      <w:rFonts w:asciiTheme="majorHAnsi" w:eastAsiaTheme="majorEastAsia" w:hAnsiTheme="majorHAnsi" w:cstheme="majorBidi"/>
      <w:b/>
      <w:bCs/>
      <w:color w:val="4F81BD" w:themeColor="accent1"/>
      <w:sz w:val="24"/>
      <w:szCs w:val="24"/>
      <w:lang w:eastAsia="lv-LV"/>
    </w:rPr>
  </w:style>
  <w:style w:type="paragraph" w:styleId="Balonteksts">
    <w:name w:val="Balloon Text"/>
    <w:basedOn w:val="Parasts"/>
    <w:link w:val="BalontekstsRakstz"/>
    <w:uiPriority w:val="99"/>
    <w:semiHidden/>
    <w:rsid w:val="00777734"/>
    <w:rPr>
      <w:rFonts w:ascii="Tahoma" w:hAnsi="Tahoma"/>
      <w:sz w:val="16"/>
      <w:szCs w:val="16"/>
      <w:lang w:val="x-none"/>
    </w:rPr>
  </w:style>
  <w:style w:type="character" w:customStyle="1" w:styleId="BalontekstsRakstz">
    <w:name w:val="Balonteksts Rakstz."/>
    <w:basedOn w:val="Noklusjumarindkopasfonts"/>
    <w:link w:val="Balonteksts"/>
    <w:uiPriority w:val="99"/>
    <w:semiHidden/>
    <w:rsid w:val="00777734"/>
    <w:rPr>
      <w:rFonts w:ascii="Tahoma" w:eastAsia="Times New Roman" w:hAnsi="Tahoma" w:cs="Times New Roman"/>
      <w:sz w:val="16"/>
      <w:szCs w:val="16"/>
      <w:lang w:val="x-none" w:eastAsia="lv-LV"/>
    </w:rPr>
  </w:style>
  <w:style w:type="paragraph" w:customStyle="1" w:styleId="naisf">
    <w:name w:val="naisf"/>
    <w:basedOn w:val="Parasts"/>
    <w:uiPriority w:val="99"/>
    <w:rsid w:val="00777734"/>
    <w:pPr>
      <w:widowControl/>
      <w:autoSpaceDE/>
      <w:autoSpaceDN/>
      <w:adjustRightInd/>
      <w:spacing w:before="100" w:beforeAutospacing="1" w:after="100" w:afterAutospacing="1"/>
    </w:pPr>
  </w:style>
  <w:style w:type="character" w:styleId="Komentraatsauce">
    <w:name w:val="annotation reference"/>
    <w:uiPriority w:val="99"/>
    <w:semiHidden/>
    <w:rsid w:val="00777734"/>
    <w:rPr>
      <w:sz w:val="16"/>
      <w:szCs w:val="16"/>
    </w:rPr>
  </w:style>
  <w:style w:type="paragraph" w:customStyle="1" w:styleId="naisc">
    <w:name w:val="naisc"/>
    <w:basedOn w:val="Parasts"/>
    <w:rsid w:val="00777734"/>
    <w:pPr>
      <w:widowControl/>
      <w:autoSpaceDE/>
      <w:autoSpaceDN/>
      <w:adjustRightInd/>
      <w:spacing w:before="100" w:beforeAutospacing="1" w:after="100" w:afterAutospacing="1"/>
    </w:pPr>
  </w:style>
  <w:style w:type="paragraph" w:customStyle="1" w:styleId="tv2131">
    <w:name w:val="tv2131"/>
    <w:basedOn w:val="Parasts"/>
    <w:rsid w:val="00777734"/>
    <w:pPr>
      <w:widowControl/>
      <w:autoSpaceDE/>
      <w:autoSpaceDN/>
      <w:adjustRightInd/>
      <w:spacing w:line="360" w:lineRule="auto"/>
      <w:ind w:firstLine="300"/>
    </w:pPr>
    <w:rPr>
      <w:color w:val="414142"/>
      <w:sz w:val="20"/>
      <w:szCs w:val="20"/>
    </w:rPr>
  </w:style>
  <w:style w:type="character" w:customStyle="1" w:styleId="Virsraksts1Rakstz">
    <w:name w:val="Virsraksts 1 Rakstz."/>
    <w:basedOn w:val="Noklusjumarindkopasfonts"/>
    <w:link w:val="Virsraksts1"/>
    <w:uiPriority w:val="9"/>
    <w:rsid w:val="003E1F92"/>
    <w:rPr>
      <w:rFonts w:asciiTheme="majorHAnsi" w:eastAsiaTheme="majorEastAsia" w:hAnsiTheme="majorHAnsi" w:cstheme="majorBidi"/>
      <w:b/>
      <w:bCs/>
      <w:color w:val="365F91" w:themeColor="accent1" w:themeShade="BF"/>
      <w:sz w:val="28"/>
      <w:szCs w:val="28"/>
      <w:lang w:eastAsia="lv-LV"/>
    </w:rPr>
  </w:style>
  <w:style w:type="paragraph" w:styleId="Pamatteksts2">
    <w:name w:val="Body Text 2"/>
    <w:basedOn w:val="Parasts"/>
    <w:link w:val="Pamatteksts2Rakstz"/>
    <w:uiPriority w:val="99"/>
    <w:rsid w:val="003E1F92"/>
    <w:pPr>
      <w:widowControl/>
      <w:autoSpaceDE/>
      <w:autoSpaceDN/>
      <w:adjustRightInd/>
      <w:spacing w:after="120" w:line="480" w:lineRule="auto"/>
    </w:pPr>
    <w:rPr>
      <w:lang w:val="en-GB" w:eastAsia="x-none"/>
    </w:rPr>
  </w:style>
  <w:style w:type="character" w:customStyle="1" w:styleId="Pamatteksts2Rakstz">
    <w:name w:val="Pamatteksts 2 Rakstz."/>
    <w:basedOn w:val="Noklusjumarindkopasfonts"/>
    <w:link w:val="Pamatteksts2"/>
    <w:uiPriority w:val="99"/>
    <w:rsid w:val="003E1F92"/>
    <w:rPr>
      <w:rFonts w:ascii="Times New Roman" w:eastAsia="Times New Roman" w:hAnsi="Times New Roman" w:cs="Times New Roman"/>
      <w:sz w:val="24"/>
      <w:szCs w:val="24"/>
      <w:lang w:val="en-GB" w:eastAsia="x-none"/>
    </w:rPr>
  </w:style>
  <w:style w:type="paragraph" w:styleId="Galvene">
    <w:name w:val="header"/>
    <w:basedOn w:val="Parasts"/>
    <w:link w:val="GalveneRakstz"/>
    <w:uiPriority w:val="99"/>
    <w:unhideWhenUsed/>
    <w:rsid w:val="00BC47DC"/>
    <w:pPr>
      <w:tabs>
        <w:tab w:val="center" w:pos="4153"/>
        <w:tab w:val="right" w:pos="8306"/>
      </w:tabs>
    </w:pPr>
  </w:style>
  <w:style w:type="character" w:customStyle="1" w:styleId="GalveneRakstz">
    <w:name w:val="Galvene Rakstz."/>
    <w:basedOn w:val="Noklusjumarindkopasfonts"/>
    <w:link w:val="Galvene"/>
    <w:uiPriority w:val="99"/>
    <w:rsid w:val="00BC47D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C47DC"/>
    <w:pPr>
      <w:tabs>
        <w:tab w:val="center" w:pos="4153"/>
        <w:tab w:val="right" w:pos="8306"/>
      </w:tabs>
    </w:pPr>
  </w:style>
  <w:style w:type="character" w:customStyle="1" w:styleId="KjeneRakstz">
    <w:name w:val="Kājene Rakstz."/>
    <w:basedOn w:val="Noklusjumarindkopasfonts"/>
    <w:link w:val="Kjene"/>
    <w:uiPriority w:val="99"/>
    <w:rsid w:val="00BC47DC"/>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6A5329"/>
    <w:rPr>
      <w:b/>
      <w:bCs/>
      <w:lang w:val="lv-LV"/>
    </w:rPr>
  </w:style>
  <w:style w:type="character" w:customStyle="1" w:styleId="KomentratmaRakstz">
    <w:name w:val="Komentāra tēma Rakstz."/>
    <w:basedOn w:val="KomentratekstsRakstz"/>
    <w:link w:val="Komentratma"/>
    <w:uiPriority w:val="99"/>
    <w:semiHidden/>
    <w:rsid w:val="006A5329"/>
    <w:rPr>
      <w:rFonts w:ascii="Times New Roman" w:eastAsia="Times New Roman" w:hAnsi="Times New Roman" w:cs="Times New Roman"/>
      <w:b/>
      <w:bCs/>
      <w:sz w:val="20"/>
      <w:szCs w:val="20"/>
      <w:lang w:val="x-none"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A4BCC"/>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E1F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4A4B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777734"/>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s"/>
    <w:link w:val="SarakstarindkopaRakstz"/>
    <w:uiPriority w:val="34"/>
    <w:qFormat/>
    <w:rsid w:val="004A4BCC"/>
    <w:pPr>
      <w:widowControl/>
      <w:autoSpaceDE/>
      <w:autoSpaceDN/>
      <w:adjustRightInd/>
      <w:spacing w:after="200" w:line="276" w:lineRule="auto"/>
      <w:ind w:left="720"/>
    </w:pPr>
    <w:rPr>
      <w:rFonts w:ascii="Calibri" w:hAnsi="Calibri" w:cs="Calibri"/>
      <w:sz w:val="22"/>
      <w:szCs w:val="22"/>
      <w:lang w:eastAsia="en-US"/>
    </w:rPr>
  </w:style>
  <w:style w:type="paragraph" w:customStyle="1" w:styleId="vir2">
    <w:name w:val="vir2"/>
    <w:basedOn w:val="Virsraksts2"/>
    <w:link w:val="vir2Rakstz"/>
    <w:qFormat/>
    <w:rsid w:val="004A4BCC"/>
    <w:pPr>
      <w:keepNext w:val="0"/>
      <w:keepLines w:val="0"/>
      <w:spacing w:before="0"/>
      <w:jc w:val="center"/>
    </w:pPr>
    <w:rPr>
      <w:rFonts w:ascii="Times New Roman" w:eastAsia="Times New Roman" w:hAnsi="Times New Roman" w:cs="Times New Roman"/>
      <w:bCs w:val="0"/>
      <w:color w:val="auto"/>
      <w:lang w:val="x-none"/>
    </w:rPr>
  </w:style>
  <w:style w:type="character" w:customStyle="1" w:styleId="vir2Rakstz">
    <w:name w:val="vir2 Rakstz."/>
    <w:link w:val="vir2"/>
    <w:rsid w:val="004A4BCC"/>
    <w:rPr>
      <w:rFonts w:ascii="Times New Roman" w:eastAsia="Times New Roman" w:hAnsi="Times New Roman" w:cs="Times New Roman"/>
      <w:b/>
      <w:sz w:val="26"/>
      <w:szCs w:val="26"/>
      <w:lang w:val="x-none" w:eastAsia="lv-LV"/>
    </w:rPr>
  </w:style>
  <w:style w:type="character" w:customStyle="1" w:styleId="SarakstarindkopaRakstz">
    <w:name w:val="Saraksta rindkopa Rakstz."/>
    <w:aliases w:val="2 Rakstz."/>
    <w:link w:val="Sarakstarindkopa"/>
    <w:uiPriority w:val="34"/>
    <w:locked/>
    <w:rsid w:val="004A4BCC"/>
    <w:rPr>
      <w:rFonts w:ascii="Calibri" w:eastAsia="Times New Roman" w:hAnsi="Calibri" w:cs="Calibri"/>
    </w:rPr>
  </w:style>
  <w:style w:type="character" w:customStyle="1" w:styleId="Virsraksts2Rakstz">
    <w:name w:val="Virsraksts 2 Rakstz."/>
    <w:basedOn w:val="Noklusjumarindkopasfonts"/>
    <w:link w:val="Virsraksts2"/>
    <w:uiPriority w:val="9"/>
    <w:semiHidden/>
    <w:rsid w:val="004A4BCC"/>
    <w:rPr>
      <w:rFonts w:asciiTheme="majorHAnsi" w:eastAsiaTheme="majorEastAsia" w:hAnsiTheme="majorHAnsi" w:cstheme="majorBidi"/>
      <w:b/>
      <w:bCs/>
      <w:color w:val="4F81BD" w:themeColor="accent1"/>
      <w:sz w:val="26"/>
      <w:szCs w:val="26"/>
      <w:lang w:eastAsia="lv-LV"/>
    </w:rPr>
  </w:style>
  <w:style w:type="paragraph" w:styleId="Komentrateksts">
    <w:name w:val="annotation text"/>
    <w:basedOn w:val="Parasts"/>
    <w:link w:val="KomentratekstsRakstz"/>
    <w:uiPriority w:val="99"/>
    <w:rsid w:val="004A4BCC"/>
    <w:rPr>
      <w:sz w:val="20"/>
      <w:szCs w:val="20"/>
      <w:lang w:val="x-none"/>
    </w:rPr>
  </w:style>
  <w:style w:type="character" w:customStyle="1" w:styleId="KomentratekstsRakstz">
    <w:name w:val="Komentāra teksts Rakstz."/>
    <w:basedOn w:val="Noklusjumarindkopasfonts"/>
    <w:link w:val="Komentrateksts"/>
    <w:uiPriority w:val="99"/>
    <w:rsid w:val="004A4BCC"/>
    <w:rPr>
      <w:rFonts w:ascii="Times New Roman" w:eastAsia="Times New Roman" w:hAnsi="Times New Roman" w:cs="Times New Roman"/>
      <w:sz w:val="20"/>
      <w:szCs w:val="20"/>
      <w:lang w:val="x-none" w:eastAsia="lv-LV"/>
    </w:rPr>
  </w:style>
  <w:style w:type="paragraph" w:styleId="Paraststmeklis">
    <w:name w:val="Normal (Web)"/>
    <w:aliases w:val="sākums"/>
    <w:basedOn w:val="Parasts"/>
    <w:uiPriority w:val="99"/>
    <w:rsid w:val="004A4BCC"/>
    <w:pPr>
      <w:widowControl/>
      <w:autoSpaceDE/>
      <w:autoSpaceDN/>
      <w:adjustRightInd/>
      <w:spacing w:before="100" w:beforeAutospacing="1" w:after="100" w:afterAutospacing="1"/>
    </w:pPr>
  </w:style>
  <w:style w:type="paragraph" w:customStyle="1" w:styleId="naiskr">
    <w:name w:val="naiskr"/>
    <w:basedOn w:val="Parasts"/>
    <w:uiPriority w:val="99"/>
    <w:rsid w:val="004A4BCC"/>
    <w:pPr>
      <w:widowControl/>
      <w:autoSpaceDE/>
      <w:autoSpaceDN/>
      <w:adjustRightInd/>
      <w:spacing w:before="75" w:after="75"/>
    </w:pPr>
    <w:rPr>
      <w:rFonts w:eastAsia="Calibri"/>
    </w:rPr>
  </w:style>
  <w:style w:type="character" w:styleId="Izteiksmgs">
    <w:name w:val="Strong"/>
    <w:basedOn w:val="Noklusjumarindkopasfonts"/>
    <w:uiPriority w:val="22"/>
    <w:qFormat/>
    <w:rsid w:val="00495BC3"/>
    <w:rPr>
      <w:rFonts w:cs="Times New Roman"/>
      <w:b/>
      <w:bCs/>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rsid w:val="00495BC3"/>
    <w:pPr>
      <w:widowControl/>
      <w:autoSpaceDE/>
      <w:autoSpaceDN/>
      <w:adjustRightInd/>
    </w:pPr>
    <w:rPr>
      <w:rFonts w:ascii="Calibri" w:hAnsi="Calibri"/>
      <w:sz w:val="20"/>
      <w:szCs w:val="20"/>
      <w:lang w:val="x-none" w:eastAsia="x-none"/>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495BC3"/>
    <w:rPr>
      <w:rFonts w:ascii="Calibri" w:eastAsia="Times New Roman" w:hAnsi="Calibri" w:cs="Times New Roman"/>
      <w:sz w:val="20"/>
      <w:szCs w:val="20"/>
      <w:lang w:val="x-none" w:eastAsia="x-none"/>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495BC3"/>
    <w:rPr>
      <w:vertAlign w:val="superscript"/>
    </w:rPr>
  </w:style>
  <w:style w:type="character" w:styleId="Hipersaite">
    <w:name w:val="Hyperlink"/>
    <w:uiPriority w:val="99"/>
    <w:rsid w:val="00495BC3"/>
    <w:rPr>
      <w:color w:val="0000FF"/>
      <w:u w:val="single"/>
    </w:rPr>
  </w:style>
  <w:style w:type="paragraph" w:customStyle="1" w:styleId="Default">
    <w:name w:val="Default"/>
    <w:rsid w:val="00495BC3"/>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4">
    <w:name w:val="CM4"/>
    <w:basedOn w:val="Default"/>
    <w:next w:val="Default"/>
    <w:uiPriority w:val="99"/>
    <w:rsid w:val="00495BC3"/>
    <w:rPr>
      <w:rFonts w:cs="Times New Roman"/>
      <w:color w:val="auto"/>
    </w:rPr>
  </w:style>
  <w:style w:type="character" w:customStyle="1" w:styleId="FootnoteCharacters">
    <w:name w:val="Footnote Characters"/>
    <w:rsid w:val="00495BC3"/>
    <w:rPr>
      <w:vertAlign w:val="superscript"/>
    </w:rPr>
  </w:style>
  <w:style w:type="character" w:styleId="Izmantotahipersaite">
    <w:name w:val="FollowedHyperlink"/>
    <w:basedOn w:val="Noklusjumarindkopasfonts"/>
    <w:uiPriority w:val="99"/>
    <w:semiHidden/>
    <w:unhideWhenUsed/>
    <w:rsid w:val="00B41D38"/>
    <w:rPr>
      <w:color w:val="800080" w:themeColor="followedHyperlink"/>
      <w:u w:val="single"/>
    </w:rPr>
  </w:style>
  <w:style w:type="character" w:customStyle="1" w:styleId="Virsraksts3Rakstz">
    <w:name w:val="Virsraksts 3 Rakstz."/>
    <w:basedOn w:val="Noklusjumarindkopasfonts"/>
    <w:link w:val="Virsraksts3"/>
    <w:uiPriority w:val="9"/>
    <w:rsid w:val="00777734"/>
    <w:rPr>
      <w:rFonts w:asciiTheme="majorHAnsi" w:eastAsiaTheme="majorEastAsia" w:hAnsiTheme="majorHAnsi" w:cstheme="majorBidi"/>
      <w:b/>
      <w:bCs/>
      <w:color w:val="4F81BD" w:themeColor="accent1"/>
      <w:sz w:val="24"/>
      <w:szCs w:val="24"/>
      <w:lang w:eastAsia="lv-LV"/>
    </w:rPr>
  </w:style>
  <w:style w:type="paragraph" w:styleId="Balonteksts">
    <w:name w:val="Balloon Text"/>
    <w:basedOn w:val="Parasts"/>
    <w:link w:val="BalontekstsRakstz"/>
    <w:uiPriority w:val="99"/>
    <w:semiHidden/>
    <w:rsid w:val="00777734"/>
    <w:rPr>
      <w:rFonts w:ascii="Tahoma" w:hAnsi="Tahoma"/>
      <w:sz w:val="16"/>
      <w:szCs w:val="16"/>
      <w:lang w:val="x-none"/>
    </w:rPr>
  </w:style>
  <w:style w:type="character" w:customStyle="1" w:styleId="BalontekstsRakstz">
    <w:name w:val="Balonteksts Rakstz."/>
    <w:basedOn w:val="Noklusjumarindkopasfonts"/>
    <w:link w:val="Balonteksts"/>
    <w:uiPriority w:val="99"/>
    <w:semiHidden/>
    <w:rsid w:val="00777734"/>
    <w:rPr>
      <w:rFonts w:ascii="Tahoma" w:eastAsia="Times New Roman" w:hAnsi="Tahoma" w:cs="Times New Roman"/>
      <w:sz w:val="16"/>
      <w:szCs w:val="16"/>
      <w:lang w:val="x-none" w:eastAsia="lv-LV"/>
    </w:rPr>
  </w:style>
  <w:style w:type="paragraph" w:customStyle="1" w:styleId="naisf">
    <w:name w:val="naisf"/>
    <w:basedOn w:val="Parasts"/>
    <w:uiPriority w:val="99"/>
    <w:rsid w:val="00777734"/>
    <w:pPr>
      <w:widowControl/>
      <w:autoSpaceDE/>
      <w:autoSpaceDN/>
      <w:adjustRightInd/>
      <w:spacing w:before="100" w:beforeAutospacing="1" w:after="100" w:afterAutospacing="1"/>
    </w:pPr>
  </w:style>
  <w:style w:type="character" w:styleId="Komentraatsauce">
    <w:name w:val="annotation reference"/>
    <w:uiPriority w:val="99"/>
    <w:semiHidden/>
    <w:rsid w:val="00777734"/>
    <w:rPr>
      <w:sz w:val="16"/>
      <w:szCs w:val="16"/>
    </w:rPr>
  </w:style>
  <w:style w:type="paragraph" w:customStyle="1" w:styleId="naisc">
    <w:name w:val="naisc"/>
    <w:basedOn w:val="Parasts"/>
    <w:rsid w:val="00777734"/>
    <w:pPr>
      <w:widowControl/>
      <w:autoSpaceDE/>
      <w:autoSpaceDN/>
      <w:adjustRightInd/>
      <w:spacing w:before="100" w:beforeAutospacing="1" w:after="100" w:afterAutospacing="1"/>
    </w:pPr>
  </w:style>
  <w:style w:type="paragraph" w:customStyle="1" w:styleId="tv2131">
    <w:name w:val="tv2131"/>
    <w:basedOn w:val="Parasts"/>
    <w:rsid w:val="00777734"/>
    <w:pPr>
      <w:widowControl/>
      <w:autoSpaceDE/>
      <w:autoSpaceDN/>
      <w:adjustRightInd/>
      <w:spacing w:line="360" w:lineRule="auto"/>
      <w:ind w:firstLine="300"/>
    </w:pPr>
    <w:rPr>
      <w:color w:val="414142"/>
      <w:sz w:val="20"/>
      <w:szCs w:val="20"/>
    </w:rPr>
  </w:style>
  <w:style w:type="character" w:customStyle="1" w:styleId="Virsraksts1Rakstz">
    <w:name w:val="Virsraksts 1 Rakstz."/>
    <w:basedOn w:val="Noklusjumarindkopasfonts"/>
    <w:link w:val="Virsraksts1"/>
    <w:uiPriority w:val="9"/>
    <w:rsid w:val="003E1F92"/>
    <w:rPr>
      <w:rFonts w:asciiTheme="majorHAnsi" w:eastAsiaTheme="majorEastAsia" w:hAnsiTheme="majorHAnsi" w:cstheme="majorBidi"/>
      <w:b/>
      <w:bCs/>
      <w:color w:val="365F91" w:themeColor="accent1" w:themeShade="BF"/>
      <w:sz w:val="28"/>
      <w:szCs w:val="28"/>
      <w:lang w:eastAsia="lv-LV"/>
    </w:rPr>
  </w:style>
  <w:style w:type="paragraph" w:styleId="Pamatteksts2">
    <w:name w:val="Body Text 2"/>
    <w:basedOn w:val="Parasts"/>
    <w:link w:val="Pamatteksts2Rakstz"/>
    <w:uiPriority w:val="99"/>
    <w:rsid w:val="003E1F92"/>
    <w:pPr>
      <w:widowControl/>
      <w:autoSpaceDE/>
      <w:autoSpaceDN/>
      <w:adjustRightInd/>
      <w:spacing w:after="120" w:line="480" w:lineRule="auto"/>
    </w:pPr>
    <w:rPr>
      <w:lang w:val="en-GB" w:eastAsia="x-none"/>
    </w:rPr>
  </w:style>
  <w:style w:type="character" w:customStyle="1" w:styleId="Pamatteksts2Rakstz">
    <w:name w:val="Pamatteksts 2 Rakstz."/>
    <w:basedOn w:val="Noklusjumarindkopasfonts"/>
    <w:link w:val="Pamatteksts2"/>
    <w:uiPriority w:val="99"/>
    <w:rsid w:val="003E1F92"/>
    <w:rPr>
      <w:rFonts w:ascii="Times New Roman" w:eastAsia="Times New Roman" w:hAnsi="Times New Roman" w:cs="Times New Roman"/>
      <w:sz w:val="24"/>
      <w:szCs w:val="24"/>
      <w:lang w:val="en-GB" w:eastAsia="x-none"/>
    </w:rPr>
  </w:style>
  <w:style w:type="paragraph" w:styleId="Galvene">
    <w:name w:val="header"/>
    <w:basedOn w:val="Parasts"/>
    <w:link w:val="GalveneRakstz"/>
    <w:uiPriority w:val="99"/>
    <w:unhideWhenUsed/>
    <w:rsid w:val="00BC47DC"/>
    <w:pPr>
      <w:tabs>
        <w:tab w:val="center" w:pos="4153"/>
        <w:tab w:val="right" w:pos="8306"/>
      </w:tabs>
    </w:pPr>
  </w:style>
  <w:style w:type="character" w:customStyle="1" w:styleId="GalveneRakstz">
    <w:name w:val="Galvene Rakstz."/>
    <w:basedOn w:val="Noklusjumarindkopasfonts"/>
    <w:link w:val="Galvene"/>
    <w:uiPriority w:val="99"/>
    <w:rsid w:val="00BC47D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C47DC"/>
    <w:pPr>
      <w:tabs>
        <w:tab w:val="center" w:pos="4153"/>
        <w:tab w:val="right" w:pos="8306"/>
      </w:tabs>
    </w:pPr>
  </w:style>
  <w:style w:type="character" w:customStyle="1" w:styleId="KjeneRakstz">
    <w:name w:val="Kājene Rakstz."/>
    <w:basedOn w:val="Noklusjumarindkopasfonts"/>
    <w:link w:val="Kjene"/>
    <w:uiPriority w:val="99"/>
    <w:rsid w:val="00BC47DC"/>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6A5329"/>
    <w:rPr>
      <w:b/>
      <w:bCs/>
      <w:lang w:val="lv-LV"/>
    </w:rPr>
  </w:style>
  <w:style w:type="character" w:customStyle="1" w:styleId="KomentratmaRakstz">
    <w:name w:val="Komentāra tēma Rakstz."/>
    <w:basedOn w:val="KomentratekstsRakstz"/>
    <w:link w:val="Komentratma"/>
    <w:uiPriority w:val="99"/>
    <w:semiHidden/>
    <w:rsid w:val="006A5329"/>
    <w:rPr>
      <w:rFonts w:ascii="Times New Roman" w:eastAsia="Times New Roman" w:hAnsi="Times New Roman" w:cs="Times New Roman"/>
      <w:b/>
      <w:bCs/>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5259">
      <w:bodyDiv w:val="1"/>
      <w:marLeft w:val="0"/>
      <w:marRight w:val="0"/>
      <w:marTop w:val="0"/>
      <w:marBottom w:val="0"/>
      <w:divBdr>
        <w:top w:val="none" w:sz="0" w:space="0" w:color="auto"/>
        <w:left w:val="none" w:sz="0" w:space="0" w:color="auto"/>
        <w:bottom w:val="none" w:sz="0" w:space="0" w:color="auto"/>
        <w:right w:val="none" w:sz="0" w:space="0" w:color="auto"/>
      </w:divBdr>
      <w:divsChild>
        <w:div w:id="1587151919">
          <w:marLeft w:val="0"/>
          <w:marRight w:val="0"/>
          <w:marTop w:val="0"/>
          <w:marBottom w:val="0"/>
          <w:divBdr>
            <w:top w:val="none" w:sz="0" w:space="0" w:color="auto"/>
            <w:left w:val="none" w:sz="0" w:space="0" w:color="auto"/>
            <w:bottom w:val="none" w:sz="0" w:space="0" w:color="auto"/>
            <w:right w:val="none" w:sz="0" w:space="0" w:color="auto"/>
          </w:divBdr>
          <w:divsChild>
            <w:div w:id="485098435">
              <w:marLeft w:val="0"/>
              <w:marRight w:val="0"/>
              <w:marTop w:val="0"/>
              <w:marBottom w:val="0"/>
              <w:divBdr>
                <w:top w:val="none" w:sz="0" w:space="0" w:color="auto"/>
                <w:left w:val="none" w:sz="0" w:space="0" w:color="auto"/>
                <w:bottom w:val="none" w:sz="0" w:space="0" w:color="auto"/>
                <w:right w:val="none" w:sz="0" w:space="0" w:color="auto"/>
              </w:divBdr>
              <w:divsChild>
                <w:div w:id="1449817504">
                  <w:marLeft w:val="0"/>
                  <w:marRight w:val="0"/>
                  <w:marTop w:val="0"/>
                  <w:marBottom w:val="0"/>
                  <w:divBdr>
                    <w:top w:val="none" w:sz="0" w:space="0" w:color="auto"/>
                    <w:left w:val="none" w:sz="0" w:space="0" w:color="auto"/>
                    <w:bottom w:val="none" w:sz="0" w:space="0" w:color="auto"/>
                    <w:right w:val="none" w:sz="0" w:space="0" w:color="auto"/>
                  </w:divBdr>
                  <w:divsChild>
                    <w:div w:id="1104039794">
                      <w:marLeft w:val="0"/>
                      <w:marRight w:val="0"/>
                      <w:marTop w:val="0"/>
                      <w:marBottom w:val="0"/>
                      <w:divBdr>
                        <w:top w:val="none" w:sz="0" w:space="0" w:color="auto"/>
                        <w:left w:val="none" w:sz="0" w:space="0" w:color="auto"/>
                        <w:bottom w:val="none" w:sz="0" w:space="0" w:color="auto"/>
                        <w:right w:val="none" w:sz="0" w:space="0" w:color="auto"/>
                      </w:divBdr>
                      <w:divsChild>
                        <w:div w:id="671185039">
                          <w:marLeft w:val="0"/>
                          <w:marRight w:val="0"/>
                          <w:marTop w:val="45"/>
                          <w:marBottom w:val="0"/>
                          <w:divBdr>
                            <w:top w:val="none" w:sz="0" w:space="0" w:color="auto"/>
                            <w:left w:val="none" w:sz="0" w:space="0" w:color="auto"/>
                            <w:bottom w:val="none" w:sz="0" w:space="0" w:color="auto"/>
                            <w:right w:val="none" w:sz="0" w:space="0" w:color="auto"/>
                          </w:divBdr>
                          <w:divsChild>
                            <w:div w:id="2033532626">
                              <w:marLeft w:val="0"/>
                              <w:marRight w:val="0"/>
                              <w:marTop w:val="0"/>
                              <w:marBottom w:val="0"/>
                              <w:divBdr>
                                <w:top w:val="none" w:sz="0" w:space="0" w:color="auto"/>
                                <w:left w:val="none" w:sz="0" w:space="0" w:color="auto"/>
                                <w:bottom w:val="none" w:sz="0" w:space="0" w:color="auto"/>
                                <w:right w:val="none" w:sz="0" w:space="0" w:color="auto"/>
                              </w:divBdr>
                              <w:divsChild>
                                <w:div w:id="897086188">
                                  <w:marLeft w:val="2070"/>
                                  <w:marRight w:val="3810"/>
                                  <w:marTop w:val="0"/>
                                  <w:marBottom w:val="0"/>
                                  <w:divBdr>
                                    <w:top w:val="none" w:sz="0" w:space="0" w:color="auto"/>
                                    <w:left w:val="none" w:sz="0" w:space="0" w:color="auto"/>
                                    <w:bottom w:val="none" w:sz="0" w:space="0" w:color="auto"/>
                                    <w:right w:val="none" w:sz="0" w:space="0" w:color="auto"/>
                                  </w:divBdr>
                                  <w:divsChild>
                                    <w:div w:id="130829319">
                                      <w:marLeft w:val="0"/>
                                      <w:marRight w:val="0"/>
                                      <w:marTop w:val="0"/>
                                      <w:marBottom w:val="0"/>
                                      <w:divBdr>
                                        <w:top w:val="none" w:sz="0" w:space="0" w:color="auto"/>
                                        <w:left w:val="none" w:sz="0" w:space="0" w:color="auto"/>
                                        <w:bottom w:val="none" w:sz="0" w:space="0" w:color="auto"/>
                                        <w:right w:val="none" w:sz="0" w:space="0" w:color="auto"/>
                                      </w:divBdr>
                                      <w:divsChild>
                                        <w:div w:id="1423452253">
                                          <w:marLeft w:val="0"/>
                                          <w:marRight w:val="0"/>
                                          <w:marTop w:val="0"/>
                                          <w:marBottom w:val="0"/>
                                          <w:divBdr>
                                            <w:top w:val="none" w:sz="0" w:space="0" w:color="auto"/>
                                            <w:left w:val="none" w:sz="0" w:space="0" w:color="auto"/>
                                            <w:bottom w:val="none" w:sz="0" w:space="0" w:color="auto"/>
                                            <w:right w:val="none" w:sz="0" w:space="0" w:color="auto"/>
                                          </w:divBdr>
                                          <w:divsChild>
                                            <w:div w:id="19937386">
                                              <w:marLeft w:val="0"/>
                                              <w:marRight w:val="0"/>
                                              <w:marTop w:val="0"/>
                                              <w:marBottom w:val="0"/>
                                              <w:divBdr>
                                                <w:top w:val="none" w:sz="0" w:space="0" w:color="auto"/>
                                                <w:left w:val="none" w:sz="0" w:space="0" w:color="auto"/>
                                                <w:bottom w:val="none" w:sz="0" w:space="0" w:color="auto"/>
                                                <w:right w:val="none" w:sz="0" w:space="0" w:color="auto"/>
                                              </w:divBdr>
                                              <w:divsChild>
                                                <w:div w:id="1714383189">
                                                  <w:marLeft w:val="0"/>
                                                  <w:marRight w:val="0"/>
                                                  <w:marTop w:val="0"/>
                                                  <w:marBottom w:val="0"/>
                                                  <w:divBdr>
                                                    <w:top w:val="none" w:sz="0" w:space="0" w:color="auto"/>
                                                    <w:left w:val="none" w:sz="0" w:space="0" w:color="auto"/>
                                                    <w:bottom w:val="none" w:sz="0" w:space="0" w:color="auto"/>
                                                    <w:right w:val="none" w:sz="0" w:space="0" w:color="auto"/>
                                                  </w:divBdr>
                                                  <w:divsChild>
                                                    <w:div w:id="1642467862">
                                                      <w:marLeft w:val="0"/>
                                                      <w:marRight w:val="0"/>
                                                      <w:marTop w:val="0"/>
                                                      <w:marBottom w:val="0"/>
                                                      <w:divBdr>
                                                        <w:top w:val="none" w:sz="0" w:space="0" w:color="auto"/>
                                                        <w:left w:val="none" w:sz="0" w:space="0" w:color="auto"/>
                                                        <w:bottom w:val="none" w:sz="0" w:space="0" w:color="auto"/>
                                                        <w:right w:val="none" w:sz="0" w:space="0" w:color="auto"/>
                                                      </w:divBdr>
                                                      <w:divsChild>
                                                        <w:div w:id="752122114">
                                                          <w:marLeft w:val="0"/>
                                                          <w:marRight w:val="0"/>
                                                          <w:marTop w:val="0"/>
                                                          <w:marBottom w:val="0"/>
                                                          <w:divBdr>
                                                            <w:top w:val="none" w:sz="0" w:space="0" w:color="auto"/>
                                                            <w:left w:val="none" w:sz="0" w:space="0" w:color="auto"/>
                                                            <w:bottom w:val="none" w:sz="0" w:space="0" w:color="auto"/>
                                                            <w:right w:val="none" w:sz="0" w:space="0" w:color="auto"/>
                                                          </w:divBdr>
                                                          <w:divsChild>
                                                            <w:div w:id="1661275488">
                                                              <w:marLeft w:val="0"/>
                                                              <w:marRight w:val="0"/>
                                                              <w:marTop w:val="0"/>
                                                              <w:marBottom w:val="0"/>
                                                              <w:divBdr>
                                                                <w:top w:val="none" w:sz="0" w:space="0" w:color="auto"/>
                                                                <w:left w:val="none" w:sz="0" w:space="0" w:color="auto"/>
                                                                <w:bottom w:val="none" w:sz="0" w:space="0" w:color="auto"/>
                                                                <w:right w:val="none" w:sz="0" w:space="0" w:color="auto"/>
                                                              </w:divBdr>
                                                              <w:divsChild>
                                                                <w:div w:id="1601526543">
                                                                  <w:marLeft w:val="0"/>
                                                                  <w:marRight w:val="0"/>
                                                                  <w:marTop w:val="0"/>
                                                                  <w:marBottom w:val="0"/>
                                                                  <w:divBdr>
                                                                    <w:top w:val="none" w:sz="0" w:space="0" w:color="auto"/>
                                                                    <w:left w:val="none" w:sz="0" w:space="0" w:color="auto"/>
                                                                    <w:bottom w:val="none" w:sz="0" w:space="0" w:color="auto"/>
                                                                    <w:right w:val="none" w:sz="0" w:space="0" w:color="auto"/>
                                                                  </w:divBdr>
                                                                  <w:divsChild>
                                                                    <w:div w:id="14320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6635932">
      <w:bodyDiv w:val="1"/>
      <w:marLeft w:val="0"/>
      <w:marRight w:val="0"/>
      <w:marTop w:val="0"/>
      <w:marBottom w:val="0"/>
      <w:divBdr>
        <w:top w:val="none" w:sz="0" w:space="0" w:color="auto"/>
        <w:left w:val="none" w:sz="0" w:space="0" w:color="auto"/>
        <w:bottom w:val="none" w:sz="0" w:space="0" w:color="auto"/>
        <w:right w:val="none" w:sz="0" w:space="0" w:color="auto"/>
      </w:divBdr>
      <w:divsChild>
        <w:div w:id="1891649087">
          <w:marLeft w:val="0"/>
          <w:marRight w:val="0"/>
          <w:marTop w:val="0"/>
          <w:marBottom w:val="0"/>
          <w:divBdr>
            <w:top w:val="none" w:sz="0" w:space="0" w:color="auto"/>
            <w:left w:val="none" w:sz="0" w:space="0" w:color="auto"/>
            <w:bottom w:val="none" w:sz="0" w:space="0" w:color="auto"/>
            <w:right w:val="none" w:sz="0" w:space="0" w:color="auto"/>
          </w:divBdr>
          <w:divsChild>
            <w:div w:id="307907125">
              <w:marLeft w:val="0"/>
              <w:marRight w:val="0"/>
              <w:marTop w:val="0"/>
              <w:marBottom w:val="0"/>
              <w:divBdr>
                <w:top w:val="none" w:sz="0" w:space="0" w:color="auto"/>
                <w:left w:val="none" w:sz="0" w:space="0" w:color="auto"/>
                <w:bottom w:val="none" w:sz="0" w:space="0" w:color="auto"/>
                <w:right w:val="none" w:sz="0" w:space="0" w:color="auto"/>
              </w:divBdr>
              <w:divsChild>
                <w:div w:id="887646686">
                  <w:marLeft w:val="0"/>
                  <w:marRight w:val="0"/>
                  <w:marTop w:val="0"/>
                  <w:marBottom w:val="0"/>
                  <w:divBdr>
                    <w:top w:val="none" w:sz="0" w:space="0" w:color="auto"/>
                    <w:left w:val="none" w:sz="0" w:space="0" w:color="auto"/>
                    <w:bottom w:val="none" w:sz="0" w:space="0" w:color="auto"/>
                    <w:right w:val="none" w:sz="0" w:space="0" w:color="auto"/>
                  </w:divBdr>
                  <w:divsChild>
                    <w:div w:id="1534153281">
                      <w:marLeft w:val="0"/>
                      <w:marRight w:val="0"/>
                      <w:marTop w:val="0"/>
                      <w:marBottom w:val="0"/>
                      <w:divBdr>
                        <w:top w:val="none" w:sz="0" w:space="0" w:color="auto"/>
                        <w:left w:val="none" w:sz="0" w:space="0" w:color="auto"/>
                        <w:bottom w:val="none" w:sz="0" w:space="0" w:color="auto"/>
                        <w:right w:val="none" w:sz="0" w:space="0" w:color="auto"/>
                      </w:divBdr>
                      <w:divsChild>
                        <w:div w:id="254359645">
                          <w:marLeft w:val="0"/>
                          <w:marRight w:val="0"/>
                          <w:marTop w:val="45"/>
                          <w:marBottom w:val="0"/>
                          <w:divBdr>
                            <w:top w:val="none" w:sz="0" w:space="0" w:color="auto"/>
                            <w:left w:val="none" w:sz="0" w:space="0" w:color="auto"/>
                            <w:bottom w:val="none" w:sz="0" w:space="0" w:color="auto"/>
                            <w:right w:val="none" w:sz="0" w:space="0" w:color="auto"/>
                          </w:divBdr>
                          <w:divsChild>
                            <w:div w:id="1220359015">
                              <w:marLeft w:val="0"/>
                              <w:marRight w:val="0"/>
                              <w:marTop w:val="0"/>
                              <w:marBottom w:val="0"/>
                              <w:divBdr>
                                <w:top w:val="none" w:sz="0" w:space="0" w:color="auto"/>
                                <w:left w:val="none" w:sz="0" w:space="0" w:color="auto"/>
                                <w:bottom w:val="none" w:sz="0" w:space="0" w:color="auto"/>
                                <w:right w:val="none" w:sz="0" w:space="0" w:color="auto"/>
                              </w:divBdr>
                              <w:divsChild>
                                <w:div w:id="1845363447">
                                  <w:marLeft w:val="2070"/>
                                  <w:marRight w:val="3810"/>
                                  <w:marTop w:val="0"/>
                                  <w:marBottom w:val="0"/>
                                  <w:divBdr>
                                    <w:top w:val="none" w:sz="0" w:space="0" w:color="auto"/>
                                    <w:left w:val="none" w:sz="0" w:space="0" w:color="auto"/>
                                    <w:bottom w:val="none" w:sz="0" w:space="0" w:color="auto"/>
                                    <w:right w:val="none" w:sz="0" w:space="0" w:color="auto"/>
                                  </w:divBdr>
                                  <w:divsChild>
                                    <w:div w:id="348221023">
                                      <w:marLeft w:val="0"/>
                                      <w:marRight w:val="0"/>
                                      <w:marTop w:val="0"/>
                                      <w:marBottom w:val="0"/>
                                      <w:divBdr>
                                        <w:top w:val="none" w:sz="0" w:space="0" w:color="auto"/>
                                        <w:left w:val="none" w:sz="0" w:space="0" w:color="auto"/>
                                        <w:bottom w:val="none" w:sz="0" w:space="0" w:color="auto"/>
                                        <w:right w:val="none" w:sz="0" w:space="0" w:color="auto"/>
                                      </w:divBdr>
                                      <w:divsChild>
                                        <w:div w:id="76365592">
                                          <w:marLeft w:val="0"/>
                                          <w:marRight w:val="0"/>
                                          <w:marTop w:val="0"/>
                                          <w:marBottom w:val="0"/>
                                          <w:divBdr>
                                            <w:top w:val="none" w:sz="0" w:space="0" w:color="auto"/>
                                            <w:left w:val="none" w:sz="0" w:space="0" w:color="auto"/>
                                            <w:bottom w:val="none" w:sz="0" w:space="0" w:color="auto"/>
                                            <w:right w:val="none" w:sz="0" w:space="0" w:color="auto"/>
                                          </w:divBdr>
                                          <w:divsChild>
                                            <w:div w:id="3672742">
                                              <w:marLeft w:val="0"/>
                                              <w:marRight w:val="0"/>
                                              <w:marTop w:val="0"/>
                                              <w:marBottom w:val="0"/>
                                              <w:divBdr>
                                                <w:top w:val="none" w:sz="0" w:space="0" w:color="auto"/>
                                                <w:left w:val="none" w:sz="0" w:space="0" w:color="auto"/>
                                                <w:bottom w:val="none" w:sz="0" w:space="0" w:color="auto"/>
                                                <w:right w:val="none" w:sz="0" w:space="0" w:color="auto"/>
                                              </w:divBdr>
                                              <w:divsChild>
                                                <w:div w:id="1721126133">
                                                  <w:marLeft w:val="0"/>
                                                  <w:marRight w:val="0"/>
                                                  <w:marTop w:val="0"/>
                                                  <w:marBottom w:val="0"/>
                                                  <w:divBdr>
                                                    <w:top w:val="none" w:sz="0" w:space="0" w:color="auto"/>
                                                    <w:left w:val="none" w:sz="0" w:space="0" w:color="auto"/>
                                                    <w:bottom w:val="none" w:sz="0" w:space="0" w:color="auto"/>
                                                    <w:right w:val="none" w:sz="0" w:space="0" w:color="auto"/>
                                                  </w:divBdr>
                                                  <w:divsChild>
                                                    <w:div w:id="31198825">
                                                      <w:marLeft w:val="0"/>
                                                      <w:marRight w:val="0"/>
                                                      <w:marTop w:val="0"/>
                                                      <w:marBottom w:val="0"/>
                                                      <w:divBdr>
                                                        <w:top w:val="none" w:sz="0" w:space="0" w:color="auto"/>
                                                        <w:left w:val="none" w:sz="0" w:space="0" w:color="auto"/>
                                                        <w:bottom w:val="none" w:sz="0" w:space="0" w:color="auto"/>
                                                        <w:right w:val="none" w:sz="0" w:space="0" w:color="auto"/>
                                                      </w:divBdr>
                                                      <w:divsChild>
                                                        <w:div w:id="2045322826">
                                                          <w:marLeft w:val="0"/>
                                                          <w:marRight w:val="0"/>
                                                          <w:marTop w:val="0"/>
                                                          <w:marBottom w:val="0"/>
                                                          <w:divBdr>
                                                            <w:top w:val="none" w:sz="0" w:space="0" w:color="auto"/>
                                                            <w:left w:val="none" w:sz="0" w:space="0" w:color="auto"/>
                                                            <w:bottom w:val="none" w:sz="0" w:space="0" w:color="auto"/>
                                                            <w:right w:val="none" w:sz="0" w:space="0" w:color="auto"/>
                                                          </w:divBdr>
                                                          <w:divsChild>
                                                            <w:div w:id="290525705">
                                                              <w:marLeft w:val="0"/>
                                                              <w:marRight w:val="0"/>
                                                              <w:marTop w:val="0"/>
                                                              <w:marBottom w:val="0"/>
                                                              <w:divBdr>
                                                                <w:top w:val="none" w:sz="0" w:space="0" w:color="auto"/>
                                                                <w:left w:val="none" w:sz="0" w:space="0" w:color="auto"/>
                                                                <w:bottom w:val="none" w:sz="0" w:space="0" w:color="auto"/>
                                                                <w:right w:val="none" w:sz="0" w:space="0" w:color="auto"/>
                                                              </w:divBdr>
                                                              <w:divsChild>
                                                                <w:div w:id="257638325">
                                                                  <w:marLeft w:val="0"/>
                                                                  <w:marRight w:val="0"/>
                                                                  <w:marTop w:val="0"/>
                                                                  <w:marBottom w:val="0"/>
                                                                  <w:divBdr>
                                                                    <w:top w:val="none" w:sz="0" w:space="0" w:color="auto"/>
                                                                    <w:left w:val="none" w:sz="0" w:space="0" w:color="auto"/>
                                                                    <w:bottom w:val="none" w:sz="0" w:space="0" w:color="auto"/>
                                                                    <w:right w:val="none" w:sz="0" w:space="0" w:color="auto"/>
                                                                  </w:divBdr>
                                                                  <w:divsChild>
                                                                    <w:div w:id="6564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intija.Bajare-Grinberga@tm.gov.lv" TargetMode="External"/><Relationship Id="rId4" Type="http://schemas.microsoft.com/office/2007/relationships/stylesWithEffects" Target="stylesWithEffects.xml"/><Relationship Id="rId9" Type="http://schemas.openxmlformats.org/officeDocument/2006/relationships/hyperlink" Target="mailto:Inese.Zac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2F9B-B314-4F56-B630-5C853B1A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17231</Words>
  <Characters>9823</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Tiesu varas un tiesībaizsardzības iestāžu darbiniekucilvēkresursu kapacitātes stiprināšanasun kompetenču attīstīšanas plāns2015.-2020.gadam</vt:lpstr>
    </vt:vector>
  </TitlesOfParts>
  <Company>Tieslietu Sektors</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Tiesu varas un tiesībaizsardzības iestāžu darbiniekucilvēkresursu kapacitātes stiprināšanasun kompetenču attīstīšanas plāns2015.-2020.gadam</dc:title>
  <dc:creator>Tieslietu ministrija</dc:creator>
  <dc:description>67036830
Inese.Zaca@tm.gov.lv
67036775
Kintija.Bajare-Grinberga@tm.gov.lv</dc:description>
  <cp:lastModifiedBy>Inese Zaca</cp:lastModifiedBy>
  <cp:revision>2</cp:revision>
  <cp:lastPrinted>2015-01-26T07:59:00Z</cp:lastPrinted>
  <dcterms:created xsi:type="dcterms:W3CDTF">2015-01-23T15:07:00Z</dcterms:created>
  <dcterms:modified xsi:type="dcterms:W3CDTF">2015-01-26T14:06:00Z</dcterms:modified>
</cp:coreProperties>
</file>