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57743" w14:textId="3A6C6453" w:rsidR="00C10932" w:rsidRPr="003E7F6E" w:rsidRDefault="003F3C93" w:rsidP="00883366">
      <w:pPr>
        <w:jc w:val="center"/>
        <w:rPr>
          <w:b/>
        </w:rPr>
      </w:pPr>
      <w:bookmarkStart w:id="0" w:name="OLE_LINK5"/>
      <w:bookmarkStart w:id="1" w:name="OLE_LINK6"/>
      <w:r w:rsidRPr="003E7F6E">
        <w:rPr>
          <w:b/>
        </w:rPr>
        <w:t>Ministru kabineta n</w:t>
      </w:r>
      <w:r w:rsidR="000B5DF3" w:rsidRPr="003E7F6E">
        <w:rPr>
          <w:b/>
        </w:rPr>
        <w:t xml:space="preserve">oteikumu </w:t>
      </w:r>
      <w:r w:rsidR="008156E7" w:rsidRPr="003E7F6E">
        <w:rPr>
          <w:b/>
        </w:rPr>
        <w:t>projekta „</w:t>
      </w:r>
      <w:r w:rsidR="000B5DF3" w:rsidRPr="003E7F6E">
        <w:rPr>
          <w:b/>
        </w:rPr>
        <w:t>Grozījumi Ministru kabineta 2013.gada 30.jūlija noteikumos Nr.449 „Valsts meža dienesta nolikums”</w:t>
      </w:r>
      <w:r w:rsidR="00C10932" w:rsidRPr="003E7F6E">
        <w:rPr>
          <w:b/>
        </w:rPr>
        <w:t>”</w:t>
      </w:r>
    </w:p>
    <w:p w14:paraId="28657744" w14:textId="77777777" w:rsidR="008F03CF" w:rsidRPr="003E7F6E" w:rsidRDefault="008F03CF" w:rsidP="00883366">
      <w:pPr>
        <w:jc w:val="center"/>
        <w:rPr>
          <w:b/>
        </w:rPr>
      </w:pPr>
      <w:r w:rsidRPr="003E7F6E">
        <w:rPr>
          <w:b/>
        </w:rPr>
        <w:t xml:space="preserve"> </w:t>
      </w:r>
      <w:r w:rsidR="008156E7" w:rsidRPr="003E7F6E">
        <w:rPr>
          <w:b/>
        </w:rPr>
        <w:t xml:space="preserve">sākotnējās </w:t>
      </w:r>
      <w:r w:rsidR="00AB5C28" w:rsidRPr="003E7F6E">
        <w:rPr>
          <w:b/>
        </w:rPr>
        <w:t xml:space="preserve">ietekmes novērtējuma ziņojums </w:t>
      </w:r>
      <w:r w:rsidRPr="003E7F6E">
        <w:rPr>
          <w:b/>
        </w:rPr>
        <w:t>(anotācija)</w:t>
      </w:r>
      <w:bookmarkEnd w:id="0"/>
      <w:bookmarkEnd w:id="1"/>
    </w:p>
    <w:p w14:paraId="28657745" w14:textId="77777777" w:rsidR="008F03CF" w:rsidRDefault="008F03CF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p w14:paraId="28657746" w14:textId="77777777" w:rsidR="008F03CF" w:rsidRDefault="008F03CF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365"/>
        <w:gridCol w:w="5849"/>
      </w:tblGrid>
      <w:tr w:rsidR="008F03CF" w:rsidRPr="003E7F6E" w14:paraId="28657748" w14:textId="77777777" w:rsidTr="005654C8">
        <w:trPr>
          <w:jc w:val="center"/>
        </w:trPr>
        <w:tc>
          <w:tcPr>
            <w:tcW w:w="9716" w:type="dxa"/>
            <w:gridSpan w:val="3"/>
          </w:tcPr>
          <w:p w14:paraId="28657747" w14:textId="77777777" w:rsidR="008F03CF" w:rsidRPr="003E7F6E" w:rsidRDefault="008F03CF" w:rsidP="003074D4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3E7F6E">
              <w:rPr>
                <w:b/>
              </w:rPr>
              <w:t>I. Tiesību akta projekta izstrādes nepieciešamība</w:t>
            </w:r>
          </w:p>
        </w:tc>
      </w:tr>
      <w:tr w:rsidR="008F03CF" w:rsidRPr="003E7F6E" w14:paraId="2865774C" w14:textId="77777777" w:rsidTr="009D71DA">
        <w:trPr>
          <w:jc w:val="center"/>
        </w:trPr>
        <w:tc>
          <w:tcPr>
            <w:tcW w:w="502" w:type="dxa"/>
          </w:tcPr>
          <w:p w14:paraId="28657749" w14:textId="77777777" w:rsidR="008F03CF" w:rsidRPr="003E7F6E" w:rsidRDefault="008F03CF" w:rsidP="003074D4">
            <w:pPr>
              <w:pStyle w:val="naislab"/>
              <w:spacing w:before="0" w:after="0"/>
              <w:jc w:val="center"/>
              <w:outlineLvl w:val="0"/>
            </w:pPr>
            <w:r w:rsidRPr="003E7F6E">
              <w:t>1.</w:t>
            </w:r>
          </w:p>
        </w:tc>
        <w:tc>
          <w:tcPr>
            <w:tcW w:w="3365" w:type="dxa"/>
          </w:tcPr>
          <w:p w14:paraId="2865774A" w14:textId="77777777" w:rsidR="008F03CF" w:rsidRPr="003E7F6E" w:rsidRDefault="008F03CF" w:rsidP="003074D4">
            <w:pPr>
              <w:pStyle w:val="naislab"/>
              <w:spacing w:before="0" w:after="0"/>
              <w:jc w:val="both"/>
              <w:outlineLvl w:val="0"/>
            </w:pPr>
            <w:r w:rsidRPr="003E7F6E">
              <w:t>Pamatojums</w:t>
            </w:r>
          </w:p>
        </w:tc>
        <w:tc>
          <w:tcPr>
            <w:tcW w:w="5849" w:type="dxa"/>
          </w:tcPr>
          <w:p w14:paraId="2865774B" w14:textId="1771607C" w:rsidR="00077D09" w:rsidRPr="003E7F6E" w:rsidRDefault="00C4730E" w:rsidP="000F63AE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</w:rPr>
            </w:pPr>
            <w:r w:rsidRPr="003E7F6E">
              <w:rPr>
                <w:color w:val="000000"/>
              </w:rPr>
              <w:t xml:space="preserve">Valsts pārvaldes iekārtas likuma 16.panta pirmā daļa un </w:t>
            </w:r>
            <w:r w:rsidRPr="003E7F6E">
              <w:rPr>
                <w:iCs/>
              </w:rPr>
              <w:t xml:space="preserve">Eiropas Parlamenta un Padomes </w:t>
            </w:r>
            <w:r w:rsidR="0081459F" w:rsidRPr="003E7F6E">
              <w:rPr>
                <w:iCs/>
              </w:rPr>
              <w:t>2010.gada 20.oktobra R</w:t>
            </w:r>
            <w:r w:rsidR="00AB5C28" w:rsidRPr="003E7F6E">
              <w:rPr>
                <w:iCs/>
              </w:rPr>
              <w:t>egulas Nr.995/2010</w:t>
            </w:r>
            <w:r w:rsidR="003D496C" w:rsidRPr="003E7F6E">
              <w:rPr>
                <w:iCs/>
              </w:rPr>
              <w:t>,</w:t>
            </w:r>
            <w:r w:rsidR="00AB5C28" w:rsidRPr="003E7F6E">
              <w:rPr>
                <w:iCs/>
              </w:rPr>
              <w:t xml:space="preserve"> ar ko nosaka pienākumus tirgus dalībniekiem, kas laiž tirgū kokmateriālus un koka izstrādājumus</w:t>
            </w:r>
            <w:r w:rsidR="00C85EC0" w:rsidRPr="003E7F6E">
              <w:rPr>
                <w:iCs/>
              </w:rPr>
              <w:t>,</w:t>
            </w:r>
            <w:r w:rsidR="00C3576D" w:rsidRPr="003E7F6E">
              <w:rPr>
                <w:iCs/>
              </w:rPr>
              <w:t xml:space="preserve"> (turpmāk</w:t>
            </w:r>
            <w:r w:rsidR="000F63AE" w:rsidRPr="003E7F6E">
              <w:rPr>
                <w:iCs/>
              </w:rPr>
              <w:t xml:space="preserve"> arī</w:t>
            </w:r>
            <w:r w:rsidR="00C3576D" w:rsidRPr="003E7F6E">
              <w:rPr>
                <w:iCs/>
              </w:rPr>
              <w:t xml:space="preserve"> – regula)</w:t>
            </w:r>
            <w:r w:rsidR="003F6E34" w:rsidRPr="003E7F6E">
              <w:rPr>
                <w:iCs/>
              </w:rPr>
              <w:t xml:space="preserve"> 10</w:t>
            </w:r>
            <w:r w:rsidR="00AB5C28" w:rsidRPr="003E7F6E">
              <w:rPr>
                <w:iCs/>
              </w:rPr>
              <w:t>.pants.</w:t>
            </w:r>
          </w:p>
        </w:tc>
      </w:tr>
      <w:tr w:rsidR="008F03CF" w:rsidRPr="003E7F6E" w14:paraId="28657754" w14:textId="77777777" w:rsidTr="009D71DA">
        <w:trPr>
          <w:jc w:val="center"/>
        </w:trPr>
        <w:tc>
          <w:tcPr>
            <w:tcW w:w="502" w:type="dxa"/>
          </w:tcPr>
          <w:p w14:paraId="2865774D" w14:textId="77777777" w:rsidR="008F03CF" w:rsidRPr="003E7F6E" w:rsidRDefault="008F03CF" w:rsidP="003074D4">
            <w:pPr>
              <w:pStyle w:val="naislab"/>
              <w:spacing w:before="0" w:after="0"/>
              <w:jc w:val="center"/>
              <w:outlineLvl w:val="0"/>
            </w:pPr>
            <w:r w:rsidRPr="003E7F6E">
              <w:t>2.</w:t>
            </w:r>
          </w:p>
        </w:tc>
        <w:tc>
          <w:tcPr>
            <w:tcW w:w="3365" w:type="dxa"/>
          </w:tcPr>
          <w:p w14:paraId="2865774E" w14:textId="77777777" w:rsidR="008F03CF" w:rsidRPr="003E7F6E" w:rsidRDefault="00A53EC3" w:rsidP="009F581B">
            <w:pPr>
              <w:pStyle w:val="naislab"/>
              <w:spacing w:before="0" w:after="0"/>
              <w:jc w:val="both"/>
              <w:outlineLvl w:val="0"/>
            </w:pPr>
            <w:r w:rsidRPr="003E7F6E">
              <w:t>Pašreizējā situācija un problēmas, kuru risināšanai tiesību akta projekts izstrādāts, tiesiskā regulējuma mērķis un būtība</w:t>
            </w:r>
          </w:p>
        </w:tc>
        <w:tc>
          <w:tcPr>
            <w:tcW w:w="5849" w:type="dxa"/>
          </w:tcPr>
          <w:p w14:paraId="2865774F" w14:textId="56C4C960" w:rsidR="003D496C" w:rsidRPr="003E7F6E" w:rsidRDefault="00C3576D" w:rsidP="008E62A2">
            <w:pPr>
              <w:pStyle w:val="Default"/>
              <w:jc w:val="both"/>
            </w:pPr>
            <w:r w:rsidRPr="003E7F6E">
              <w:t>Regulas mērķis ir samazināt nelikumīgi iegūtas koksnes apriti</w:t>
            </w:r>
            <w:r w:rsidR="00C85EC0" w:rsidRPr="003E7F6E">
              <w:t>,</w:t>
            </w:r>
            <w:r w:rsidRPr="003E7F6E">
              <w:t xml:space="preserve"> pieprasot tirgus dalībniekiem veikt riska vadības pasākumus attiecībā uz kokmateriāliem un koka izstrādājumiem, kas pirmo reizi </w:t>
            </w:r>
            <w:r w:rsidR="000F63AE" w:rsidRPr="003E7F6E">
              <w:t xml:space="preserve">tiek </w:t>
            </w:r>
            <w:r w:rsidRPr="003E7F6E">
              <w:t>laisti Eiropas Savienības tirgū</w:t>
            </w:r>
            <w:r w:rsidR="009044E4" w:rsidRPr="003E7F6E">
              <w:t>.</w:t>
            </w:r>
            <w:r w:rsidRPr="003E7F6E">
              <w:t xml:space="preserve"> </w:t>
            </w:r>
            <w:r w:rsidR="009044E4" w:rsidRPr="003E7F6E">
              <w:t>T</w:t>
            </w:r>
            <w:r w:rsidRPr="003E7F6E">
              <w:t xml:space="preserve">ā </w:t>
            </w:r>
            <w:r w:rsidR="009044E4" w:rsidRPr="003E7F6E">
              <w:t xml:space="preserve">nosaka </w:t>
            </w:r>
            <w:r w:rsidR="007C52C6" w:rsidRPr="003E7F6E">
              <w:t>arī</w:t>
            </w:r>
            <w:r w:rsidRPr="003E7F6E">
              <w:t xml:space="preserve"> nelikumīgi iegūtu kokmateriālu un no tiem iegūtu koka izstrādājumu tirdzniecības aizliegumu</w:t>
            </w:r>
            <w:r w:rsidR="008F2F58" w:rsidRPr="003E7F6E">
              <w:t>.</w:t>
            </w:r>
          </w:p>
          <w:p w14:paraId="358A9F06" w14:textId="7DEE7773" w:rsidR="008F2F58" w:rsidRPr="003E7F6E" w:rsidRDefault="008F2F58" w:rsidP="008E62A2">
            <w:pPr>
              <w:pStyle w:val="Default"/>
              <w:jc w:val="both"/>
            </w:pPr>
            <w:r w:rsidRPr="003E7F6E">
              <w:t xml:space="preserve">Regulā </w:t>
            </w:r>
            <w:r w:rsidR="00C85EC0" w:rsidRPr="003E7F6E">
              <w:t>no</w:t>
            </w:r>
            <w:r w:rsidRPr="003E7F6E">
              <w:t>teikt</w:t>
            </w:r>
            <w:r w:rsidR="00C85EC0" w:rsidRPr="003E7F6E">
              <w:t>s, ka</w:t>
            </w:r>
            <w:r w:rsidRPr="003E7F6E">
              <w:t xml:space="preserve"> tirgus dalībnieks ir jebkura fiziska vai juridiska persona, kas </w:t>
            </w:r>
            <w:r w:rsidR="00051C92" w:rsidRPr="003E7F6E">
              <w:t>l</w:t>
            </w:r>
            <w:r w:rsidRPr="003E7F6E">
              <w:t xml:space="preserve">aiž tirgū kokmateriālus </w:t>
            </w:r>
            <w:r w:rsidR="00051C92" w:rsidRPr="003E7F6E">
              <w:t>vai</w:t>
            </w:r>
            <w:r w:rsidRPr="003E7F6E">
              <w:t xml:space="preserve"> koka izstrādājumus. Tirgus dalībniekam ir šādi pienākumi:</w:t>
            </w:r>
          </w:p>
          <w:p w14:paraId="65008EF7" w14:textId="6A9EA670" w:rsidR="008F2F58" w:rsidRPr="003E7F6E" w:rsidRDefault="008F2F58" w:rsidP="008F2F58">
            <w:pPr>
              <w:pStyle w:val="Default"/>
              <w:numPr>
                <w:ilvl w:val="0"/>
                <w:numId w:val="7"/>
              </w:numPr>
              <w:ind w:left="317"/>
              <w:jc w:val="both"/>
            </w:pPr>
            <w:r w:rsidRPr="003E7F6E">
              <w:t xml:space="preserve">aizliegts laist tirgū </w:t>
            </w:r>
            <w:r w:rsidR="00C77F4E" w:rsidRPr="003E7F6E">
              <w:t xml:space="preserve">nelikumīgi iegūtus </w:t>
            </w:r>
            <w:r w:rsidRPr="003E7F6E">
              <w:t>kokmateriālus un koka izstrādājumus, kas ražoti no šādiem kokmateriāliem;</w:t>
            </w:r>
          </w:p>
          <w:p w14:paraId="0F4D3599" w14:textId="68FD3CE8" w:rsidR="008F2F58" w:rsidRPr="003E7F6E" w:rsidRDefault="008F2F58" w:rsidP="008F2F58">
            <w:pPr>
              <w:pStyle w:val="Default"/>
              <w:numPr>
                <w:ilvl w:val="0"/>
                <w:numId w:val="7"/>
              </w:numPr>
              <w:ind w:left="317"/>
              <w:jc w:val="both"/>
            </w:pPr>
            <w:r w:rsidRPr="003E7F6E">
              <w:t>veikt izcelsmes likumības pārbaudes, laižot tirgū kokmateriālus un koka izstrādājumus;</w:t>
            </w:r>
          </w:p>
          <w:p w14:paraId="561678CE" w14:textId="1122E828" w:rsidR="008F2F58" w:rsidRPr="003E7F6E" w:rsidRDefault="008F2F58" w:rsidP="008F2F58">
            <w:pPr>
              <w:pStyle w:val="Default"/>
              <w:numPr>
                <w:ilvl w:val="0"/>
                <w:numId w:val="7"/>
              </w:numPr>
              <w:ind w:left="317"/>
              <w:jc w:val="both"/>
            </w:pPr>
            <w:r w:rsidRPr="003E7F6E">
              <w:t>uzturēt un regulāri izvērtēt izcelsmes likumības pārbaužu sistēmu, ko tas izmanto.</w:t>
            </w:r>
          </w:p>
          <w:p w14:paraId="52512563" w14:textId="15F2FABF" w:rsidR="00051C92" w:rsidRPr="003E7F6E" w:rsidRDefault="00051C92" w:rsidP="00051C92">
            <w:pPr>
              <w:pStyle w:val="Default"/>
              <w:ind w:left="-43"/>
              <w:jc w:val="both"/>
            </w:pPr>
            <w:r w:rsidRPr="003E7F6E">
              <w:t xml:space="preserve">Regulā </w:t>
            </w:r>
            <w:r w:rsidR="000F63AE" w:rsidRPr="003E7F6E">
              <w:t xml:space="preserve">dota </w:t>
            </w:r>
            <w:r w:rsidRPr="003E7F6E">
              <w:t>defin</w:t>
            </w:r>
            <w:r w:rsidR="000F63AE" w:rsidRPr="003E7F6E">
              <w:t>īcija</w:t>
            </w:r>
            <w:r w:rsidRPr="003E7F6E">
              <w:t xml:space="preserve"> arī </w:t>
            </w:r>
            <w:r w:rsidR="00C85EC0" w:rsidRPr="003E7F6E">
              <w:t>termin</w:t>
            </w:r>
            <w:r w:rsidR="000F63AE" w:rsidRPr="003E7F6E">
              <w:t>am</w:t>
            </w:r>
            <w:r w:rsidR="00C85EC0" w:rsidRPr="003E7F6E">
              <w:t xml:space="preserve"> </w:t>
            </w:r>
            <w:r w:rsidRPr="003E7F6E">
              <w:t>„laišana tirgū”</w:t>
            </w:r>
            <w:r w:rsidR="00C85EC0" w:rsidRPr="003E7F6E">
              <w:t>, proti, tā</w:t>
            </w:r>
            <w:r w:rsidRPr="003E7F6E">
              <w:t xml:space="preserve"> </w:t>
            </w:r>
            <w:r w:rsidR="00C85EC0" w:rsidRPr="003E7F6E">
              <w:t xml:space="preserve">ir </w:t>
            </w:r>
            <w:r w:rsidRPr="003E7F6E">
              <w:t>jebkāda kokmateriālu un koka izstrādājumu piegāde iekšējā tirgū, k</w:t>
            </w:r>
            <w:r w:rsidR="00C85EC0" w:rsidRPr="003E7F6E">
              <w:t>ura</w:t>
            </w:r>
            <w:r w:rsidRPr="003E7F6E">
              <w:t xml:space="preserve"> notiek pirmo reizi, lai tos par samaksu vai bez maksas izplatītu vai izmantotu komerciālās darbībās.</w:t>
            </w:r>
          </w:p>
          <w:p w14:paraId="26937734" w14:textId="448987F5" w:rsidR="003B2AEB" w:rsidRPr="003E7F6E" w:rsidRDefault="00495202" w:rsidP="00495202">
            <w:pPr>
              <w:pStyle w:val="Default"/>
              <w:jc w:val="both"/>
              <w:rPr>
                <w:bCs/>
              </w:rPr>
            </w:pPr>
            <w:r w:rsidRPr="003E7F6E">
              <w:rPr>
                <w:bCs/>
              </w:rPr>
              <w:t xml:space="preserve">Atbilstoši regulas 7.pantam katra dalībvalsts izraugās vienu vai vairākas kompetentās iestādes, kas </w:t>
            </w:r>
            <w:r w:rsidR="000F63AE" w:rsidRPr="003E7F6E">
              <w:rPr>
                <w:bCs/>
              </w:rPr>
              <w:t xml:space="preserve">ir </w:t>
            </w:r>
            <w:r w:rsidRPr="003E7F6E">
              <w:rPr>
                <w:bCs/>
              </w:rPr>
              <w:t>atbild</w:t>
            </w:r>
            <w:r w:rsidR="000F63AE" w:rsidRPr="003E7F6E">
              <w:rPr>
                <w:bCs/>
              </w:rPr>
              <w:t>īgas</w:t>
            </w:r>
            <w:r w:rsidRPr="003E7F6E">
              <w:rPr>
                <w:bCs/>
              </w:rPr>
              <w:t xml:space="preserve"> par šīs regulas piemērošanu. </w:t>
            </w:r>
            <w:r w:rsidR="000F63AE" w:rsidRPr="003E7F6E">
              <w:rPr>
                <w:bCs/>
              </w:rPr>
              <w:t>Latvijas Republikā k</w:t>
            </w:r>
            <w:r w:rsidRPr="003E7F6E">
              <w:rPr>
                <w:bCs/>
              </w:rPr>
              <w:t>ompetentā</w:t>
            </w:r>
            <w:r w:rsidR="001744AE" w:rsidRPr="003E7F6E">
              <w:rPr>
                <w:bCs/>
              </w:rPr>
              <w:t xml:space="preserve"> iestāde regulas prasību izpildes pārbau</w:t>
            </w:r>
            <w:r w:rsidR="000F63AE" w:rsidRPr="003E7F6E">
              <w:rPr>
                <w:bCs/>
              </w:rPr>
              <w:t>dēm</w:t>
            </w:r>
            <w:r w:rsidR="001744AE" w:rsidRPr="003E7F6E">
              <w:rPr>
                <w:bCs/>
              </w:rPr>
              <w:t xml:space="preserve"> ir Valsts meža dienests.</w:t>
            </w:r>
          </w:p>
          <w:p w14:paraId="29ACE498" w14:textId="77777777" w:rsidR="00077D09" w:rsidRPr="003E7F6E" w:rsidRDefault="003B2AEB" w:rsidP="000F63AE">
            <w:pPr>
              <w:pStyle w:val="Default"/>
              <w:jc w:val="both"/>
              <w:rPr>
                <w:bCs/>
              </w:rPr>
            </w:pPr>
            <w:r w:rsidRPr="003E7F6E">
              <w:rPr>
                <w:bCs/>
              </w:rPr>
              <w:t xml:space="preserve">Regulas 10.pantā </w:t>
            </w:r>
            <w:r w:rsidR="000F63AE" w:rsidRPr="003E7F6E">
              <w:rPr>
                <w:bCs/>
              </w:rPr>
              <w:t>minē</w:t>
            </w:r>
            <w:r w:rsidRPr="003E7F6E">
              <w:rPr>
                <w:bCs/>
              </w:rPr>
              <w:t xml:space="preserve">tas vairākas darbības, kas jāveic kompetentajām iestādēm, taču Latvijas </w:t>
            </w:r>
            <w:r w:rsidR="00C77F4E" w:rsidRPr="003E7F6E">
              <w:rPr>
                <w:bCs/>
              </w:rPr>
              <w:t>Republikas normatīvajos aktos</w:t>
            </w:r>
            <w:r w:rsidRPr="003E7F6E">
              <w:rPr>
                <w:bCs/>
              </w:rPr>
              <w:t xml:space="preserve"> vairākas no tām, piemēram, piekļuve telpām, revīzijas, konfiskācija, nav </w:t>
            </w:r>
            <w:r w:rsidR="000F63AE" w:rsidRPr="003E7F6E">
              <w:rPr>
                <w:bCs/>
              </w:rPr>
              <w:t>nosauk</w:t>
            </w:r>
            <w:r w:rsidRPr="003E7F6E">
              <w:rPr>
                <w:bCs/>
              </w:rPr>
              <w:t>tas</w:t>
            </w:r>
            <w:r w:rsidR="000F63AE" w:rsidRPr="003E7F6E">
              <w:rPr>
                <w:bCs/>
              </w:rPr>
              <w:t>, tāpēc</w:t>
            </w:r>
            <w:r w:rsidRPr="003E7F6E">
              <w:rPr>
                <w:bCs/>
              </w:rPr>
              <w:t xml:space="preserve"> Valsts meža dienestam </w:t>
            </w:r>
            <w:r w:rsidR="000F63AE" w:rsidRPr="003E7F6E">
              <w:rPr>
                <w:bCs/>
              </w:rPr>
              <w:t>nav</w:t>
            </w:r>
            <w:r w:rsidRPr="003E7F6E">
              <w:rPr>
                <w:bCs/>
              </w:rPr>
              <w:t xml:space="preserve"> tiesiska pamata š</w:t>
            </w:r>
            <w:r w:rsidR="000F63AE" w:rsidRPr="003E7F6E">
              <w:rPr>
                <w:bCs/>
              </w:rPr>
              <w:t>ādam</w:t>
            </w:r>
            <w:r w:rsidRPr="003E7F6E">
              <w:rPr>
                <w:bCs/>
              </w:rPr>
              <w:t xml:space="preserve"> darbīb</w:t>
            </w:r>
            <w:r w:rsidR="000F63AE" w:rsidRPr="003E7F6E">
              <w:rPr>
                <w:bCs/>
              </w:rPr>
              <w:t>ām.</w:t>
            </w:r>
            <w:r w:rsidRPr="003E7F6E">
              <w:rPr>
                <w:bCs/>
              </w:rPr>
              <w:t xml:space="preserve"> </w:t>
            </w:r>
            <w:r w:rsidR="000F63AE" w:rsidRPr="003E7F6E">
              <w:rPr>
                <w:bCs/>
              </w:rPr>
              <w:t>L</w:t>
            </w:r>
            <w:r w:rsidR="001744AE" w:rsidRPr="003E7F6E">
              <w:rPr>
                <w:bCs/>
              </w:rPr>
              <w:t>ai nodrošinātu regulas 10.pantā minētās funkcijas, nepieciešams papildināt Valsts meža dienesta nolikumu.</w:t>
            </w:r>
          </w:p>
          <w:p w14:paraId="5FDA29C6" w14:textId="455D55A5" w:rsidR="00A26AB2" w:rsidRPr="003E7F6E" w:rsidRDefault="00A26AB2" w:rsidP="00A26AB2">
            <w:pPr>
              <w:pStyle w:val="Default"/>
              <w:jc w:val="both"/>
              <w:rPr>
                <w:bCs/>
              </w:rPr>
            </w:pPr>
            <w:r w:rsidRPr="003E7F6E">
              <w:rPr>
                <w:bCs/>
              </w:rPr>
              <w:t xml:space="preserve">Grozījumu projektā ietvertā regulējuma piemērošanas kārtība balstās uz Regulu Nr.995/2010, kā arī Latvijas Administratīvo pārkāpumu kodeksu. Latvijas Administratīvo pārkāpumu kodeksā izstrādāti grozījumi </w:t>
            </w:r>
            <w:r w:rsidR="006F3846" w:rsidRPr="003E7F6E">
              <w:rPr>
                <w:bCs/>
              </w:rPr>
              <w:t xml:space="preserve">to </w:t>
            </w:r>
            <w:r w:rsidRPr="003E7F6E">
              <w:rPr>
                <w:bCs/>
              </w:rPr>
              <w:t>papildinot ar 155.</w:t>
            </w:r>
            <w:r w:rsidRPr="003E7F6E">
              <w:rPr>
                <w:bCs/>
                <w:vertAlign w:val="superscript"/>
              </w:rPr>
              <w:t>19</w:t>
            </w:r>
            <w:r w:rsidRPr="003E7F6E">
              <w:rPr>
                <w:bCs/>
              </w:rPr>
              <w:t xml:space="preserve"> pantu „Kokmateriālu un koka </w:t>
            </w:r>
            <w:r w:rsidRPr="003E7F6E">
              <w:rPr>
                <w:bCs/>
              </w:rPr>
              <w:lastRenderedPageBreak/>
              <w:t>izstrādājumu izcelsmes likumības un tirdzniecības prasību pārkāpšana”, kurā noteiktas sankcijas regulas prasību pārkāpumu gadījumos.</w:t>
            </w:r>
          </w:p>
          <w:p w14:paraId="4F8172DC" w14:textId="78B23C7B" w:rsidR="00A26AB2" w:rsidRPr="003E7F6E" w:rsidRDefault="00A26AB2" w:rsidP="00A26AB2">
            <w:pPr>
              <w:pStyle w:val="Default"/>
              <w:jc w:val="both"/>
              <w:rPr>
                <w:bCs/>
              </w:rPr>
            </w:pPr>
            <w:r w:rsidRPr="003E7F6E">
              <w:rPr>
                <w:bCs/>
              </w:rPr>
              <w:t xml:space="preserve">Grozījumu projektā minētā frāze „pamatotas aizdomas” </w:t>
            </w:r>
            <w:r w:rsidR="00B24825" w:rsidRPr="003E7F6E">
              <w:rPr>
                <w:bCs/>
              </w:rPr>
              <w:t>piemērojama</w:t>
            </w:r>
            <w:r w:rsidRPr="003E7F6E">
              <w:rPr>
                <w:bCs/>
              </w:rPr>
              <w:t>, ja tiek fiksēti viens vai vairāki regulā minētie riska novērtēšanas kritēriji, piemēram:</w:t>
            </w:r>
          </w:p>
          <w:p w14:paraId="34204B46" w14:textId="51EB7929" w:rsidR="00A26AB2" w:rsidRPr="003E7F6E" w:rsidRDefault="00A26AB2" w:rsidP="00A26AB2">
            <w:pPr>
              <w:pStyle w:val="Default"/>
              <w:numPr>
                <w:ilvl w:val="0"/>
                <w:numId w:val="8"/>
              </w:numPr>
              <w:ind w:left="317" w:firstLine="0"/>
              <w:jc w:val="both"/>
              <w:rPr>
                <w:bCs/>
              </w:rPr>
            </w:pPr>
            <w:r w:rsidRPr="003E7F6E">
              <w:rPr>
                <w:bCs/>
              </w:rPr>
              <w:t>konkrētās sugas koki tiek iegūti galvenokārt nelegāli;</w:t>
            </w:r>
          </w:p>
          <w:p w14:paraId="55F47EBD" w14:textId="5193F229" w:rsidR="00A26AB2" w:rsidRPr="003E7F6E" w:rsidRDefault="00A26AB2" w:rsidP="00A26AB2">
            <w:pPr>
              <w:pStyle w:val="Default"/>
              <w:numPr>
                <w:ilvl w:val="0"/>
                <w:numId w:val="8"/>
              </w:numPr>
              <w:ind w:left="317" w:firstLine="0"/>
              <w:jc w:val="both"/>
              <w:rPr>
                <w:bCs/>
              </w:rPr>
            </w:pPr>
            <w:r w:rsidRPr="003E7F6E">
              <w:rPr>
                <w:bCs/>
              </w:rPr>
              <w:t>kokmateriālu ieguves valstī un/vai precīzā ieguves valsts reģionā ieguve vai prakse ir galvenokārt nelegāla, tostarp apsvērums par bruņotu konfliktu;</w:t>
            </w:r>
          </w:p>
          <w:p w14:paraId="1FAF0F59" w14:textId="33BDE7B0" w:rsidR="00A26AB2" w:rsidRPr="003E7F6E" w:rsidRDefault="00A26AB2" w:rsidP="00A26AB2">
            <w:pPr>
              <w:pStyle w:val="Default"/>
              <w:numPr>
                <w:ilvl w:val="0"/>
                <w:numId w:val="8"/>
              </w:numPr>
              <w:ind w:left="317" w:firstLine="0"/>
              <w:jc w:val="both"/>
              <w:rPr>
                <w:bCs/>
              </w:rPr>
            </w:pPr>
            <w:r w:rsidRPr="003E7F6E">
              <w:rPr>
                <w:bCs/>
              </w:rPr>
              <w:t>ANO Drošības padomes vai Eiropas Savienības Padomes noteiktās sankcijas attiecībā uz kokmateriālu importu vai eksportu;</w:t>
            </w:r>
          </w:p>
          <w:p w14:paraId="28657753" w14:textId="176E07C8" w:rsidR="00A26AB2" w:rsidRPr="003E7F6E" w:rsidRDefault="00A26AB2" w:rsidP="00A26AB2">
            <w:pPr>
              <w:pStyle w:val="Default"/>
              <w:numPr>
                <w:ilvl w:val="0"/>
                <w:numId w:val="8"/>
              </w:numPr>
              <w:ind w:left="317" w:firstLine="0"/>
              <w:jc w:val="both"/>
              <w:rPr>
                <w:b/>
                <w:bCs/>
              </w:rPr>
            </w:pPr>
            <w:r w:rsidRPr="003E7F6E">
              <w:rPr>
                <w:bCs/>
              </w:rPr>
              <w:t>kokmateriālu un koka izstrādājumu piegādes ķēdes sarežģītība.</w:t>
            </w:r>
          </w:p>
        </w:tc>
      </w:tr>
      <w:tr w:rsidR="008F03CF" w:rsidRPr="003E7F6E" w14:paraId="28657759" w14:textId="77777777" w:rsidTr="009D71DA">
        <w:trPr>
          <w:jc w:val="center"/>
        </w:trPr>
        <w:tc>
          <w:tcPr>
            <w:tcW w:w="502" w:type="dxa"/>
          </w:tcPr>
          <w:p w14:paraId="28657755" w14:textId="37255F96" w:rsidR="008F03CF" w:rsidRPr="003E7F6E" w:rsidRDefault="0023104F" w:rsidP="003074D4">
            <w:pPr>
              <w:pStyle w:val="naislab"/>
              <w:spacing w:before="0" w:after="0"/>
              <w:jc w:val="center"/>
              <w:outlineLvl w:val="0"/>
            </w:pPr>
            <w:r w:rsidRPr="003E7F6E">
              <w:lastRenderedPageBreak/>
              <w:t>3</w:t>
            </w:r>
            <w:r w:rsidR="008F03CF" w:rsidRPr="003E7F6E">
              <w:t>.</w:t>
            </w:r>
          </w:p>
        </w:tc>
        <w:tc>
          <w:tcPr>
            <w:tcW w:w="3365" w:type="dxa"/>
          </w:tcPr>
          <w:p w14:paraId="28657756" w14:textId="77777777" w:rsidR="008F03CF" w:rsidRPr="003E7F6E" w:rsidRDefault="008F03CF" w:rsidP="003074D4">
            <w:pPr>
              <w:pStyle w:val="naislab"/>
              <w:spacing w:before="0" w:after="0"/>
              <w:jc w:val="both"/>
              <w:outlineLvl w:val="0"/>
            </w:pPr>
            <w:r w:rsidRPr="003E7F6E">
              <w:t>Projekta izstrādē iesaistītās institūcijas</w:t>
            </w:r>
          </w:p>
        </w:tc>
        <w:tc>
          <w:tcPr>
            <w:tcW w:w="5849" w:type="dxa"/>
          </w:tcPr>
          <w:p w14:paraId="28657758" w14:textId="1300BC2A" w:rsidR="001B03F1" w:rsidRPr="003E7F6E" w:rsidRDefault="008F03CF" w:rsidP="00C85EC0">
            <w:pPr>
              <w:pStyle w:val="naiskr"/>
              <w:spacing w:before="0" w:after="0"/>
              <w:jc w:val="both"/>
              <w:rPr>
                <w:iCs/>
              </w:rPr>
            </w:pPr>
            <w:r w:rsidRPr="003E7F6E">
              <w:rPr>
                <w:iCs/>
              </w:rPr>
              <w:t>Zemkopības ministrija</w:t>
            </w:r>
            <w:r w:rsidR="00C85EC0" w:rsidRPr="003E7F6E">
              <w:rPr>
                <w:iCs/>
              </w:rPr>
              <w:t xml:space="preserve"> un</w:t>
            </w:r>
            <w:r w:rsidR="00186F99" w:rsidRPr="003E7F6E">
              <w:rPr>
                <w:iCs/>
              </w:rPr>
              <w:t xml:space="preserve"> Valsts meža dienests</w:t>
            </w:r>
          </w:p>
        </w:tc>
      </w:tr>
      <w:tr w:rsidR="008F03CF" w:rsidRPr="003E7F6E" w14:paraId="2865775D" w14:textId="77777777" w:rsidTr="009D71DA">
        <w:trPr>
          <w:jc w:val="center"/>
        </w:trPr>
        <w:tc>
          <w:tcPr>
            <w:tcW w:w="502" w:type="dxa"/>
          </w:tcPr>
          <w:p w14:paraId="2865775A" w14:textId="77777777" w:rsidR="008F03CF" w:rsidRPr="003E7F6E" w:rsidRDefault="0023104F" w:rsidP="003074D4">
            <w:pPr>
              <w:pStyle w:val="naislab"/>
              <w:spacing w:before="0" w:after="0"/>
              <w:jc w:val="center"/>
              <w:outlineLvl w:val="0"/>
            </w:pPr>
            <w:r w:rsidRPr="003E7F6E">
              <w:t>4</w:t>
            </w:r>
            <w:r w:rsidR="008F03CF" w:rsidRPr="003E7F6E">
              <w:t>.</w:t>
            </w:r>
          </w:p>
        </w:tc>
        <w:tc>
          <w:tcPr>
            <w:tcW w:w="3365" w:type="dxa"/>
          </w:tcPr>
          <w:p w14:paraId="2865775B" w14:textId="77777777" w:rsidR="008F03CF" w:rsidRPr="003E7F6E" w:rsidRDefault="008F03CF" w:rsidP="003074D4">
            <w:pPr>
              <w:pStyle w:val="naislab"/>
              <w:spacing w:before="0" w:after="0"/>
              <w:jc w:val="both"/>
              <w:outlineLvl w:val="0"/>
            </w:pPr>
            <w:r w:rsidRPr="003E7F6E">
              <w:t>Cita informācija</w:t>
            </w:r>
          </w:p>
        </w:tc>
        <w:tc>
          <w:tcPr>
            <w:tcW w:w="5849" w:type="dxa"/>
          </w:tcPr>
          <w:p w14:paraId="2865775C" w14:textId="7D2184CC" w:rsidR="008F03CF" w:rsidRPr="003E7F6E" w:rsidRDefault="004B2C51" w:rsidP="00CF5D3D">
            <w:pPr>
              <w:pStyle w:val="naiskr"/>
              <w:spacing w:before="0" w:after="0"/>
              <w:jc w:val="both"/>
            </w:pPr>
            <w:r w:rsidRPr="003E7F6E">
              <w:t>Nav.</w:t>
            </w:r>
          </w:p>
        </w:tc>
      </w:tr>
    </w:tbl>
    <w:p w14:paraId="2865775E" w14:textId="77777777" w:rsidR="008F03CF" w:rsidRDefault="008F03CF" w:rsidP="008C0C16"/>
    <w:tbl>
      <w:tblPr>
        <w:tblpPr w:leftFromText="180" w:rightFromText="180" w:vertAnchor="text" w:horzAnchor="margin" w:tblpXSpec="center" w:tblpY="14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260"/>
        <w:gridCol w:w="6095"/>
      </w:tblGrid>
      <w:tr w:rsidR="002C3EC2" w:rsidRPr="003E7F6E" w14:paraId="7377E520" w14:textId="77777777" w:rsidTr="00E17C18">
        <w:tc>
          <w:tcPr>
            <w:tcW w:w="9786" w:type="dxa"/>
            <w:gridSpan w:val="3"/>
            <w:vAlign w:val="center"/>
          </w:tcPr>
          <w:p w14:paraId="337D92DD" w14:textId="77777777" w:rsidR="002C3EC2" w:rsidRPr="003E7F6E" w:rsidRDefault="002C3EC2" w:rsidP="00E17C18">
            <w:pPr>
              <w:jc w:val="center"/>
              <w:rPr>
                <w:b/>
                <w:bCs/>
              </w:rPr>
            </w:pPr>
            <w:r w:rsidRPr="003E7F6E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786A5A" w:rsidRPr="003E7F6E" w14:paraId="1D33E7A1" w14:textId="77777777" w:rsidTr="00786A5A">
        <w:trPr>
          <w:trHeight w:val="467"/>
        </w:trPr>
        <w:tc>
          <w:tcPr>
            <w:tcW w:w="431" w:type="dxa"/>
          </w:tcPr>
          <w:p w14:paraId="5552C30F" w14:textId="2B34E837" w:rsidR="00786A5A" w:rsidRPr="003E7F6E" w:rsidRDefault="00786A5A" w:rsidP="00E17C18">
            <w:r w:rsidRPr="003E7F6E">
              <w:t>1.</w:t>
            </w:r>
          </w:p>
        </w:tc>
        <w:tc>
          <w:tcPr>
            <w:tcW w:w="3260" w:type="dxa"/>
          </w:tcPr>
          <w:p w14:paraId="599DE958" w14:textId="1C170CD8" w:rsidR="00786A5A" w:rsidRPr="003E7F6E" w:rsidRDefault="00786A5A" w:rsidP="00E17C18">
            <w:r w:rsidRPr="003E7F6E">
              <w:t>Sabiedrības mērķgrupas, kuras tiesiskais regulējums ietekmē vai varētu ietekmēt</w:t>
            </w:r>
          </w:p>
        </w:tc>
        <w:tc>
          <w:tcPr>
            <w:tcW w:w="6095" w:type="dxa"/>
          </w:tcPr>
          <w:p w14:paraId="1A0DC464" w14:textId="1E3F512E" w:rsidR="00786A5A" w:rsidRPr="003E7F6E" w:rsidRDefault="00E018CC" w:rsidP="007E437C">
            <w:r w:rsidRPr="003E7F6E">
              <w:t>Valsts meža dienesta darbinieki</w:t>
            </w:r>
          </w:p>
        </w:tc>
      </w:tr>
      <w:tr w:rsidR="00786A5A" w:rsidRPr="003E7F6E" w14:paraId="052798F8" w14:textId="77777777" w:rsidTr="00786A5A">
        <w:trPr>
          <w:trHeight w:val="523"/>
        </w:trPr>
        <w:tc>
          <w:tcPr>
            <w:tcW w:w="431" w:type="dxa"/>
          </w:tcPr>
          <w:p w14:paraId="60618988" w14:textId="27BD52DC" w:rsidR="00786A5A" w:rsidRPr="003E7F6E" w:rsidRDefault="00786A5A" w:rsidP="00E17C18">
            <w:r w:rsidRPr="003E7F6E">
              <w:t>2.</w:t>
            </w:r>
          </w:p>
        </w:tc>
        <w:tc>
          <w:tcPr>
            <w:tcW w:w="3260" w:type="dxa"/>
          </w:tcPr>
          <w:p w14:paraId="6B49C0E9" w14:textId="69C2C8D8" w:rsidR="00786A5A" w:rsidRPr="003E7F6E" w:rsidRDefault="00786A5A" w:rsidP="00E17C18">
            <w:r w:rsidRPr="003E7F6E">
              <w:t>Tiesiskā regulējuma ietekme uz tautsaimniecību un administratīvo slogu</w:t>
            </w:r>
          </w:p>
        </w:tc>
        <w:tc>
          <w:tcPr>
            <w:tcW w:w="6095" w:type="dxa"/>
          </w:tcPr>
          <w:p w14:paraId="077A980B" w14:textId="589D2FC9" w:rsidR="00786A5A" w:rsidRPr="003E7F6E" w:rsidRDefault="000F63AE" w:rsidP="000F63AE">
            <w:r w:rsidRPr="003E7F6E">
              <w:t xml:space="preserve">Izdevumi par </w:t>
            </w:r>
            <w:r w:rsidR="00786A5A" w:rsidRPr="003E7F6E">
              <w:t>Valsts meža dienestā izveidot</w:t>
            </w:r>
            <w:r w:rsidRPr="003E7F6E">
              <w:t>o</w:t>
            </w:r>
            <w:r w:rsidR="00786A5A" w:rsidRPr="003E7F6E">
              <w:t xml:space="preserve"> amata viet</w:t>
            </w:r>
            <w:r w:rsidRPr="003E7F6E">
              <w:t>u</w:t>
            </w:r>
            <w:r w:rsidR="00786A5A" w:rsidRPr="003E7F6E">
              <w:t xml:space="preserve"> noteikumu projektā noteikto funkciju un uzdevumu izpildei </w:t>
            </w:r>
            <w:r w:rsidRPr="003E7F6E">
              <w:t xml:space="preserve">tiek segti no </w:t>
            </w:r>
            <w:r w:rsidR="00786A5A" w:rsidRPr="003E7F6E">
              <w:t>esošā budžeta.</w:t>
            </w:r>
          </w:p>
        </w:tc>
      </w:tr>
      <w:tr w:rsidR="00786A5A" w:rsidRPr="003E7F6E" w14:paraId="3623EF3E" w14:textId="77777777" w:rsidTr="00786A5A">
        <w:trPr>
          <w:trHeight w:val="357"/>
        </w:trPr>
        <w:tc>
          <w:tcPr>
            <w:tcW w:w="431" w:type="dxa"/>
          </w:tcPr>
          <w:p w14:paraId="716DFBC1" w14:textId="25209A57" w:rsidR="00786A5A" w:rsidRPr="003E7F6E" w:rsidRDefault="00786A5A" w:rsidP="00E17C18">
            <w:r w:rsidRPr="003E7F6E">
              <w:t>3.</w:t>
            </w:r>
          </w:p>
        </w:tc>
        <w:tc>
          <w:tcPr>
            <w:tcW w:w="3260" w:type="dxa"/>
          </w:tcPr>
          <w:p w14:paraId="5B2413B2" w14:textId="03E53B57" w:rsidR="00786A5A" w:rsidRPr="003E7F6E" w:rsidRDefault="00786A5A" w:rsidP="00E17C18">
            <w:r w:rsidRPr="003E7F6E">
              <w:t>Administratīvo izmaksu monetārs novērtējums</w:t>
            </w:r>
          </w:p>
        </w:tc>
        <w:tc>
          <w:tcPr>
            <w:tcW w:w="6095" w:type="dxa"/>
          </w:tcPr>
          <w:p w14:paraId="121476F2" w14:textId="57A03D8D" w:rsidR="00786A5A" w:rsidRPr="003E7F6E" w:rsidRDefault="00786A5A" w:rsidP="007E437C">
            <w:r w:rsidRPr="003E7F6E">
              <w:t>Administratīvās izmaksas nemainās.</w:t>
            </w:r>
          </w:p>
        </w:tc>
      </w:tr>
      <w:tr w:rsidR="00786A5A" w:rsidRPr="003E7F6E" w14:paraId="66DA9C81" w14:textId="77777777" w:rsidTr="00786A5A">
        <w:trPr>
          <w:trHeight w:val="288"/>
        </w:trPr>
        <w:tc>
          <w:tcPr>
            <w:tcW w:w="431" w:type="dxa"/>
          </w:tcPr>
          <w:p w14:paraId="5D5BD895" w14:textId="6ECDBBF7" w:rsidR="00786A5A" w:rsidRPr="003E7F6E" w:rsidRDefault="00786A5A" w:rsidP="00E17C18">
            <w:r w:rsidRPr="003E7F6E">
              <w:t>4.</w:t>
            </w:r>
          </w:p>
        </w:tc>
        <w:tc>
          <w:tcPr>
            <w:tcW w:w="3260" w:type="dxa"/>
          </w:tcPr>
          <w:p w14:paraId="1B9DE263" w14:textId="02A26622" w:rsidR="00786A5A" w:rsidRPr="003E7F6E" w:rsidRDefault="00786A5A" w:rsidP="00E17C18">
            <w:r w:rsidRPr="003E7F6E">
              <w:t>Cita informācija</w:t>
            </w:r>
          </w:p>
        </w:tc>
        <w:tc>
          <w:tcPr>
            <w:tcW w:w="6095" w:type="dxa"/>
          </w:tcPr>
          <w:p w14:paraId="1302A0AC" w14:textId="73E70239" w:rsidR="00786A5A" w:rsidRPr="003E7F6E" w:rsidRDefault="00786A5A" w:rsidP="00E17C18">
            <w:r w:rsidRPr="003E7F6E">
              <w:t>Nav.</w:t>
            </w:r>
          </w:p>
        </w:tc>
      </w:tr>
    </w:tbl>
    <w:p w14:paraId="14559D3B" w14:textId="77777777" w:rsidR="002C3EC2" w:rsidRDefault="002C3EC2" w:rsidP="008C0C16"/>
    <w:p w14:paraId="2865781F" w14:textId="6471BE0D" w:rsidR="00101529" w:rsidRPr="003E7F6E" w:rsidRDefault="002C3EC2" w:rsidP="007E57F4">
      <w:pPr>
        <w:rPr>
          <w:i/>
          <w:iCs/>
        </w:rPr>
      </w:pPr>
      <w:r w:rsidRPr="003E7F6E">
        <w:rPr>
          <w:i/>
          <w:iCs/>
        </w:rPr>
        <w:t>Anotācijas</w:t>
      </w:r>
      <w:r w:rsidR="00F20318" w:rsidRPr="003E7F6E">
        <w:rPr>
          <w:i/>
          <w:iCs/>
        </w:rPr>
        <w:t xml:space="preserve"> III un IV</w:t>
      </w:r>
      <w:r w:rsidR="00C6002F" w:rsidRPr="003E7F6E">
        <w:rPr>
          <w:i/>
          <w:iCs/>
        </w:rPr>
        <w:t xml:space="preserve"> sadaļa –</w:t>
      </w:r>
      <w:r w:rsidR="007E437C" w:rsidRPr="003E7F6E">
        <w:rPr>
          <w:i/>
          <w:iCs/>
        </w:rPr>
        <w:t xml:space="preserve"> </w:t>
      </w:r>
      <w:r w:rsidR="00610FA3" w:rsidRPr="003E7F6E">
        <w:rPr>
          <w:i/>
          <w:iCs/>
        </w:rPr>
        <w:t>projekts šīs jomas neskar.</w:t>
      </w:r>
    </w:p>
    <w:p w14:paraId="771EA083" w14:textId="77777777" w:rsidR="00610FA3" w:rsidRDefault="00610FA3" w:rsidP="007E57F4">
      <w:pPr>
        <w:rPr>
          <w:i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643"/>
      </w:tblGrid>
      <w:tr w:rsidR="00D12B6E" w:rsidRPr="003E7F6E" w14:paraId="28657821" w14:textId="77777777" w:rsidTr="004524FD">
        <w:tc>
          <w:tcPr>
            <w:tcW w:w="9287" w:type="dxa"/>
            <w:gridSpan w:val="3"/>
          </w:tcPr>
          <w:p w14:paraId="28657820" w14:textId="77777777" w:rsidR="00D12B6E" w:rsidRPr="003E7F6E" w:rsidRDefault="00D12B6E" w:rsidP="007E57F4">
            <w:pPr>
              <w:rPr>
                <w:b/>
                <w:iCs/>
              </w:rPr>
            </w:pPr>
            <w:r w:rsidRPr="003E7F6E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D12B6E" w:rsidRPr="003E7F6E" w14:paraId="28657825" w14:textId="77777777" w:rsidTr="00D12B6E">
        <w:tc>
          <w:tcPr>
            <w:tcW w:w="534" w:type="dxa"/>
          </w:tcPr>
          <w:p w14:paraId="28657822" w14:textId="77777777" w:rsidR="00D12B6E" w:rsidRPr="003E7F6E" w:rsidRDefault="00D12B6E" w:rsidP="007E57F4">
            <w:pPr>
              <w:rPr>
                <w:iCs/>
              </w:rPr>
            </w:pPr>
            <w:r w:rsidRPr="003E7F6E">
              <w:rPr>
                <w:iCs/>
              </w:rPr>
              <w:t>1.</w:t>
            </w:r>
          </w:p>
        </w:tc>
        <w:tc>
          <w:tcPr>
            <w:tcW w:w="4110" w:type="dxa"/>
          </w:tcPr>
          <w:p w14:paraId="28657823" w14:textId="77777777" w:rsidR="00D12B6E" w:rsidRPr="003E7F6E" w:rsidRDefault="00D12B6E" w:rsidP="007E57F4">
            <w:pPr>
              <w:rPr>
                <w:iCs/>
              </w:rPr>
            </w:pPr>
            <w:r w:rsidRPr="003E7F6E">
              <w:rPr>
                <w:iCs/>
              </w:rPr>
              <w:t>Saistības pret Eiropas Savienību</w:t>
            </w:r>
          </w:p>
        </w:tc>
        <w:tc>
          <w:tcPr>
            <w:tcW w:w="4643" w:type="dxa"/>
          </w:tcPr>
          <w:p w14:paraId="28657824" w14:textId="0598BBE6" w:rsidR="00D12B6E" w:rsidRPr="003E7F6E" w:rsidRDefault="00D12B6E" w:rsidP="00975EAB">
            <w:pPr>
              <w:jc w:val="both"/>
              <w:rPr>
                <w:iCs/>
              </w:rPr>
            </w:pPr>
            <w:r w:rsidRPr="003E7F6E">
              <w:rPr>
                <w:iCs/>
              </w:rPr>
              <w:t xml:space="preserve">Eiropas Parlamenta un Padomes </w:t>
            </w:r>
            <w:r w:rsidR="003D496C" w:rsidRPr="003E7F6E">
              <w:rPr>
                <w:iCs/>
              </w:rPr>
              <w:t xml:space="preserve">2010.gada 20.oktobra </w:t>
            </w:r>
            <w:r w:rsidR="004359D1" w:rsidRPr="003E7F6E">
              <w:rPr>
                <w:iCs/>
              </w:rPr>
              <w:t>R</w:t>
            </w:r>
            <w:r w:rsidR="00975EAB" w:rsidRPr="003E7F6E">
              <w:rPr>
                <w:iCs/>
              </w:rPr>
              <w:t>egula</w:t>
            </w:r>
            <w:r w:rsidRPr="003E7F6E">
              <w:rPr>
                <w:iCs/>
              </w:rPr>
              <w:t xml:space="preserve"> Nr.995/2010</w:t>
            </w:r>
            <w:r w:rsidR="00101529" w:rsidRPr="003E7F6E">
              <w:rPr>
                <w:iCs/>
              </w:rPr>
              <w:t>,</w:t>
            </w:r>
            <w:r w:rsidRPr="003E7F6E">
              <w:rPr>
                <w:iCs/>
              </w:rPr>
              <w:t xml:space="preserve"> ar ko nosaka pienākumus tirgus dalībniekiem, kas laiž tirgū kokmateriālus un koka i</w:t>
            </w:r>
            <w:r w:rsidR="00707B28" w:rsidRPr="003E7F6E">
              <w:rPr>
                <w:iCs/>
              </w:rPr>
              <w:t>zstrādājumus</w:t>
            </w:r>
            <w:r w:rsidR="00975EAB" w:rsidRPr="003E7F6E">
              <w:rPr>
                <w:iCs/>
              </w:rPr>
              <w:t>.</w:t>
            </w:r>
          </w:p>
        </w:tc>
      </w:tr>
      <w:tr w:rsidR="00D12B6E" w:rsidRPr="003E7F6E" w14:paraId="28657829" w14:textId="77777777" w:rsidTr="00D12B6E">
        <w:tc>
          <w:tcPr>
            <w:tcW w:w="534" w:type="dxa"/>
          </w:tcPr>
          <w:p w14:paraId="28657826" w14:textId="77777777" w:rsidR="00D12B6E" w:rsidRPr="003E7F6E" w:rsidRDefault="00D12B6E" w:rsidP="007E57F4">
            <w:pPr>
              <w:rPr>
                <w:iCs/>
              </w:rPr>
            </w:pPr>
            <w:r w:rsidRPr="003E7F6E">
              <w:rPr>
                <w:iCs/>
              </w:rPr>
              <w:t>2.</w:t>
            </w:r>
          </w:p>
        </w:tc>
        <w:tc>
          <w:tcPr>
            <w:tcW w:w="4110" w:type="dxa"/>
          </w:tcPr>
          <w:p w14:paraId="28657827" w14:textId="77777777" w:rsidR="00D12B6E" w:rsidRPr="003E7F6E" w:rsidRDefault="00D12B6E" w:rsidP="007E57F4">
            <w:pPr>
              <w:rPr>
                <w:iCs/>
              </w:rPr>
            </w:pPr>
            <w:r w:rsidRPr="003E7F6E">
              <w:rPr>
                <w:iCs/>
              </w:rPr>
              <w:t>Citas starptautiskās saistības</w:t>
            </w:r>
          </w:p>
        </w:tc>
        <w:tc>
          <w:tcPr>
            <w:tcW w:w="4643" w:type="dxa"/>
          </w:tcPr>
          <w:p w14:paraId="28657828" w14:textId="10E13289" w:rsidR="00D12B6E" w:rsidRPr="003E7F6E" w:rsidRDefault="00D12B6E" w:rsidP="008504BE">
            <w:pPr>
              <w:jc w:val="both"/>
              <w:rPr>
                <w:iCs/>
              </w:rPr>
            </w:pPr>
            <w:r w:rsidRPr="003E7F6E">
              <w:rPr>
                <w:iCs/>
              </w:rPr>
              <w:t>Nav</w:t>
            </w:r>
            <w:r w:rsidR="00E14B65" w:rsidRPr="003E7F6E">
              <w:rPr>
                <w:iCs/>
              </w:rPr>
              <w:t>.</w:t>
            </w:r>
          </w:p>
        </w:tc>
      </w:tr>
      <w:tr w:rsidR="00D12B6E" w:rsidRPr="003E7F6E" w14:paraId="2865782D" w14:textId="77777777" w:rsidTr="00D12B6E">
        <w:tc>
          <w:tcPr>
            <w:tcW w:w="534" w:type="dxa"/>
          </w:tcPr>
          <w:p w14:paraId="2865782A" w14:textId="77777777" w:rsidR="00D12B6E" w:rsidRPr="003E7F6E" w:rsidRDefault="00D12B6E" w:rsidP="007E57F4">
            <w:pPr>
              <w:rPr>
                <w:iCs/>
              </w:rPr>
            </w:pPr>
            <w:r w:rsidRPr="003E7F6E">
              <w:rPr>
                <w:iCs/>
              </w:rPr>
              <w:t>3.</w:t>
            </w:r>
          </w:p>
        </w:tc>
        <w:tc>
          <w:tcPr>
            <w:tcW w:w="4110" w:type="dxa"/>
          </w:tcPr>
          <w:p w14:paraId="2865782B" w14:textId="77777777" w:rsidR="00D12B6E" w:rsidRPr="003E7F6E" w:rsidRDefault="00D12B6E" w:rsidP="007E57F4">
            <w:pPr>
              <w:rPr>
                <w:iCs/>
              </w:rPr>
            </w:pPr>
            <w:r w:rsidRPr="003E7F6E">
              <w:rPr>
                <w:iCs/>
              </w:rPr>
              <w:t>Cita informācija</w:t>
            </w:r>
          </w:p>
        </w:tc>
        <w:tc>
          <w:tcPr>
            <w:tcW w:w="4643" w:type="dxa"/>
          </w:tcPr>
          <w:p w14:paraId="2865782C" w14:textId="2A5C647F" w:rsidR="00D12B6E" w:rsidRPr="003E7F6E" w:rsidRDefault="00D12B6E" w:rsidP="007E57F4">
            <w:pPr>
              <w:rPr>
                <w:iCs/>
              </w:rPr>
            </w:pPr>
            <w:r w:rsidRPr="003E7F6E">
              <w:rPr>
                <w:iCs/>
              </w:rPr>
              <w:t>Nav</w:t>
            </w:r>
            <w:r w:rsidR="00E14B65" w:rsidRPr="003E7F6E">
              <w:rPr>
                <w:iCs/>
              </w:rPr>
              <w:t>.</w:t>
            </w:r>
          </w:p>
        </w:tc>
      </w:tr>
    </w:tbl>
    <w:p w14:paraId="2865782E" w14:textId="77777777" w:rsidR="001E125B" w:rsidRPr="00707B28" w:rsidRDefault="001E125B" w:rsidP="00D10F81">
      <w:pPr>
        <w:rPr>
          <w:i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707B28" w:rsidRPr="003E7F6E" w14:paraId="28657830" w14:textId="77777777" w:rsidTr="002D7EF7">
        <w:tc>
          <w:tcPr>
            <w:tcW w:w="9287" w:type="dxa"/>
            <w:gridSpan w:val="4"/>
          </w:tcPr>
          <w:p w14:paraId="2865782F" w14:textId="77777777" w:rsidR="00707B28" w:rsidRPr="003E7F6E" w:rsidRDefault="00707B28" w:rsidP="00D10F81">
            <w:pPr>
              <w:rPr>
                <w:iCs/>
              </w:rPr>
            </w:pPr>
            <w:r w:rsidRPr="003E7F6E">
              <w:rPr>
                <w:b/>
                <w:bCs/>
                <w:iCs/>
              </w:rPr>
              <w:t>1.tabula</w:t>
            </w:r>
            <w:r w:rsidRPr="003E7F6E">
              <w:rPr>
                <w:b/>
                <w:bCs/>
                <w:iCs/>
              </w:rPr>
              <w:br/>
              <w:t>Tiesību akta projekta atbilstība ES tiesību aktiem</w:t>
            </w:r>
          </w:p>
        </w:tc>
      </w:tr>
      <w:tr w:rsidR="00707B28" w:rsidRPr="003E7F6E" w14:paraId="28657833" w14:textId="77777777" w:rsidTr="00020010">
        <w:tc>
          <w:tcPr>
            <w:tcW w:w="2321" w:type="dxa"/>
          </w:tcPr>
          <w:p w14:paraId="28657831" w14:textId="77777777" w:rsidR="00707B28" w:rsidRPr="003E7F6E" w:rsidRDefault="00707B28" w:rsidP="00D10F81">
            <w:pPr>
              <w:rPr>
                <w:iCs/>
              </w:rPr>
            </w:pPr>
            <w:r w:rsidRPr="003E7F6E">
              <w:rPr>
                <w:iCs/>
              </w:rPr>
              <w:t>Attiecīgā ES tiesību akta datums, numurs un nosaukums</w:t>
            </w:r>
          </w:p>
        </w:tc>
        <w:tc>
          <w:tcPr>
            <w:tcW w:w="6966" w:type="dxa"/>
            <w:gridSpan w:val="3"/>
          </w:tcPr>
          <w:p w14:paraId="28657832" w14:textId="1CE045FD" w:rsidR="00707B28" w:rsidRPr="003E7F6E" w:rsidRDefault="00707B28" w:rsidP="008504BE">
            <w:pPr>
              <w:jc w:val="both"/>
              <w:rPr>
                <w:iCs/>
              </w:rPr>
            </w:pPr>
            <w:r w:rsidRPr="003E7F6E">
              <w:rPr>
                <w:iCs/>
              </w:rPr>
              <w:t xml:space="preserve">Eiropas Parlamenta un Padomes </w:t>
            </w:r>
            <w:r w:rsidR="00101529" w:rsidRPr="003E7F6E">
              <w:rPr>
                <w:iCs/>
              </w:rPr>
              <w:t xml:space="preserve">2010.gada 20.oktobra </w:t>
            </w:r>
            <w:r w:rsidR="000F63AE" w:rsidRPr="003E7F6E">
              <w:rPr>
                <w:iCs/>
              </w:rPr>
              <w:t>R</w:t>
            </w:r>
            <w:r w:rsidRPr="003E7F6E">
              <w:rPr>
                <w:iCs/>
              </w:rPr>
              <w:t>egula Nr.995/2010</w:t>
            </w:r>
            <w:r w:rsidR="00101529" w:rsidRPr="003E7F6E">
              <w:rPr>
                <w:iCs/>
              </w:rPr>
              <w:t>,</w:t>
            </w:r>
            <w:r w:rsidRPr="003E7F6E">
              <w:rPr>
                <w:iCs/>
              </w:rPr>
              <w:t xml:space="preserve"> ar ko nosaka pienākumus tirgus dalībniekiem, kas laiž tirgū kokmateriālus un koka izstrādājumus</w:t>
            </w:r>
            <w:r w:rsidR="006F3846" w:rsidRPr="003E7F6E">
              <w:rPr>
                <w:iCs/>
              </w:rPr>
              <w:t xml:space="preserve"> (turpmāk – Regula Nr.995/2010)</w:t>
            </w:r>
          </w:p>
        </w:tc>
      </w:tr>
      <w:tr w:rsidR="00707B28" w:rsidRPr="003E7F6E" w14:paraId="28657838" w14:textId="77777777" w:rsidTr="00707B28">
        <w:tc>
          <w:tcPr>
            <w:tcW w:w="2321" w:type="dxa"/>
          </w:tcPr>
          <w:p w14:paraId="28657834" w14:textId="77777777" w:rsidR="00707B28" w:rsidRPr="003E7F6E" w:rsidRDefault="00707B28" w:rsidP="00D10F81">
            <w:pPr>
              <w:rPr>
                <w:iCs/>
              </w:rPr>
            </w:pPr>
            <w:r w:rsidRPr="003E7F6E">
              <w:rPr>
                <w:iCs/>
              </w:rPr>
              <w:t>A</w:t>
            </w:r>
          </w:p>
        </w:tc>
        <w:tc>
          <w:tcPr>
            <w:tcW w:w="2322" w:type="dxa"/>
          </w:tcPr>
          <w:p w14:paraId="28657835" w14:textId="77777777" w:rsidR="00707B28" w:rsidRPr="003E7F6E" w:rsidRDefault="00707B28" w:rsidP="00D10F81">
            <w:pPr>
              <w:rPr>
                <w:iCs/>
              </w:rPr>
            </w:pPr>
            <w:r w:rsidRPr="003E7F6E">
              <w:rPr>
                <w:iCs/>
              </w:rPr>
              <w:t>B</w:t>
            </w:r>
          </w:p>
        </w:tc>
        <w:tc>
          <w:tcPr>
            <w:tcW w:w="2322" w:type="dxa"/>
          </w:tcPr>
          <w:p w14:paraId="28657836" w14:textId="77777777" w:rsidR="00707B28" w:rsidRPr="003E7F6E" w:rsidRDefault="00707B28" w:rsidP="00D10F81">
            <w:pPr>
              <w:rPr>
                <w:iCs/>
              </w:rPr>
            </w:pPr>
            <w:r w:rsidRPr="003E7F6E">
              <w:rPr>
                <w:iCs/>
              </w:rPr>
              <w:t>C</w:t>
            </w:r>
          </w:p>
        </w:tc>
        <w:tc>
          <w:tcPr>
            <w:tcW w:w="2322" w:type="dxa"/>
          </w:tcPr>
          <w:p w14:paraId="28657837" w14:textId="77777777" w:rsidR="00707B28" w:rsidRPr="003E7F6E" w:rsidRDefault="00707B28" w:rsidP="00D10F81">
            <w:pPr>
              <w:rPr>
                <w:iCs/>
              </w:rPr>
            </w:pPr>
            <w:r w:rsidRPr="003E7F6E">
              <w:rPr>
                <w:iCs/>
              </w:rPr>
              <w:t>D</w:t>
            </w:r>
          </w:p>
        </w:tc>
      </w:tr>
      <w:tr w:rsidR="00707B28" w:rsidRPr="003E7F6E" w14:paraId="28657841" w14:textId="77777777" w:rsidTr="00707B28">
        <w:tc>
          <w:tcPr>
            <w:tcW w:w="2321" w:type="dxa"/>
          </w:tcPr>
          <w:p w14:paraId="28657839" w14:textId="77777777" w:rsidR="00707B28" w:rsidRPr="003E7F6E" w:rsidRDefault="00707B28" w:rsidP="00D10F81">
            <w:pPr>
              <w:rPr>
                <w:iCs/>
              </w:rPr>
            </w:pPr>
            <w:r w:rsidRPr="003E7F6E">
              <w:rPr>
                <w:iCs/>
              </w:rPr>
              <w:lastRenderedPageBreak/>
              <w:t>Attiecīgā ES tiesību akta panta numurs (uzskaitot katru tiesību akta vienību – pantu, daļu, punktu, apakšpunktu)</w:t>
            </w:r>
          </w:p>
        </w:tc>
        <w:tc>
          <w:tcPr>
            <w:tcW w:w="2322" w:type="dxa"/>
          </w:tcPr>
          <w:p w14:paraId="2865783A" w14:textId="77777777" w:rsidR="00707B28" w:rsidRPr="003E7F6E" w:rsidRDefault="00707B28" w:rsidP="00D10F81">
            <w:pPr>
              <w:rPr>
                <w:iCs/>
              </w:rPr>
            </w:pPr>
            <w:r w:rsidRPr="003E7F6E">
              <w:rPr>
                <w:iCs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2322" w:type="dxa"/>
          </w:tcPr>
          <w:p w14:paraId="2865783B" w14:textId="77777777" w:rsidR="00707B28" w:rsidRPr="003E7F6E" w:rsidRDefault="00707B28" w:rsidP="00707B28">
            <w:pPr>
              <w:rPr>
                <w:iCs/>
              </w:rPr>
            </w:pPr>
            <w:r w:rsidRPr="003E7F6E">
              <w:rPr>
                <w:iCs/>
              </w:rPr>
              <w:t xml:space="preserve">Informācija par to, vai šīs tabulas A ailē minētās ES tiesību akta vienības tiek pārņemtas vai ieviestas pilnībā vai daļēji. </w:t>
            </w:r>
          </w:p>
          <w:p w14:paraId="2865783C" w14:textId="77777777" w:rsidR="00707B28" w:rsidRPr="003E7F6E" w:rsidRDefault="00707B28" w:rsidP="00707B28">
            <w:pPr>
              <w:rPr>
                <w:iCs/>
              </w:rPr>
            </w:pPr>
            <w:r w:rsidRPr="003E7F6E">
              <w:rPr>
                <w:iCs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2865783D" w14:textId="77777777" w:rsidR="00707B28" w:rsidRPr="003E7F6E" w:rsidRDefault="00707B28" w:rsidP="00707B28">
            <w:pPr>
              <w:rPr>
                <w:iCs/>
              </w:rPr>
            </w:pPr>
            <w:r w:rsidRPr="003E7F6E">
              <w:rPr>
                <w:iCs/>
              </w:rPr>
              <w:t>Norāda institūciju, kas ir atbildīga par šo saistību izpildi pilnībā</w:t>
            </w:r>
          </w:p>
        </w:tc>
        <w:tc>
          <w:tcPr>
            <w:tcW w:w="2322" w:type="dxa"/>
          </w:tcPr>
          <w:p w14:paraId="2865783E" w14:textId="77777777" w:rsidR="00707B28" w:rsidRPr="003E7F6E" w:rsidRDefault="00707B28" w:rsidP="00707B28">
            <w:pPr>
              <w:rPr>
                <w:iCs/>
              </w:rPr>
            </w:pPr>
            <w:r w:rsidRPr="003E7F6E">
              <w:rPr>
                <w:iCs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14:paraId="2865783F" w14:textId="77777777" w:rsidR="00707B28" w:rsidRPr="003E7F6E" w:rsidRDefault="00707B28" w:rsidP="00707B28">
            <w:pPr>
              <w:rPr>
                <w:iCs/>
              </w:rPr>
            </w:pPr>
            <w:r w:rsidRPr="003E7F6E">
              <w:rPr>
                <w:iCs/>
              </w:rPr>
              <w:t>Ja projekts satur stingrākas prasības nekā attiecīgais ES tiesību akts, norāda pamatojumu un samērīgumu.</w:t>
            </w:r>
          </w:p>
          <w:p w14:paraId="28657840" w14:textId="77777777" w:rsidR="00707B28" w:rsidRPr="003E7F6E" w:rsidRDefault="00707B28" w:rsidP="00707B28">
            <w:pPr>
              <w:rPr>
                <w:iCs/>
              </w:rPr>
            </w:pPr>
            <w:r w:rsidRPr="003E7F6E">
              <w:rPr>
                <w:iCs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707B28" w:rsidRPr="003E7F6E" w14:paraId="28657848" w14:textId="77777777" w:rsidTr="00707B28">
        <w:tc>
          <w:tcPr>
            <w:tcW w:w="2321" w:type="dxa"/>
          </w:tcPr>
          <w:p w14:paraId="28657842" w14:textId="3E94F853" w:rsidR="009F7058" w:rsidRPr="003E7F6E" w:rsidRDefault="00155B61" w:rsidP="009F7058">
            <w:pPr>
              <w:rPr>
                <w:iCs/>
              </w:rPr>
            </w:pPr>
            <w:r w:rsidRPr="003E7F6E">
              <w:rPr>
                <w:iCs/>
              </w:rPr>
              <w:t xml:space="preserve">Regulas Nr.995/2010 </w:t>
            </w:r>
            <w:r w:rsidR="00202717" w:rsidRPr="003E7F6E">
              <w:rPr>
                <w:iCs/>
              </w:rPr>
              <w:t xml:space="preserve">7. un </w:t>
            </w:r>
            <w:r w:rsidR="009F7058" w:rsidRPr="003E7F6E">
              <w:rPr>
                <w:iCs/>
              </w:rPr>
              <w:t>1</w:t>
            </w:r>
            <w:r w:rsidR="00B0454C" w:rsidRPr="003E7F6E">
              <w:rPr>
                <w:iCs/>
              </w:rPr>
              <w:t>0</w:t>
            </w:r>
            <w:r w:rsidR="002C3EC2" w:rsidRPr="003E7F6E">
              <w:rPr>
                <w:iCs/>
              </w:rPr>
              <w:t>.</w:t>
            </w:r>
            <w:r w:rsidR="009F7058" w:rsidRPr="003E7F6E">
              <w:rPr>
                <w:iCs/>
              </w:rPr>
              <w:t>pants</w:t>
            </w:r>
          </w:p>
          <w:p w14:paraId="28657843" w14:textId="77777777" w:rsidR="009F7058" w:rsidRPr="003E7F6E" w:rsidRDefault="009F7058" w:rsidP="00553300">
            <w:pPr>
              <w:rPr>
                <w:iCs/>
              </w:rPr>
            </w:pPr>
          </w:p>
        </w:tc>
        <w:tc>
          <w:tcPr>
            <w:tcW w:w="2322" w:type="dxa"/>
          </w:tcPr>
          <w:p w14:paraId="28657845" w14:textId="0CAAF218" w:rsidR="00707B28" w:rsidRPr="003E7F6E" w:rsidRDefault="000F63AE" w:rsidP="00B0454C">
            <w:pPr>
              <w:rPr>
                <w:iCs/>
              </w:rPr>
            </w:pPr>
            <w:r w:rsidRPr="003E7F6E">
              <w:rPr>
                <w:iCs/>
              </w:rPr>
              <w:t>Noteikumu p</w:t>
            </w:r>
            <w:r w:rsidR="00CD0286" w:rsidRPr="003E7F6E">
              <w:rPr>
                <w:iCs/>
              </w:rPr>
              <w:t>rojekta 1.,</w:t>
            </w:r>
            <w:r w:rsidRPr="003E7F6E">
              <w:rPr>
                <w:iCs/>
              </w:rPr>
              <w:t xml:space="preserve"> </w:t>
            </w:r>
            <w:r w:rsidR="00CD0286" w:rsidRPr="003E7F6E">
              <w:rPr>
                <w:iCs/>
              </w:rPr>
              <w:t>2. un 3. punkts</w:t>
            </w:r>
          </w:p>
        </w:tc>
        <w:tc>
          <w:tcPr>
            <w:tcW w:w="2322" w:type="dxa"/>
          </w:tcPr>
          <w:p w14:paraId="28657846" w14:textId="327CB015" w:rsidR="00707B28" w:rsidRPr="003E7F6E" w:rsidRDefault="007E7BC0" w:rsidP="00A972FE">
            <w:pPr>
              <w:rPr>
                <w:iCs/>
              </w:rPr>
            </w:pPr>
            <w:r w:rsidRPr="003E7F6E">
              <w:rPr>
                <w:iCs/>
              </w:rPr>
              <w:t>Šīs tabulas A ailē minētās ES tiesību akta vienības tiek ieviestas pilnībā.</w:t>
            </w:r>
          </w:p>
        </w:tc>
        <w:tc>
          <w:tcPr>
            <w:tcW w:w="2322" w:type="dxa"/>
          </w:tcPr>
          <w:p w14:paraId="28657847" w14:textId="0368E553" w:rsidR="009C7BAE" w:rsidRPr="003E7F6E" w:rsidRDefault="007E7BC0" w:rsidP="004359D1">
            <w:pPr>
              <w:rPr>
                <w:iCs/>
              </w:rPr>
            </w:pPr>
            <w:r w:rsidRPr="003E7F6E">
              <w:rPr>
                <w:iCs/>
              </w:rPr>
              <w:t>Šīs tabulas B ailē minētās projekta vienības neparedz stingrākas prasības nekā šīs tabulas A ailē minētās ES tiesību akta vienības.</w:t>
            </w:r>
          </w:p>
        </w:tc>
      </w:tr>
      <w:tr w:rsidR="00801EC4" w:rsidRPr="003E7F6E" w14:paraId="2865784B" w14:textId="77777777" w:rsidTr="0076150C">
        <w:tc>
          <w:tcPr>
            <w:tcW w:w="2321" w:type="dxa"/>
          </w:tcPr>
          <w:p w14:paraId="28657849" w14:textId="77777777" w:rsidR="00801EC4" w:rsidRPr="003E7F6E" w:rsidRDefault="00801EC4" w:rsidP="00D10F81">
            <w:pPr>
              <w:rPr>
                <w:iCs/>
              </w:rPr>
            </w:pPr>
            <w:r w:rsidRPr="003E7F6E">
              <w:rPr>
                <w:iCs/>
              </w:rPr>
              <w:t>Kā ir izmantota ES tiesību aktā paredzētā rīcības brīvība dalībvalstij pārņemt vai ieviest noteiktas ES tiesību akta normas?</w:t>
            </w:r>
            <w:r w:rsidRPr="003E7F6E">
              <w:rPr>
                <w:iCs/>
              </w:rPr>
              <w:br/>
              <w:t>Kādēļ?</w:t>
            </w:r>
          </w:p>
        </w:tc>
        <w:tc>
          <w:tcPr>
            <w:tcW w:w="6966" w:type="dxa"/>
            <w:gridSpan w:val="3"/>
          </w:tcPr>
          <w:p w14:paraId="2865784A" w14:textId="498962BE" w:rsidR="00801EC4" w:rsidRPr="003E7F6E" w:rsidRDefault="007469CB" w:rsidP="004359D1">
            <w:pPr>
              <w:jc w:val="both"/>
              <w:rPr>
                <w:iCs/>
              </w:rPr>
            </w:pPr>
            <w:r w:rsidRPr="003E7F6E">
              <w:rPr>
                <w:iCs/>
              </w:rPr>
              <w:t>P</w:t>
            </w:r>
            <w:r w:rsidR="00ED5A61" w:rsidRPr="003E7F6E">
              <w:rPr>
                <w:iCs/>
              </w:rPr>
              <w:t>rojekts šo jomu neskar.</w:t>
            </w:r>
          </w:p>
        </w:tc>
      </w:tr>
      <w:tr w:rsidR="00801EC4" w:rsidRPr="003E7F6E" w14:paraId="2865784E" w14:textId="77777777" w:rsidTr="003C052D">
        <w:tc>
          <w:tcPr>
            <w:tcW w:w="2321" w:type="dxa"/>
          </w:tcPr>
          <w:p w14:paraId="2865784C" w14:textId="77777777" w:rsidR="00801EC4" w:rsidRPr="003E7F6E" w:rsidRDefault="00801EC4" w:rsidP="00D10F81">
            <w:pPr>
              <w:rPr>
                <w:iCs/>
              </w:rPr>
            </w:pPr>
            <w:r w:rsidRPr="003E7F6E">
              <w:rPr>
                <w:iCs/>
              </w:rPr>
              <w:t xml:space="preserve">Saistības sniegt paziņojumu ES institūcijām un ES dalībvalstīm atbilstoši normatīvajiem aktiem, kas regulē informācijas sniegšanu par tehnisko noteikumu, </w:t>
            </w:r>
            <w:r w:rsidRPr="003E7F6E">
              <w:rPr>
                <w:iCs/>
              </w:rPr>
              <w:lastRenderedPageBreak/>
              <w:t>valsts atbalsta piešķiršanas un finanšu noteikumu (attiecībā uz monetāro politiku) projektiem</w:t>
            </w:r>
          </w:p>
        </w:tc>
        <w:tc>
          <w:tcPr>
            <w:tcW w:w="6966" w:type="dxa"/>
            <w:gridSpan w:val="3"/>
          </w:tcPr>
          <w:p w14:paraId="2865784D" w14:textId="4AF50DB2" w:rsidR="00801EC4" w:rsidRPr="003E7F6E" w:rsidRDefault="007469CB" w:rsidP="00553300">
            <w:pPr>
              <w:rPr>
                <w:iCs/>
              </w:rPr>
            </w:pPr>
            <w:r w:rsidRPr="003E7F6E">
              <w:rPr>
                <w:iCs/>
              </w:rPr>
              <w:lastRenderedPageBreak/>
              <w:t>P</w:t>
            </w:r>
            <w:r w:rsidR="00553300" w:rsidRPr="003E7F6E">
              <w:rPr>
                <w:iCs/>
              </w:rPr>
              <w:t>rojekts šo jomu neskar.</w:t>
            </w:r>
          </w:p>
        </w:tc>
      </w:tr>
      <w:tr w:rsidR="00801EC4" w:rsidRPr="003E7F6E" w14:paraId="28657852" w14:textId="77777777" w:rsidTr="00F71428">
        <w:tc>
          <w:tcPr>
            <w:tcW w:w="2321" w:type="dxa"/>
          </w:tcPr>
          <w:p w14:paraId="2865784F" w14:textId="77777777" w:rsidR="00801EC4" w:rsidRPr="003E7F6E" w:rsidRDefault="00801EC4" w:rsidP="002D18AB">
            <w:pPr>
              <w:jc w:val="both"/>
              <w:rPr>
                <w:iCs/>
              </w:rPr>
            </w:pPr>
            <w:r w:rsidRPr="003E7F6E">
              <w:rPr>
                <w:iCs/>
              </w:rPr>
              <w:lastRenderedPageBreak/>
              <w:t>Cita informācija</w:t>
            </w:r>
          </w:p>
        </w:tc>
        <w:tc>
          <w:tcPr>
            <w:tcW w:w="6966" w:type="dxa"/>
            <w:gridSpan w:val="3"/>
          </w:tcPr>
          <w:p w14:paraId="28657851" w14:textId="0492DAD1" w:rsidR="00553300" w:rsidRPr="003E7F6E" w:rsidRDefault="00E14B65" w:rsidP="002D18AB">
            <w:pPr>
              <w:jc w:val="both"/>
              <w:rPr>
                <w:iCs/>
              </w:rPr>
            </w:pPr>
            <w:r w:rsidRPr="003E7F6E">
              <w:rPr>
                <w:iCs/>
              </w:rPr>
              <w:t>Nav</w:t>
            </w:r>
            <w:r w:rsidR="00ED5A61" w:rsidRPr="003E7F6E">
              <w:rPr>
                <w:iCs/>
              </w:rPr>
              <w:t>.</w:t>
            </w:r>
          </w:p>
        </w:tc>
      </w:tr>
    </w:tbl>
    <w:p w14:paraId="28657853" w14:textId="77777777" w:rsidR="00707B28" w:rsidRDefault="00707B28" w:rsidP="002D18AB">
      <w:pPr>
        <w:jc w:val="both"/>
        <w:rPr>
          <w:iCs/>
          <w:sz w:val="28"/>
          <w:szCs w:val="28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02"/>
        <w:gridCol w:w="5520"/>
      </w:tblGrid>
      <w:tr w:rsidR="00F20318" w:rsidRPr="003E7F6E" w14:paraId="0E698718" w14:textId="77777777" w:rsidTr="00E17C18">
        <w:trPr>
          <w:jc w:val="center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50C" w14:textId="77777777" w:rsidR="00F20318" w:rsidRPr="003E7F6E" w:rsidRDefault="00F20318" w:rsidP="00E17C18">
            <w:pPr>
              <w:ind w:left="57" w:right="57"/>
              <w:jc w:val="center"/>
              <w:rPr>
                <w:b/>
                <w:bCs/>
              </w:rPr>
            </w:pPr>
            <w:r w:rsidRPr="003E7F6E">
              <w:rPr>
                <w:b/>
                <w:bCs/>
              </w:rPr>
              <w:t>VI. Sabiedrības līdzdalība un komunikācijas aktivitātes</w:t>
            </w:r>
          </w:p>
        </w:tc>
      </w:tr>
      <w:tr w:rsidR="000C7C0B" w:rsidRPr="003E7F6E" w14:paraId="5A4EAC00" w14:textId="77777777" w:rsidTr="000C7C0B">
        <w:trPr>
          <w:trHeight w:val="553"/>
          <w:jc w:val="center"/>
        </w:trPr>
        <w:tc>
          <w:tcPr>
            <w:tcW w:w="420" w:type="dxa"/>
          </w:tcPr>
          <w:p w14:paraId="43F4A5D6" w14:textId="28C85D7C" w:rsidR="000C7C0B" w:rsidRPr="003E7F6E" w:rsidRDefault="000C7C0B" w:rsidP="00E17C18">
            <w:pPr>
              <w:tabs>
                <w:tab w:val="left" w:pos="170"/>
              </w:tabs>
              <w:ind w:left="57" w:right="57"/>
            </w:pPr>
            <w:r w:rsidRPr="003E7F6E">
              <w:t xml:space="preserve">1. </w:t>
            </w:r>
          </w:p>
        </w:tc>
        <w:tc>
          <w:tcPr>
            <w:tcW w:w="3402" w:type="dxa"/>
          </w:tcPr>
          <w:p w14:paraId="01704D02" w14:textId="74DA8E23" w:rsidR="000C7C0B" w:rsidRPr="003E7F6E" w:rsidRDefault="000C7C0B" w:rsidP="00E17C18">
            <w:pPr>
              <w:tabs>
                <w:tab w:val="left" w:pos="170"/>
              </w:tabs>
              <w:ind w:left="57" w:right="57"/>
            </w:pPr>
            <w:r w:rsidRPr="003E7F6E">
              <w:t xml:space="preserve">Plānotās sabiedrības līdzdalības un komunikācijas aktivitātes saistībā ar projektu </w:t>
            </w:r>
          </w:p>
        </w:tc>
        <w:tc>
          <w:tcPr>
            <w:tcW w:w="5520" w:type="dxa"/>
          </w:tcPr>
          <w:p w14:paraId="4C46FC6C" w14:textId="11DEDA2E" w:rsidR="000C7C0B" w:rsidRPr="003E7F6E" w:rsidRDefault="000C7C0B" w:rsidP="000F63AE">
            <w:pPr>
              <w:jc w:val="both"/>
            </w:pPr>
            <w:r w:rsidRPr="003E7F6E">
              <w:t xml:space="preserve">Noteikumu projekts un sākotnējās ietekmes novērtējuma ziņojums (anotācija) tika nodoti sabiedriskai apspriešanai, </w:t>
            </w:r>
            <w:r w:rsidR="000F63AE" w:rsidRPr="003E7F6E">
              <w:t xml:space="preserve">tos </w:t>
            </w:r>
            <w:r w:rsidRPr="003E7F6E">
              <w:t xml:space="preserve">ievietojot Zemkopības ministrijas </w:t>
            </w:r>
            <w:r w:rsidR="000F63AE" w:rsidRPr="003E7F6E">
              <w:t>tīmekļa vietnē</w:t>
            </w:r>
            <w:r w:rsidRPr="003E7F6E">
              <w:t>.</w:t>
            </w:r>
          </w:p>
        </w:tc>
      </w:tr>
      <w:tr w:rsidR="000C7C0B" w:rsidRPr="003E7F6E" w14:paraId="1A23244B" w14:textId="77777777" w:rsidTr="000C7C0B">
        <w:trPr>
          <w:trHeight w:val="339"/>
          <w:jc w:val="center"/>
        </w:trPr>
        <w:tc>
          <w:tcPr>
            <w:tcW w:w="420" w:type="dxa"/>
          </w:tcPr>
          <w:p w14:paraId="6CE471AF" w14:textId="536566E8" w:rsidR="000C7C0B" w:rsidRPr="003E7F6E" w:rsidRDefault="000C7C0B" w:rsidP="00E17C18">
            <w:pPr>
              <w:ind w:left="57" w:right="57"/>
            </w:pPr>
            <w:r w:rsidRPr="003E7F6E">
              <w:t>2.</w:t>
            </w:r>
          </w:p>
        </w:tc>
        <w:tc>
          <w:tcPr>
            <w:tcW w:w="3402" w:type="dxa"/>
          </w:tcPr>
          <w:p w14:paraId="17296F78" w14:textId="7F8BBB83" w:rsidR="000C7C0B" w:rsidRPr="003E7F6E" w:rsidRDefault="000C7C0B" w:rsidP="00E17C18">
            <w:pPr>
              <w:ind w:left="57" w:right="57"/>
            </w:pPr>
            <w:r w:rsidRPr="003E7F6E">
              <w:t xml:space="preserve">Sabiedrības līdzdalība projekta izstrādē </w:t>
            </w:r>
          </w:p>
        </w:tc>
        <w:tc>
          <w:tcPr>
            <w:tcW w:w="5520" w:type="dxa"/>
          </w:tcPr>
          <w:p w14:paraId="2BA5FE8D" w14:textId="4B2EEA7C" w:rsidR="000C7C0B" w:rsidRPr="003E7F6E" w:rsidRDefault="000D3BEC" w:rsidP="00E17C18">
            <w:pPr>
              <w:jc w:val="both"/>
            </w:pPr>
            <w:r w:rsidRPr="003E7F6E">
              <w:t>P</w:t>
            </w:r>
            <w:r w:rsidR="000C7C0B" w:rsidRPr="003E7F6E">
              <w:t>rojekts šo jomu neskar.</w:t>
            </w:r>
          </w:p>
        </w:tc>
      </w:tr>
      <w:tr w:rsidR="000C7C0B" w:rsidRPr="003E7F6E" w14:paraId="5169B30D" w14:textId="77777777" w:rsidTr="000C7C0B">
        <w:trPr>
          <w:trHeight w:val="375"/>
          <w:jc w:val="center"/>
        </w:trPr>
        <w:tc>
          <w:tcPr>
            <w:tcW w:w="420" w:type="dxa"/>
          </w:tcPr>
          <w:p w14:paraId="4E1DADF1" w14:textId="58502220" w:rsidR="000C7C0B" w:rsidRPr="003E7F6E" w:rsidRDefault="000C7C0B" w:rsidP="00E17C18">
            <w:pPr>
              <w:ind w:left="57" w:right="57"/>
            </w:pPr>
            <w:r w:rsidRPr="003E7F6E">
              <w:t>3.</w:t>
            </w:r>
          </w:p>
        </w:tc>
        <w:tc>
          <w:tcPr>
            <w:tcW w:w="3402" w:type="dxa"/>
          </w:tcPr>
          <w:p w14:paraId="51340625" w14:textId="2EA598E3" w:rsidR="000C7C0B" w:rsidRPr="003E7F6E" w:rsidRDefault="000C7C0B" w:rsidP="00E17C18">
            <w:pPr>
              <w:ind w:left="57" w:right="57"/>
            </w:pPr>
            <w:r w:rsidRPr="003E7F6E">
              <w:t xml:space="preserve">Sabiedrības līdzdalības rezultāti </w:t>
            </w:r>
          </w:p>
        </w:tc>
        <w:tc>
          <w:tcPr>
            <w:tcW w:w="5520" w:type="dxa"/>
          </w:tcPr>
          <w:p w14:paraId="53DC9C6C" w14:textId="79D6911C" w:rsidR="000C7C0B" w:rsidRPr="003E7F6E" w:rsidRDefault="000C7C0B" w:rsidP="004C63AA">
            <w:pPr>
              <w:jc w:val="both"/>
            </w:pPr>
            <w:r w:rsidRPr="003E7F6E">
              <w:t>Sabiedriskās apspriešanas laikā komentāri netika saņemti.</w:t>
            </w:r>
          </w:p>
        </w:tc>
      </w:tr>
      <w:tr w:rsidR="000C7C0B" w:rsidRPr="003E7F6E" w14:paraId="6065113F" w14:textId="77777777" w:rsidTr="000C7C0B">
        <w:trPr>
          <w:trHeight w:val="476"/>
          <w:jc w:val="center"/>
        </w:trPr>
        <w:tc>
          <w:tcPr>
            <w:tcW w:w="420" w:type="dxa"/>
          </w:tcPr>
          <w:p w14:paraId="59BDC2C2" w14:textId="012DA4E2" w:rsidR="000C7C0B" w:rsidRPr="003E7F6E" w:rsidRDefault="000C7C0B" w:rsidP="00E17C18">
            <w:pPr>
              <w:ind w:left="57" w:right="57"/>
            </w:pPr>
            <w:r w:rsidRPr="003E7F6E">
              <w:t>4.</w:t>
            </w:r>
          </w:p>
        </w:tc>
        <w:tc>
          <w:tcPr>
            <w:tcW w:w="3402" w:type="dxa"/>
          </w:tcPr>
          <w:p w14:paraId="234294BF" w14:textId="21E6FF87" w:rsidR="000C7C0B" w:rsidRPr="003E7F6E" w:rsidRDefault="000C7C0B" w:rsidP="00E17C18">
            <w:pPr>
              <w:ind w:left="57" w:right="57"/>
            </w:pPr>
            <w:r w:rsidRPr="003E7F6E">
              <w:t>Cita informācija</w:t>
            </w:r>
          </w:p>
        </w:tc>
        <w:tc>
          <w:tcPr>
            <w:tcW w:w="5520" w:type="dxa"/>
          </w:tcPr>
          <w:p w14:paraId="4C51277F" w14:textId="77777777" w:rsidR="000C7C0B" w:rsidRPr="003E7F6E" w:rsidRDefault="000C7C0B" w:rsidP="00E17C18">
            <w:pPr>
              <w:jc w:val="both"/>
            </w:pPr>
            <w:r w:rsidRPr="003E7F6E">
              <w:t>Nav.</w:t>
            </w:r>
          </w:p>
        </w:tc>
      </w:tr>
    </w:tbl>
    <w:p w14:paraId="28657864" w14:textId="194EE0F1" w:rsidR="00801EC4" w:rsidRPr="00801EC4" w:rsidRDefault="00801EC4" w:rsidP="001E125B">
      <w:pPr>
        <w:rPr>
          <w:i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76"/>
      </w:tblGrid>
      <w:tr w:rsidR="00801EC4" w:rsidRPr="003E7F6E" w14:paraId="28657866" w14:textId="77777777" w:rsidTr="00500329">
        <w:tc>
          <w:tcPr>
            <w:tcW w:w="9287" w:type="dxa"/>
            <w:gridSpan w:val="3"/>
          </w:tcPr>
          <w:p w14:paraId="28657865" w14:textId="77777777" w:rsidR="00801EC4" w:rsidRPr="003E7F6E" w:rsidRDefault="00801EC4" w:rsidP="002D18AB">
            <w:pPr>
              <w:jc w:val="center"/>
              <w:rPr>
                <w:b/>
                <w:iCs/>
              </w:rPr>
            </w:pPr>
            <w:r w:rsidRPr="003E7F6E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801EC4" w:rsidRPr="003E7F6E" w14:paraId="2865786A" w14:textId="77777777" w:rsidTr="00801EC4">
        <w:tc>
          <w:tcPr>
            <w:tcW w:w="675" w:type="dxa"/>
          </w:tcPr>
          <w:p w14:paraId="28657867" w14:textId="77777777" w:rsidR="00801EC4" w:rsidRPr="003E7F6E" w:rsidRDefault="00801EC4" w:rsidP="001E125B">
            <w:pPr>
              <w:rPr>
                <w:iCs/>
              </w:rPr>
            </w:pPr>
            <w:r w:rsidRPr="003E7F6E">
              <w:rPr>
                <w:iCs/>
              </w:rPr>
              <w:t>1.</w:t>
            </w:r>
          </w:p>
        </w:tc>
        <w:tc>
          <w:tcPr>
            <w:tcW w:w="4536" w:type="dxa"/>
          </w:tcPr>
          <w:p w14:paraId="28657868" w14:textId="77777777" w:rsidR="00801EC4" w:rsidRPr="003E7F6E" w:rsidRDefault="00801EC4" w:rsidP="001E125B">
            <w:pPr>
              <w:rPr>
                <w:iCs/>
              </w:rPr>
            </w:pPr>
            <w:r w:rsidRPr="003E7F6E">
              <w:rPr>
                <w:iCs/>
              </w:rPr>
              <w:t>Projekta izpildē iesaistītās institūcijas</w:t>
            </w:r>
          </w:p>
        </w:tc>
        <w:tc>
          <w:tcPr>
            <w:tcW w:w="4076" w:type="dxa"/>
          </w:tcPr>
          <w:p w14:paraId="28657869" w14:textId="77777777" w:rsidR="00801EC4" w:rsidRPr="003E7F6E" w:rsidRDefault="00801EC4" w:rsidP="001E125B">
            <w:pPr>
              <w:rPr>
                <w:iCs/>
              </w:rPr>
            </w:pPr>
            <w:r w:rsidRPr="003E7F6E">
              <w:rPr>
                <w:iCs/>
              </w:rPr>
              <w:t>Valsts meža dienests</w:t>
            </w:r>
          </w:p>
        </w:tc>
      </w:tr>
      <w:tr w:rsidR="00801EC4" w:rsidRPr="003E7F6E" w14:paraId="2865786F" w14:textId="77777777" w:rsidTr="00801EC4">
        <w:tc>
          <w:tcPr>
            <w:tcW w:w="675" w:type="dxa"/>
          </w:tcPr>
          <w:p w14:paraId="2865786B" w14:textId="77777777" w:rsidR="00801EC4" w:rsidRPr="003E7F6E" w:rsidRDefault="00801EC4" w:rsidP="001E125B">
            <w:pPr>
              <w:rPr>
                <w:iCs/>
              </w:rPr>
            </w:pPr>
            <w:r w:rsidRPr="003E7F6E">
              <w:rPr>
                <w:iCs/>
              </w:rPr>
              <w:t>2.</w:t>
            </w:r>
          </w:p>
        </w:tc>
        <w:tc>
          <w:tcPr>
            <w:tcW w:w="4536" w:type="dxa"/>
          </w:tcPr>
          <w:p w14:paraId="2865786C" w14:textId="77777777" w:rsidR="00801EC4" w:rsidRPr="003E7F6E" w:rsidRDefault="00801EC4" w:rsidP="002D18AB">
            <w:pPr>
              <w:jc w:val="both"/>
              <w:rPr>
                <w:iCs/>
              </w:rPr>
            </w:pPr>
            <w:r w:rsidRPr="003E7F6E">
              <w:rPr>
                <w:iCs/>
              </w:rPr>
              <w:t xml:space="preserve">Projekta izpildes ietekme uz pārvaldes funkcijām un institucionālo struktūru. </w:t>
            </w:r>
          </w:p>
          <w:p w14:paraId="2865786D" w14:textId="77777777" w:rsidR="00801EC4" w:rsidRPr="003E7F6E" w:rsidRDefault="00801EC4" w:rsidP="002D18AB">
            <w:pPr>
              <w:jc w:val="both"/>
              <w:rPr>
                <w:iCs/>
              </w:rPr>
            </w:pPr>
            <w:r w:rsidRPr="003E7F6E">
              <w:rPr>
                <w:iCs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076" w:type="dxa"/>
          </w:tcPr>
          <w:p w14:paraId="2865786E" w14:textId="512763AC" w:rsidR="00DB1C14" w:rsidRPr="003E7F6E" w:rsidRDefault="00801EC4" w:rsidP="000B5DF3">
            <w:pPr>
              <w:jc w:val="both"/>
              <w:rPr>
                <w:iCs/>
              </w:rPr>
            </w:pPr>
            <w:r w:rsidRPr="003E7F6E">
              <w:rPr>
                <w:iCs/>
              </w:rPr>
              <w:t xml:space="preserve">Valsts meža dienests ir kompetentā iestāde regulas izpratnē. </w:t>
            </w:r>
            <w:r w:rsidR="000B5DF3" w:rsidRPr="003E7F6E">
              <w:rPr>
                <w:iCs/>
              </w:rPr>
              <w:t xml:space="preserve">Ar sagatavotajiem noteikumu grozījumiem Valsts meža dienesta </w:t>
            </w:r>
            <w:r w:rsidR="00364AC8" w:rsidRPr="003E7F6E">
              <w:rPr>
                <w:iCs/>
              </w:rPr>
              <w:t xml:space="preserve">funkcijas un </w:t>
            </w:r>
            <w:r w:rsidR="000B5DF3" w:rsidRPr="003E7F6E">
              <w:rPr>
                <w:iCs/>
              </w:rPr>
              <w:t>uzdevumi tiek paplašināti</w:t>
            </w:r>
            <w:r w:rsidR="00364AC8" w:rsidRPr="003E7F6E">
              <w:rPr>
                <w:iCs/>
              </w:rPr>
              <w:t>.</w:t>
            </w:r>
            <w:r w:rsidRPr="003E7F6E">
              <w:rPr>
                <w:iCs/>
              </w:rPr>
              <w:t xml:space="preserve"> </w:t>
            </w:r>
            <w:r w:rsidR="00AD064A" w:rsidRPr="003E7F6E">
              <w:rPr>
                <w:iCs/>
              </w:rPr>
              <w:t>Valst</w:t>
            </w:r>
            <w:r w:rsidR="000B5DF3" w:rsidRPr="003E7F6E">
              <w:rPr>
                <w:iCs/>
              </w:rPr>
              <w:t xml:space="preserve">s meža dienestā </w:t>
            </w:r>
            <w:r w:rsidR="00AD064A" w:rsidRPr="003E7F6E">
              <w:rPr>
                <w:iCs/>
              </w:rPr>
              <w:t xml:space="preserve">ir izveidota papildu </w:t>
            </w:r>
            <w:r w:rsidR="004359D1" w:rsidRPr="003E7F6E">
              <w:rPr>
                <w:iCs/>
              </w:rPr>
              <w:t>amata</w:t>
            </w:r>
            <w:r w:rsidR="00364AC8" w:rsidRPr="003E7F6E">
              <w:rPr>
                <w:iCs/>
              </w:rPr>
              <w:t xml:space="preserve"> vieta</w:t>
            </w:r>
            <w:r w:rsidR="000B5DF3" w:rsidRPr="003E7F6E">
              <w:rPr>
                <w:iCs/>
              </w:rPr>
              <w:t xml:space="preserve"> doto </w:t>
            </w:r>
            <w:r w:rsidR="00364AC8" w:rsidRPr="003E7F6E">
              <w:rPr>
                <w:iCs/>
              </w:rPr>
              <w:t xml:space="preserve">funkciju un </w:t>
            </w:r>
            <w:r w:rsidR="000B5DF3" w:rsidRPr="003E7F6E">
              <w:rPr>
                <w:iCs/>
              </w:rPr>
              <w:t>uzdevumu</w:t>
            </w:r>
            <w:r w:rsidR="00AD064A" w:rsidRPr="003E7F6E">
              <w:rPr>
                <w:iCs/>
              </w:rPr>
              <w:t xml:space="preserve"> izpildei.</w:t>
            </w:r>
          </w:p>
        </w:tc>
      </w:tr>
      <w:tr w:rsidR="00801EC4" w:rsidRPr="003E7F6E" w14:paraId="28657873" w14:textId="77777777" w:rsidTr="00801EC4">
        <w:tc>
          <w:tcPr>
            <w:tcW w:w="675" w:type="dxa"/>
          </w:tcPr>
          <w:p w14:paraId="28657870" w14:textId="77777777" w:rsidR="00801EC4" w:rsidRPr="003E7F6E" w:rsidRDefault="00801EC4" w:rsidP="001E125B">
            <w:pPr>
              <w:rPr>
                <w:iCs/>
              </w:rPr>
            </w:pPr>
            <w:r w:rsidRPr="003E7F6E">
              <w:rPr>
                <w:iCs/>
              </w:rPr>
              <w:t>3.</w:t>
            </w:r>
          </w:p>
        </w:tc>
        <w:tc>
          <w:tcPr>
            <w:tcW w:w="4536" w:type="dxa"/>
          </w:tcPr>
          <w:p w14:paraId="28657871" w14:textId="77777777" w:rsidR="00801EC4" w:rsidRPr="003E7F6E" w:rsidRDefault="00801EC4" w:rsidP="001E125B">
            <w:pPr>
              <w:rPr>
                <w:iCs/>
              </w:rPr>
            </w:pPr>
            <w:r w:rsidRPr="003E7F6E">
              <w:rPr>
                <w:iCs/>
              </w:rPr>
              <w:t>Cita informācija</w:t>
            </w:r>
          </w:p>
        </w:tc>
        <w:tc>
          <w:tcPr>
            <w:tcW w:w="4076" w:type="dxa"/>
          </w:tcPr>
          <w:p w14:paraId="28657872" w14:textId="3B27D6DF" w:rsidR="00801EC4" w:rsidRPr="003E7F6E" w:rsidRDefault="00AD064A" w:rsidP="001E125B">
            <w:pPr>
              <w:rPr>
                <w:iCs/>
              </w:rPr>
            </w:pPr>
            <w:r w:rsidRPr="003E7F6E">
              <w:rPr>
                <w:iCs/>
              </w:rPr>
              <w:t>Nav</w:t>
            </w:r>
            <w:r w:rsidR="001763ED" w:rsidRPr="003E7F6E">
              <w:rPr>
                <w:iCs/>
              </w:rPr>
              <w:t>.</w:t>
            </w:r>
          </w:p>
        </w:tc>
      </w:tr>
    </w:tbl>
    <w:p w14:paraId="28657874" w14:textId="77777777" w:rsidR="001E125B" w:rsidRPr="00801EC4" w:rsidRDefault="001E125B" w:rsidP="00D10F81">
      <w:pPr>
        <w:rPr>
          <w:iCs/>
          <w:sz w:val="28"/>
          <w:szCs w:val="28"/>
        </w:rPr>
      </w:pPr>
    </w:p>
    <w:p w14:paraId="28657875" w14:textId="77777777" w:rsidR="007518F5" w:rsidRDefault="007518F5" w:rsidP="00D10F81">
      <w:pPr>
        <w:rPr>
          <w:sz w:val="28"/>
          <w:szCs w:val="28"/>
        </w:rPr>
      </w:pPr>
    </w:p>
    <w:p w14:paraId="43B9BAE0" w14:textId="6EEB1322" w:rsidR="007C6349" w:rsidRPr="003E7F6E" w:rsidRDefault="007C6349" w:rsidP="007C6349">
      <w:pPr>
        <w:ind w:firstLine="720"/>
      </w:pPr>
      <w:bookmarkStart w:id="2" w:name="_GoBack"/>
      <w:r w:rsidRPr="003E7F6E">
        <w:t xml:space="preserve">Zemkopības ministra </w:t>
      </w:r>
      <w:r w:rsidR="003E7F6E" w:rsidRPr="003E7F6E">
        <w:t>p.i.</w:t>
      </w:r>
      <w:r w:rsidRPr="003E7F6E">
        <w:t xml:space="preserve"> – </w:t>
      </w:r>
    </w:p>
    <w:p w14:paraId="4742FD83" w14:textId="6A8BAD4B" w:rsidR="007C6349" w:rsidRPr="003E7F6E" w:rsidRDefault="003E7F6E" w:rsidP="007C6349">
      <w:pPr>
        <w:ind w:firstLine="720"/>
      </w:pPr>
      <w:r w:rsidRPr="003E7F6E">
        <w:t>veselības ministrs</w:t>
      </w:r>
      <w:r w:rsidRPr="003E7F6E">
        <w:tab/>
      </w:r>
      <w:r w:rsidRPr="003E7F6E">
        <w:tab/>
      </w:r>
      <w:r w:rsidRPr="003E7F6E">
        <w:tab/>
      </w:r>
      <w:r w:rsidRPr="003E7F6E">
        <w:tab/>
      </w:r>
      <w:r w:rsidRPr="003E7F6E">
        <w:tab/>
      </w:r>
      <w:r w:rsidRPr="003E7F6E">
        <w:tab/>
      </w:r>
      <w:r w:rsidRPr="003E7F6E">
        <w:tab/>
      </w:r>
      <w:r w:rsidR="007C6349" w:rsidRPr="003E7F6E">
        <w:t>G.Belēvičs</w:t>
      </w:r>
    </w:p>
    <w:bookmarkEnd w:id="2"/>
    <w:p w14:paraId="28657877" w14:textId="77777777" w:rsidR="008F03CF" w:rsidRPr="003D2A75" w:rsidRDefault="008F03CF" w:rsidP="008C0C16">
      <w:pPr>
        <w:ind w:firstLine="709"/>
        <w:jc w:val="both"/>
        <w:rPr>
          <w:sz w:val="28"/>
          <w:szCs w:val="28"/>
        </w:rPr>
      </w:pPr>
    </w:p>
    <w:p w14:paraId="28657878" w14:textId="77777777" w:rsidR="008F03CF" w:rsidRDefault="008F03CF" w:rsidP="008C0C16">
      <w:pPr>
        <w:rPr>
          <w:sz w:val="20"/>
          <w:szCs w:val="20"/>
        </w:rPr>
      </w:pPr>
    </w:p>
    <w:p w14:paraId="28657879" w14:textId="77777777" w:rsidR="008F03CF" w:rsidRDefault="008F03CF" w:rsidP="008C0C16">
      <w:pPr>
        <w:rPr>
          <w:sz w:val="20"/>
          <w:szCs w:val="20"/>
        </w:rPr>
      </w:pPr>
    </w:p>
    <w:p w14:paraId="28657884" w14:textId="77777777" w:rsidR="00877DFC" w:rsidRDefault="00877DFC" w:rsidP="008C0C16">
      <w:pPr>
        <w:rPr>
          <w:sz w:val="20"/>
          <w:szCs w:val="20"/>
        </w:rPr>
      </w:pPr>
    </w:p>
    <w:p w14:paraId="28657885" w14:textId="77777777" w:rsidR="00877DFC" w:rsidRDefault="00877DFC" w:rsidP="008C0C16">
      <w:pPr>
        <w:rPr>
          <w:sz w:val="20"/>
          <w:szCs w:val="20"/>
        </w:rPr>
      </w:pPr>
    </w:p>
    <w:p w14:paraId="28657886" w14:textId="77777777" w:rsidR="00877DFC" w:rsidRDefault="00877DFC" w:rsidP="008C0C16">
      <w:pPr>
        <w:rPr>
          <w:sz w:val="20"/>
          <w:szCs w:val="20"/>
        </w:rPr>
      </w:pPr>
    </w:p>
    <w:p w14:paraId="28657887" w14:textId="77777777" w:rsidR="00877DFC" w:rsidRDefault="00877DFC" w:rsidP="008C0C16">
      <w:pPr>
        <w:rPr>
          <w:sz w:val="20"/>
          <w:szCs w:val="20"/>
        </w:rPr>
      </w:pPr>
    </w:p>
    <w:p w14:paraId="2C6A2A09" w14:textId="77777777" w:rsidR="003E7F6E" w:rsidRDefault="003E7F6E" w:rsidP="008C0C16">
      <w:pPr>
        <w:rPr>
          <w:sz w:val="20"/>
          <w:szCs w:val="20"/>
        </w:rPr>
      </w:pPr>
      <w:r>
        <w:rPr>
          <w:sz w:val="20"/>
          <w:szCs w:val="20"/>
        </w:rPr>
        <w:t>21.04.2015. 7:56</w:t>
      </w:r>
    </w:p>
    <w:p w14:paraId="1FE05B55" w14:textId="77777777" w:rsidR="003E7F6E" w:rsidRDefault="003E7F6E" w:rsidP="008C0C1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997</w:t>
      </w:r>
      <w:r>
        <w:rPr>
          <w:sz w:val="20"/>
          <w:szCs w:val="20"/>
        </w:rPr>
        <w:fldChar w:fldCharType="end"/>
      </w:r>
    </w:p>
    <w:p w14:paraId="2865788C" w14:textId="7D1C9B39" w:rsidR="008F03CF" w:rsidRPr="003D2A75" w:rsidRDefault="00ED4C0E" w:rsidP="008C0C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G.Straupmanis</w:t>
      </w:r>
    </w:p>
    <w:p w14:paraId="2865788D" w14:textId="0583792F" w:rsidR="008F03CF" w:rsidRPr="00883366" w:rsidRDefault="008F03CF">
      <w:pPr>
        <w:rPr>
          <w:sz w:val="20"/>
          <w:szCs w:val="20"/>
        </w:rPr>
      </w:pPr>
      <w:r>
        <w:rPr>
          <w:sz w:val="20"/>
          <w:szCs w:val="20"/>
          <w:lang w:val="pl-PL"/>
        </w:rPr>
        <w:t>67027</w:t>
      </w:r>
      <w:r w:rsidR="00D84F95">
        <w:rPr>
          <w:sz w:val="20"/>
          <w:szCs w:val="20"/>
          <w:lang w:val="pl-PL"/>
        </w:rPr>
        <w:t>233</w:t>
      </w:r>
      <w:r w:rsidRPr="003D2A75">
        <w:rPr>
          <w:sz w:val="20"/>
          <w:szCs w:val="20"/>
          <w:lang w:val="pl-PL"/>
        </w:rPr>
        <w:t xml:space="preserve">, </w:t>
      </w:r>
      <w:r w:rsidR="00D84F95">
        <w:rPr>
          <w:sz w:val="20"/>
          <w:szCs w:val="20"/>
          <w:lang w:val="pl-PL"/>
        </w:rPr>
        <w:t>Gustavs.Straupmanis</w:t>
      </w:r>
      <w:r w:rsidR="005264A2" w:rsidRPr="005264A2">
        <w:rPr>
          <w:sz w:val="20"/>
          <w:szCs w:val="20"/>
          <w:lang w:val="pl-PL"/>
        </w:rPr>
        <w:t>@zm.gov.l</w:t>
      </w:r>
      <w:r w:rsidR="005264A2">
        <w:rPr>
          <w:sz w:val="20"/>
          <w:szCs w:val="20"/>
          <w:lang w:val="pl-PL"/>
        </w:rPr>
        <w:t>v</w:t>
      </w:r>
    </w:p>
    <w:sectPr w:rsidR="008F03CF" w:rsidRPr="00883366" w:rsidSect="00CF5F11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14649" w14:textId="77777777" w:rsidR="00A21473" w:rsidRDefault="00A21473">
      <w:r>
        <w:separator/>
      </w:r>
    </w:p>
  </w:endnote>
  <w:endnote w:type="continuationSeparator" w:id="0">
    <w:p w14:paraId="2CBE8140" w14:textId="77777777" w:rsidR="00A21473" w:rsidRDefault="00A2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7897" w14:textId="03063D22" w:rsidR="008F03CF" w:rsidRPr="00064F96" w:rsidRDefault="00064F96" w:rsidP="00064F96">
    <w:pPr>
      <w:pStyle w:val="Kjene"/>
      <w:jc w:val="both"/>
      <w:rPr>
        <w:sz w:val="20"/>
      </w:rPr>
    </w:pPr>
    <w:r w:rsidRPr="0042259E">
      <w:rPr>
        <w:sz w:val="20"/>
      </w:rPr>
      <w:t>ZMAnot_</w:t>
    </w:r>
    <w:r w:rsidR="00A66918">
      <w:rPr>
        <w:sz w:val="20"/>
      </w:rPr>
      <w:t>0701</w:t>
    </w:r>
    <w:r>
      <w:rPr>
        <w:sz w:val="20"/>
      </w:rPr>
      <w:t>15_VMD</w:t>
    </w:r>
    <w:r w:rsidRPr="0042259E">
      <w:rPr>
        <w:sz w:val="20"/>
      </w:rPr>
      <w:t xml:space="preserve">; </w:t>
    </w:r>
    <w:r w:rsidRPr="00064F96">
      <w:rPr>
        <w:sz w:val="20"/>
      </w:rPr>
      <w:t>Grozījumi Ministru kabineta 2013.gada 30.jūlija noteikumos Nr.449 „Valsts meža dienesta nolikums”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7898" w14:textId="156E8DC1" w:rsidR="008F03CF" w:rsidRPr="00BA72C7" w:rsidRDefault="0042259E" w:rsidP="007C780E">
    <w:pPr>
      <w:pStyle w:val="Kjene"/>
      <w:jc w:val="both"/>
      <w:rPr>
        <w:sz w:val="20"/>
      </w:rPr>
    </w:pPr>
    <w:r w:rsidRPr="0042259E">
      <w:rPr>
        <w:sz w:val="20"/>
      </w:rPr>
      <w:t>ZMAnot_</w:t>
    </w:r>
    <w:r w:rsidR="00A66918">
      <w:rPr>
        <w:sz w:val="20"/>
      </w:rPr>
      <w:t>0701</w:t>
    </w:r>
    <w:r w:rsidR="00064F96">
      <w:rPr>
        <w:sz w:val="20"/>
      </w:rPr>
      <w:t>15_VMD</w:t>
    </w:r>
    <w:r w:rsidRPr="0042259E">
      <w:rPr>
        <w:sz w:val="20"/>
      </w:rPr>
      <w:t xml:space="preserve">; </w:t>
    </w:r>
    <w:r w:rsidR="00064F96" w:rsidRPr="00064F96">
      <w:rPr>
        <w:sz w:val="20"/>
      </w:rPr>
      <w:t>Grozījumi Ministru kabineta 2013.gada 30.jūlija noteikumos Nr.449 „Valsts meža dienesta nolikums”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17F4C" w14:textId="77777777" w:rsidR="00A21473" w:rsidRDefault="00A21473">
      <w:r>
        <w:separator/>
      </w:r>
    </w:p>
  </w:footnote>
  <w:footnote w:type="continuationSeparator" w:id="0">
    <w:p w14:paraId="0A1C6180" w14:textId="77777777" w:rsidR="00A21473" w:rsidRDefault="00A2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7892" w14:textId="77777777" w:rsidR="008F03CF" w:rsidRDefault="008F03CF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8657893" w14:textId="77777777" w:rsidR="008F03CF" w:rsidRDefault="008F03C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7894" w14:textId="77777777" w:rsidR="008F03CF" w:rsidRDefault="008F03CF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E7F6E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8657895" w14:textId="77777777" w:rsidR="008F03CF" w:rsidRDefault="008F03C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1C43BA"/>
    <w:multiLevelType w:val="hybridMultilevel"/>
    <w:tmpl w:val="5EF6562A"/>
    <w:lvl w:ilvl="0" w:tplc="B9BA91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26A1E"/>
    <w:multiLevelType w:val="hybridMultilevel"/>
    <w:tmpl w:val="965CC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2BA0"/>
    <w:multiLevelType w:val="hybridMultilevel"/>
    <w:tmpl w:val="17FC76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16"/>
    <w:rsid w:val="00001312"/>
    <w:rsid w:val="00010FA0"/>
    <w:rsid w:val="00014A71"/>
    <w:rsid w:val="00016FE9"/>
    <w:rsid w:val="0001767D"/>
    <w:rsid w:val="00021FF9"/>
    <w:rsid w:val="00025839"/>
    <w:rsid w:val="00027155"/>
    <w:rsid w:val="00030CD8"/>
    <w:rsid w:val="00030F41"/>
    <w:rsid w:val="00032622"/>
    <w:rsid w:val="00033AF5"/>
    <w:rsid w:val="00034AFC"/>
    <w:rsid w:val="00037689"/>
    <w:rsid w:val="00042708"/>
    <w:rsid w:val="00043429"/>
    <w:rsid w:val="000446F4"/>
    <w:rsid w:val="00045B35"/>
    <w:rsid w:val="00050BDE"/>
    <w:rsid w:val="000519D5"/>
    <w:rsid w:val="000519F8"/>
    <w:rsid w:val="00051C92"/>
    <w:rsid w:val="00056C3A"/>
    <w:rsid w:val="00064F96"/>
    <w:rsid w:val="000660A3"/>
    <w:rsid w:val="0007176A"/>
    <w:rsid w:val="00072A53"/>
    <w:rsid w:val="000751B5"/>
    <w:rsid w:val="000779E8"/>
    <w:rsid w:val="00077D09"/>
    <w:rsid w:val="0008145B"/>
    <w:rsid w:val="000820D8"/>
    <w:rsid w:val="00084907"/>
    <w:rsid w:val="00091E07"/>
    <w:rsid w:val="00095FDB"/>
    <w:rsid w:val="000A04B8"/>
    <w:rsid w:val="000A15B9"/>
    <w:rsid w:val="000A196D"/>
    <w:rsid w:val="000A3991"/>
    <w:rsid w:val="000A7B2A"/>
    <w:rsid w:val="000B087F"/>
    <w:rsid w:val="000B52E9"/>
    <w:rsid w:val="000B5DF3"/>
    <w:rsid w:val="000B7F0F"/>
    <w:rsid w:val="000C0189"/>
    <w:rsid w:val="000C063A"/>
    <w:rsid w:val="000C0AA9"/>
    <w:rsid w:val="000C18B3"/>
    <w:rsid w:val="000C42BD"/>
    <w:rsid w:val="000C7C0B"/>
    <w:rsid w:val="000D0B1C"/>
    <w:rsid w:val="000D3276"/>
    <w:rsid w:val="000D33D4"/>
    <w:rsid w:val="000D3BEC"/>
    <w:rsid w:val="000D60B4"/>
    <w:rsid w:val="000E33C1"/>
    <w:rsid w:val="000E3537"/>
    <w:rsid w:val="000E3CA0"/>
    <w:rsid w:val="000F5137"/>
    <w:rsid w:val="000F5507"/>
    <w:rsid w:val="000F63AE"/>
    <w:rsid w:val="000F6538"/>
    <w:rsid w:val="00101529"/>
    <w:rsid w:val="00102404"/>
    <w:rsid w:val="00103FFB"/>
    <w:rsid w:val="00104C3E"/>
    <w:rsid w:val="00107B33"/>
    <w:rsid w:val="00114B2C"/>
    <w:rsid w:val="00114F7D"/>
    <w:rsid w:val="00115AE9"/>
    <w:rsid w:val="001229E8"/>
    <w:rsid w:val="00123974"/>
    <w:rsid w:val="00127335"/>
    <w:rsid w:val="00133C28"/>
    <w:rsid w:val="00135F38"/>
    <w:rsid w:val="00137300"/>
    <w:rsid w:val="00140D52"/>
    <w:rsid w:val="00144F5A"/>
    <w:rsid w:val="001460FE"/>
    <w:rsid w:val="00146954"/>
    <w:rsid w:val="001470A9"/>
    <w:rsid w:val="001474B5"/>
    <w:rsid w:val="00155B61"/>
    <w:rsid w:val="00155C68"/>
    <w:rsid w:val="00160FD6"/>
    <w:rsid w:val="00161F09"/>
    <w:rsid w:val="001627B8"/>
    <w:rsid w:val="00164543"/>
    <w:rsid w:val="00164A45"/>
    <w:rsid w:val="00164C5E"/>
    <w:rsid w:val="001666D7"/>
    <w:rsid w:val="00166D35"/>
    <w:rsid w:val="001744AE"/>
    <w:rsid w:val="0017558F"/>
    <w:rsid w:val="001763ED"/>
    <w:rsid w:val="00180F0F"/>
    <w:rsid w:val="001819AA"/>
    <w:rsid w:val="00181F7B"/>
    <w:rsid w:val="00186F99"/>
    <w:rsid w:val="00192BCE"/>
    <w:rsid w:val="001931C3"/>
    <w:rsid w:val="00193C06"/>
    <w:rsid w:val="001A1034"/>
    <w:rsid w:val="001A13EF"/>
    <w:rsid w:val="001A2EEA"/>
    <w:rsid w:val="001A4906"/>
    <w:rsid w:val="001A4F3E"/>
    <w:rsid w:val="001A50DB"/>
    <w:rsid w:val="001B03F1"/>
    <w:rsid w:val="001B29CD"/>
    <w:rsid w:val="001C2C1B"/>
    <w:rsid w:val="001C4050"/>
    <w:rsid w:val="001C66D2"/>
    <w:rsid w:val="001D7A69"/>
    <w:rsid w:val="001E1037"/>
    <w:rsid w:val="001E125B"/>
    <w:rsid w:val="001E1B85"/>
    <w:rsid w:val="001E3E1A"/>
    <w:rsid w:val="001E7EA0"/>
    <w:rsid w:val="001E7F5F"/>
    <w:rsid w:val="001F15B1"/>
    <w:rsid w:val="001F6507"/>
    <w:rsid w:val="001F656A"/>
    <w:rsid w:val="002022A6"/>
    <w:rsid w:val="00202717"/>
    <w:rsid w:val="00205D9B"/>
    <w:rsid w:val="0021471F"/>
    <w:rsid w:val="00227116"/>
    <w:rsid w:val="0023104F"/>
    <w:rsid w:val="002336AC"/>
    <w:rsid w:val="00236AC7"/>
    <w:rsid w:val="0024753B"/>
    <w:rsid w:val="002507B1"/>
    <w:rsid w:val="0025239A"/>
    <w:rsid w:val="00253916"/>
    <w:rsid w:val="00256448"/>
    <w:rsid w:val="00260190"/>
    <w:rsid w:val="002611F3"/>
    <w:rsid w:val="00263139"/>
    <w:rsid w:val="00270201"/>
    <w:rsid w:val="00271C7E"/>
    <w:rsid w:val="002733F6"/>
    <w:rsid w:val="002767D4"/>
    <w:rsid w:val="002772CB"/>
    <w:rsid w:val="00283528"/>
    <w:rsid w:val="00285453"/>
    <w:rsid w:val="0028676A"/>
    <w:rsid w:val="002905E5"/>
    <w:rsid w:val="00295A5E"/>
    <w:rsid w:val="00295CE1"/>
    <w:rsid w:val="002A2085"/>
    <w:rsid w:val="002A4C35"/>
    <w:rsid w:val="002A551E"/>
    <w:rsid w:val="002A5CC7"/>
    <w:rsid w:val="002A7E22"/>
    <w:rsid w:val="002B307C"/>
    <w:rsid w:val="002B41BE"/>
    <w:rsid w:val="002B4F7F"/>
    <w:rsid w:val="002B6CE7"/>
    <w:rsid w:val="002B6EF4"/>
    <w:rsid w:val="002C3EC2"/>
    <w:rsid w:val="002C3F17"/>
    <w:rsid w:val="002C665B"/>
    <w:rsid w:val="002C6959"/>
    <w:rsid w:val="002C6F2D"/>
    <w:rsid w:val="002D0AA6"/>
    <w:rsid w:val="002D18AB"/>
    <w:rsid w:val="002D65A0"/>
    <w:rsid w:val="002D75C7"/>
    <w:rsid w:val="002D7CF3"/>
    <w:rsid w:val="002F0505"/>
    <w:rsid w:val="002F091D"/>
    <w:rsid w:val="002F15E2"/>
    <w:rsid w:val="002F2AED"/>
    <w:rsid w:val="002F5222"/>
    <w:rsid w:val="00303B64"/>
    <w:rsid w:val="00304426"/>
    <w:rsid w:val="003044D6"/>
    <w:rsid w:val="003074D4"/>
    <w:rsid w:val="00310CAB"/>
    <w:rsid w:val="003124CF"/>
    <w:rsid w:val="00314A13"/>
    <w:rsid w:val="00320B81"/>
    <w:rsid w:val="00321761"/>
    <w:rsid w:val="0032781F"/>
    <w:rsid w:val="00327F38"/>
    <w:rsid w:val="00331595"/>
    <w:rsid w:val="00335C3E"/>
    <w:rsid w:val="00337272"/>
    <w:rsid w:val="003507AF"/>
    <w:rsid w:val="0036017C"/>
    <w:rsid w:val="00360DA1"/>
    <w:rsid w:val="0036125C"/>
    <w:rsid w:val="00361FF0"/>
    <w:rsid w:val="00364AC8"/>
    <w:rsid w:val="0037023F"/>
    <w:rsid w:val="003721BD"/>
    <w:rsid w:val="0038662F"/>
    <w:rsid w:val="00387C11"/>
    <w:rsid w:val="00387DC8"/>
    <w:rsid w:val="00390099"/>
    <w:rsid w:val="00390AAF"/>
    <w:rsid w:val="003919D1"/>
    <w:rsid w:val="00396A57"/>
    <w:rsid w:val="003A01F9"/>
    <w:rsid w:val="003A0C41"/>
    <w:rsid w:val="003A1ED1"/>
    <w:rsid w:val="003B0D36"/>
    <w:rsid w:val="003B0D54"/>
    <w:rsid w:val="003B2410"/>
    <w:rsid w:val="003B2AEB"/>
    <w:rsid w:val="003B3D50"/>
    <w:rsid w:val="003B4E5D"/>
    <w:rsid w:val="003B652F"/>
    <w:rsid w:val="003B7AF6"/>
    <w:rsid w:val="003C4E23"/>
    <w:rsid w:val="003C5026"/>
    <w:rsid w:val="003D0C1B"/>
    <w:rsid w:val="003D2A75"/>
    <w:rsid w:val="003D496C"/>
    <w:rsid w:val="003D58C1"/>
    <w:rsid w:val="003E0B2A"/>
    <w:rsid w:val="003E1E55"/>
    <w:rsid w:val="003E47F5"/>
    <w:rsid w:val="003E7F6E"/>
    <w:rsid w:val="003F2AF7"/>
    <w:rsid w:val="003F3C93"/>
    <w:rsid w:val="003F670A"/>
    <w:rsid w:val="003F6E34"/>
    <w:rsid w:val="00403568"/>
    <w:rsid w:val="004048D4"/>
    <w:rsid w:val="004070A0"/>
    <w:rsid w:val="00407F6D"/>
    <w:rsid w:val="00412D00"/>
    <w:rsid w:val="0041683B"/>
    <w:rsid w:val="00417AB7"/>
    <w:rsid w:val="00417F67"/>
    <w:rsid w:val="00421523"/>
    <w:rsid w:val="0042259E"/>
    <w:rsid w:val="0043515E"/>
    <w:rsid w:val="004359D1"/>
    <w:rsid w:val="004366D8"/>
    <w:rsid w:val="00436830"/>
    <w:rsid w:val="00440346"/>
    <w:rsid w:val="00442D4B"/>
    <w:rsid w:val="00443E8D"/>
    <w:rsid w:val="00446A3B"/>
    <w:rsid w:val="00450691"/>
    <w:rsid w:val="00451538"/>
    <w:rsid w:val="00453F67"/>
    <w:rsid w:val="00456507"/>
    <w:rsid w:val="00456557"/>
    <w:rsid w:val="00460030"/>
    <w:rsid w:val="00460076"/>
    <w:rsid w:val="004642C0"/>
    <w:rsid w:val="0046583B"/>
    <w:rsid w:val="00465D68"/>
    <w:rsid w:val="00467368"/>
    <w:rsid w:val="0046759C"/>
    <w:rsid w:val="0047164F"/>
    <w:rsid w:val="00472DA9"/>
    <w:rsid w:val="0047394D"/>
    <w:rsid w:val="004744D4"/>
    <w:rsid w:val="00475F24"/>
    <w:rsid w:val="004874E4"/>
    <w:rsid w:val="00487F47"/>
    <w:rsid w:val="00494034"/>
    <w:rsid w:val="00495202"/>
    <w:rsid w:val="00495A8C"/>
    <w:rsid w:val="0049634F"/>
    <w:rsid w:val="00496362"/>
    <w:rsid w:val="004A488C"/>
    <w:rsid w:val="004A6A68"/>
    <w:rsid w:val="004B2C51"/>
    <w:rsid w:val="004B3EF3"/>
    <w:rsid w:val="004B57FE"/>
    <w:rsid w:val="004B7CB7"/>
    <w:rsid w:val="004C17F6"/>
    <w:rsid w:val="004C63AA"/>
    <w:rsid w:val="004D0791"/>
    <w:rsid w:val="004D1AA3"/>
    <w:rsid w:val="004D5607"/>
    <w:rsid w:val="004D5FE4"/>
    <w:rsid w:val="004D6DCF"/>
    <w:rsid w:val="004E137A"/>
    <w:rsid w:val="004E1D98"/>
    <w:rsid w:val="004E26EE"/>
    <w:rsid w:val="004E5FFD"/>
    <w:rsid w:val="004E6473"/>
    <w:rsid w:val="004F7053"/>
    <w:rsid w:val="004F74F4"/>
    <w:rsid w:val="00500665"/>
    <w:rsid w:val="00501320"/>
    <w:rsid w:val="0051205E"/>
    <w:rsid w:val="005148E2"/>
    <w:rsid w:val="005168EC"/>
    <w:rsid w:val="00517942"/>
    <w:rsid w:val="005232B5"/>
    <w:rsid w:val="00524027"/>
    <w:rsid w:val="005264A2"/>
    <w:rsid w:val="005335E0"/>
    <w:rsid w:val="005345EE"/>
    <w:rsid w:val="005356CB"/>
    <w:rsid w:val="005378AD"/>
    <w:rsid w:val="00550BFE"/>
    <w:rsid w:val="00552C69"/>
    <w:rsid w:val="00553300"/>
    <w:rsid w:val="00553CE3"/>
    <w:rsid w:val="0056361B"/>
    <w:rsid w:val="005654C8"/>
    <w:rsid w:val="005703DC"/>
    <w:rsid w:val="00576043"/>
    <w:rsid w:val="005800FD"/>
    <w:rsid w:val="00580340"/>
    <w:rsid w:val="00581028"/>
    <w:rsid w:val="005847B6"/>
    <w:rsid w:val="0059177B"/>
    <w:rsid w:val="00597025"/>
    <w:rsid w:val="005A1702"/>
    <w:rsid w:val="005A1D94"/>
    <w:rsid w:val="005A5B54"/>
    <w:rsid w:val="005A728B"/>
    <w:rsid w:val="005B5373"/>
    <w:rsid w:val="005C2FBF"/>
    <w:rsid w:val="005C5BF8"/>
    <w:rsid w:val="005C6B09"/>
    <w:rsid w:val="005D1B38"/>
    <w:rsid w:val="005E0A9E"/>
    <w:rsid w:val="005E2016"/>
    <w:rsid w:val="005E3BEF"/>
    <w:rsid w:val="005E6EF5"/>
    <w:rsid w:val="005E75C8"/>
    <w:rsid w:val="005F0BE1"/>
    <w:rsid w:val="006063EC"/>
    <w:rsid w:val="006068D6"/>
    <w:rsid w:val="00610FA3"/>
    <w:rsid w:val="00613CDF"/>
    <w:rsid w:val="006172F6"/>
    <w:rsid w:val="00620A1D"/>
    <w:rsid w:val="00621BEE"/>
    <w:rsid w:val="006221E0"/>
    <w:rsid w:val="00622434"/>
    <w:rsid w:val="006237D6"/>
    <w:rsid w:val="00627DEC"/>
    <w:rsid w:val="006340EC"/>
    <w:rsid w:val="00634330"/>
    <w:rsid w:val="006413E5"/>
    <w:rsid w:val="00646022"/>
    <w:rsid w:val="006460FB"/>
    <w:rsid w:val="00651E3B"/>
    <w:rsid w:val="00652AAE"/>
    <w:rsid w:val="00657DE4"/>
    <w:rsid w:val="00666F3A"/>
    <w:rsid w:val="00667E8E"/>
    <w:rsid w:val="00671452"/>
    <w:rsid w:val="0068489E"/>
    <w:rsid w:val="00691952"/>
    <w:rsid w:val="00695F6E"/>
    <w:rsid w:val="006A45CB"/>
    <w:rsid w:val="006A5BDB"/>
    <w:rsid w:val="006B0273"/>
    <w:rsid w:val="006B10F4"/>
    <w:rsid w:val="006B1236"/>
    <w:rsid w:val="006B2F59"/>
    <w:rsid w:val="006C5E24"/>
    <w:rsid w:val="006C6881"/>
    <w:rsid w:val="006D5016"/>
    <w:rsid w:val="006D5948"/>
    <w:rsid w:val="006D689A"/>
    <w:rsid w:val="006E1BCE"/>
    <w:rsid w:val="006E22EA"/>
    <w:rsid w:val="006E5A00"/>
    <w:rsid w:val="006F3846"/>
    <w:rsid w:val="006F6576"/>
    <w:rsid w:val="00707B28"/>
    <w:rsid w:val="00713A57"/>
    <w:rsid w:val="0071453A"/>
    <w:rsid w:val="00716F1B"/>
    <w:rsid w:val="00717C64"/>
    <w:rsid w:val="0072299D"/>
    <w:rsid w:val="00726803"/>
    <w:rsid w:val="00734C59"/>
    <w:rsid w:val="00741C6E"/>
    <w:rsid w:val="007469CB"/>
    <w:rsid w:val="0075081A"/>
    <w:rsid w:val="007518F5"/>
    <w:rsid w:val="007560F0"/>
    <w:rsid w:val="00756174"/>
    <w:rsid w:val="00761007"/>
    <w:rsid w:val="00761140"/>
    <w:rsid w:val="00761F27"/>
    <w:rsid w:val="00767FF4"/>
    <w:rsid w:val="007805C4"/>
    <w:rsid w:val="00781603"/>
    <w:rsid w:val="0078254B"/>
    <w:rsid w:val="007835D8"/>
    <w:rsid w:val="00785552"/>
    <w:rsid w:val="00785BCA"/>
    <w:rsid w:val="00786A5A"/>
    <w:rsid w:val="00786D2F"/>
    <w:rsid w:val="00794590"/>
    <w:rsid w:val="00796287"/>
    <w:rsid w:val="007C0125"/>
    <w:rsid w:val="007C16F0"/>
    <w:rsid w:val="007C1A8B"/>
    <w:rsid w:val="007C52C6"/>
    <w:rsid w:val="007C5D3A"/>
    <w:rsid w:val="007C6349"/>
    <w:rsid w:val="007C780E"/>
    <w:rsid w:val="007D00DC"/>
    <w:rsid w:val="007D3281"/>
    <w:rsid w:val="007E437C"/>
    <w:rsid w:val="007E57F4"/>
    <w:rsid w:val="007E6CE8"/>
    <w:rsid w:val="007E7BC0"/>
    <w:rsid w:val="007F1974"/>
    <w:rsid w:val="007F3AFF"/>
    <w:rsid w:val="00800FE2"/>
    <w:rsid w:val="00801EC4"/>
    <w:rsid w:val="00802D59"/>
    <w:rsid w:val="00805D3D"/>
    <w:rsid w:val="0080789D"/>
    <w:rsid w:val="0081459F"/>
    <w:rsid w:val="008156E7"/>
    <w:rsid w:val="008235DC"/>
    <w:rsid w:val="00823631"/>
    <w:rsid w:val="00843F98"/>
    <w:rsid w:val="00846552"/>
    <w:rsid w:val="00846889"/>
    <w:rsid w:val="008504BE"/>
    <w:rsid w:val="00851153"/>
    <w:rsid w:val="00851630"/>
    <w:rsid w:val="00851CD7"/>
    <w:rsid w:val="00853718"/>
    <w:rsid w:val="00854067"/>
    <w:rsid w:val="0085418B"/>
    <w:rsid w:val="00855422"/>
    <w:rsid w:val="00857E72"/>
    <w:rsid w:val="00860515"/>
    <w:rsid w:val="00860997"/>
    <w:rsid w:val="00873E16"/>
    <w:rsid w:val="00873ED1"/>
    <w:rsid w:val="00877DFC"/>
    <w:rsid w:val="00880116"/>
    <w:rsid w:val="00882F0E"/>
    <w:rsid w:val="00883366"/>
    <w:rsid w:val="008866D9"/>
    <w:rsid w:val="008919DA"/>
    <w:rsid w:val="00892830"/>
    <w:rsid w:val="00892E83"/>
    <w:rsid w:val="008A13F9"/>
    <w:rsid w:val="008A17E9"/>
    <w:rsid w:val="008A5346"/>
    <w:rsid w:val="008A60AF"/>
    <w:rsid w:val="008B1611"/>
    <w:rsid w:val="008C0C16"/>
    <w:rsid w:val="008C1797"/>
    <w:rsid w:val="008C1E6B"/>
    <w:rsid w:val="008C481D"/>
    <w:rsid w:val="008C5C61"/>
    <w:rsid w:val="008C76C7"/>
    <w:rsid w:val="008D1A04"/>
    <w:rsid w:val="008D212C"/>
    <w:rsid w:val="008D4D8B"/>
    <w:rsid w:val="008D5ABF"/>
    <w:rsid w:val="008E5655"/>
    <w:rsid w:val="008E614B"/>
    <w:rsid w:val="008E62A2"/>
    <w:rsid w:val="008F03CF"/>
    <w:rsid w:val="008F2F58"/>
    <w:rsid w:val="008F63FC"/>
    <w:rsid w:val="008F68BA"/>
    <w:rsid w:val="00901254"/>
    <w:rsid w:val="00903783"/>
    <w:rsid w:val="009044E4"/>
    <w:rsid w:val="0091439C"/>
    <w:rsid w:val="00920E12"/>
    <w:rsid w:val="009228FC"/>
    <w:rsid w:val="00923CC5"/>
    <w:rsid w:val="00924CAC"/>
    <w:rsid w:val="00926AD2"/>
    <w:rsid w:val="0093061F"/>
    <w:rsid w:val="009319AD"/>
    <w:rsid w:val="00943D22"/>
    <w:rsid w:val="009441B7"/>
    <w:rsid w:val="00951466"/>
    <w:rsid w:val="00955AFA"/>
    <w:rsid w:val="00957704"/>
    <w:rsid w:val="0096043B"/>
    <w:rsid w:val="00965858"/>
    <w:rsid w:val="00974134"/>
    <w:rsid w:val="00975EAB"/>
    <w:rsid w:val="009775F5"/>
    <w:rsid w:val="00981DF3"/>
    <w:rsid w:val="00985EF4"/>
    <w:rsid w:val="00986160"/>
    <w:rsid w:val="0099042A"/>
    <w:rsid w:val="0099066D"/>
    <w:rsid w:val="00990D29"/>
    <w:rsid w:val="0099678E"/>
    <w:rsid w:val="009A032E"/>
    <w:rsid w:val="009A6E61"/>
    <w:rsid w:val="009B1905"/>
    <w:rsid w:val="009B2B08"/>
    <w:rsid w:val="009B5E5D"/>
    <w:rsid w:val="009C34A1"/>
    <w:rsid w:val="009C3867"/>
    <w:rsid w:val="009C669E"/>
    <w:rsid w:val="009C7559"/>
    <w:rsid w:val="009C7BAE"/>
    <w:rsid w:val="009D1C12"/>
    <w:rsid w:val="009D2B3A"/>
    <w:rsid w:val="009D3C49"/>
    <w:rsid w:val="009D4438"/>
    <w:rsid w:val="009D71DA"/>
    <w:rsid w:val="009E0860"/>
    <w:rsid w:val="009E1153"/>
    <w:rsid w:val="009E594A"/>
    <w:rsid w:val="009E59BD"/>
    <w:rsid w:val="009E71BC"/>
    <w:rsid w:val="009F2431"/>
    <w:rsid w:val="009F3273"/>
    <w:rsid w:val="009F5469"/>
    <w:rsid w:val="009F581B"/>
    <w:rsid w:val="009F5888"/>
    <w:rsid w:val="009F7058"/>
    <w:rsid w:val="00A00081"/>
    <w:rsid w:val="00A04C5B"/>
    <w:rsid w:val="00A052EE"/>
    <w:rsid w:val="00A06C70"/>
    <w:rsid w:val="00A119F3"/>
    <w:rsid w:val="00A122E9"/>
    <w:rsid w:val="00A127FA"/>
    <w:rsid w:val="00A13B4C"/>
    <w:rsid w:val="00A21473"/>
    <w:rsid w:val="00A22291"/>
    <w:rsid w:val="00A26AB2"/>
    <w:rsid w:val="00A30FD8"/>
    <w:rsid w:val="00A3288E"/>
    <w:rsid w:val="00A333E9"/>
    <w:rsid w:val="00A33E54"/>
    <w:rsid w:val="00A34177"/>
    <w:rsid w:val="00A347CC"/>
    <w:rsid w:val="00A3588E"/>
    <w:rsid w:val="00A40A3D"/>
    <w:rsid w:val="00A42911"/>
    <w:rsid w:val="00A43B8C"/>
    <w:rsid w:val="00A45924"/>
    <w:rsid w:val="00A478FF"/>
    <w:rsid w:val="00A53EC3"/>
    <w:rsid w:val="00A5411F"/>
    <w:rsid w:val="00A547FA"/>
    <w:rsid w:val="00A60EB3"/>
    <w:rsid w:val="00A615CE"/>
    <w:rsid w:val="00A648D1"/>
    <w:rsid w:val="00A66918"/>
    <w:rsid w:val="00A73998"/>
    <w:rsid w:val="00A74C2C"/>
    <w:rsid w:val="00A75F02"/>
    <w:rsid w:val="00A77E01"/>
    <w:rsid w:val="00A80CF4"/>
    <w:rsid w:val="00A81451"/>
    <w:rsid w:val="00A8424F"/>
    <w:rsid w:val="00A85B00"/>
    <w:rsid w:val="00A91700"/>
    <w:rsid w:val="00A93596"/>
    <w:rsid w:val="00A9622E"/>
    <w:rsid w:val="00A9649A"/>
    <w:rsid w:val="00A972FE"/>
    <w:rsid w:val="00AA11FE"/>
    <w:rsid w:val="00AA6264"/>
    <w:rsid w:val="00AB05C0"/>
    <w:rsid w:val="00AB5C28"/>
    <w:rsid w:val="00AB6D9C"/>
    <w:rsid w:val="00AC2D4C"/>
    <w:rsid w:val="00AC3120"/>
    <w:rsid w:val="00AC4CB9"/>
    <w:rsid w:val="00AC524E"/>
    <w:rsid w:val="00AD0609"/>
    <w:rsid w:val="00AD064A"/>
    <w:rsid w:val="00AD3E25"/>
    <w:rsid w:val="00AD6843"/>
    <w:rsid w:val="00AE007D"/>
    <w:rsid w:val="00AE215A"/>
    <w:rsid w:val="00AE4AF1"/>
    <w:rsid w:val="00AE61F3"/>
    <w:rsid w:val="00AE79B5"/>
    <w:rsid w:val="00AF10A9"/>
    <w:rsid w:val="00AF1531"/>
    <w:rsid w:val="00AF1641"/>
    <w:rsid w:val="00AF2384"/>
    <w:rsid w:val="00AF2BE1"/>
    <w:rsid w:val="00AF2EDA"/>
    <w:rsid w:val="00AF490B"/>
    <w:rsid w:val="00AF6584"/>
    <w:rsid w:val="00AF710B"/>
    <w:rsid w:val="00B0097B"/>
    <w:rsid w:val="00B013B1"/>
    <w:rsid w:val="00B0454C"/>
    <w:rsid w:val="00B05C81"/>
    <w:rsid w:val="00B06B15"/>
    <w:rsid w:val="00B07244"/>
    <w:rsid w:val="00B07280"/>
    <w:rsid w:val="00B11527"/>
    <w:rsid w:val="00B12A30"/>
    <w:rsid w:val="00B1387C"/>
    <w:rsid w:val="00B14840"/>
    <w:rsid w:val="00B16E08"/>
    <w:rsid w:val="00B23056"/>
    <w:rsid w:val="00B2448B"/>
    <w:rsid w:val="00B24825"/>
    <w:rsid w:val="00B302CC"/>
    <w:rsid w:val="00B30E58"/>
    <w:rsid w:val="00B32C5A"/>
    <w:rsid w:val="00B336A0"/>
    <w:rsid w:val="00B363C6"/>
    <w:rsid w:val="00B413B2"/>
    <w:rsid w:val="00B41D8D"/>
    <w:rsid w:val="00B4591D"/>
    <w:rsid w:val="00B46048"/>
    <w:rsid w:val="00B50098"/>
    <w:rsid w:val="00B54CB6"/>
    <w:rsid w:val="00B56A22"/>
    <w:rsid w:val="00B575B1"/>
    <w:rsid w:val="00B61A96"/>
    <w:rsid w:val="00B654DA"/>
    <w:rsid w:val="00B7444C"/>
    <w:rsid w:val="00B806DB"/>
    <w:rsid w:val="00B812D0"/>
    <w:rsid w:val="00B8138D"/>
    <w:rsid w:val="00B851CF"/>
    <w:rsid w:val="00B90886"/>
    <w:rsid w:val="00B918A7"/>
    <w:rsid w:val="00B924B2"/>
    <w:rsid w:val="00BA172E"/>
    <w:rsid w:val="00BA1C6F"/>
    <w:rsid w:val="00BA254E"/>
    <w:rsid w:val="00BA4095"/>
    <w:rsid w:val="00BA72C7"/>
    <w:rsid w:val="00BA78D7"/>
    <w:rsid w:val="00BB274E"/>
    <w:rsid w:val="00BB45C2"/>
    <w:rsid w:val="00BB5122"/>
    <w:rsid w:val="00BB62FF"/>
    <w:rsid w:val="00BC0AFD"/>
    <w:rsid w:val="00BC18E8"/>
    <w:rsid w:val="00BC3833"/>
    <w:rsid w:val="00BC6047"/>
    <w:rsid w:val="00BC78AB"/>
    <w:rsid w:val="00BD05E9"/>
    <w:rsid w:val="00BD1BE3"/>
    <w:rsid w:val="00BD41EA"/>
    <w:rsid w:val="00BD5C63"/>
    <w:rsid w:val="00BD6955"/>
    <w:rsid w:val="00BD7317"/>
    <w:rsid w:val="00BE7677"/>
    <w:rsid w:val="00BF0F0C"/>
    <w:rsid w:val="00BF1735"/>
    <w:rsid w:val="00BF1E36"/>
    <w:rsid w:val="00BF1F30"/>
    <w:rsid w:val="00BF2BDF"/>
    <w:rsid w:val="00BF78BC"/>
    <w:rsid w:val="00C00BB1"/>
    <w:rsid w:val="00C053C9"/>
    <w:rsid w:val="00C0575B"/>
    <w:rsid w:val="00C10932"/>
    <w:rsid w:val="00C11B6F"/>
    <w:rsid w:val="00C1440E"/>
    <w:rsid w:val="00C14451"/>
    <w:rsid w:val="00C14BB5"/>
    <w:rsid w:val="00C1731C"/>
    <w:rsid w:val="00C17F67"/>
    <w:rsid w:val="00C25FCB"/>
    <w:rsid w:val="00C30ED1"/>
    <w:rsid w:val="00C332B9"/>
    <w:rsid w:val="00C34D9D"/>
    <w:rsid w:val="00C3576D"/>
    <w:rsid w:val="00C4371E"/>
    <w:rsid w:val="00C457C0"/>
    <w:rsid w:val="00C45B27"/>
    <w:rsid w:val="00C4730E"/>
    <w:rsid w:val="00C503C9"/>
    <w:rsid w:val="00C513D6"/>
    <w:rsid w:val="00C55938"/>
    <w:rsid w:val="00C57290"/>
    <w:rsid w:val="00C57B92"/>
    <w:rsid w:val="00C6002F"/>
    <w:rsid w:val="00C73605"/>
    <w:rsid w:val="00C7391E"/>
    <w:rsid w:val="00C769D1"/>
    <w:rsid w:val="00C77F4E"/>
    <w:rsid w:val="00C82268"/>
    <w:rsid w:val="00C84350"/>
    <w:rsid w:val="00C85EC0"/>
    <w:rsid w:val="00C90F3B"/>
    <w:rsid w:val="00C94003"/>
    <w:rsid w:val="00C96B84"/>
    <w:rsid w:val="00CA1FDE"/>
    <w:rsid w:val="00CB0E45"/>
    <w:rsid w:val="00CC33D0"/>
    <w:rsid w:val="00CC3CD0"/>
    <w:rsid w:val="00CC646C"/>
    <w:rsid w:val="00CD0046"/>
    <w:rsid w:val="00CD0286"/>
    <w:rsid w:val="00CD067A"/>
    <w:rsid w:val="00CE131F"/>
    <w:rsid w:val="00CE2C53"/>
    <w:rsid w:val="00CE2D05"/>
    <w:rsid w:val="00CE3401"/>
    <w:rsid w:val="00CE490E"/>
    <w:rsid w:val="00CE4E48"/>
    <w:rsid w:val="00CE5AC0"/>
    <w:rsid w:val="00CF5B43"/>
    <w:rsid w:val="00CF5D3D"/>
    <w:rsid w:val="00CF5F11"/>
    <w:rsid w:val="00D05BB6"/>
    <w:rsid w:val="00D06BC6"/>
    <w:rsid w:val="00D10F81"/>
    <w:rsid w:val="00D12B6E"/>
    <w:rsid w:val="00D14608"/>
    <w:rsid w:val="00D14CD2"/>
    <w:rsid w:val="00D24652"/>
    <w:rsid w:val="00D24706"/>
    <w:rsid w:val="00D26476"/>
    <w:rsid w:val="00D26CE9"/>
    <w:rsid w:val="00D3003E"/>
    <w:rsid w:val="00D30C3D"/>
    <w:rsid w:val="00D30E03"/>
    <w:rsid w:val="00D3543A"/>
    <w:rsid w:val="00D372BC"/>
    <w:rsid w:val="00D378F7"/>
    <w:rsid w:val="00D465CD"/>
    <w:rsid w:val="00D56243"/>
    <w:rsid w:val="00D57D80"/>
    <w:rsid w:val="00D7213E"/>
    <w:rsid w:val="00D76D21"/>
    <w:rsid w:val="00D82308"/>
    <w:rsid w:val="00D83D66"/>
    <w:rsid w:val="00D84F95"/>
    <w:rsid w:val="00D96328"/>
    <w:rsid w:val="00DA28B9"/>
    <w:rsid w:val="00DB0231"/>
    <w:rsid w:val="00DB1C14"/>
    <w:rsid w:val="00DB2BBD"/>
    <w:rsid w:val="00DB7E87"/>
    <w:rsid w:val="00DC0987"/>
    <w:rsid w:val="00DC3E9F"/>
    <w:rsid w:val="00DC3EA4"/>
    <w:rsid w:val="00DC444E"/>
    <w:rsid w:val="00DC7E49"/>
    <w:rsid w:val="00DD53A4"/>
    <w:rsid w:val="00DE3841"/>
    <w:rsid w:val="00DE3A5E"/>
    <w:rsid w:val="00DF0CBF"/>
    <w:rsid w:val="00DF25E9"/>
    <w:rsid w:val="00DF287E"/>
    <w:rsid w:val="00DF63B7"/>
    <w:rsid w:val="00DF7B24"/>
    <w:rsid w:val="00E018CC"/>
    <w:rsid w:val="00E0769D"/>
    <w:rsid w:val="00E077E7"/>
    <w:rsid w:val="00E113AE"/>
    <w:rsid w:val="00E12349"/>
    <w:rsid w:val="00E14B65"/>
    <w:rsid w:val="00E14CBC"/>
    <w:rsid w:val="00E167E1"/>
    <w:rsid w:val="00E16C64"/>
    <w:rsid w:val="00E21D90"/>
    <w:rsid w:val="00E22CCA"/>
    <w:rsid w:val="00E24A6A"/>
    <w:rsid w:val="00E2623E"/>
    <w:rsid w:val="00E31AB6"/>
    <w:rsid w:val="00E34E69"/>
    <w:rsid w:val="00E45788"/>
    <w:rsid w:val="00E45A73"/>
    <w:rsid w:val="00E51E59"/>
    <w:rsid w:val="00E523EF"/>
    <w:rsid w:val="00E54990"/>
    <w:rsid w:val="00E62B66"/>
    <w:rsid w:val="00E63A66"/>
    <w:rsid w:val="00E65D72"/>
    <w:rsid w:val="00E75651"/>
    <w:rsid w:val="00E77301"/>
    <w:rsid w:val="00E8100B"/>
    <w:rsid w:val="00E82643"/>
    <w:rsid w:val="00E86D9D"/>
    <w:rsid w:val="00E86DD3"/>
    <w:rsid w:val="00E92B05"/>
    <w:rsid w:val="00E97EF8"/>
    <w:rsid w:val="00EA2D0E"/>
    <w:rsid w:val="00EA3820"/>
    <w:rsid w:val="00EA411D"/>
    <w:rsid w:val="00EA7106"/>
    <w:rsid w:val="00EA7443"/>
    <w:rsid w:val="00EB29A4"/>
    <w:rsid w:val="00EB3145"/>
    <w:rsid w:val="00EB4B9A"/>
    <w:rsid w:val="00EC67D8"/>
    <w:rsid w:val="00ED1A25"/>
    <w:rsid w:val="00ED34EA"/>
    <w:rsid w:val="00ED3569"/>
    <w:rsid w:val="00ED4C0E"/>
    <w:rsid w:val="00ED5A61"/>
    <w:rsid w:val="00ED67C3"/>
    <w:rsid w:val="00ED6F68"/>
    <w:rsid w:val="00EE0347"/>
    <w:rsid w:val="00EE4C62"/>
    <w:rsid w:val="00EF24DA"/>
    <w:rsid w:val="00F007B7"/>
    <w:rsid w:val="00F03720"/>
    <w:rsid w:val="00F047EC"/>
    <w:rsid w:val="00F10AA0"/>
    <w:rsid w:val="00F11BC9"/>
    <w:rsid w:val="00F12BD7"/>
    <w:rsid w:val="00F13363"/>
    <w:rsid w:val="00F151BD"/>
    <w:rsid w:val="00F15261"/>
    <w:rsid w:val="00F17C26"/>
    <w:rsid w:val="00F20318"/>
    <w:rsid w:val="00F21CE6"/>
    <w:rsid w:val="00F22413"/>
    <w:rsid w:val="00F2412C"/>
    <w:rsid w:val="00F333B8"/>
    <w:rsid w:val="00F336F7"/>
    <w:rsid w:val="00F37B54"/>
    <w:rsid w:val="00F47520"/>
    <w:rsid w:val="00F47A43"/>
    <w:rsid w:val="00F576D8"/>
    <w:rsid w:val="00F61CD9"/>
    <w:rsid w:val="00F659F8"/>
    <w:rsid w:val="00F73F9F"/>
    <w:rsid w:val="00F75305"/>
    <w:rsid w:val="00F77949"/>
    <w:rsid w:val="00F83B89"/>
    <w:rsid w:val="00F83FBD"/>
    <w:rsid w:val="00F86A98"/>
    <w:rsid w:val="00F92C7C"/>
    <w:rsid w:val="00F94109"/>
    <w:rsid w:val="00F9711D"/>
    <w:rsid w:val="00FA0919"/>
    <w:rsid w:val="00FA2BD7"/>
    <w:rsid w:val="00FA36D6"/>
    <w:rsid w:val="00FB502F"/>
    <w:rsid w:val="00FC4233"/>
    <w:rsid w:val="00FD2B61"/>
    <w:rsid w:val="00FE1E56"/>
    <w:rsid w:val="00FE366B"/>
    <w:rsid w:val="00FE484B"/>
    <w:rsid w:val="00FE5186"/>
    <w:rsid w:val="00FE5DDB"/>
    <w:rsid w:val="00FF0CF3"/>
    <w:rsid w:val="00FF4123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657743"/>
  <w15:docId w15:val="{582EB6F2-12D1-4F6B-AB13-469D93B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021FF9"/>
    <w:rPr>
      <w:rFonts w:cs="Times New Roman"/>
      <w:sz w:val="24"/>
    </w:rPr>
  </w:style>
  <w:style w:type="character" w:styleId="Lappusesnumurs">
    <w:name w:val="page number"/>
    <w:basedOn w:val="Noklusjumarindkopasfonts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basedOn w:val="Noklusjumarindkopasfonts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uiPriority w:val="99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Noklusjumarindkopasfonts"/>
    <w:uiPriority w:val="99"/>
    <w:semiHidden/>
    <w:locked/>
    <w:rsid w:val="00021FF9"/>
    <w:rPr>
      <w:rFonts w:cs="Times New Roman"/>
      <w:sz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21FF9"/>
    <w:rPr>
      <w:rFonts w:cs="Times New Roman"/>
      <w:sz w:val="2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rsid w:val="005378AD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3B4E5D"/>
    <w:rPr>
      <w:rFonts w:ascii="Calibri" w:hAnsi="Calibri" w:cs="Times New Roman"/>
      <w:lang w:eastAsia="en-US"/>
    </w:rPr>
  </w:style>
  <w:style w:type="character" w:styleId="Vresatsauce">
    <w:name w:val="footnote reference"/>
    <w:basedOn w:val="Noklusjumarindkopasfonts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  <w:style w:type="paragraph" w:styleId="Prskatjums">
    <w:name w:val="Revision"/>
    <w:hidden/>
    <w:uiPriority w:val="99"/>
    <w:semiHidden/>
    <w:rsid w:val="00231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FDA3-FEB4-4A2B-92E0-4BDD1931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1B28BE-8EE0-4F22-BCF9-B80B76A7D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545A9-2620-4D5A-B176-AECE054AC1D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4EF325-C40E-44C9-8BCC-C2546036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6840</Characters>
  <Application>Microsoft Office Word</Application>
  <DocSecurity>0</DocSecurity>
  <Lines>310</Lines>
  <Paragraphs>122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2008.gada 23.septembra noteikumos Nr.792 "Valsts un Eiropas Savienības atbalsta piešķiršanas, administrēšanas un uzraudzības kārtība pasākuma "Infrastruktūra, kas attiecas uz lauksaimniecīb</vt:lpstr>
      <vt:lpstr>Ministru kabineta noteikumu projekta „Grozījumi Ministru kabineta 2008.gada 23.septembra noteikumos Nr.792 "Valsts un Eiropas Savienības atbalsta piešķiršanas, administrēšanas un uzraudzības kārtība pasākuma "Infrastruktūra, kas attiecas uz lauksaimniecīb</vt:lpstr>
    </vt:vector>
  </TitlesOfParts>
  <Company>ZM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2008.gada 23.septembra noteikumos Nr.792 "Valsts un Eiropas Savienības atbalsta piešķiršanas, administrēšanas un uzraudzības kārtība pasākuma "Infrastruktūra, kas attiecas uz lauksaimniecīb</dc:title>
  <dc:subject>Anotācija</dc:subject>
  <dc:creator>Gustavs Straupmanis</dc:creator>
  <cp:lastModifiedBy>Renārs Žagars</cp:lastModifiedBy>
  <cp:revision>7</cp:revision>
  <cp:lastPrinted>2014-10-27T08:59:00Z</cp:lastPrinted>
  <dcterms:created xsi:type="dcterms:W3CDTF">2015-04-17T13:12:00Z</dcterms:created>
  <dcterms:modified xsi:type="dcterms:W3CDTF">2015-04-21T04:57:00Z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