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FB6" w:rsidRPr="00AF164B" w:rsidRDefault="00587FB6" w:rsidP="00587FB6">
      <w:pPr>
        <w:jc w:val="center"/>
        <w:rPr>
          <w:b/>
        </w:rPr>
      </w:pPr>
      <w:r w:rsidRPr="00AF164B">
        <w:rPr>
          <w:b/>
        </w:rPr>
        <w:t xml:space="preserve">Ministru kabineta noteikumu projekta </w:t>
      </w:r>
    </w:p>
    <w:p w:rsidR="00587FB6" w:rsidRPr="00AF164B" w:rsidRDefault="00587FB6" w:rsidP="00587FB6">
      <w:pPr>
        <w:pStyle w:val="Kjene"/>
        <w:tabs>
          <w:tab w:val="clear" w:pos="4153"/>
          <w:tab w:val="clear" w:pos="8306"/>
        </w:tabs>
        <w:jc w:val="center"/>
      </w:pPr>
      <w:r w:rsidRPr="00AF164B">
        <w:rPr>
          <w:b/>
        </w:rPr>
        <w:t>„</w:t>
      </w:r>
      <w:r w:rsidRPr="00AF164B">
        <w:rPr>
          <w:b/>
          <w:bCs/>
        </w:rPr>
        <w:t>Grozījum</w:t>
      </w:r>
      <w:r w:rsidR="005D370E" w:rsidRPr="00AF164B">
        <w:rPr>
          <w:b/>
          <w:bCs/>
        </w:rPr>
        <w:t>i</w:t>
      </w:r>
      <w:r w:rsidRPr="00AF164B">
        <w:rPr>
          <w:b/>
          <w:bCs/>
        </w:rPr>
        <w:t xml:space="preserve"> Ministru kabineta </w:t>
      </w:r>
      <w:proofErr w:type="gramStart"/>
      <w:r w:rsidRPr="00AF164B">
        <w:rPr>
          <w:b/>
          <w:bCs/>
        </w:rPr>
        <w:t>2012.gada</w:t>
      </w:r>
      <w:proofErr w:type="gramEnd"/>
      <w:r w:rsidRPr="00AF164B">
        <w:rPr>
          <w:b/>
          <w:bCs/>
        </w:rPr>
        <w:t xml:space="preserve"> 10.jūlija noteikumos Nr.493</w:t>
      </w:r>
      <w:r w:rsidR="00F661F1" w:rsidRPr="00AF164B">
        <w:rPr>
          <w:b/>
          <w:bCs/>
        </w:rPr>
        <w:t xml:space="preserve"> </w:t>
      </w:r>
      <w:r w:rsidRPr="00AF164B">
        <w:rPr>
          <w:b/>
          <w:bCs/>
        </w:rPr>
        <w:t>„Valsts augu aizsardzības dienesta maksas pakalpojumu cenrādis”</w:t>
      </w:r>
    </w:p>
    <w:p w:rsidR="00587FB6" w:rsidRPr="00AF164B" w:rsidRDefault="00587FB6" w:rsidP="00587FB6">
      <w:pPr>
        <w:jc w:val="center"/>
        <w:rPr>
          <w:b/>
        </w:rPr>
      </w:pPr>
      <w:r w:rsidRPr="00AF164B">
        <w:rPr>
          <w:b/>
        </w:rPr>
        <w:t>sākotnējās ietekmes novērtējuma ziņojums (anotācija)</w:t>
      </w:r>
    </w:p>
    <w:p w:rsidR="00587FB6" w:rsidRPr="00AF164B" w:rsidRDefault="00587FB6" w:rsidP="00587FB6">
      <w:pPr>
        <w:pStyle w:val="naisc"/>
        <w:widowControl w:val="0"/>
        <w:spacing w:before="0" w:beforeAutospacing="0" w:after="0" w:afterAutospacing="0"/>
        <w:rPr>
          <w:b/>
          <w:bCs/>
        </w:rPr>
      </w:pPr>
    </w:p>
    <w:tbl>
      <w:tblPr>
        <w:tblW w:w="5419" w:type="pct"/>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200" w:firstRow="0" w:lastRow="0" w:firstColumn="0" w:lastColumn="0" w:noHBand="1" w:noVBand="0"/>
      </w:tblPr>
      <w:tblGrid>
        <w:gridCol w:w="673"/>
        <w:gridCol w:w="1745"/>
        <w:gridCol w:w="7647"/>
      </w:tblGrid>
      <w:tr w:rsidR="00587FB6" w:rsidRPr="00AF164B" w:rsidTr="001A256B">
        <w:tc>
          <w:tcPr>
            <w:tcW w:w="5000" w:type="pct"/>
            <w:gridSpan w:val="3"/>
          </w:tcPr>
          <w:p w:rsidR="00587FB6" w:rsidRPr="00AF164B" w:rsidRDefault="00587FB6" w:rsidP="00BB175C">
            <w:pPr>
              <w:pStyle w:val="naisnod"/>
              <w:spacing w:before="0" w:beforeAutospacing="0" w:after="0" w:afterAutospacing="0"/>
              <w:jc w:val="center"/>
            </w:pPr>
            <w:r w:rsidRPr="00AF164B">
              <w:rPr>
                <w:b/>
                <w:bCs/>
              </w:rPr>
              <w:t>I. Tiesību akta projekta izstrādes nepieciešamība</w:t>
            </w:r>
          </w:p>
        </w:tc>
      </w:tr>
      <w:tr w:rsidR="00587FB6" w:rsidRPr="00AF164B" w:rsidTr="001A256B">
        <w:tc>
          <w:tcPr>
            <w:tcW w:w="334" w:type="pct"/>
          </w:tcPr>
          <w:p w:rsidR="00587FB6" w:rsidRPr="00AF164B" w:rsidRDefault="00587FB6" w:rsidP="00BB175C">
            <w:pPr>
              <w:pStyle w:val="naiskr"/>
              <w:tabs>
                <w:tab w:val="left" w:pos="3044"/>
              </w:tabs>
              <w:spacing w:before="0" w:beforeAutospacing="0" w:after="0" w:afterAutospacing="0"/>
              <w:jc w:val="both"/>
            </w:pPr>
            <w:r w:rsidRPr="00AF164B">
              <w:t xml:space="preserve">1. </w:t>
            </w:r>
          </w:p>
        </w:tc>
        <w:tc>
          <w:tcPr>
            <w:tcW w:w="867" w:type="pct"/>
          </w:tcPr>
          <w:p w:rsidR="00587FB6" w:rsidRPr="00AF164B" w:rsidRDefault="00587FB6" w:rsidP="00BB175C">
            <w:pPr>
              <w:pStyle w:val="naiskr"/>
              <w:tabs>
                <w:tab w:val="left" w:pos="3044"/>
              </w:tabs>
              <w:spacing w:before="0" w:beforeAutospacing="0" w:after="0" w:afterAutospacing="0"/>
              <w:jc w:val="both"/>
            </w:pPr>
            <w:r w:rsidRPr="00AF164B">
              <w:t>Pamatojums</w:t>
            </w:r>
          </w:p>
        </w:tc>
        <w:tc>
          <w:tcPr>
            <w:tcW w:w="3799" w:type="pct"/>
          </w:tcPr>
          <w:p w:rsidR="00587FB6" w:rsidRPr="00AF164B" w:rsidRDefault="00587FB6" w:rsidP="00BB175C">
            <w:pPr>
              <w:jc w:val="both"/>
            </w:pPr>
            <w:r w:rsidRPr="00AF164B">
              <w:t xml:space="preserve">Likuma par budžetu un finanšu vadību </w:t>
            </w:r>
            <w:proofErr w:type="gramStart"/>
            <w:r w:rsidRPr="00AF164B">
              <w:t>5.panta</w:t>
            </w:r>
            <w:proofErr w:type="gramEnd"/>
            <w:r w:rsidRPr="00AF164B">
              <w:t xml:space="preserve"> devītā daļa.</w:t>
            </w:r>
          </w:p>
        </w:tc>
      </w:tr>
      <w:tr w:rsidR="00587FB6" w:rsidRPr="00AF164B" w:rsidTr="001A256B">
        <w:tc>
          <w:tcPr>
            <w:tcW w:w="334" w:type="pct"/>
          </w:tcPr>
          <w:p w:rsidR="00587FB6" w:rsidRPr="00AF164B" w:rsidRDefault="00587FB6" w:rsidP="00BB175C">
            <w:pPr>
              <w:pStyle w:val="Pamatteksts"/>
              <w:widowControl w:val="0"/>
              <w:jc w:val="both"/>
              <w:rPr>
                <w:b w:val="0"/>
                <w:sz w:val="24"/>
                <w:szCs w:val="24"/>
              </w:rPr>
            </w:pPr>
            <w:r w:rsidRPr="00AF164B">
              <w:rPr>
                <w:b w:val="0"/>
                <w:sz w:val="24"/>
                <w:szCs w:val="24"/>
              </w:rPr>
              <w:t xml:space="preserve">2. </w:t>
            </w:r>
          </w:p>
        </w:tc>
        <w:tc>
          <w:tcPr>
            <w:tcW w:w="867" w:type="pct"/>
          </w:tcPr>
          <w:p w:rsidR="00587FB6" w:rsidRPr="00AF164B" w:rsidRDefault="00587FB6" w:rsidP="00BB175C">
            <w:pPr>
              <w:pStyle w:val="Pamatteksts"/>
              <w:widowControl w:val="0"/>
              <w:jc w:val="both"/>
              <w:rPr>
                <w:b w:val="0"/>
                <w:sz w:val="24"/>
                <w:szCs w:val="24"/>
              </w:rPr>
            </w:pPr>
            <w:r w:rsidRPr="00AF164B">
              <w:rPr>
                <w:b w:val="0"/>
                <w:sz w:val="24"/>
                <w:szCs w:val="24"/>
              </w:rPr>
              <w:t>Pašreizējā situācija un problēmas, kuru risināšanai tiesību akta projekts izstrādāts, tiesiskā regulējuma mērķis un būtība</w:t>
            </w:r>
          </w:p>
        </w:tc>
        <w:tc>
          <w:tcPr>
            <w:tcW w:w="3799" w:type="pct"/>
          </w:tcPr>
          <w:p w:rsidR="00587FB6" w:rsidRPr="00AF164B" w:rsidRDefault="00587FB6" w:rsidP="00F74891">
            <w:pPr>
              <w:ind w:firstLine="385"/>
              <w:jc w:val="both"/>
              <w:rPr>
                <w:bCs/>
              </w:rPr>
            </w:pPr>
            <w:r w:rsidRPr="00AF164B">
              <w:rPr>
                <w:iCs/>
              </w:rPr>
              <w:t xml:space="preserve">Patlaban ir spēkā Ministru kabineta </w:t>
            </w:r>
            <w:proofErr w:type="gramStart"/>
            <w:r w:rsidRPr="00AF164B">
              <w:rPr>
                <w:iCs/>
              </w:rPr>
              <w:t>2012.gada</w:t>
            </w:r>
            <w:proofErr w:type="gramEnd"/>
            <w:r w:rsidRPr="00AF164B">
              <w:rPr>
                <w:iCs/>
              </w:rPr>
              <w:t xml:space="preserve"> 10.jūlija noteikumi Nr.493 „</w:t>
            </w:r>
            <w:r w:rsidRPr="00AF164B">
              <w:rPr>
                <w:bCs/>
              </w:rPr>
              <w:t>Valsts augu aizsardzības dienesta maksas pakalpojumu cenrādis” (turpmāk –</w:t>
            </w:r>
            <w:r w:rsidR="006A37FF" w:rsidRPr="00AF164B">
              <w:rPr>
                <w:bCs/>
              </w:rPr>
              <w:t xml:space="preserve"> </w:t>
            </w:r>
            <w:r w:rsidRPr="00AF164B">
              <w:rPr>
                <w:bCs/>
              </w:rPr>
              <w:t xml:space="preserve">noteikumi Nr.493). </w:t>
            </w:r>
          </w:p>
          <w:p w:rsidR="00232C43" w:rsidRPr="00AF164B" w:rsidRDefault="006D26E8" w:rsidP="0076543A">
            <w:pPr>
              <w:pStyle w:val="Pamatteksts"/>
              <w:numPr>
                <w:ilvl w:val="0"/>
                <w:numId w:val="2"/>
              </w:numPr>
              <w:ind w:left="26" w:firstLine="425"/>
              <w:jc w:val="both"/>
              <w:rPr>
                <w:bCs/>
                <w:sz w:val="24"/>
                <w:szCs w:val="24"/>
              </w:rPr>
            </w:pPr>
            <w:r w:rsidRPr="00AF164B">
              <w:rPr>
                <w:b w:val="0"/>
                <w:bCs/>
                <w:sz w:val="24"/>
                <w:szCs w:val="24"/>
              </w:rPr>
              <w:t xml:space="preserve">Kopš </w:t>
            </w:r>
            <w:proofErr w:type="gramStart"/>
            <w:r w:rsidRPr="00AF164B">
              <w:rPr>
                <w:b w:val="0"/>
                <w:bCs/>
                <w:sz w:val="24"/>
                <w:szCs w:val="24"/>
              </w:rPr>
              <w:t>2000.gada</w:t>
            </w:r>
            <w:proofErr w:type="gramEnd"/>
            <w:r w:rsidRPr="00AF164B">
              <w:rPr>
                <w:b w:val="0"/>
                <w:bCs/>
                <w:sz w:val="24"/>
                <w:szCs w:val="24"/>
              </w:rPr>
              <w:t xml:space="preserve"> ir noteikts </w:t>
            </w:r>
            <w:r w:rsidR="00587FB6" w:rsidRPr="00AF164B">
              <w:rPr>
                <w:b w:val="0"/>
                <w:sz w:val="24"/>
                <w:szCs w:val="24"/>
              </w:rPr>
              <w:t>vienād</w:t>
            </w:r>
            <w:r w:rsidRPr="00AF164B">
              <w:rPr>
                <w:b w:val="0"/>
                <w:sz w:val="24"/>
                <w:szCs w:val="24"/>
              </w:rPr>
              <w:t>s</w:t>
            </w:r>
            <w:r w:rsidR="00587FB6" w:rsidRPr="00AF164B">
              <w:rPr>
                <w:b w:val="0"/>
                <w:sz w:val="24"/>
                <w:szCs w:val="24"/>
              </w:rPr>
              <w:t xml:space="preserve"> izcenojum</w:t>
            </w:r>
            <w:r w:rsidRPr="00AF164B">
              <w:rPr>
                <w:b w:val="0"/>
                <w:sz w:val="24"/>
                <w:szCs w:val="24"/>
              </w:rPr>
              <w:t>s</w:t>
            </w:r>
            <w:r w:rsidR="00587FB6" w:rsidRPr="00AF164B">
              <w:rPr>
                <w:b w:val="0"/>
                <w:sz w:val="24"/>
                <w:szCs w:val="24"/>
              </w:rPr>
              <w:t xml:space="preserve"> fitosanitārajām pārbaudēm </w:t>
            </w:r>
            <w:r w:rsidR="00587FB6" w:rsidRPr="00AF164B">
              <w:rPr>
                <w:sz w:val="24"/>
                <w:szCs w:val="24"/>
              </w:rPr>
              <w:t>zāģmateriālu un zāģbaļķu</w:t>
            </w:r>
            <w:r w:rsidR="00006E8D" w:rsidRPr="00AF164B">
              <w:rPr>
                <w:sz w:val="24"/>
                <w:szCs w:val="24"/>
              </w:rPr>
              <w:t xml:space="preserve"> (turpmāk – apaļkoki)</w:t>
            </w:r>
            <w:r w:rsidR="00587FB6" w:rsidRPr="00AF164B">
              <w:rPr>
                <w:sz w:val="24"/>
                <w:szCs w:val="24"/>
              </w:rPr>
              <w:t xml:space="preserve"> kravām</w:t>
            </w:r>
            <w:r w:rsidR="006A37FF" w:rsidRPr="00AF164B">
              <w:rPr>
                <w:b w:val="0"/>
                <w:sz w:val="24"/>
                <w:szCs w:val="24"/>
              </w:rPr>
              <w:t>.</w:t>
            </w:r>
            <w:r w:rsidR="00587FB6" w:rsidRPr="00AF164B">
              <w:rPr>
                <w:b w:val="0"/>
                <w:sz w:val="24"/>
                <w:szCs w:val="24"/>
              </w:rPr>
              <w:t xml:space="preserve"> </w:t>
            </w:r>
            <w:r w:rsidR="006A37FF" w:rsidRPr="00AF164B">
              <w:rPr>
                <w:b w:val="0"/>
                <w:sz w:val="24"/>
                <w:szCs w:val="24"/>
              </w:rPr>
              <w:t>Izcenojums</w:t>
            </w:r>
            <w:r w:rsidR="00587FB6" w:rsidRPr="00AF164B">
              <w:rPr>
                <w:b w:val="0"/>
                <w:sz w:val="24"/>
                <w:szCs w:val="24"/>
              </w:rPr>
              <w:t xml:space="preserve"> noteikts, to nediferencējot pa koksnes veidiem</w:t>
            </w:r>
            <w:r w:rsidR="006A37FF" w:rsidRPr="00AF164B">
              <w:rPr>
                <w:b w:val="0"/>
                <w:sz w:val="24"/>
                <w:szCs w:val="24"/>
              </w:rPr>
              <w:t>, proti,</w:t>
            </w:r>
            <w:r w:rsidR="00BA4826" w:rsidRPr="00AF164B">
              <w:rPr>
                <w:b w:val="0"/>
                <w:sz w:val="24"/>
                <w:szCs w:val="24"/>
              </w:rPr>
              <w:t xml:space="preserve"> </w:t>
            </w:r>
            <w:r w:rsidR="007908CC" w:rsidRPr="00AF164B">
              <w:rPr>
                <w:b w:val="0"/>
                <w:sz w:val="24"/>
                <w:szCs w:val="24"/>
              </w:rPr>
              <w:t xml:space="preserve">kokzāģētavā </w:t>
            </w:r>
            <w:r w:rsidR="00BB175C" w:rsidRPr="00AF164B">
              <w:rPr>
                <w:b w:val="0"/>
                <w:sz w:val="24"/>
                <w:szCs w:val="24"/>
              </w:rPr>
              <w:t>apstrādāta</w:t>
            </w:r>
            <w:r w:rsidR="003F47EB" w:rsidRPr="00AF164B">
              <w:rPr>
                <w:b w:val="0"/>
                <w:sz w:val="24"/>
                <w:szCs w:val="24"/>
              </w:rPr>
              <w:t xml:space="preserve"> vai </w:t>
            </w:r>
            <w:r w:rsidR="00BB175C" w:rsidRPr="00AF164B">
              <w:rPr>
                <w:b w:val="0"/>
                <w:sz w:val="24"/>
                <w:szCs w:val="24"/>
              </w:rPr>
              <w:t>neapstrādāta koksne.</w:t>
            </w:r>
          </w:p>
          <w:p w:rsidR="00587FB6" w:rsidRPr="00AF164B" w:rsidRDefault="00232C43" w:rsidP="00BB175C">
            <w:pPr>
              <w:pStyle w:val="Pamatteksts"/>
              <w:jc w:val="both"/>
              <w:rPr>
                <w:b w:val="0"/>
                <w:sz w:val="24"/>
                <w:szCs w:val="24"/>
              </w:rPr>
            </w:pPr>
            <w:r w:rsidRPr="00AF164B">
              <w:rPr>
                <w:sz w:val="24"/>
                <w:szCs w:val="24"/>
              </w:rPr>
              <w:t xml:space="preserve">    </w:t>
            </w:r>
            <w:r w:rsidR="0050588B" w:rsidRPr="00AF164B">
              <w:rPr>
                <w:sz w:val="24"/>
                <w:szCs w:val="24"/>
              </w:rPr>
              <w:t xml:space="preserve">  </w:t>
            </w:r>
            <w:r w:rsidRPr="00AF164B">
              <w:rPr>
                <w:b w:val="0"/>
                <w:sz w:val="24"/>
                <w:szCs w:val="24"/>
              </w:rPr>
              <w:t>Lai izsniegtu fitosanitāro sertifikātu, iepriekš jāveic fitosanitārā pārbaude kravai, no</w:t>
            </w:r>
            <w:r w:rsidR="006A37FF" w:rsidRPr="00AF164B">
              <w:rPr>
                <w:b w:val="0"/>
                <w:sz w:val="24"/>
                <w:szCs w:val="24"/>
              </w:rPr>
              <w:t>sakot</w:t>
            </w:r>
            <w:r w:rsidR="006D26E8" w:rsidRPr="00AF164B">
              <w:rPr>
                <w:b w:val="0"/>
                <w:sz w:val="24"/>
                <w:szCs w:val="24"/>
              </w:rPr>
              <w:t>,</w:t>
            </w:r>
            <w:r w:rsidRPr="00AF164B">
              <w:rPr>
                <w:b w:val="0"/>
                <w:sz w:val="24"/>
                <w:szCs w:val="24"/>
              </w:rPr>
              <w:t xml:space="preserve"> vai </w:t>
            </w:r>
            <w:r w:rsidR="0050588B" w:rsidRPr="00AF164B">
              <w:rPr>
                <w:b w:val="0"/>
                <w:sz w:val="24"/>
                <w:szCs w:val="24"/>
              </w:rPr>
              <w:t>krava atbilst importētājvalsts fitosanitārām prasībām.</w:t>
            </w:r>
          </w:p>
          <w:p w:rsidR="00304C38" w:rsidRPr="00AF164B" w:rsidRDefault="0050588B" w:rsidP="00710848">
            <w:pPr>
              <w:ind w:firstLine="451"/>
              <w:jc w:val="both"/>
            </w:pPr>
            <w:r w:rsidRPr="00AF164B">
              <w:t xml:space="preserve">Tā kā </w:t>
            </w:r>
            <w:r w:rsidR="00F74891" w:rsidRPr="00AF164B">
              <w:t>apaļkokiem (neapstrādātai koksne</w:t>
            </w:r>
            <w:r w:rsidR="006D26E8" w:rsidRPr="00AF164B">
              <w:t>i</w:t>
            </w:r>
            <w:r w:rsidR="00F74891" w:rsidRPr="00AF164B">
              <w:t>)</w:t>
            </w:r>
            <w:r w:rsidR="006D26E8" w:rsidRPr="00AF164B">
              <w:t xml:space="preserve"> </w:t>
            </w:r>
            <w:r w:rsidR="00A6482C" w:rsidRPr="00AF164B">
              <w:t>salīdzi</w:t>
            </w:r>
            <w:r w:rsidR="006A37FF" w:rsidRPr="00AF164B">
              <w:t>nājumā</w:t>
            </w:r>
            <w:r w:rsidR="00A6482C" w:rsidRPr="00AF164B">
              <w:t xml:space="preserve"> ar zāģmateriāliem (</w:t>
            </w:r>
            <w:r w:rsidR="00E2065A" w:rsidRPr="00AF164B">
              <w:t xml:space="preserve">mehāniski </w:t>
            </w:r>
            <w:r w:rsidR="00A6482C" w:rsidRPr="00AF164B">
              <w:t xml:space="preserve">apstrādātu koksni) </w:t>
            </w:r>
            <w:r w:rsidR="006D26E8" w:rsidRPr="00AF164B">
              <w:t xml:space="preserve">ir </w:t>
            </w:r>
            <w:r w:rsidR="006A37FF" w:rsidRPr="00AF164B">
              <w:t>liels</w:t>
            </w:r>
            <w:r w:rsidR="006D26E8" w:rsidRPr="00AF164B">
              <w:t xml:space="preserve"> fitosanitārais risks, </w:t>
            </w:r>
            <w:r w:rsidR="002F51D5" w:rsidRPr="00AF164B">
              <w:t xml:space="preserve">ir </w:t>
            </w:r>
            <w:r w:rsidR="00EA3C50" w:rsidRPr="00AF164B">
              <w:t>jāpiemēro fitosanitārie pasākumi</w:t>
            </w:r>
            <w:r w:rsidR="006A37FF" w:rsidRPr="00AF164B">
              <w:t>, t.i.,</w:t>
            </w:r>
            <w:r w:rsidR="00EA3C50" w:rsidRPr="00AF164B">
              <w:t xml:space="preserve"> </w:t>
            </w:r>
            <w:r w:rsidR="002F51D5" w:rsidRPr="00AF164B">
              <w:t xml:space="preserve">jāveic koksnes </w:t>
            </w:r>
            <w:proofErr w:type="spellStart"/>
            <w:r w:rsidR="002F51D5" w:rsidRPr="00AF164B">
              <w:t>fumigēšana</w:t>
            </w:r>
            <w:proofErr w:type="spellEnd"/>
            <w:r w:rsidR="002F51D5" w:rsidRPr="00AF164B">
              <w:t xml:space="preserve"> pret kaitēkļiem. Latvijā koksnes </w:t>
            </w:r>
            <w:proofErr w:type="spellStart"/>
            <w:r w:rsidR="002F51D5" w:rsidRPr="00AF164B">
              <w:t>fumigēšanai</w:t>
            </w:r>
            <w:proofErr w:type="spellEnd"/>
            <w:r w:rsidR="002F51D5" w:rsidRPr="00AF164B">
              <w:t xml:space="preserve"> pret kaitēkļiem nav reģistrēts nevi</w:t>
            </w:r>
            <w:r w:rsidR="00F74891" w:rsidRPr="00AF164B">
              <w:t>ens augu aizsardzības līdzeklis</w:t>
            </w:r>
            <w:r w:rsidR="00B13CBE" w:rsidRPr="00AF164B">
              <w:t>,</w:t>
            </w:r>
            <w:r w:rsidR="00E2065A" w:rsidRPr="00AF164B">
              <w:t xml:space="preserve"> </w:t>
            </w:r>
            <w:r w:rsidRPr="00AF164B">
              <w:t>b</w:t>
            </w:r>
            <w:r w:rsidR="002F51D5" w:rsidRPr="00AF164B">
              <w:t xml:space="preserve">et </w:t>
            </w:r>
            <w:r w:rsidR="00A6482C" w:rsidRPr="00AF164B">
              <w:t xml:space="preserve">atbilstoši Eiropas Parlamenta un Padomes </w:t>
            </w:r>
            <w:proofErr w:type="gramStart"/>
            <w:r w:rsidR="00A6482C" w:rsidRPr="00AF164B">
              <w:t>2009.gada</w:t>
            </w:r>
            <w:proofErr w:type="gramEnd"/>
            <w:r w:rsidR="00A6482C" w:rsidRPr="00AF164B">
              <w:t xml:space="preserve"> 21.oktobra Regulas (EK) Nr.</w:t>
            </w:r>
            <w:hyperlink r:id="rId8" w:tgtFrame="_blank" w:history="1">
              <w:r w:rsidR="00A6482C" w:rsidRPr="00AF164B">
                <w:rPr>
                  <w:rStyle w:val="Hipersaite"/>
                  <w:color w:val="auto"/>
                </w:rPr>
                <w:t>1107/2009</w:t>
              </w:r>
            </w:hyperlink>
            <w:r w:rsidR="00A6482C" w:rsidRPr="00AF164B">
              <w:t xml:space="preserve"> par augu aizsardzības līdzekļu laišanu tirgū, ar ko atceļ Padomes Direktīvas </w:t>
            </w:r>
            <w:hyperlink r:id="rId9" w:tgtFrame="_blank" w:history="1">
              <w:r w:rsidR="00A6482C" w:rsidRPr="00AF164B">
                <w:rPr>
                  <w:rStyle w:val="Hipersaite"/>
                  <w:color w:val="auto"/>
                </w:rPr>
                <w:t>79/117/EEK</w:t>
              </w:r>
            </w:hyperlink>
            <w:r w:rsidR="00A6482C" w:rsidRPr="00AF164B">
              <w:t xml:space="preserve"> un </w:t>
            </w:r>
            <w:hyperlink r:id="rId10" w:tgtFrame="_blank" w:history="1">
              <w:r w:rsidR="00A6482C" w:rsidRPr="00AF164B">
                <w:rPr>
                  <w:rStyle w:val="Hipersaite"/>
                  <w:color w:val="auto"/>
                </w:rPr>
                <w:t>91/414/EEK</w:t>
              </w:r>
            </w:hyperlink>
            <w:r w:rsidR="006A37FF" w:rsidRPr="00AF164B">
              <w:rPr>
                <w:rStyle w:val="Hipersaite"/>
                <w:color w:val="auto"/>
              </w:rPr>
              <w:t>,</w:t>
            </w:r>
            <w:r w:rsidR="00A6482C" w:rsidRPr="00AF164B">
              <w:t xml:space="preserve"> (turpmāk</w:t>
            </w:r>
            <w:r w:rsidR="003F47EB" w:rsidRPr="00AF164B">
              <w:t xml:space="preserve"> </w:t>
            </w:r>
            <w:r w:rsidR="006A37FF" w:rsidRPr="00AF164B">
              <w:t>–</w:t>
            </w:r>
            <w:r w:rsidR="003F47EB" w:rsidRPr="00AF164B">
              <w:t xml:space="preserve"> </w:t>
            </w:r>
            <w:r w:rsidR="00A6482C" w:rsidRPr="00AF164B">
              <w:t xml:space="preserve">Regula) 51.pantam </w:t>
            </w:r>
            <w:r w:rsidR="002F51D5" w:rsidRPr="00AF164B">
              <w:t xml:space="preserve">ir izsniegtas atļaujas uzņēmējiem </w:t>
            </w:r>
            <w:r w:rsidR="00B13CBE" w:rsidRPr="00AF164B">
              <w:t xml:space="preserve">reģistrēta </w:t>
            </w:r>
            <w:r w:rsidR="002F51D5" w:rsidRPr="00AF164B">
              <w:t>augu aizsardzības līdzekļa (</w:t>
            </w:r>
            <w:proofErr w:type="spellStart"/>
            <w:r w:rsidR="002F51D5" w:rsidRPr="00AF164B">
              <w:t>Magtoksīns</w:t>
            </w:r>
            <w:proofErr w:type="spellEnd"/>
            <w:r w:rsidR="002F51D5" w:rsidRPr="00AF164B">
              <w:t xml:space="preserve"> </w:t>
            </w:r>
            <w:proofErr w:type="spellStart"/>
            <w:r w:rsidR="002F51D5" w:rsidRPr="00AF164B">
              <w:t>tb</w:t>
            </w:r>
            <w:proofErr w:type="spellEnd"/>
            <w:r w:rsidR="002F51D5" w:rsidRPr="00AF164B">
              <w:t>.) lietošanas jomas paplašinājumam priedes, egles, apses</w:t>
            </w:r>
            <w:r w:rsidR="006A37FF" w:rsidRPr="00AF164B">
              <w:t xml:space="preserve"> un</w:t>
            </w:r>
            <w:r w:rsidR="00705D42" w:rsidRPr="00AF164B">
              <w:t xml:space="preserve"> bērza</w:t>
            </w:r>
            <w:r w:rsidR="002F51D5" w:rsidRPr="00AF164B">
              <w:t xml:space="preserve"> apaļkoku apstrādei.</w:t>
            </w:r>
            <w:r w:rsidR="006A37FF" w:rsidRPr="00AF164B">
              <w:t xml:space="preserve"> Tomēr minētajam līdzeklim </w:t>
            </w:r>
            <w:r w:rsidR="00A6482C" w:rsidRPr="00AF164B">
              <w:t>netiek</w:t>
            </w:r>
            <w:r w:rsidR="0022208F" w:rsidRPr="00AF164B">
              <w:t xml:space="preserve"> veikti efektivitātes pētījumi,</w:t>
            </w:r>
            <w:r w:rsidR="004824FC" w:rsidRPr="00AF164B">
              <w:t xml:space="preserve"> </w:t>
            </w:r>
            <w:r w:rsidR="006A37FF" w:rsidRPr="00AF164B">
              <w:t xml:space="preserve">tāpēc </w:t>
            </w:r>
            <w:r w:rsidR="006D26E8" w:rsidRPr="00AF164B">
              <w:t xml:space="preserve">pat pēc </w:t>
            </w:r>
            <w:r w:rsidR="00A6482C" w:rsidRPr="00AF164B">
              <w:t xml:space="preserve">koksnes </w:t>
            </w:r>
            <w:r w:rsidR="006D26E8" w:rsidRPr="00AF164B">
              <w:t xml:space="preserve">apstrādes ar augu aizsardzības līdzekli </w:t>
            </w:r>
            <w:proofErr w:type="spellStart"/>
            <w:r w:rsidR="006D26E8" w:rsidRPr="00AF164B">
              <w:t>Magtoksīns</w:t>
            </w:r>
            <w:proofErr w:type="spellEnd"/>
            <w:r w:rsidR="006D26E8" w:rsidRPr="00AF164B">
              <w:t xml:space="preserve"> </w:t>
            </w:r>
            <w:proofErr w:type="spellStart"/>
            <w:r w:rsidR="006D26E8" w:rsidRPr="00AF164B">
              <w:t>tb</w:t>
            </w:r>
            <w:proofErr w:type="spellEnd"/>
            <w:r w:rsidR="006D26E8" w:rsidRPr="00AF164B">
              <w:t xml:space="preserve">. </w:t>
            </w:r>
            <w:r w:rsidR="006A37FF" w:rsidRPr="00AF164B">
              <w:t>saglabājas</w:t>
            </w:r>
            <w:r w:rsidR="006D26E8" w:rsidRPr="00AF164B">
              <w:t xml:space="preserve"> </w:t>
            </w:r>
            <w:r w:rsidR="006A37FF" w:rsidRPr="00AF164B">
              <w:t>liels</w:t>
            </w:r>
            <w:r w:rsidR="006D26E8" w:rsidRPr="00AF164B">
              <w:t xml:space="preserve"> fitosan</w:t>
            </w:r>
            <w:r w:rsidR="00780727" w:rsidRPr="00AF164B">
              <w:t>i</w:t>
            </w:r>
            <w:r w:rsidR="006D26E8" w:rsidRPr="00AF164B">
              <w:t>tārais risks</w:t>
            </w:r>
            <w:r w:rsidR="00DA77B6" w:rsidRPr="00AF164B">
              <w:t>, jo nav pārbaudīta šī augu aizsardzības līdzekļa iedarbības efektivitāte uz koksnei kaitīgiem organismiem</w:t>
            </w:r>
            <w:r w:rsidR="006D26E8" w:rsidRPr="00AF164B">
              <w:t xml:space="preserve">. </w:t>
            </w:r>
            <w:r w:rsidR="00A6482C" w:rsidRPr="00AF164B">
              <w:t>Tādēļ</w:t>
            </w:r>
            <w:r w:rsidR="00DA77B6" w:rsidRPr="00AF164B">
              <w:t>,</w:t>
            </w:r>
            <w:r w:rsidR="00A6482C" w:rsidRPr="00AF164B">
              <w:t xml:space="preserve"> </w:t>
            </w:r>
            <w:r w:rsidR="00DA77B6" w:rsidRPr="00AF164B">
              <w:t>lai novērstu</w:t>
            </w:r>
            <w:r w:rsidR="006A37FF" w:rsidRPr="00AF164B">
              <w:t xml:space="preserve"> to</w:t>
            </w:r>
            <w:r w:rsidR="00DA77B6" w:rsidRPr="00AF164B">
              <w:t xml:space="preserve">, ka </w:t>
            </w:r>
            <w:r w:rsidR="00304C38" w:rsidRPr="00AF164B">
              <w:t xml:space="preserve">no Latvijas izvestā </w:t>
            </w:r>
            <w:r w:rsidR="00DA77B6" w:rsidRPr="00AF164B">
              <w:t xml:space="preserve">apaļkoku kravā </w:t>
            </w:r>
            <w:r w:rsidR="00304C38" w:rsidRPr="00AF164B">
              <w:t>tiek atklāti</w:t>
            </w:r>
            <w:r w:rsidR="00DA77B6" w:rsidRPr="00AF164B">
              <w:t xml:space="preserve"> kaitīgie organismi</w:t>
            </w:r>
            <w:r w:rsidR="006A37FF" w:rsidRPr="00AF164B">
              <w:t>,</w:t>
            </w:r>
            <w:r w:rsidR="00DA77B6" w:rsidRPr="00AF164B">
              <w:t xml:space="preserve"> </w:t>
            </w:r>
            <w:proofErr w:type="gramStart"/>
            <w:r w:rsidR="00DA77B6" w:rsidRPr="00AF164B">
              <w:t>un</w:t>
            </w:r>
            <w:proofErr w:type="gramEnd"/>
            <w:r w:rsidR="00DA77B6" w:rsidRPr="00AF164B">
              <w:t xml:space="preserve"> </w:t>
            </w:r>
            <w:r w:rsidR="00304C38" w:rsidRPr="00AF164B">
              <w:t xml:space="preserve">lai </w:t>
            </w:r>
            <w:r w:rsidR="00DA77B6" w:rsidRPr="00AF164B">
              <w:t xml:space="preserve">netiktu saņemtas </w:t>
            </w:r>
            <w:r w:rsidR="006A37FF" w:rsidRPr="00AF164B">
              <w:t>n</w:t>
            </w:r>
            <w:r w:rsidR="00DA77B6" w:rsidRPr="00AF164B">
              <w:t>otifikācijas</w:t>
            </w:r>
            <w:r w:rsidR="00304C38" w:rsidRPr="00AF164B">
              <w:t xml:space="preserve"> </w:t>
            </w:r>
            <w:r w:rsidR="00DA77B6" w:rsidRPr="00AF164B">
              <w:t>(</w:t>
            </w:r>
            <w:r w:rsidR="00304C38" w:rsidRPr="00AF164B">
              <w:t xml:space="preserve">eksportētājvalstij adresēts importētājvalsts </w:t>
            </w:r>
            <w:r w:rsidR="00DA77B6" w:rsidRPr="00AF164B">
              <w:t>paziņojums par kravas fitosanitāro prasību neatbilstību),</w:t>
            </w:r>
            <w:r w:rsidR="00304C38" w:rsidRPr="00AF164B">
              <w:t xml:space="preserve"> </w:t>
            </w:r>
            <w:r w:rsidR="004824FC" w:rsidRPr="00AF164B">
              <w:t>Valsts augu aizsardzības dienesta</w:t>
            </w:r>
            <w:r w:rsidR="00F74891" w:rsidRPr="00AF164B">
              <w:t xml:space="preserve"> </w:t>
            </w:r>
            <w:r w:rsidR="006B7A31" w:rsidRPr="00AF164B">
              <w:t xml:space="preserve">(turpmāk – dienests) </w:t>
            </w:r>
            <w:r w:rsidR="004824FC" w:rsidRPr="00AF164B">
              <w:t>inspektori</w:t>
            </w:r>
            <w:r w:rsidR="00F42FF9" w:rsidRPr="00AF164B">
              <w:t>em</w:t>
            </w:r>
            <w:r w:rsidR="004824FC" w:rsidRPr="00AF164B">
              <w:t xml:space="preserve"> </w:t>
            </w:r>
            <w:r w:rsidR="00DC4169" w:rsidRPr="00AF164B">
              <w:t>ir jāveic pastiprināta</w:t>
            </w:r>
            <w:r w:rsidR="00DC4169" w:rsidRPr="00AF164B">
              <w:rPr>
                <w:color w:val="1F497D"/>
              </w:rPr>
              <w:t xml:space="preserve"> </w:t>
            </w:r>
            <w:r w:rsidR="00DC4169" w:rsidRPr="00AF164B">
              <w:t>apaļkoku kravu fitosanitārā kontrole</w:t>
            </w:r>
            <w:r w:rsidR="00304C38" w:rsidRPr="00AF164B">
              <w:t>.</w:t>
            </w:r>
            <w:r w:rsidR="00A6482C" w:rsidRPr="00AF164B">
              <w:t xml:space="preserve"> </w:t>
            </w:r>
          </w:p>
          <w:p w:rsidR="00304C38" w:rsidRPr="00AF164B" w:rsidRDefault="006A37FF" w:rsidP="00E2065A">
            <w:pPr>
              <w:jc w:val="both"/>
              <w:rPr>
                <w:strike/>
              </w:rPr>
            </w:pPr>
            <w:r w:rsidRPr="00AF164B">
              <w:t>Tiklīdz</w:t>
            </w:r>
            <w:r w:rsidR="00304C38" w:rsidRPr="00AF164B">
              <w:t xml:space="preserve"> </w:t>
            </w:r>
            <w:r w:rsidRPr="00AF164B">
              <w:t xml:space="preserve">no importētājvalsts </w:t>
            </w:r>
            <w:r w:rsidR="00304C38" w:rsidRPr="00AF164B">
              <w:t>tiek saņemt</w:t>
            </w:r>
            <w:r w:rsidR="007908CC" w:rsidRPr="00AF164B">
              <w:t>a</w:t>
            </w:r>
            <w:r w:rsidR="00304C38" w:rsidRPr="00AF164B">
              <w:t xml:space="preserve"> </w:t>
            </w:r>
            <w:r w:rsidRPr="00AF164B">
              <w:t>n</w:t>
            </w:r>
            <w:r w:rsidR="00304C38" w:rsidRPr="00AF164B">
              <w:t xml:space="preserve">otifikācija, </w:t>
            </w:r>
            <w:r w:rsidR="007908CC" w:rsidRPr="00AF164B">
              <w:t xml:space="preserve">importētājvalstij rodas pamats aizliegt vai kavēt konkrēto kravu eksportu, </w:t>
            </w:r>
            <w:r w:rsidRPr="00AF164B">
              <w:t>bet tas</w:t>
            </w:r>
            <w:r w:rsidR="007908CC" w:rsidRPr="00AF164B">
              <w:t xml:space="preserve"> var radīt negatīvas ekonomiskas sekas Latvijas eksportētājiem. </w:t>
            </w:r>
          </w:p>
          <w:p w:rsidR="00974211" w:rsidRPr="00AF164B" w:rsidRDefault="007908CC" w:rsidP="00A62065">
            <w:pPr>
              <w:ind w:left="26" w:firstLine="425"/>
              <w:jc w:val="both"/>
            </w:pPr>
            <w:r w:rsidRPr="00AF164B">
              <w:t xml:space="preserve">Ņemot vērā </w:t>
            </w:r>
            <w:r w:rsidR="00D57DA4" w:rsidRPr="00AF164B">
              <w:t>fitosanitārā riska būtiskās atšķirības starp zāģmateriāliem (kokzāģētavā mehāniski apstrādātu koksni) un apaļkokiem (mehāniski neapstrādātu koksni),</w:t>
            </w:r>
            <w:r w:rsidRPr="00AF164B">
              <w:t xml:space="preserve"> </w:t>
            </w:r>
            <w:r w:rsidR="006A37FF" w:rsidRPr="00AF164B">
              <w:t xml:space="preserve">ar </w:t>
            </w:r>
            <w:r w:rsidR="00D57DA4" w:rsidRPr="00AF164B">
              <w:t xml:space="preserve">noteikumu </w:t>
            </w:r>
            <w:r w:rsidR="004824FC" w:rsidRPr="00AF164B">
              <w:t>projekt</w:t>
            </w:r>
            <w:r w:rsidR="006A37FF" w:rsidRPr="00AF164B">
              <w:t>u</w:t>
            </w:r>
            <w:r w:rsidR="004824FC" w:rsidRPr="00AF164B">
              <w:t xml:space="preserve"> ieviest</w:t>
            </w:r>
            <w:r w:rsidR="006A37FF" w:rsidRPr="00AF164B">
              <w:t>s</w:t>
            </w:r>
            <w:r w:rsidR="004824FC" w:rsidRPr="00AF164B">
              <w:t xml:space="preserve"> </w:t>
            </w:r>
            <w:r w:rsidR="00A62065" w:rsidRPr="00AF164B">
              <w:t>diferencēt</w:t>
            </w:r>
            <w:r w:rsidR="006A37FF" w:rsidRPr="00AF164B">
              <w:t>s</w:t>
            </w:r>
            <w:r w:rsidR="004824FC" w:rsidRPr="00AF164B">
              <w:t xml:space="preserve"> izcenojum</w:t>
            </w:r>
            <w:r w:rsidR="006A37FF" w:rsidRPr="00AF164B">
              <w:t>s</w:t>
            </w:r>
            <w:r w:rsidR="004824FC" w:rsidRPr="00AF164B">
              <w:t xml:space="preserve"> fitosanitārajām pārbaudēm </w:t>
            </w:r>
            <w:r w:rsidR="0022208F" w:rsidRPr="00AF164B">
              <w:t>apaļkokiem</w:t>
            </w:r>
            <w:r w:rsidR="00A62065" w:rsidRPr="00AF164B">
              <w:t>, k</w:t>
            </w:r>
            <w:r w:rsidR="006A37FF" w:rsidRPr="00AF164B">
              <w:t>a</w:t>
            </w:r>
            <w:r w:rsidR="00A62065" w:rsidRPr="00AF164B">
              <w:t xml:space="preserve">m ir </w:t>
            </w:r>
            <w:r w:rsidR="006A37FF" w:rsidRPr="00AF164B">
              <w:t>liels</w:t>
            </w:r>
            <w:r w:rsidR="00D57DA4" w:rsidRPr="00AF164B">
              <w:t xml:space="preserve"> </w:t>
            </w:r>
            <w:r w:rsidR="00A62065" w:rsidRPr="00AF164B">
              <w:t>fitosanitārais risks,</w:t>
            </w:r>
            <w:r w:rsidR="004824FC" w:rsidRPr="00AF164B">
              <w:t xml:space="preserve"> – 2,85 </w:t>
            </w:r>
            <w:proofErr w:type="spellStart"/>
            <w:r w:rsidR="004824FC" w:rsidRPr="00AF164B">
              <w:rPr>
                <w:i/>
              </w:rPr>
              <w:t>euro</w:t>
            </w:r>
            <w:proofErr w:type="spellEnd"/>
            <w:r w:rsidR="004824FC" w:rsidRPr="00AF164B">
              <w:t xml:space="preserve"> par 1 m</w:t>
            </w:r>
            <w:r w:rsidR="004824FC" w:rsidRPr="00AF164B">
              <w:rPr>
                <w:vertAlign w:val="superscript"/>
              </w:rPr>
              <w:t>3</w:t>
            </w:r>
            <w:r w:rsidR="00A62065" w:rsidRPr="00AF164B">
              <w:t xml:space="preserve"> koksnes</w:t>
            </w:r>
            <w:r w:rsidR="006A37FF" w:rsidRPr="00AF164B">
              <w:t>,</w:t>
            </w:r>
            <w:r w:rsidR="00A62065" w:rsidRPr="00AF164B">
              <w:t xml:space="preserve"> </w:t>
            </w:r>
            <w:r w:rsidR="006A37FF" w:rsidRPr="00AF164B">
              <w:t>bet</w:t>
            </w:r>
            <w:r w:rsidR="00A62065" w:rsidRPr="00AF164B">
              <w:t xml:space="preserve"> </w:t>
            </w:r>
            <w:r w:rsidR="0022208F" w:rsidRPr="00AF164B">
              <w:t>zāģmateriāliem</w:t>
            </w:r>
            <w:r w:rsidR="00D57DA4" w:rsidRPr="00AF164B">
              <w:t>, k</w:t>
            </w:r>
            <w:r w:rsidR="006A37FF" w:rsidRPr="00AF164B">
              <w:t>a</w:t>
            </w:r>
            <w:r w:rsidR="00D57DA4" w:rsidRPr="00AF164B">
              <w:t>m ir daudz m</w:t>
            </w:r>
            <w:r w:rsidR="006A37FF" w:rsidRPr="00AF164B">
              <w:t>az</w:t>
            </w:r>
            <w:r w:rsidR="00D57DA4" w:rsidRPr="00AF164B">
              <w:t>āks fitosanitārais risks</w:t>
            </w:r>
            <w:r w:rsidR="006A37FF" w:rsidRPr="00AF164B">
              <w:t>,</w:t>
            </w:r>
            <w:r w:rsidR="0022208F" w:rsidRPr="00AF164B">
              <w:t xml:space="preserve"> – 0,</w:t>
            </w:r>
            <w:r w:rsidR="00F74891" w:rsidRPr="00AF164B">
              <w:t>28</w:t>
            </w:r>
            <w:r w:rsidR="0022208F" w:rsidRPr="00AF164B">
              <w:t xml:space="preserve"> </w:t>
            </w:r>
            <w:proofErr w:type="spellStart"/>
            <w:r w:rsidR="0022208F" w:rsidRPr="00AF164B">
              <w:rPr>
                <w:i/>
              </w:rPr>
              <w:t>euro</w:t>
            </w:r>
            <w:proofErr w:type="spellEnd"/>
            <w:r w:rsidR="0022208F" w:rsidRPr="00AF164B">
              <w:t xml:space="preserve"> par m</w:t>
            </w:r>
            <w:r w:rsidR="0022208F" w:rsidRPr="00AF164B">
              <w:rPr>
                <w:vertAlign w:val="superscript"/>
              </w:rPr>
              <w:t>3</w:t>
            </w:r>
            <w:r w:rsidR="0022208F" w:rsidRPr="00AF164B">
              <w:t xml:space="preserve"> koksnes.</w:t>
            </w:r>
            <w:r w:rsidR="00417E1B" w:rsidRPr="00AF164B">
              <w:t xml:space="preserve"> </w:t>
            </w:r>
          </w:p>
          <w:p w:rsidR="00974211" w:rsidRPr="00AF164B" w:rsidRDefault="00974211" w:rsidP="00974211">
            <w:pPr>
              <w:pStyle w:val="Pamatteksts"/>
              <w:ind w:firstLine="451"/>
              <w:jc w:val="both"/>
              <w:rPr>
                <w:b w:val="0"/>
                <w:sz w:val="24"/>
                <w:szCs w:val="24"/>
              </w:rPr>
            </w:pPr>
            <w:r w:rsidRPr="00AF164B">
              <w:rPr>
                <w:b w:val="0"/>
                <w:sz w:val="24"/>
                <w:szCs w:val="24"/>
              </w:rPr>
              <w:t xml:space="preserve">Kā jau iepriekš norādīts, </w:t>
            </w:r>
            <w:r w:rsidRPr="00AF164B">
              <w:rPr>
                <w:b w:val="0"/>
                <w:bCs/>
                <w:sz w:val="24"/>
                <w:szCs w:val="24"/>
              </w:rPr>
              <w:t xml:space="preserve">kopš </w:t>
            </w:r>
            <w:proofErr w:type="gramStart"/>
            <w:r w:rsidRPr="00AF164B">
              <w:rPr>
                <w:b w:val="0"/>
                <w:bCs/>
                <w:sz w:val="24"/>
                <w:szCs w:val="24"/>
              </w:rPr>
              <w:t>2000.gada</w:t>
            </w:r>
            <w:proofErr w:type="gramEnd"/>
            <w:r w:rsidRPr="00AF164B">
              <w:rPr>
                <w:b w:val="0"/>
                <w:bCs/>
                <w:sz w:val="24"/>
                <w:szCs w:val="24"/>
              </w:rPr>
              <w:t xml:space="preserve"> nav mainīti izcenojumi fitosanitārajām pārbaudēm dažādiem koksnes materiāliem. Visas izmaksas, kas ietvertas fitosanitāro pārbaužu izcenojumos, tai skaitā atlīdzība</w:t>
            </w:r>
            <w:r w:rsidR="00F661F1" w:rsidRPr="00AF164B">
              <w:rPr>
                <w:b w:val="0"/>
                <w:bCs/>
                <w:sz w:val="24"/>
                <w:szCs w:val="24"/>
              </w:rPr>
              <w:t>i</w:t>
            </w:r>
            <w:r w:rsidRPr="00AF164B">
              <w:rPr>
                <w:b w:val="0"/>
                <w:bCs/>
                <w:sz w:val="24"/>
                <w:szCs w:val="24"/>
              </w:rPr>
              <w:t xml:space="preserve">, </w:t>
            </w:r>
            <w:r w:rsidR="00F661F1" w:rsidRPr="00AF164B">
              <w:rPr>
                <w:b w:val="0"/>
                <w:bCs/>
                <w:sz w:val="24"/>
                <w:szCs w:val="24"/>
              </w:rPr>
              <w:t xml:space="preserve">par </w:t>
            </w:r>
            <w:r w:rsidRPr="00AF164B">
              <w:rPr>
                <w:b w:val="0"/>
                <w:bCs/>
                <w:sz w:val="24"/>
                <w:szCs w:val="24"/>
              </w:rPr>
              <w:t>degviel</w:t>
            </w:r>
            <w:r w:rsidR="00F661F1" w:rsidRPr="00AF164B">
              <w:rPr>
                <w:b w:val="0"/>
                <w:bCs/>
                <w:sz w:val="24"/>
                <w:szCs w:val="24"/>
              </w:rPr>
              <w:t>u</w:t>
            </w:r>
            <w:r w:rsidRPr="00AF164B">
              <w:rPr>
                <w:b w:val="0"/>
                <w:bCs/>
                <w:sz w:val="24"/>
                <w:szCs w:val="24"/>
              </w:rPr>
              <w:t xml:space="preserve">, </w:t>
            </w:r>
            <w:proofErr w:type="gramStart"/>
            <w:r w:rsidRPr="00AF164B">
              <w:rPr>
                <w:b w:val="0"/>
                <w:bCs/>
                <w:sz w:val="24"/>
                <w:szCs w:val="24"/>
              </w:rPr>
              <w:t>informāciju tehnoloģij</w:t>
            </w:r>
            <w:r w:rsidR="00F661F1" w:rsidRPr="00AF164B">
              <w:rPr>
                <w:b w:val="0"/>
                <w:bCs/>
                <w:sz w:val="24"/>
                <w:szCs w:val="24"/>
              </w:rPr>
              <w:t>ām</w:t>
            </w:r>
            <w:proofErr w:type="gramEnd"/>
            <w:r w:rsidRPr="00AF164B">
              <w:rPr>
                <w:b w:val="0"/>
                <w:bCs/>
                <w:sz w:val="24"/>
                <w:szCs w:val="24"/>
              </w:rPr>
              <w:t>, inspektor</w:t>
            </w:r>
            <w:r w:rsidR="00560520" w:rsidRPr="00AF164B">
              <w:rPr>
                <w:b w:val="0"/>
                <w:bCs/>
                <w:sz w:val="24"/>
                <w:szCs w:val="24"/>
              </w:rPr>
              <w:t>u</w:t>
            </w:r>
            <w:r w:rsidRPr="00AF164B">
              <w:rPr>
                <w:b w:val="0"/>
                <w:bCs/>
                <w:sz w:val="24"/>
                <w:szCs w:val="24"/>
              </w:rPr>
              <w:t xml:space="preserve"> aprīkojum</w:t>
            </w:r>
            <w:r w:rsidR="00F661F1" w:rsidRPr="00AF164B">
              <w:rPr>
                <w:b w:val="0"/>
                <w:bCs/>
                <w:sz w:val="24"/>
                <w:szCs w:val="24"/>
              </w:rPr>
              <w:t>u,</w:t>
            </w:r>
            <w:r w:rsidRPr="00AF164B">
              <w:rPr>
                <w:b w:val="0"/>
                <w:bCs/>
                <w:sz w:val="24"/>
                <w:szCs w:val="24"/>
              </w:rPr>
              <w:t xml:space="preserve"> ir vairākkārt </w:t>
            </w:r>
            <w:r w:rsidR="00F661F1" w:rsidRPr="00AF164B">
              <w:rPr>
                <w:b w:val="0"/>
                <w:bCs/>
                <w:sz w:val="24"/>
                <w:szCs w:val="24"/>
              </w:rPr>
              <w:t>kāpušās</w:t>
            </w:r>
            <w:r w:rsidRPr="00AF164B">
              <w:rPr>
                <w:b w:val="0"/>
                <w:bCs/>
                <w:sz w:val="24"/>
                <w:szCs w:val="24"/>
              </w:rPr>
              <w:t xml:space="preserve">, kā arī </w:t>
            </w:r>
            <w:r w:rsidR="00F661F1" w:rsidRPr="00AF164B">
              <w:rPr>
                <w:b w:val="0"/>
                <w:bCs/>
                <w:sz w:val="24"/>
                <w:szCs w:val="24"/>
              </w:rPr>
              <w:t>palielinājušies</w:t>
            </w:r>
            <w:r w:rsidRPr="00AF164B">
              <w:rPr>
                <w:b w:val="0"/>
                <w:bCs/>
                <w:sz w:val="24"/>
                <w:szCs w:val="24"/>
              </w:rPr>
              <w:t xml:space="preserve"> fitosanitārie </w:t>
            </w:r>
            <w:r w:rsidR="00F661F1" w:rsidRPr="00AF164B">
              <w:rPr>
                <w:b w:val="0"/>
                <w:bCs/>
                <w:sz w:val="24"/>
                <w:szCs w:val="24"/>
              </w:rPr>
              <w:t>apdraudējumi</w:t>
            </w:r>
            <w:r w:rsidRPr="00AF164B">
              <w:rPr>
                <w:b w:val="0"/>
                <w:bCs/>
                <w:sz w:val="24"/>
                <w:szCs w:val="24"/>
              </w:rPr>
              <w:t xml:space="preserve">. Esošajā cenrādī ir noteikts </w:t>
            </w:r>
            <w:r w:rsidRPr="00AF164B">
              <w:rPr>
                <w:b w:val="0"/>
                <w:sz w:val="24"/>
                <w:szCs w:val="24"/>
              </w:rPr>
              <w:t>vienāds izcenojums fitosanitārajām pārbaudēm zāģmateriālu un zāģbaļķu kravām (cenrāža 12.1.6.1</w:t>
            </w:r>
            <w:r w:rsidR="00F661F1" w:rsidRPr="00AF164B">
              <w:rPr>
                <w:b w:val="0"/>
                <w:sz w:val="24"/>
                <w:szCs w:val="24"/>
              </w:rPr>
              <w:t>.</w:t>
            </w:r>
            <w:r w:rsidRPr="00AF164B">
              <w:rPr>
                <w:b w:val="0"/>
                <w:sz w:val="24"/>
                <w:szCs w:val="24"/>
              </w:rPr>
              <w:t xml:space="preserve"> apakšpunkts), to nediferencējot pa </w:t>
            </w:r>
            <w:r w:rsidRPr="00AF164B">
              <w:rPr>
                <w:b w:val="0"/>
                <w:sz w:val="24"/>
                <w:szCs w:val="24"/>
              </w:rPr>
              <w:lastRenderedPageBreak/>
              <w:t>koksnes veidiem, proti, kokzāģētavā apstrādāta vai neapstrādāta koksne, kā arī noteikts atsevišķs izcenojums (cenrāža</w:t>
            </w:r>
            <w:r w:rsidR="00F661F1" w:rsidRPr="00AF164B">
              <w:rPr>
                <w:b w:val="0"/>
                <w:sz w:val="24"/>
                <w:szCs w:val="24"/>
              </w:rPr>
              <w:t xml:space="preserve"> </w:t>
            </w:r>
            <w:r w:rsidRPr="00AF164B">
              <w:rPr>
                <w:b w:val="0"/>
                <w:sz w:val="24"/>
                <w:szCs w:val="24"/>
              </w:rPr>
              <w:t>12.1.6.2.</w:t>
            </w:r>
            <w:r w:rsidR="00F661F1" w:rsidRPr="00AF164B">
              <w:rPr>
                <w:b w:val="0"/>
                <w:sz w:val="24"/>
                <w:szCs w:val="24"/>
              </w:rPr>
              <w:t> </w:t>
            </w:r>
            <w:r w:rsidRPr="00AF164B">
              <w:rPr>
                <w:b w:val="0"/>
                <w:sz w:val="24"/>
                <w:szCs w:val="24"/>
              </w:rPr>
              <w:t>apakšpunkts) papīrmalkai</w:t>
            </w:r>
            <w:r w:rsidR="00F661F1" w:rsidRPr="00AF164B">
              <w:rPr>
                <w:b w:val="0"/>
                <w:sz w:val="24"/>
                <w:szCs w:val="24"/>
              </w:rPr>
              <w:t xml:space="preserve"> un</w:t>
            </w:r>
            <w:r w:rsidRPr="00AF164B">
              <w:rPr>
                <w:b w:val="0"/>
                <w:sz w:val="24"/>
                <w:szCs w:val="24"/>
              </w:rPr>
              <w:t xml:space="preserve"> apaļkokiem (tehniskai koksnei)</w:t>
            </w:r>
            <w:r w:rsidR="00F661F1" w:rsidRPr="00AF164B">
              <w:rPr>
                <w:b w:val="0"/>
                <w:sz w:val="24"/>
                <w:szCs w:val="24"/>
              </w:rPr>
              <w:t>,</w:t>
            </w:r>
            <w:r w:rsidRPr="00AF164B">
              <w:rPr>
                <w:b w:val="0"/>
                <w:sz w:val="24"/>
                <w:szCs w:val="24"/>
              </w:rPr>
              <w:t xml:space="preserve"> neņemot vērā fitosanitāro risku, kāds ir neapstrādātai koksnei saistībā ar kaitīgo organismu iespējamo klātbūtni.</w:t>
            </w:r>
          </w:p>
          <w:p w:rsidR="00974211" w:rsidRPr="00AF164B" w:rsidRDefault="00974211" w:rsidP="00974211">
            <w:pPr>
              <w:pStyle w:val="Pamatteksts"/>
              <w:ind w:firstLine="451"/>
              <w:jc w:val="both"/>
              <w:rPr>
                <w:b w:val="0"/>
                <w:sz w:val="24"/>
                <w:szCs w:val="24"/>
              </w:rPr>
            </w:pPr>
            <w:r w:rsidRPr="00AF164B">
              <w:rPr>
                <w:b w:val="0"/>
                <w:sz w:val="24"/>
                <w:szCs w:val="24"/>
              </w:rPr>
              <w:t>Palielinoties koksnes eksportam uz trešajām valstīm un globālai tirdzniecībai kopumā, palielinās arī fitosanitārais risks. Visā pasaulē</w:t>
            </w:r>
            <w:r w:rsidR="00F661F1" w:rsidRPr="00AF164B">
              <w:rPr>
                <w:b w:val="0"/>
                <w:sz w:val="24"/>
                <w:szCs w:val="24"/>
              </w:rPr>
              <w:t>,</w:t>
            </w:r>
            <w:r w:rsidRPr="00AF164B">
              <w:rPr>
                <w:b w:val="0"/>
                <w:sz w:val="24"/>
                <w:szCs w:val="24"/>
              </w:rPr>
              <w:t xml:space="preserve"> </w:t>
            </w:r>
            <w:r w:rsidR="00F661F1" w:rsidRPr="00AF164B">
              <w:rPr>
                <w:b w:val="0"/>
                <w:sz w:val="24"/>
                <w:szCs w:val="24"/>
              </w:rPr>
              <w:t xml:space="preserve">eksportējot augus un augu produktus, </w:t>
            </w:r>
            <w:r w:rsidRPr="00AF164B">
              <w:rPr>
                <w:b w:val="0"/>
                <w:sz w:val="24"/>
                <w:szCs w:val="24"/>
              </w:rPr>
              <w:t xml:space="preserve">aizvien vairāk tiek pievērsta uzmanība iespējamam jaunam fitosanitāram riskam – valstī ievest līdz </w:t>
            </w:r>
            <w:r w:rsidR="00F661F1" w:rsidRPr="00AF164B">
              <w:rPr>
                <w:b w:val="0"/>
                <w:sz w:val="24"/>
                <w:szCs w:val="24"/>
              </w:rPr>
              <w:t>ta</w:t>
            </w:r>
            <w:r w:rsidRPr="00AF164B">
              <w:rPr>
                <w:b w:val="0"/>
                <w:sz w:val="24"/>
                <w:szCs w:val="24"/>
              </w:rPr>
              <w:t>m nekonstatētus karantīnas organismus. Lai izvairītos no paziņojumiem par fitosanitāro noteikumu neievērošanu (</w:t>
            </w:r>
            <w:r w:rsidR="00F661F1" w:rsidRPr="00AF164B">
              <w:rPr>
                <w:b w:val="0"/>
                <w:sz w:val="24"/>
                <w:szCs w:val="24"/>
              </w:rPr>
              <w:t>n</w:t>
            </w:r>
            <w:r w:rsidRPr="00AF164B">
              <w:rPr>
                <w:b w:val="0"/>
                <w:sz w:val="24"/>
                <w:szCs w:val="24"/>
              </w:rPr>
              <w:t>otifikācijām), ar kurām var tikt noteikts aizliegums ievest valstī koksni no Latvijas</w:t>
            </w:r>
            <w:r w:rsidR="00B80EAB" w:rsidRPr="00AF164B">
              <w:rPr>
                <w:b w:val="0"/>
                <w:sz w:val="24"/>
                <w:szCs w:val="24"/>
              </w:rPr>
              <w:t>, neapstrādāta koksne pirms izvešanas uzmanīgi jāpārbauda, lai laikus varētu konstatēt kaitīgos organismus</w:t>
            </w:r>
            <w:r w:rsidRPr="00AF164B">
              <w:rPr>
                <w:b w:val="0"/>
                <w:sz w:val="24"/>
                <w:szCs w:val="24"/>
              </w:rPr>
              <w:t>.</w:t>
            </w:r>
          </w:p>
          <w:p w:rsidR="00974211" w:rsidRPr="00AF164B" w:rsidRDefault="00974211" w:rsidP="00974211">
            <w:pPr>
              <w:pStyle w:val="Pamatteksts"/>
              <w:ind w:firstLine="451"/>
              <w:jc w:val="both"/>
              <w:rPr>
                <w:b w:val="0"/>
                <w:sz w:val="24"/>
                <w:szCs w:val="24"/>
              </w:rPr>
            </w:pPr>
            <w:r w:rsidRPr="00AF164B">
              <w:rPr>
                <w:b w:val="0"/>
                <w:sz w:val="24"/>
                <w:szCs w:val="24"/>
              </w:rPr>
              <w:t xml:space="preserve">Apzinoties Latvijas koksnes eksporta tirgus saglabāšanas nozīmīgumu, Latvijas Kokrūpniecības federācija ierosināja </w:t>
            </w:r>
            <w:r w:rsidR="00F661F1" w:rsidRPr="00AF164B">
              <w:rPr>
                <w:b w:val="0"/>
                <w:sz w:val="24"/>
                <w:szCs w:val="24"/>
              </w:rPr>
              <w:t>pie</w:t>
            </w:r>
            <w:r w:rsidRPr="00AF164B">
              <w:rPr>
                <w:b w:val="0"/>
                <w:sz w:val="24"/>
                <w:szCs w:val="24"/>
              </w:rPr>
              <w:t xml:space="preserve">vērst lielāku uzmanību tieši neapstrādātas koksnes eksporta pārbaudēm. </w:t>
            </w:r>
          </w:p>
          <w:p w:rsidR="00974211" w:rsidRPr="00AF164B" w:rsidRDefault="00974211" w:rsidP="00A62065">
            <w:pPr>
              <w:ind w:left="26" w:firstLine="425"/>
              <w:jc w:val="both"/>
            </w:pPr>
          </w:p>
          <w:p w:rsidR="00313183" w:rsidRPr="00AF164B" w:rsidRDefault="00313183" w:rsidP="00F74891">
            <w:pPr>
              <w:ind w:firstLine="451"/>
              <w:jc w:val="both"/>
            </w:pPr>
            <w:r w:rsidRPr="00AF164B">
              <w:t>Zāģmateriāla ikgadēj</w:t>
            </w:r>
            <w:r w:rsidR="006A37FF" w:rsidRPr="00AF164B">
              <w:t>ais</w:t>
            </w:r>
            <w:r w:rsidRPr="00AF164B">
              <w:t xml:space="preserve"> eksporta apjom</w:t>
            </w:r>
            <w:r w:rsidR="006A37FF" w:rsidRPr="00AF164B">
              <w:t>s</w:t>
            </w:r>
            <w:r w:rsidRPr="00AF164B">
              <w:t xml:space="preserve"> stabili pārsniedz 2,3 milj. m</w:t>
            </w:r>
            <w:r w:rsidRPr="00AF164B">
              <w:rPr>
                <w:vertAlign w:val="superscript"/>
              </w:rPr>
              <w:t>3</w:t>
            </w:r>
            <w:r w:rsidRPr="00AF164B">
              <w:t xml:space="preserve">. </w:t>
            </w:r>
            <w:r w:rsidR="006A37FF" w:rsidRPr="00AF164B">
              <w:t>Pēc b</w:t>
            </w:r>
            <w:r w:rsidRPr="00AF164B">
              <w:t>iedrības “Latvijas Kokrūpniecības federācija” prognozēm, eksporta apjom</w:t>
            </w:r>
            <w:r w:rsidR="006A37FF" w:rsidRPr="00AF164B">
              <w:t>s</w:t>
            </w:r>
            <w:r w:rsidRPr="00AF164B">
              <w:t xml:space="preserve"> tuvākajos gados pakāpeniski samazin</w:t>
            </w:r>
            <w:r w:rsidR="003F02A2" w:rsidRPr="00AF164B">
              <w:t>āsies, jo p</w:t>
            </w:r>
            <w:r w:rsidR="006A37FF" w:rsidRPr="00AF164B">
              <w:t>alielinās</w:t>
            </w:r>
            <w:r w:rsidR="003F02A2" w:rsidRPr="00AF164B">
              <w:t xml:space="preserve"> vietējās </w:t>
            </w:r>
            <w:r w:rsidRPr="00AF164B">
              <w:t>apstrādes</w:t>
            </w:r>
            <w:r w:rsidR="006A37FF" w:rsidRPr="00AF164B">
              <w:t xml:space="preserve"> uzņēmumu</w:t>
            </w:r>
            <w:r w:rsidRPr="00AF164B">
              <w:t xml:space="preserve"> pieprasījums pēc zāģmateriāliem to </w:t>
            </w:r>
            <w:r w:rsidR="006A37FF" w:rsidRPr="00AF164B">
              <w:t xml:space="preserve">tālākai </w:t>
            </w:r>
            <w:r w:rsidRPr="00AF164B">
              <w:t>pārstrādei. Tajā pašā laikā p</w:t>
            </w:r>
            <w:r w:rsidR="006A37FF" w:rsidRPr="00AF164B">
              <w:t>alielinās</w:t>
            </w:r>
            <w:r w:rsidRPr="00AF164B">
              <w:t xml:space="preserve"> zāģmateriālu eksports ārpus ES valstīm. </w:t>
            </w:r>
            <w:r w:rsidR="006A37FF" w:rsidRPr="00AF164B">
              <w:t>Tā kā</w:t>
            </w:r>
            <w:r w:rsidRPr="00AF164B">
              <w:t xml:space="preserve"> </w:t>
            </w:r>
            <w:r w:rsidR="006A37FF" w:rsidRPr="00AF164B">
              <w:t xml:space="preserve">tendences </w:t>
            </w:r>
            <w:r w:rsidRPr="00AF164B">
              <w:t>Latvijas zāģmateriālu noieta tirg</w:t>
            </w:r>
            <w:r w:rsidR="006A37FF" w:rsidRPr="00AF164B">
              <w:t>ū</w:t>
            </w:r>
            <w:r w:rsidRPr="00AF164B">
              <w:t xml:space="preserve"> ar nelielu </w:t>
            </w:r>
            <w:r w:rsidR="006A37FF" w:rsidRPr="00AF164B">
              <w:t>aizkavēšanos ir</w:t>
            </w:r>
            <w:r w:rsidRPr="00AF164B">
              <w:t xml:space="preserve"> līdz</w:t>
            </w:r>
            <w:r w:rsidR="006A37FF" w:rsidRPr="00AF164B">
              <w:t>īgas kā</w:t>
            </w:r>
            <w:r w:rsidRPr="00AF164B">
              <w:t xml:space="preserve"> Ziemeļvalstu </w:t>
            </w:r>
            <w:r w:rsidR="006A37FF" w:rsidRPr="00AF164B">
              <w:t>tirgū</w:t>
            </w:r>
            <w:r w:rsidRPr="00AF164B">
              <w:t xml:space="preserve">, </w:t>
            </w:r>
            <w:r w:rsidR="006A37FF" w:rsidRPr="00AF164B">
              <w:t>ir jāņem vērā</w:t>
            </w:r>
            <w:r w:rsidRPr="00AF164B">
              <w:t xml:space="preserve">, ka </w:t>
            </w:r>
            <w:proofErr w:type="gramStart"/>
            <w:r w:rsidRPr="00AF164B">
              <w:t>2013.gadā</w:t>
            </w:r>
            <w:proofErr w:type="gramEnd"/>
            <w:r w:rsidRPr="00AF164B">
              <w:t xml:space="preserve"> Somijas un Zviedrijas skujkoku zāģmateriālu eksports uz Ķīnu ir </w:t>
            </w:r>
            <w:r w:rsidR="006A37FF" w:rsidRPr="00AF164B">
              <w:t>kāpis</w:t>
            </w:r>
            <w:r w:rsidRPr="00AF164B">
              <w:t xml:space="preserve"> par 186%. Arī Latvijas ražotāji </w:t>
            </w:r>
            <w:proofErr w:type="gramStart"/>
            <w:r w:rsidRPr="00AF164B">
              <w:t>2014.gada</w:t>
            </w:r>
            <w:proofErr w:type="gramEnd"/>
            <w:r w:rsidRPr="00AF164B">
              <w:t xml:space="preserve"> pirmajos četros mēnešos uz Ķīnu ir kāpinājuši eksportu par 75% salīdzin</w:t>
            </w:r>
            <w:r w:rsidR="006A37FF" w:rsidRPr="00AF164B">
              <w:t>ājumā</w:t>
            </w:r>
            <w:r w:rsidRPr="00AF164B">
              <w:t xml:space="preserve"> ar to pašu periodu</w:t>
            </w:r>
            <w:r w:rsidR="006A37FF" w:rsidRPr="00AF164B">
              <w:t xml:space="preserve"> </w:t>
            </w:r>
            <w:r w:rsidR="00F661F1" w:rsidRPr="00AF164B">
              <w:t>2013.</w:t>
            </w:r>
            <w:r w:rsidR="006A37FF" w:rsidRPr="00AF164B">
              <w:t xml:space="preserve"> gadā</w:t>
            </w:r>
            <w:r w:rsidRPr="00AF164B">
              <w:t xml:space="preserve">, tāpat būtiski </w:t>
            </w:r>
            <w:r w:rsidR="00F661F1" w:rsidRPr="00AF164B">
              <w:t xml:space="preserve">ir </w:t>
            </w:r>
            <w:r w:rsidR="006A37FF" w:rsidRPr="00AF164B">
              <w:t>palielinājies</w:t>
            </w:r>
            <w:r w:rsidRPr="00AF164B">
              <w:t xml:space="preserve"> eksports uz Ēģipti</w:t>
            </w:r>
            <w:r w:rsidR="00F661F1" w:rsidRPr="00AF164B">
              <w:t xml:space="preserve"> – par </w:t>
            </w:r>
            <w:r w:rsidRPr="00AF164B">
              <w:t>69</w:t>
            </w:r>
            <w:r w:rsidR="00F661F1" w:rsidRPr="00AF164B">
              <w:t> </w:t>
            </w:r>
            <w:r w:rsidRPr="00AF164B">
              <w:t>%. Fitosanitārā sertifikāta saņemšana</w:t>
            </w:r>
            <w:r w:rsidR="00F661F1" w:rsidRPr="00AF164B">
              <w:t>s</w:t>
            </w:r>
            <w:r w:rsidRPr="00AF164B">
              <w:t xml:space="preserve"> izmaksu </w:t>
            </w:r>
            <w:r w:rsidR="006A37FF" w:rsidRPr="00AF164B">
              <w:t>kāp</w:t>
            </w:r>
            <w:r w:rsidRPr="00AF164B">
              <w:t xml:space="preserve">ums neatstās </w:t>
            </w:r>
            <w:r w:rsidR="006A37FF" w:rsidRPr="00AF164B">
              <w:t xml:space="preserve">nozīmīgu </w:t>
            </w:r>
            <w:r w:rsidRPr="00AF164B">
              <w:t xml:space="preserve">ietekmi uz </w:t>
            </w:r>
            <w:r w:rsidR="007360E6" w:rsidRPr="00AF164B">
              <w:t xml:space="preserve">šiem procesiem, jo tas </w:t>
            </w:r>
            <w:r w:rsidR="006A37FF" w:rsidRPr="00AF164B">
              <w:t>veido</w:t>
            </w:r>
            <w:r w:rsidR="007360E6" w:rsidRPr="00AF164B">
              <w:t xml:space="preserve"> </w:t>
            </w:r>
            <w:r w:rsidR="00F74891" w:rsidRPr="00AF164B">
              <w:t xml:space="preserve">tikai </w:t>
            </w:r>
            <w:r w:rsidRPr="00AF164B">
              <w:t>0,</w:t>
            </w:r>
            <w:r w:rsidR="007360E6" w:rsidRPr="00AF164B">
              <w:t xml:space="preserve">14 % no </w:t>
            </w:r>
            <w:r w:rsidRPr="00AF164B">
              <w:t>eksporta cenas.</w:t>
            </w:r>
          </w:p>
          <w:p w:rsidR="00313183" w:rsidRPr="00AF164B" w:rsidRDefault="006A37FF" w:rsidP="00313183">
            <w:pPr>
              <w:ind w:firstLine="451"/>
              <w:jc w:val="both"/>
            </w:pPr>
            <w:r w:rsidRPr="00AF164B">
              <w:t xml:space="preserve">Palielinoties vietējās pārstrādes uzņēmumu pieprasījumam un </w:t>
            </w:r>
            <w:r w:rsidR="00F661F1" w:rsidRPr="00AF164B">
              <w:t xml:space="preserve">mazinoties </w:t>
            </w:r>
            <w:r w:rsidRPr="00AF164B">
              <w:t xml:space="preserve">ciršanas apjomam, </w:t>
            </w:r>
            <w:r w:rsidR="00313183" w:rsidRPr="00AF164B">
              <w:t xml:space="preserve">kopš </w:t>
            </w:r>
            <w:proofErr w:type="gramStart"/>
            <w:r w:rsidR="00313183" w:rsidRPr="00AF164B">
              <w:t>2011.gada</w:t>
            </w:r>
            <w:proofErr w:type="gramEnd"/>
            <w:r w:rsidR="00313183" w:rsidRPr="00AF164B">
              <w:t xml:space="preserve"> pakāpeniski samazinās</w:t>
            </w:r>
            <w:r w:rsidR="00F661F1" w:rsidRPr="00AF164B">
              <w:t xml:space="preserve"> arī apaļkoku eksports</w:t>
            </w:r>
            <w:r w:rsidR="00313183" w:rsidRPr="00AF164B">
              <w:t>. Fitosanitārā sertifikāta saņemšana</w:t>
            </w:r>
            <w:r w:rsidR="00C971D6" w:rsidRPr="00AF164B">
              <w:t>s</w:t>
            </w:r>
            <w:r w:rsidR="00313183" w:rsidRPr="00AF164B">
              <w:t xml:space="preserve"> izmaksu </w:t>
            </w:r>
            <w:r w:rsidR="0092467F" w:rsidRPr="00AF164B">
              <w:t>kāp</w:t>
            </w:r>
            <w:r w:rsidR="00313183" w:rsidRPr="00AF164B">
              <w:t xml:space="preserve">ums var samazināt apaļkoku eksportu ārpus ES, tomēr šis potenciālais samazinājums neradīs manāmas sekas uz Latvijas mežsaimniecības konkurētspēju, jo eksports ārpus ES valstīm </w:t>
            </w:r>
            <w:r w:rsidR="0092467F" w:rsidRPr="00AF164B">
              <w:t xml:space="preserve">nav </w:t>
            </w:r>
            <w:r w:rsidR="00313183" w:rsidRPr="00AF164B">
              <w:t>liels – apmēram 1% no apjoma, kas tiek iegūts no Latvijas mežiem. Turklāt</w:t>
            </w:r>
            <w:r w:rsidR="0092467F" w:rsidRPr="00AF164B">
              <w:t>,</w:t>
            </w:r>
            <w:r w:rsidR="00313183" w:rsidRPr="00AF164B">
              <w:t xml:space="preserve"> samazinoties zāģbaļķu un finierkluču</w:t>
            </w:r>
            <w:r w:rsidR="0092467F" w:rsidRPr="00AF164B">
              <w:t xml:space="preserve"> izvedumam (tie</w:t>
            </w:r>
            <w:r w:rsidR="00313183" w:rsidRPr="00AF164B">
              <w:t xml:space="preserve"> dominē eksportā uz trešajām valstīm</w:t>
            </w:r>
            <w:r w:rsidR="0092467F" w:rsidRPr="00AF164B">
              <w:t>)</w:t>
            </w:r>
            <w:r w:rsidR="00313183" w:rsidRPr="00AF164B">
              <w:t xml:space="preserve">, </w:t>
            </w:r>
            <w:r w:rsidR="0092467F" w:rsidRPr="00AF164B">
              <w:t xml:space="preserve">Latvijas kokrūpniecība būs </w:t>
            </w:r>
            <w:r w:rsidR="00313183" w:rsidRPr="00AF164B">
              <w:t>ieguvēja, jo pēc šī sortimenta pieprasījums no Latvijas kokrūpniecības uzņēmumiem ir lielāks nekā piedāvājums</w:t>
            </w:r>
            <w:r w:rsidR="0092467F" w:rsidRPr="00AF164B">
              <w:t>.</w:t>
            </w:r>
            <w:r w:rsidR="00313183" w:rsidRPr="00AF164B">
              <w:t xml:space="preserve"> </w:t>
            </w:r>
            <w:r w:rsidR="0092467F" w:rsidRPr="00AF164B">
              <w:t xml:space="preserve">Tāpat tas būs ieguvums </w:t>
            </w:r>
            <w:r w:rsidR="00313183" w:rsidRPr="00AF164B">
              <w:t>Latvijas tautsaimniecība</w:t>
            </w:r>
            <w:r w:rsidR="0092467F" w:rsidRPr="00AF164B">
              <w:t>i kopumā</w:t>
            </w:r>
            <w:r w:rsidR="00313183" w:rsidRPr="00AF164B">
              <w:t xml:space="preserve">, jo reizē ar zāģbaļķu un finierkluču eksportu tiek eksportētas darbavietas un nodokļi, </w:t>
            </w:r>
            <w:r w:rsidR="0092467F" w:rsidRPr="00AF164B">
              <w:t>tāpēc ka</w:t>
            </w:r>
            <w:r w:rsidR="00313183" w:rsidRPr="00AF164B">
              <w:t xml:space="preserve"> pievienotā vērtība šai lietkoksnei tiek radīta citur.</w:t>
            </w:r>
          </w:p>
          <w:p w:rsidR="00587FB6" w:rsidRPr="00AF164B" w:rsidRDefault="00587FB6" w:rsidP="00F74891">
            <w:pPr>
              <w:pStyle w:val="Pamatteksts"/>
              <w:ind w:firstLine="451"/>
              <w:jc w:val="both"/>
              <w:rPr>
                <w:b w:val="0"/>
                <w:sz w:val="24"/>
                <w:szCs w:val="24"/>
              </w:rPr>
            </w:pPr>
            <w:r w:rsidRPr="00AF164B">
              <w:rPr>
                <w:b w:val="0"/>
                <w:sz w:val="24"/>
                <w:szCs w:val="24"/>
              </w:rPr>
              <w:t xml:space="preserve">Tādējādi valstī varētu </w:t>
            </w:r>
            <w:r w:rsidR="00CC71BB" w:rsidRPr="00AF164B">
              <w:rPr>
                <w:b w:val="0"/>
                <w:sz w:val="24"/>
                <w:szCs w:val="24"/>
              </w:rPr>
              <w:t>samazināties</w:t>
            </w:r>
            <w:r w:rsidRPr="00AF164B">
              <w:rPr>
                <w:b w:val="0"/>
                <w:sz w:val="24"/>
                <w:szCs w:val="24"/>
              </w:rPr>
              <w:t xml:space="preserve"> ieņēmumi no </w:t>
            </w:r>
            <w:r w:rsidR="00CC71BB" w:rsidRPr="00AF164B">
              <w:rPr>
                <w:b w:val="0"/>
                <w:sz w:val="24"/>
                <w:szCs w:val="24"/>
              </w:rPr>
              <w:t>neapstrādātas koksnes</w:t>
            </w:r>
            <w:r w:rsidRPr="00AF164B">
              <w:rPr>
                <w:b w:val="0"/>
                <w:sz w:val="24"/>
                <w:szCs w:val="24"/>
              </w:rPr>
              <w:t xml:space="preserve"> eksporta</w:t>
            </w:r>
            <w:r w:rsidR="00CC71BB" w:rsidRPr="00AF164B">
              <w:rPr>
                <w:b w:val="0"/>
                <w:sz w:val="24"/>
                <w:szCs w:val="24"/>
              </w:rPr>
              <w:t>, bet palielināties ieņēmumi no apstrādātas koksnes eksporta, vienlai</w:t>
            </w:r>
            <w:r w:rsidR="0092467F" w:rsidRPr="00AF164B">
              <w:rPr>
                <w:b w:val="0"/>
                <w:sz w:val="24"/>
                <w:szCs w:val="24"/>
              </w:rPr>
              <w:t>kus</w:t>
            </w:r>
            <w:r w:rsidR="00CC71BB" w:rsidRPr="00AF164B">
              <w:rPr>
                <w:b w:val="0"/>
                <w:sz w:val="24"/>
                <w:szCs w:val="24"/>
              </w:rPr>
              <w:t xml:space="preserve"> veicin</w:t>
            </w:r>
            <w:r w:rsidR="0092467F" w:rsidRPr="00AF164B">
              <w:rPr>
                <w:b w:val="0"/>
                <w:sz w:val="24"/>
                <w:szCs w:val="24"/>
              </w:rPr>
              <w:t>ot</w:t>
            </w:r>
            <w:r w:rsidR="00CC71BB" w:rsidRPr="00AF164B">
              <w:rPr>
                <w:b w:val="0"/>
                <w:sz w:val="24"/>
                <w:szCs w:val="24"/>
              </w:rPr>
              <w:t xml:space="preserve"> uzņēmējdarbību Latvijā, </w:t>
            </w:r>
            <w:r w:rsidR="0092467F" w:rsidRPr="00AF164B">
              <w:rPr>
                <w:b w:val="0"/>
                <w:sz w:val="24"/>
                <w:szCs w:val="24"/>
              </w:rPr>
              <w:t xml:space="preserve">jo </w:t>
            </w:r>
            <w:r w:rsidR="00CC71BB" w:rsidRPr="00AF164B">
              <w:rPr>
                <w:b w:val="0"/>
                <w:sz w:val="24"/>
                <w:szCs w:val="24"/>
              </w:rPr>
              <w:t>koksne</w:t>
            </w:r>
            <w:r w:rsidR="0092467F" w:rsidRPr="00AF164B">
              <w:rPr>
                <w:b w:val="0"/>
                <w:sz w:val="24"/>
                <w:szCs w:val="24"/>
              </w:rPr>
              <w:t xml:space="preserve"> tiks apstrādāta</w:t>
            </w:r>
            <w:r w:rsidR="00CC71BB" w:rsidRPr="00AF164B">
              <w:rPr>
                <w:b w:val="0"/>
                <w:sz w:val="24"/>
                <w:szCs w:val="24"/>
              </w:rPr>
              <w:t xml:space="preserve"> Latvijā.</w:t>
            </w:r>
          </w:p>
          <w:p w:rsidR="00587FB6" w:rsidRPr="00AF164B" w:rsidRDefault="00CC71BB" w:rsidP="003F02A2">
            <w:pPr>
              <w:pStyle w:val="Pamatteksts"/>
              <w:jc w:val="both"/>
              <w:rPr>
                <w:b w:val="0"/>
                <w:sz w:val="24"/>
                <w:szCs w:val="24"/>
              </w:rPr>
            </w:pPr>
            <w:proofErr w:type="gramStart"/>
            <w:r w:rsidRPr="00AF164B">
              <w:rPr>
                <w:b w:val="0"/>
                <w:sz w:val="24"/>
                <w:szCs w:val="24"/>
              </w:rPr>
              <w:t>2014.gada</w:t>
            </w:r>
            <w:proofErr w:type="gramEnd"/>
            <w:r w:rsidRPr="00AF164B">
              <w:rPr>
                <w:b w:val="0"/>
                <w:sz w:val="24"/>
                <w:szCs w:val="24"/>
              </w:rPr>
              <w:t xml:space="preserve"> </w:t>
            </w:r>
            <w:r w:rsidR="007360E6" w:rsidRPr="00AF164B">
              <w:rPr>
                <w:b w:val="0"/>
                <w:sz w:val="24"/>
                <w:szCs w:val="24"/>
              </w:rPr>
              <w:t>astoņos</w:t>
            </w:r>
            <w:r w:rsidRPr="00AF164B">
              <w:rPr>
                <w:b w:val="0"/>
                <w:sz w:val="24"/>
                <w:szCs w:val="24"/>
              </w:rPr>
              <w:t xml:space="preserve"> mēnešos dienests ir veicis fitosanitārās pārbaudes un izsniedzis fitosanitāro sertifikātu 2</w:t>
            </w:r>
            <w:r w:rsidR="00DB0755" w:rsidRPr="00AF164B">
              <w:rPr>
                <w:b w:val="0"/>
                <w:sz w:val="24"/>
                <w:szCs w:val="24"/>
              </w:rPr>
              <w:t>28</w:t>
            </w:r>
            <w:r w:rsidRPr="00AF164B">
              <w:rPr>
                <w:b w:val="0"/>
                <w:sz w:val="24"/>
                <w:szCs w:val="24"/>
              </w:rPr>
              <w:t xml:space="preserve"> </w:t>
            </w:r>
            <w:r w:rsidR="00DB0755" w:rsidRPr="00AF164B">
              <w:rPr>
                <w:b w:val="0"/>
                <w:sz w:val="24"/>
                <w:szCs w:val="24"/>
              </w:rPr>
              <w:t>747</w:t>
            </w:r>
            <w:r w:rsidRPr="00AF164B">
              <w:rPr>
                <w:b w:val="0"/>
                <w:sz w:val="24"/>
                <w:szCs w:val="24"/>
              </w:rPr>
              <w:t xml:space="preserve"> m</w:t>
            </w:r>
            <w:r w:rsidRPr="00AF164B">
              <w:rPr>
                <w:b w:val="0"/>
                <w:sz w:val="24"/>
                <w:szCs w:val="24"/>
                <w:vertAlign w:val="superscript"/>
              </w:rPr>
              <w:t>3</w:t>
            </w:r>
            <w:r w:rsidRPr="00AF164B">
              <w:rPr>
                <w:b w:val="0"/>
                <w:sz w:val="24"/>
                <w:szCs w:val="24"/>
              </w:rPr>
              <w:t xml:space="preserve"> nemizotu zāģbaļķu kravām</w:t>
            </w:r>
            <w:r w:rsidR="00DB0755" w:rsidRPr="00AF164B">
              <w:rPr>
                <w:b w:val="0"/>
                <w:sz w:val="24"/>
                <w:szCs w:val="24"/>
              </w:rPr>
              <w:t xml:space="preserve"> un 660 121 m</w:t>
            </w:r>
            <w:r w:rsidR="00DB0755" w:rsidRPr="00AF164B">
              <w:rPr>
                <w:b w:val="0"/>
                <w:sz w:val="24"/>
                <w:szCs w:val="24"/>
                <w:vertAlign w:val="superscript"/>
              </w:rPr>
              <w:t xml:space="preserve">3 </w:t>
            </w:r>
            <w:r w:rsidR="00DB0755" w:rsidRPr="00AF164B">
              <w:rPr>
                <w:b w:val="0"/>
                <w:sz w:val="24"/>
                <w:szCs w:val="24"/>
              </w:rPr>
              <w:t>zāģmateriālu.</w:t>
            </w:r>
          </w:p>
          <w:p w:rsidR="002B7EAC" w:rsidRPr="00AF164B" w:rsidRDefault="002B7EAC" w:rsidP="002B7EAC">
            <w:pPr>
              <w:pStyle w:val="Pamatteksts"/>
              <w:ind w:firstLine="451"/>
              <w:jc w:val="both"/>
              <w:rPr>
                <w:b w:val="0"/>
                <w:sz w:val="24"/>
                <w:szCs w:val="24"/>
              </w:rPr>
            </w:pPr>
            <w:r w:rsidRPr="00AF164B">
              <w:rPr>
                <w:b w:val="0"/>
                <w:sz w:val="24"/>
                <w:szCs w:val="24"/>
              </w:rPr>
              <w:lastRenderedPageBreak/>
              <w:t>2.</w:t>
            </w:r>
            <w:r w:rsidRPr="00AF164B">
              <w:rPr>
                <w:b w:val="0"/>
                <w:sz w:val="24"/>
                <w:szCs w:val="24"/>
              </w:rPr>
              <w:tab/>
              <w:t xml:space="preserve">Praksē ir gadījumi, kad persona pēc savas iniciatīvas vēlas, lai dienests ārpus dienesta īstenotās kontroles noņemtu augu vai augu produktu paraugus analīzēm. Šāda paraugu ņemšana atbilst </w:t>
            </w:r>
            <w:r w:rsidR="00BD36AC" w:rsidRPr="00AF164B">
              <w:rPr>
                <w:b w:val="0"/>
                <w:sz w:val="24"/>
                <w:szCs w:val="24"/>
              </w:rPr>
              <w:t>l</w:t>
            </w:r>
            <w:r w:rsidRPr="00AF164B">
              <w:rPr>
                <w:b w:val="0"/>
                <w:sz w:val="24"/>
                <w:szCs w:val="24"/>
              </w:rPr>
              <w:t xml:space="preserve">ikumā </w:t>
            </w:r>
            <w:r w:rsidR="00BD36AC" w:rsidRPr="00AF164B">
              <w:rPr>
                <w:b w:val="0"/>
                <w:sz w:val="24"/>
                <w:szCs w:val="24"/>
              </w:rPr>
              <w:t>“P</w:t>
            </w:r>
            <w:r w:rsidRPr="00AF164B">
              <w:rPr>
                <w:b w:val="0"/>
                <w:sz w:val="24"/>
                <w:szCs w:val="24"/>
              </w:rPr>
              <w:t>ar valsts budžetu un finanšu vadību</w:t>
            </w:r>
            <w:r w:rsidR="00BD36AC" w:rsidRPr="00AF164B">
              <w:rPr>
                <w:b w:val="0"/>
                <w:sz w:val="24"/>
                <w:szCs w:val="24"/>
              </w:rPr>
              <w:t>”</w:t>
            </w:r>
            <w:r w:rsidRPr="00AF164B">
              <w:rPr>
                <w:b w:val="0"/>
                <w:sz w:val="24"/>
                <w:szCs w:val="24"/>
              </w:rPr>
              <w:t xml:space="preserve"> dotajai maksas pakalpojumu definīcijai, jo vērsta uz sabiedrības vajadzību apmierināšanu. Tāpēc Ministru kabineta </w:t>
            </w:r>
            <w:proofErr w:type="gramStart"/>
            <w:r w:rsidRPr="00AF164B">
              <w:rPr>
                <w:b w:val="0"/>
                <w:sz w:val="24"/>
                <w:szCs w:val="24"/>
              </w:rPr>
              <w:t>2011.gada</w:t>
            </w:r>
            <w:proofErr w:type="gramEnd"/>
            <w:r w:rsidRPr="00AF164B">
              <w:rPr>
                <w:b w:val="0"/>
                <w:sz w:val="24"/>
                <w:szCs w:val="24"/>
              </w:rPr>
              <w:t xml:space="preserve"> 13.decembra noteikumos Nr.950 „Augu aizsardzības līdzekļu lietošanas noteikumi” ir noteikts, ka</w:t>
            </w:r>
            <w:r w:rsidR="006B7A31" w:rsidRPr="00AF164B">
              <w:rPr>
                <w:b w:val="0"/>
                <w:sz w:val="24"/>
                <w:szCs w:val="24"/>
              </w:rPr>
              <w:t>,</w:t>
            </w:r>
            <w:r w:rsidRPr="00AF164B">
              <w:rPr>
                <w:b w:val="0"/>
                <w:sz w:val="24"/>
                <w:szCs w:val="24"/>
              </w:rPr>
              <w:t xml:space="preserve"> pamatojoties uz personas lūgumu, ārpus dienesta īstenotās kontroles dienests noņem paraugus</w:t>
            </w:r>
            <w:r w:rsidR="006B7A31" w:rsidRPr="00AF164B">
              <w:rPr>
                <w:b w:val="0"/>
                <w:sz w:val="24"/>
                <w:szCs w:val="24"/>
              </w:rPr>
              <w:t>,</w:t>
            </w:r>
            <w:r w:rsidRPr="00AF164B">
              <w:rPr>
                <w:b w:val="0"/>
                <w:sz w:val="24"/>
                <w:szCs w:val="24"/>
              </w:rPr>
              <w:t xml:space="preserve"> </w:t>
            </w:r>
            <w:r w:rsidR="006B7A31" w:rsidRPr="00AF164B">
              <w:rPr>
                <w:b w:val="0"/>
                <w:sz w:val="24"/>
                <w:szCs w:val="24"/>
              </w:rPr>
              <w:t>bet</w:t>
            </w:r>
            <w:r w:rsidRPr="00AF164B">
              <w:rPr>
                <w:b w:val="0"/>
                <w:sz w:val="24"/>
                <w:szCs w:val="24"/>
              </w:rPr>
              <w:t xml:space="preserve"> ar parauga ņemšanu un novērtējuma sagatavošanu saistītos izdevumus sedz persona saskaņā ar normatīvajiem aktiem par dienesta sniegto maksas pakalpojumu cenrādi. Jaun</w:t>
            </w:r>
            <w:r w:rsidR="006B7A31" w:rsidRPr="00AF164B">
              <w:rPr>
                <w:b w:val="0"/>
                <w:sz w:val="24"/>
                <w:szCs w:val="24"/>
              </w:rPr>
              <w:t>ie</w:t>
            </w:r>
            <w:r w:rsidRPr="00AF164B">
              <w:rPr>
                <w:b w:val="0"/>
                <w:sz w:val="24"/>
                <w:szCs w:val="24"/>
              </w:rPr>
              <w:t xml:space="preserve"> pakalpojum</w:t>
            </w:r>
            <w:r w:rsidR="006B7A31" w:rsidRPr="00AF164B">
              <w:rPr>
                <w:b w:val="0"/>
                <w:sz w:val="24"/>
                <w:szCs w:val="24"/>
              </w:rPr>
              <w:t>i</w:t>
            </w:r>
            <w:r w:rsidRPr="00AF164B">
              <w:rPr>
                <w:b w:val="0"/>
                <w:sz w:val="24"/>
                <w:szCs w:val="24"/>
              </w:rPr>
              <w:t xml:space="preserve"> dienestam </w:t>
            </w:r>
            <w:r w:rsidR="006B7A31" w:rsidRPr="00AF164B">
              <w:rPr>
                <w:b w:val="0"/>
                <w:sz w:val="24"/>
                <w:szCs w:val="24"/>
              </w:rPr>
              <w:t xml:space="preserve">ir </w:t>
            </w:r>
            <w:r w:rsidRPr="00AF164B">
              <w:rPr>
                <w:b w:val="0"/>
                <w:sz w:val="24"/>
                <w:szCs w:val="24"/>
              </w:rPr>
              <w:t xml:space="preserve">jānodrošina no </w:t>
            </w:r>
            <w:proofErr w:type="gramStart"/>
            <w:r w:rsidRPr="00AF164B">
              <w:rPr>
                <w:b w:val="0"/>
                <w:sz w:val="24"/>
                <w:szCs w:val="24"/>
              </w:rPr>
              <w:t>2015.gada</w:t>
            </w:r>
            <w:proofErr w:type="gramEnd"/>
            <w:r w:rsidRPr="00AF164B">
              <w:rPr>
                <w:b w:val="0"/>
                <w:sz w:val="24"/>
                <w:szCs w:val="24"/>
              </w:rPr>
              <w:t xml:space="preserve"> 1.februāra. </w:t>
            </w:r>
          </w:p>
          <w:p w:rsidR="002B7EAC" w:rsidRPr="00AF164B" w:rsidRDefault="002B7EAC" w:rsidP="00615AE7">
            <w:pPr>
              <w:pStyle w:val="Pamatteksts"/>
              <w:ind w:firstLine="451"/>
              <w:jc w:val="both"/>
              <w:rPr>
                <w:b w:val="0"/>
                <w:sz w:val="24"/>
                <w:szCs w:val="24"/>
              </w:rPr>
            </w:pPr>
            <w:r w:rsidRPr="00AF164B">
              <w:rPr>
                <w:b w:val="0"/>
                <w:sz w:val="24"/>
                <w:szCs w:val="24"/>
              </w:rPr>
              <w:t xml:space="preserve">Tāpēc noteikumu projektā </w:t>
            </w:r>
            <w:r w:rsidR="006B7A31" w:rsidRPr="00AF164B">
              <w:rPr>
                <w:b w:val="0"/>
                <w:sz w:val="24"/>
                <w:szCs w:val="24"/>
              </w:rPr>
              <w:t xml:space="preserve">ir </w:t>
            </w:r>
            <w:r w:rsidRPr="00AF164B">
              <w:rPr>
                <w:b w:val="0"/>
                <w:sz w:val="24"/>
                <w:szCs w:val="24"/>
              </w:rPr>
              <w:t>iekļauti jauni pakalpojumi un noteikti to izcenojumi: pēc personas pieprasījuma paraugu ņemšana no augu aizsardzības līdzekļiem, augsnes, augiem, augu produktiem, sagatavotiem augu aizsardzības līdzekļu darba šķidrumiem, citiem priekšmetiem un parauga atbilstošu iesaiņošanu, pēc personas pieprasījuma novērtējuma sagatavošana saskaņā ar akreditētas laboratorijas testēšanas pārskatā norādītiem testēšanas rezultātiem augu aizsardzības līdzekļu, sagatavotu augu aizsardzības līdzekļu darba šķidrumu, augsnes, augu vai augu produktu paraugā, pēc personas pieprasījuma padziļināta novērtējuma sagatavošana saskaņā ar akreditētas laboratorijas testēšanas pārskatā norādītiem testēšanas rezultātiem augsnes, augu, augu produktu, un citu priekšmetu, kas varētu būt nonākuši saskarē ar augu aizsardzības līdzekļiem, paraugā.</w:t>
            </w:r>
          </w:p>
        </w:tc>
      </w:tr>
      <w:tr w:rsidR="00587FB6" w:rsidRPr="00AF164B" w:rsidTr="001A256B">
        <w:tc>
          <w:tcPr>
            <w:tcW w:w="334" w:type="pct"/>
            <w:tcBorders>
              <w:right w:val="single" w:sz="4" w:space="0" w:color="auto"/>
            </w:tcBorders>
          </w:tcPr>
          <w:p w:rsidR="00587FB6" w:rsidRPr="00AF164B" w:rsidRDefault="00587FB6" w:rsidP="00BB175C">
            <w:pPr>
              <w:pStyle w:val="naiskr"/>
              <w:spacing w:before="0" w:beforeAutospacing="0" w:after="0" w:afterAutospacing="0"/>
              <w:jc w:val="both"/>
            </w:pPr>
            <w:r w:rsidRPr="00AF164B">
              <w:lastRenderedPageBreak/>
              <w:t xml:space="preserve">3. </w:t>
            </w:r>
          </w:p>
        </w:tc>
        <w:tc>
          <w:tcPr>
            <w:tcW w:w="867" w:type="pct"/>
            <w:tcBorders>
              <w:right w:val="single" w:sz="4" w:space="0" w:color="auto"/>
            </w:tcBorders>
          </w:tcPr>
          <w:p w:rsidR="00587FB6" w:rsidRPr="00AF164B" w:rsidRDefault="00587FB6" w:rsidP="00BB175C">
            <w:pPr>
              <w:pStyle w:val="naiskr"/>
              <w:spacing w:before="0" w:beforeAutospacing="0" w:after="0" w:afterAutospacing="0"/>
              <w:jc w:val="both"/>
            </w:pPr>
            <w:r w:rsidRPr="00AF164B">
              <w:t>Projekta izstrādē iesaistītās institūcijas</w:t>
            </w:r>
          </w:p>
        </w:tc>
        <w:tc>
          <w:tcPr>
            <w:tcW w:w="3799" w:type="pct"/>
            <w:tcBorders>
              <w:top w:val="single" w:sz="4" w:space="0" w:color="auto"/>
              <w:left w:val="single" w:sz="4" w:space="0" w:color="auto"/>
              <w:bottom w:val="single" w:sz="4" w:space="0" w:color="auto"/>
              <w:right w:val="single" w:sz="4" w:space="0" w:color="auto"/>
            </w:tcBorders>
          </w:tcPr>
          <w:p w:rsidR="00587FB6" w:rsidRPr="00AF164B" w:rsidRDefault="00587FB6" w:rsidP="006B7A31">
            <w:pPr>
              <w:pStyle w:val="naiskr"/>
              <w:spacing w:before="0" w:after="0"/>
              <w:jc w:val="both"/>
            </w:pPr>
            <w:r w:rsidRPr="00AF164B">
              <w:t>Zemkopības ministrija un</w:t>
            </w:r>
            <w:r w:rsidR="00F74891" w:rsidRPr="00AF164B">
              <w:t xml:space="preserve"> dienests</w:t>
            </w:r>
            <w:r w:rsidRPr="00AF164B">
              <w:t xml:space="preserve">, </w:t>
            </w:r>
            <w:r w:rsidR="0092467F" w:rsidRPr="00AF164B">
              <w:t>kā arī b</w:t>
            </w:r>
            <w:r w:rsidR="0022208F" w:rsidRPr="00AF164B">
              <w:t>iedrība “Latvijas Kokrūpniecības federācija”</w:t>
            </w:r>
          </w:p>
        </w:tc>
      </w:tr>
      <w:tr w:rsidR="00587FB6" w:rsidRPr="00AF164B" w:rsidTr="001A256B">
        <w:trPr>
          <w:trHeight w:val="232"/>
        </w:trPr>
        <w:tc>
          <w:tcPr>
            <w:tcW w:w="334" w:type="pct"/>
          </w:tcPr>
          <w:p w:rsidR="00587FB6" w:rsidRPr="00AF164B" w:rsidRDefault="00587FB6" w:rsidP="00BB175C">
            <w:pPr>
              <w:pStyle w:val="naiskr"/>
              <w:spacing w:before="0" w:beforeAutospacing="0" w:after="0" w:afterAutospacing="0"/>
              <w:jc w:val="both"/>
            </w:pPr>
            <w:r w:rsidRPr="00AF164B">
              <w:t xml:space="preserve">4. </w:t>
            </w:r>
          </w:p>
        </w:tc>
        <w:tc>
          <w:tcPr>
            <w:tcW w:w="867" w:type="pct"/>
          </w:tcPr>
          <w:p w:rsidR="00587FB6" w:rsidRPr="00AF164B" w:rsidRDefault="00587FB6" w:rsidP="00BB175C">
            <w:pPr>
              <w:pStyle w:val="naiskr"/>
              <w:spacing w:before="0" w:beforeAutospacing="0" w:after="0" w:afterAutospacing="0"/>
              <w:jc w:val="both"/>
            </w:pPr>
            <w:r w:rsidRPr="00AF164B">
              <w:t>Cita informācija</w:t>
            </w:r>
          </w:p>
        </w:tc>
        <w:tc>
          <w:tcPr>
            <w:tcW w:w="3799" w:type="pct"/>
            <w:tcBorders>
              <w:top w:val="single" w:sz="4" w:space="0" w:color="auto"/>
            </w:tcBorders>
          </w:tcPr>
          <w:p w:rsidR="00587FB6" w:rsidRPr="00AF164B" w:rsidRDefault="00587FB6" w:rsidP="00BB175C">
            <w:pPr>
              <w:pStyle w:val="naiskr"/>
              <w:spacing w:before="0" w:beforeAutospacing="0" w:after="0" w:afterAutospacing="0"/>
              <w:jc w:val="both"/>
            </w:pPr>
            <w:r w:rsidRPr="00AF164B">
              <w:t>Nav.</w:t>
            </w:r>
          </w:p>
        </w:tc>
      </w:tr>
      <w:tr w:rsidR="00587FB6" w:rsidRPr="00AF164B" w:rsidTr="001A256B">
        <w:tc>
          <w:tcPr>
            <w:tcW w:w="5000" w:type="pct"/>
            <w:gridSpan w:val="3"/>
          </w:tcPr>
          <w:p w:rsidR="00587FB6" w:rsidRPr="00AF164B" w:rsidRDefault="00587FB6" w:rsidP="00BB175C">
            <w:pPr>
              <w:pStyle w:val="naisnod"/>
              <w:spacing w:before="0" w:beforeAutospacing="0" w:after="0" w:afterAutospacing="0"/>
              <w:jc w:val="center"/>
              <w:rPr>
                <w:b/>
                <w:bCs/>
              </w:rPr>
            </w:pPr>
          </w:p>
          <w:p w:rsidR="00587FB6" w:rsidRPr="00AF164B" w:rsidRDefault="00587FB6" w:rsidP="00BB175C">
            <w:pPr>
              <w:pStyle w:val="naisnod"/>
              <w:spacing w:before="0" w:beforeAutospacing="0" w:after="0" w:afterAutospacing="0"/>
              <w:jc w:val="center"/>
              <w:rPr>
                <w:b/>
                <w:bCs/>
              </w:rPr>
            </w:pPr>
            <w:r w:rsidRPr="00AF164B">
              <w:rPr>
                <w:b/>
                <w:bCs/>
              </w:rPr>
              <w:t xml:space="preserve">II. Tiesību akta projekta ietekme uz sabiedrību, </w:t>
            </w:r>
          </w:p>
          <w:p w:rsidR="00587FB6" w:rsidRPr="00AF164B" w:rsidRDefault="00587FB6" w:rsidP="00BB175C">
            <w:pPr>
              <w:pStyle w:val="naisnod"/>
              <w:spacing w:before="0" w:beforeAutospacing="0" w:after="0" w:afterAutospacing="0"/>
              <w:jc w:val="center"/>
              <w:rPr>
                <w:b/>
                <w:bCs/>
              </w:rPr>
            </w:pPr>
            <w:r w:rsidRPr="00AF164B">
              <w:rPr>
                <w:b/>
                <w:bCs/>
              </w:rPr>
              <w:t>tautsaimniecības attīstību un administratīvo slogu</w:t>
            </w:r>
          </w:p>
          <w:p w:rsidR="00587FB6" w:rsidRPr="00AF164B" w:rsidRDefault="00587FB6" w:rsidP="00BB175C">
            <w:pPr>
              <w:pStyle w:val="naisnod"/>
              <w:spacing w:before="0" w:beforeAutospacing="0" w:after="0" w:afterAutospacing="0"/>
              <w:jc w:val="center"/>
            </w:pPr>
          </w:p>
        </w:tc>
      </w:tr>
      <w:tr w:rsidR="00587FB6" w:rsidRPr="00AF164B" w:rsidTr="001A256B">
        <w:trPr>
          <w:trHeight w:val="1717"/>
        </w:trPr>
        <w:tc>
          <w:tcPr>
            <w:tcW w:w="334" w:type="pct"/>
          </w:tcPr>
          <w:p w:rsidR="00587FB6" w:rsidRPr="00AF164B" w:rsidRDefault="00587FB6" w:rsidP="00BB175C">
            <w:pPr>
              <w:pStyle w:val="naiskr"/>
              <w:tabs>
                <w:tab w:val="left" w:pos="3044"/>
              </w:tabs>
              <w:spacing w:before="0" w:beforeAutospacing="0" w:after="0" w:afterAutospacing="0"/>
              <w:jc w:val="both"/>
            </w:pPr>
            <w:r w:rsidRPr="00AF164B">
              <w:t xml:space="preserve">1. </w:t>
            </w:r>
          </w:p>
        </w:tc>
        <w:tc>
          <w:tcPr>
            <w:tcW w:w="867" w:type="pct"/>
          </w:tcPr>
          <w:p w:rsidR="00587FB6" w:rsidRPr="00AF164B" w:rsidRDefault="00587FB6" w:rsidP="00BB175C">
            <w:pPr>
              <w:pStyle w:val="naiskr"/>
              <w:tabs>
                <w:tab w:val="left" w:pos="3044"/>
              </w:tabs>
              <w:spacing w:before="0" w:beforeAutospacing="0" w:after="0" w:afterAutospacing="0"/>
              <w:jc w:val="both"/>
            </w:pPr>
            <w:r w:rsidRPr="00AF164B">
              <w:t>Sabiedrības mērķgrupas, kuras tiesiskais regulējums ietekmē vai varētu ietekmēt</w:t>
            </w:r>
          </w:p>
        </w:tc>
        <w:tc>
          <w:tcPr>
            <w:tcW w:w="3799" w:type="pct"/>
          </w:tcPr>
          <w:p w:rsidR="00587FB6" w:rsidRPr="00AF164B" w:rsidRDefault="00587FB6" w:rsidP="00BB175C">
            <w:pPr>
              <w:jc w:val="both"/>
            </w:pPr>
            <w:r w:rsidRPr="00AF164B">
              <w:t xml:space="preserve">Noteikumu projekta tiesiskais regulējums attiecas uz </w:t>
            </w:r>
            <w:r w:rsidRPr="00AF164B">
              <w:rPr>
                <w:bCs/>
              </w:rPr>
              <w:t>personām, kas nodarbojas ar koksnes eksportu.</w:t>
            </w:r>
          </w:p>
          <w:p w:rsidR="00587FB6" w:rsidRPr="00AF164B" w:rsidRDefault="00587FB6" w:rsidP="006B7A31">
            <w:pPr>
              <w:jc w:val="both"/>
            </w:pPr>
            <w:r w:rsidRPr="00AF164B">
              <w:t>Pēc</w:t>
            </w:r>
            <w:r w:rsidR="00F74891" w:rsidRPr="00AF164B">
              <w:t xml:space="preserve"> dienesta</w:t>
            </w:r>
            <w:r w:rsidRPr="00AF164B">
              <w:t xml:space="preserve"> informācijas, Latvijā </w:t>
            </w:r>
            <w:proofErr w:type="gramStart"/>
            <w:r w:rsidRPr="00AF164B">
              <w:t>2014.gada</w:t>
            </w:r>
            <w:proofErr w:type="gramEnd"/>
            <w:r w:rsidRPr="00AF164B">
              <w:t xml:space="preserve"> 1.janvārī ar koksnes produktu eksportu nodarbojās </w:t>
            </w:r>
            <w:r w:rsidR="000D42BC" w:rsidRPr="00AF164B">
              <w:t xml:space="preserve">58 </w:t>
            </w:r>
            <w:r w:rsidRPr="00AF164B">
              <w:t>eksportētāji</w:t>
            </w:r>
            <w:r w:rsidR="00F74891" w:rsidRPr="00AF164B">
              <w:t>.</w:t>
            </w:r>
            <w:r w:rsidRPr="00AF164B">
              <w:t xml:space="preserve"> </w:t>
            </w:r>
          </w:p>
        </w:tc>
      </w:tr>
      <w:tr w:rsidR="00587FB6" w:rsidRPr="00AF164B" w:rsidTr="001A256B">
        <w:tc>
          <w:tcPr>
            <w:tcW w:w="334" w:type="pct"/>
            <w:tcBorders>
              <w:right w:val="single" w:sz="4" w:space="0" w:color="auto"/>
            </w:tcBorders>
          </w:tcPr>
          <w:p w:rsidR="00587FB6" w:rsidRPr="00AF164B" w:rsidRDefault="00587FB6" w:rsidP="00BB175C">
            <w:pPr>
              <w:jc w:val="both"/>
            </w:pPr>
            <w:r w:rsidRPr="00AF164B">
              <w:t>2.</w:t>
            </w:r>
          </w:p>
        </w:tc>
        <w:tc>
          <w:tcPr>
            <w:tcW w:w="867" w:type="pct"/>
            <w:tcBorders>
              <w:right w:val="single" w:sz="4" w:space="0" w:color="auto"/>
            </w:tcBorders>
          </w:tcPr>
          <w:p w:rsidR="00587FB6" w:rsidRPr="00AF164B" w:rsidRDefault="00587FB6" w:rsidP="00BB175C">
            <w:pPr>
              <w:jc w:val="both"/>
            </w:pPr>
            <w:r w:rsidRPr="00AF164B">
              <w:t>Tiesiskā regulējuma ietekme uz tautsaimniecību un administratīvo slogu.</w:t>
            </w:r>
          </w:p>
        </w:tc>
        <w:tc>
          <w:tcPr>
            <w:tcW w:w="3799" w:type="pct"/>
            <w:tcBorders>
              <w:top w:val="single" w:sz="4" w:space="0" w:color="auto"/>
              <w:left w:val="single" w:sz="4" w:space="0" w:color="auto"/>
              <w:bottom w:val="single" w:sz="4" w:space="0" w:color="auto"/>
              <w:right w:val="single" w:sz="4" w:space="0" w:color="auto"/>
            </w:tcBorders>
          </w:tcPr>
          <w:p w:rsidR="00587FB6" w:rsidRPr="00AF164B" w:rsidRDefault="00587FB6" w:rsidP="00B80EAB">
            <w:pPr>
              <w:jc w:val="both"/>
            </w:pPr>
            <w:r w:rsidRPr="00AF164B">
              <w:t>Saskaņā ar noteikumu projektu koksnes eksportētājiem, k</w:t>
            </w:r>
            <w:r w:rsidR="0092467F" w:rsidRPr="00AF164B">
              <w:t>as</w:t>
            </w:r>
            <w:r w:rsidRPr="00AF164B">
              <w:t xml:space="preserve"> eksportē </w:t>
            </w:r>
            <w:r w:rsidR="007156AC" w:rsidRPr="00AF164B">
              <w:t>apaļkokus</w:t>
            </w:r>
            <w:r w:rsidRPr="00AF164B">
              <w:t>, tiks piemērots izcenojums, k</w:t>
            </w:r>
            <w:r w:rsidR="0092467F" w:rsidRPr="00AF164B">
              <w:t>as</w:t>
            </w:r>
            <w:r w:rsidRPr="00AF164B">
              <w:t xml:space="preserve"> aprēķināts</w:t>
            </w:r>
            <w:r w:rsidR="003F02A2" w:rsidRPr="00AF164B">
              <w:t>,</w:t>
            </w:r>
            <w:r w:rsidRPr="00AF164B">
              <w:t xml:space="preserve"> pamatojoties uz izvērtēto risku par fitosanitārajām pārbaudēm pirms fitosanitārā sertifikāta izsniegšanas, eksportējot neapstrādātus zāģbaļķus. </w:t>
            </w:r>
            <w:r w:rsidR="007156AC" w:rsidRPr="00AF164B">
              <w:t>Tāpat pārrēķināts izcenojums zāģmateriālu pārbaudēm.</w:t>
            </w:r>
          </w:p>
        </w:tc>
      </w:tr>
      <w:tr w:rsidR="00587FB6" w:rsidRPr="00AF164B" w:rsidTr="001A256B">
        <w:tc>
          <w:tcPr>
            <w:tcW w:w="334" w:type="pct"/>
            <w:tcBorders>
              <w:right w:val="single" w:sz="4" w:space="0" w:color="auto"/>
            </w:tcBorders>
          </w:tcPr>
          <w:p w:rsidR="00587FB6" w:rsidRPr="00AF164B" w:rsidRDefault="00587FB6" w:rsidP="00BB175C">
            <w:pPr>
              <w:jc w:val="both"/>
            </w:pPr>
            <w:r w:rsidRPr="00AF164B">
              <w:t>3.  </w:t>
            </w:r>
          </w:p>
        </w:tc>
        <w:tc>
          <w:tcPr>
            <w:tcW w:w="867" w:type="pct"/>
            <w:tcBorders>
              <w:right w:val="single" w:sz="4" w:space="0" w:color="auto"/>
            </w:tcBorders>
          </w:tcPr>
          <w:p w:rsidR="00587FB6" w:rsidRPr="00AF164B" w:rsidRDefault="00587FB6" w:rsidP="00BB175C">
            <w:pPr>
              <w:jc w:val="both"/>
            </w:pPr>
            <w:r w:rsidRPr="00AF164B">
              <w:t>Administratīvo izmaksu monetārs novērtējums</w:t>
            </w:r>
          </w:p>
        </w:tc>
        <w:tc>
          <w:tcPr>
            <w:tcW w:w="3799" w:type="pct"/>
            <w:tcBorders>
              <w:top w:val="single" w:sz="4" w:space="0" w:color="auto"/>
              <w:left w:val="single" w:sz="4" w:space="0" w:color="auto"/>
              <w:bottom w:val="single" w:sz="4" w:space="0" w:color="auto"/>
              <w:right w:val="single" w:sz="4" w:space="0" w:color="auto"/>
            </w:tcBorders>
          </w:tcPr>
          <w:p w:rsidR="00587FB6" w:rsidRPr="00AF164B" w:rsidRDefault="00587FB6" w:rsidP="00BB175C">
            <w:pPr>
              <w:jc w:val="both"/>
            </w:pPr>
            <w:r w:rsidRPr="00AF164B">
              <w:t>Projekts šo jomu neskar.</w:t>
            </w:r>
          </w:p>
        </w:tc>
      </w:tr>
      <w:tr w:rsidR="00587FB6" w:rsidRPr="00AF164B" w:rsidTr="001A256B">
        <w:trPr>
          <w:trHeight w:val="232"/>
        </w:trPr>
        <w:tc>
          <w:tcPr>
            <w:tcW w:w="334" w:type="pct"/>
          </w:tcPr>
          <w:p w:rsidR="00587FB6" w:rsidRPr="00AF164B" w:rsidRDefault="00587FB6" w:rsidP="00BB175C">
            <w:pPr>
              <w:jc w:val="both"/>
            </w:pPr>
            <w:r w:rsidRPr="00AF164B">
              <w:lastRenderedPageBreak/>
              <w:t>4.  </w:t>
            </w:r>
          </w:p>
        </w:tc>
        <w:tc>
          <w:tcPr>
            <w:tcW w:w="867" w:type="pct"/>
          </w:tcPr>
          <w:p w:rsidR="00587FB6" w:rsidRPr="00AF164B" w:rsidRDefault="00587FB6" w:rsidP="00BB175C">
            <w:pPr>
              <w:jc w:val="both"/>
            </w:pPr>
            <w:r w:rsidRPr="00AF164B">
              <w:t>Cita informācija</w:t>
            </w:r>
          </w:p>
        </w:tc>
        <w:tc>
          <w:tcPr>
            <w:tcW w:w="3799" w:type="pct"/>
            <w:tcBorders>
              <w:top w:val="single" w:sz="4" w:space="0" w:color="auto"/>
            </w:tcBorders>
          </w:tcPr>
          <w:p w:rsidR="00587FB6" w:rsidRPr="00AF164B" w:rsidRDefault="00587FB6" w:rsidP="00BB175C">
            <w:pPr>
              <w:jc w:val="both"/>
            </w:pPr>
            <w:r w:rsidRPr="00AF164B">
              <w:t>Nav.</w:t>
            </w:r>
          </w:p>
        </w:tc>
      </w:tr>
    </w:tbl>
    <w:p w:rsidR="00587FB6" w:rsidRPr="00AF164B" w:rsidRDefault="00587FB6" w:rsidP="00587FB6">
      <w:pPr>
        <w:rPr>
          <w:vanish/>
        </w:rPr>
      </w:pPr>
    </w:p>
    <w:p w:rsidR="00587FB6" w:rsidRPr="00AF164B" w:rsidRDefault="00587FB6" w:rsidP="00587FB6">
      <w:pPr>
        <w:pStyle w:val="naisf"/>
        <w:spacing w:before="0" w:beforeAutospacing="0" w:after="0" w:afterAutospacing="0"/>
      </w:pPr>
    </w:p>
    <w:p w:rsidR="00587FB6" w:rsidRPr="00AF164B" w:rsidRDefault="00587FB6" w:rsidP="00587FB6">
      <w:pPr>
        <w:jc w:val="center"/>
        <w:rPr>
          <w:b/>
        </w:rPr>
      </w:pPr>
    </w:p>
    <w:tbl>
      <w:tblPr>
        <w:tblW w:w="10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136"/>
        <w:gridCol w:w="1553"/>
        <w:gridCol w:w="1905"/>
        <w:gridCol w:w="1916"/>
        <w:gridCol w:w="1912"/>
      </w:tblGrid>
      <w:tr w:rsidR="00587FB6" w:rsidRPr="00AF164B" w:rsidTr="00BB175C">
        <w:trPr>
          <w:trHeight w:val="477"/>
          <w:jc w:val="center"/>
        </w:trPr>
        <w:tc>
          <w:tcPr>
            <w:tcW w:w="10124" w:type="dxa"/>
            <w:gridSpan w:val="6"/>
            <w:tcBorders>
              <w:top w:val="single" w:sz="4" w:space="0" w:color="auto"/>
              <w:left w:val="single" w:sz="4" w:space="0" w:color="auto"/>
              <w:bottom w:val="single" w:sz="4" w:space="0" w:color="auto"/>
              <w:right w:val="single" w:sz="4" w:space="0" w:color="auto"/>
            </w:tcBorders>
            <w:hideMark/>
          </w:tcPr>
          <w:p w:rsidR="00587FB6" w:rsidRPr="00AF164B" w:rsidRDefault="00587FB6" w:rsidP="00BB175C">
            <w:pPr>
              <w:pStyle w:val="naisnod"/>
              <w:jc w:val="center"/>
              <w:rPr>
                <w:b/>
              </w:rPr>
            </w:pPr>
            <w:r w:rsidRPr="00AF164B">
              <w:rPr>
                <w:b/>
              </w:rPr>
              <w:br w:type="page"/>
            </w:r>
          </w:p>
          <w:p w:rsidR="00587FB6" w:rsidRPr="00AF164B" w:rsidRDefault="00587FB6" w:rsidP="00BB175C">
            <w:pPr>
              <w:pStyle w:val="naisnod"/>
              <w:jc w:val="center"/>
              <w:rPr>
                <w:b/>
              </w:rPr>
            </w:pPr>
            <w:r w:rsidRPr="00AF164B">
              <w:rPr>
                <w:b/>
              </w:rPr>
              <w:t>III. Tiesību akta projekta ietekme uz valsts budžetu un pašvaldību budžetiem</w:t>
            </w:r>
          </w:p>
          <w:p w:rsidR="00587FB6" w:rsidRPr="00AF164B" w:rsidRDefault="00587FB6" w:rsidP="00BB175C">
            <w:pPr>
              <w:pStyle w:val="naisnod"/>
              <w:jc w:val="center"/>
              <w:rPr>
                <w:b/>
              </w:rPr>
            </w:pPr>
          </w:p>
        </w:tc>
      </w:tr>
      <w:tr w:rsidR="00587FB6" w:rsidRPr="00AF164B" w:rsidTr="00F95C10">
        <w:trPr>
          <w:jc w:val="center"/>
        </w:trPr>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587FB6" w:rsidRPr="00AF164B" w:rsidRDefault="00587FB6" w:rsidP="00BB175C">
            <w:pPr>
              <w:pStyle w:val="naisf"/>
              <w:jc w:val="center"/>
            </w:pPr>
            <w:r w:rsidRPr="00AF164B">
              <w:t>Rādītāji</w:t>
            </w:r>
          </w:p>
        </w:tc>
        <w:tc>
          <w:tcPr>
            <w:tcW w:w="268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87FB6" w:rsidRPr="00AF164B" w:rsidRDefault="00587FB6" w:rsidP="00273656">
            <w:pPr>
              <w:pStyle w:val="naisf"/>
              <w:jc w:val="center"/>
            </w:pPr>
            <w:r w:rsidRPr="00AF164B">
              <w:t>201</w:t>
            </w:r>
            <w:r w:rsidR="00273656" w:rsidRPr="00AF164B">
              <w:t>5</w:t>
            </w:r>
            <w:r w:rsidRPr="00AF164B">
              <w:t>. gads</w:t>
            </w:r>
          </w:p>
        </w:tc>
        <w:tc>
          <w:tcPr>
            <w:tcW w:w="5733" w:type="dxa"/>
            <w:gridSpan w:val="3"/>
            <w:tcBorders>
              <w:top w:val="single" w:sz="4" w:space="0" w:color="auto"/>
              <w:left w:val="single" w:sz="4" w:space="0" w:color="auto"/>
              <w:bottom w:val="single" w:sz="4" w:space="0" w:color="auto"/>
              <w:right w:val="single" w:sz="4" w:space="0" w:color="auto"/>
            </w:tcBorders>
            <w:vAlign w:val="center"/>
            <w:hideMark/>
          </w:tcPr>
          <w:p w:rsidR="00587FB6" w:rsidRPr="00AF164B" w:rsidRDefault="00587FB6" w:rsidP="00DB0755">
            <w:pPr>
              <w:pStyle w:val="naisf"/>
              <w:jc w:val="center"/>
            </w:pPr>
            <w:r w:rsidRPr="00AF164B">
              <w:t>Turpmākie trīs gadi (</w:t>
            </w:r>
            <w:proofErr w:type="spellStart"/>
            <w:r w:rsidRPr="00AF164B">
              <w:rPr>
                <w:i/>
              </w:rPr>
              <w:t>euro</w:t>
            </w:r>
            <w:proofErr w:type="spellEnd"/>
            <w:r w:rsidRPr="00AF164B">
              <w:t>)</w:t>
            </w:r>
          </w:p>
        </w:tc>
      </w:tr>
      <w:tr w:rsidR="00587FB6" w:rsidRPr="00AF164B" w:rsidTr="00F95C10">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FB6" w:rsidRPr="00AF164B" w:rsidRDefault="00587FB6" w:rsidP="00BB175C"/>
        </w:tc>
        <w:tc>
          <w:tcPr>
            <w:tcW w:w="2689" w:type="dxa"/>
            <w:gridSpan w:val="2"/>
            <w:vMerge/>
            <w:tcBorders>
              <w:top w:val="single" w:sz="4" w:space="0" w:color="auto"/>
              <w:left w:val="single" w:sz="4" w:space="0" w:color="auto"/>
              <w:bottom w:val="single" w:sz="4" w:space="0" w:color="auto"/>
              <w:right w:val="single" w:sz="4" w:space="0" w:color="auto"/>
            </w:tcBorders>
            <w:vAlign w:val="center"/>
            <w:hideMark/>
          </w:tcPr>
          <w:p w:rsidR="00587FB6" w:rsidRPr="00AF164B" w:rsidRDefault="00587FB6" w:rsidP="00BB175C"/>
        </w:tc>
        <w:tc>
          <w:tcPr>
            <w:tcW w:w="1905" w:type="dxa"/>
            <w:tcBorders>
              <w:top w:val="single" w:sz="4" w:space="0" w:color="auto"/>
              <w:left w:val="single" w:sz="4" w:space="0" w:color="auto"/>
              <w:bottom w:val="single" w:sz="4" w:space="0" w:color="auto"/>
              <w:right w:val="single" w:sz="4" w:space="0" w:color="auto"/>
            </w:tcBorders>
            <w:vAlign w:val="center"/>
            <w:hideMark/>
          </w:tcPr>
          <w:p w:rsidR="00587FB6" w:rsidRPr="00AF164B" w:rsidRDefault="00587FB6" w:rsidP="00273656">
            <w:pPr>
              <w:pStyle w:val="naisf"/>
              <w:jc w:val="center"/>
            </w:pPr>
            <w:r w:rsidRPr="00AF164B">
              <w:rPr>
                <w:bCs/>
              </w:rPr>
              <w:t>201</w:t>
            </w:r>
            <w:r w:rsidR="00273656" w:rsidRPr="00AF164B">
              <w:rPr>
                <w:bCs/>
              </w:rPr>
              <w:t>6</w:t>
            </w:r>
            <w:r w:rsidRPr="00AF164B">
              <w:rPr>
                <w:bCs/>
              </w:rPr>
              <w:t>.</w:t>
            </w:r>
          </w:p>
        </w:tc>
        <w:tc>
          <w:tcPr>
            <w:tcW w:w="1916" w:type="dxa"/>
            <w:tcBorders>
              <w:top w:val="single" w:sz="4" w:space="0" w:color="auto"/>
              <w:left w:val="single" w:sz="4" w:space="0" w:color="auto"/>
              <w:bottom w:val="single" w:sz="4" w:space="0" w:color="auto"/>
              <w:right w:val="single" w:sz="4" w:space="0" w:color="auto"/>
            </w:tcBorders>
            <w:vAlign w:val="center"/>
            <w:hideMark/>
          </w:tcPr>
          <w:p w:rsidR="00587FB6" w:rsidRPr="00AF164B" w:rsidRDefault="00587FB6" w:rsidP="00273656">
            <w:pPr>
              <w:pStyle w:val="naisf"/>
              <w:jc w:val="center"/>
            </w:pPr>
            <w:r w:rsidRPr="00AF164B">
              <w:rPr>
                <w:bCs/>
              </w:rPr>
              <w:t>201</w:t>
            </w:r>
            <w:r w:rsidR="00273656" w:rsidRPr="00AF164B">
              <w:rPr>
                <w:bCs/>
              </w:rPr>
              <w:t>7</w:t>
            </w:r>
            <w:r w:rsidRPr="00AF164B">
              <w:rPr>
                <w:bCs/>
              </w:rPr>
              <w:t>.</w:t>
            </w:r>
          </w:p>
        </w:tc>
        <w:tc>
          <w:tcPr>
            <w:tcW w:w="1912" w:type="dxa"/>
            <w:tcBorders>
              <w:top w:val="single" w:sz="4" w:space="0" w:color="auto"/>
              <w:left w:val="single" w:sz="4" w:space="0" w:color="auto"/>
              <w:bottom w:val="single" w:sz="4" w:space="0" w:color="auto"/>
              <w:right w:val="single" w:sz="4" w:space="0" w:color="auto"/>
            </w:tcBorders>
            <w:vAlign w:val="center"/>
            <w:hideMark/>
          </w:tcPr>
          <w:p w:rsidR="00587FB6" w:rsidRPr="00AF164B" w:rsidRDefault="00587FB6" w:rsidP="00273656">
            <w:pPr>
              <w:pStyle w:val="naisf"/>
              <w:jc w:val="center"/>
            </w:pPr>
            <w:r w:rsidRPr="00AF164B">
              <w:rPr>
                <w:bCs/>
              </w:rPr>
              <w:t>201</w:t>
            </w:r>
            <w:r w:rsidR="00273656" w:rsidRPr="00AF164B">
              <w:rPr>
                <w:bCs/>
              </w:rPr>
              <w:t>8</w:t>
            </w:r>
            <w:r w:rsidRPr="00AF164B">
              <w:rPr>
                <w:bCs/>
              </w:rPr>
              <w:t>.</w:t>
            </w:r>
          </w:p>
        </w:tc>
      </w:tr>
      <w:tr w:rsidR="00E8172A" w:rsidRPr="00AF164B" w:rsidTr="00F95C10">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587FB6" w:rsidRPr="00AF164B" w:rsidRDefault="00587FB6" w:rsidP="00BB175C"/>
        </w:tc>
        <w:tc>
          <w:tcPr>
            <w:tcW w:w="1136" w:type="dxa"/>
            <w:tcBorders>
              <w:top w:val="single" w:sz="4" w:space="0" w:color="auto"/>
              <w:left w:val="single" w:sz="4" w:space="0" w:color="auto"/>
              <w:bottom w:val="single" w:sz="4" w:space="0" w:color="auto"/>
              <w:right w:val="single" w:sz="4" w:space="0" w:color="auto"/>
            </w:tcBorders>
            <w:vAlign w:val="center"/>
            <w:hideMark/>
          </w:tcPr>
          <w:p w:rsidR="00587FB6" w:rsidRPr="00AF164B" w:rsidRDefault="00587FB6" w:rsidP="00BB175C">
            <w:pPr>
              <w:pStyle w:val="naisf"/>
              <w:jc w:val="center"/>
            </w:pPr>
            <w:r w:rsidRPr="00AF164B">
              <w:t>saskaņā ar valsts budžetu kārtējam gadam</w:t>
            </w:r>
          </w:p>
        </w:tc>
        <w:tc>
          <w:tcPr>
            <w:tcW w:w="1553" w:type="dxa"/>
            <w:tcBorders>
              <w:top w:val="single" w:sz="4" w:space="0" w:color="auto"/>
              <w:left w:val="single" w:sz="4" w:space="0" w:color="auto"/>
              <w:bottom w:val="single" w:sz="4" w:space="0" w:color="auto"/>
              <w:right w:val="single" w:sz="4" w:space="0" w:color="auto"/>
            </w:tcBorders>
            <w:vAlign w:val="center"/>
            <w:hideMark/>
          </w:tcPr>
          <w:p w:rsidR="00587FB6" w:rsidRPr="00AF164B" w:rsidRDefault="00587FB6" w:rsidP="00BB175C">
            <w:pPr>
              <w:pStyle w:val="naisf"/>
              <w:jc w:val="center"/>
            </w:pPr>
            <w:r w:rsidRPr="00AF164B">
              <w:t>izmaiņas kārtējā gadā, salīdzinot ar budžetu kārtējam gadam</w:t>
            </w:r>
          </w:p>
        </w:tc>
        <w:tc>
          <w:tcPr>
            <w:tcW w:w="1905" w:type="dxa"/>
            <w:tcBorders>
              <w:top w:val="single" w:sz="4" w:space="0" w:color="auto"/>
              <w:left w:val="single" w:sz="4" w:space="0" w:color="auto"/>
              <w:bottom w:val="single" w:sz="4" w:space="0" w:color="auto"/>
              <w:right w:val="single" w:sz="4" w:space="0" w:color="auto"/>
            </w:tcBorders>
            <w:vAlign w:val="center"/>
            <w:hideMark/>
          </w:tcPr>
          <w:p w:rsidR="00587FB6" w:rsidRPr="00AF164B" w:rsidRDefault="00587FB6" w:rsidP="003E6017">
            <w:pPr>
              <w:pStyle w:val="naisf"/>
              <w:jc w:val="center"/>
            </w:pPr>
            <w:r w:rsidRPr="00AF164B">
              <w:t xml:space="preserve">izmaiņas, salīdzinot ar kārtējo </w:t>
            </w:r>
            <w:proofErr w:type="gramStart"/>
            <w:r w:rsidRPr="00AF164B">
              <w:t>201</w:t>
            </w:r>
            <w:r w:rsidR="003E6017" w:rsidRPr="00AF164B">
              <w:t>5</w:t>
            </w:r>
            <w:r w:rsidRPr="00AF164B">
              <w:t>.gadu</w:t>
            </w:r>
            <w:proofErr w:type="gramEnd"/>
          </w:p>
        </w:tc>
        <w:tc>
          <w:tcPr>
            <w:tcW w:w="1916" w:type="dxa"/>
            <w:tcBorders>
              <w:top w:val="single" w:sz="4" w:space="0" w:color="auto"/>
              <w:left w:val="single" w:sz="4" w:space="0" w:color="auto"/>
              <w:bottom w:val="single" w:sz="4" w:space="0" w:color="auto"/>
              <w:right w:val="single" w:sz="4" w:space="0" w:color="auto"/>
            </w:tcBorders>
            <w:vAlign w:val="center"/>
            <w:hideMark/>
          </w:tcPr>
          <w:p w:rsidR="00587FB6" w:rsidRPr="00AF164B" w:rsidRDefault="00587FB6" w:rsidP="003E6017">
            <w:pPr>
              <w:pStyle w:val="naisf"/>
              <w:jc w:val="center"/>
            </w:pPr>
            <w:r w:rsidRPr="00AF164B">
              <w:t xml:space="preserve">izmaiņas, salīdzinot ar kārtējo </w:t>
            </w:r>
            <w:proofErr w:type="gramStart"/>
            <w:r w:rsidRPr="00AF164B">
              <w:t>201</w:t>
            </w:r>
            <w:r w:rsidR="003E6017" w:rsidRPr="00AF164B">
              <w:t>5</w:t>
            </w:r>
            <w:r w:rsidRPr="00AF164B">
              <w:t>.gadu</w:t>
            </w:r>
            <w:proofErr w:type="gramEnd"/>
          </w:p>
        </w:tc>
        <w:tc>
          <w:tcPr>
            <w:tcW w:w="1912" w:type="dxa"/>
            <w:tcBorders>
              <w:top w:val="single" w:sz="4" w:space="0" w:color="auto"/>
              <w:left w:val="single" w:sz="4" w:space="0" w:color="auto"/>
              <w:bottom w:val="single" w:sz="4" w:space="0" w:color="auto"/>
              <w:right w:val="single" w:sz="4" w:space="0" w:color="auto"/>
            </w:tcBorders>
            <w:vAlign w:val="center"/>
            <w:hideMark/>
          </w:tcPr>
          <w:p w:rsidR="00587FB6" w:rsidRPr="00AF164B" w:rsidRDefault="00587FB6" w:rsidP="003E6017">
            <w:pPr>
              <w:pStyle w:val="naisf"/>
              <w:jc w:val="center"/>
            </w:pPr>
            <w:r w:rsidRPr="00AF164B">
              <w:t xml:space="preserve">izmaiņas, salīdzinot ar kārtējo </w:t>
            </w:r>
            <w:proofErr w:type="gramStart"/>
            <w:r w:rsidRPr="00AF164B">
              <w:t>201</w:t>
            </w:r>
            <w:r w:rsidR="003E6017" w:rsidRPr="00AF164B">
              <w:t>5</w:t>
            </w:r>
            <w:r w:rsidRPr="00AF164B">
              <w:t>.gadu</w:t>
            </w:r>
            <w:proofErr w:type="gramEnd"/>
          </w:p>
        </w:tc>
      </w:tr>
      <w:tr w:rsidR="00E8172A" w:rsidRPr="00AF164B" w:rsidTr="00F95C10">
        <w:trP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587FB6" w:rsidRPr="00AF164B" w:rsidRDefault="00587FB6" w:rsidP="00BB175C">
            <w:pPr>
              <w:pStyle w:val="naisf"/>
              <w:jc w:val="center"/>
              <w:rPr>
                <w:bCs/>
              </w:rPr>
            </w:pPr>
            <w:r w:rsidRPr="00AF164B">
              <w:rPr>
                <w:bCs/>
              </w:rPr>
              <w:t>1</w:t>
            </w:r>
          </w:p>
        </w:tc>
        <w:tc>
          <w:tcPr>
            <w:tcW w:w="1136" w:type="dxa"/>
            <w:tcBorders>
              <w:top w:val="single" w:sz="4" w:space="0" w:color="auto"/>
              <w:left w:val="single" w:sz="4" w:space="0" w:color="auto"/>
              <w:bottom w:val="single" w:sz="4" w:space="0" w:color="auto"/>
              <w:right w:val="single" w:sz="4" w:space="0" w:color="auto"/>
            </w:tcBorders>
            <w:vAlign w:val="center"/>
            <w:hideMark/>
          </w:tcPr>
          <w:p w:rsidR="00587FB6" w:rsidRPr="00AF164B" w:rsidRDefault="00587FB6" w:rsidP="00BB175C">
            <w:pPr>
              <w:pStyle w:val="naisf"/>
              <w:jc w:val="center"/>
              <w:rPr>
                <w:bCs/>
              </w:rPr>
            </w:pPr>
            <w:r w:rsidRPr="00AF164B">
              <w:rPr>
                <w:bCs/>
              </w:rPr>
              <w:t>2</w:t>
            </w:r>
          </w:p>
        </w:tc>
        <w:tc>
          <w:tcPr>
            <w:tcW w:w="1553" w:type="dxa"/>
            <w:tcBorders>
              <w:top w:val="single" w:sz="4" w:space="0" w:color="auto"/>
              <w:left w:val="single" w:sz="4" w:space="0" w:color="auto"/>
              <w:bottom w:val="single" w:sz="4" w:space="0" w:color="auto"/>
              <w:right w:val="single" w:sz="4" w:space="0" w:color="auto"/>
            </w:tcBorders>
            <w:vAlign w:val="center"/>
            <w:hideMark/>
          </w:tcPr>
          <w:p w:rsidR="00587FB6" w:rsidRPr="00AF164B" w:rsidRDefault="00587FB6" w:rsidP="00BB175C">
            <w:pPr>
              <w:pStyle w:val="naisf"/>
              <w:jc w:val="center"/>
              <w:rPr>
                <w:bCs/>
              </w:rPr>
            </w:pPr>
            <w:r w:rsidRPr="00AF164B">
              <w:rPr>
                <w:bCs/>
              </w:rPr>
              <w:t>3</w:t>
            </w:r>
          </w:p>
        </w:tc>
        <w:tc>
          <w:tcPr>
            <w:tcW w:w="1905" w:type="dxa"/>
            <w:tcBorders>
              <w:top w:val="single" w:sz="4" w:space="0" w:color="auto"/>
              <w:left w:val="single" w:sz="4" w:space="0" w:color="auto"/>
              <w:bottom w:val="single" w:sz="4" w:space="0" w:color="auto"/>
              <w:right w:val="single" w:sz="4" w:space="0" w:color="auto"/>
            </w:tcBorders>
            <w:vAlign w:val="center"/>
            <w:hideMark/>
          </w:tcPr>
          <w:p w:rsidR="00587FB6" w:rsidRPr="00AF164B" w:rsidRDefault="00587FB6" w:rsidP="00BB175C">
            <w:pPr>
              <w:pStyle w:val="naisf"/>
              <w:jc w:val="center"/>
              <w:rPr>
                <w:bCs/>
              </w:rPr>
            </w:pPr>
            <w:r w:rsidRPr="00AF164B">
              <w:rPr>
                <w:bCs/>
              </w:rPr>
              <w:t>4</w:t>
            </w:r>
          </w:p>
        </w:tc>
        <w:tc>
          <w:tcPr>
            <w:tcW w:w="1916" w:type="dxa"/>
            <w:tcBorders>
              <w:top w:val="single" w:sz="4" w:space="0" w:color="auto"/>
              <w:left w:val="single" w:sz="4" w:space="0" w:color="auto"/>
              <w:bottom w:val="single" w:sz="4" w:space="0" w:color="auto"/>
              <w:right w:val="single" w:sz="4" w:space="0" w:color="auto"/>
            </w:tcBorders>
            <w:vAlign w:val="center"/>
            <w:hideMark/>
          </w:tcPr>
          <w:p w:rsidR="00587FB6" w:rsidRPr="00AF164B" w:rsidRDefault="00587FB6" w:rsidP="00BB175C">
            <w:pPr>
              <w:pStyle w:val="naisf"/>
              <w:jc w:val="center"/>
              <w:rPr>
                <w:bCs/>
              </w:rPr>
            </w:pPr>
            <w:r w:rsidRPr="00AF164B">
              <w:rPr>
                <w:bCs/>
              </w:rPr>
              <w:t>5</w:t>
            </w:r>
          </w:p>
        </w:tc>
        <w:tc>
          <w:tcPr>
            <w:tcW w:w="1912" w:type="dxa"/>
            <w:tcBorders>
              <w:top w:val="single" w:sz="4" w:space="0" w:color="auto"/>
              <w:left w:val="single" w:sz="4" w:space="0" w:color="auto"/>
              <w:bottom w:val="single" w:sz="4" w:space="0" w:color="auto"/>
              <w:right w:val="single" w:sz="4" w:space="0" w:color="auto"/>
            </w:tcBorders>
            <w:vAlign w:val="center"/>
            <w:hideMark/>
          </w:tcPr>
          <w:p w:rsidR="00587FB6" w:rsidRPr="00AF164B" w:rsidRDefault="00587FB6" w:rsidP="00BB175C">
            <w:pPr>
              <w:pStyle w:val="naisf"/>
              <w:jc w:val="center"/>
              <w:rPr>
                <w:bCs/>
              </w:rPr>
            </w:pPr>
            <w:r w:rsidRPr="00AF164B">
              <w:rPr>
                <w:bCs/>
              </w:rPr>
              <w:t>6</w:t>
            </w:r>
          </w:p>
        </w:tc>
      </w:tr>
      <w:tr w:rsidR="00E8172A" w:rsidRPr="00AF164B" w:rsidTr="00F95C10">
        <w:trPr>
          <w:jc w:val="center"/>
        </w:trPr>
        <w:tc>
          <w:tcPr>
            <w:tcW w:w="1702" w:type="dxa"/>
            <w:tcBorders>
              <w:top w:val="single" w:sz="4" w:space="0" w:color="auto"/>
              <w:left w:val="single" w:sz="4" w:space="0" w:color="auto"/>
              <w:bottom w:val="single" w:sz="4" w:space="0" w:color="auto"/>
              <w:right w:val="single" w:sz="4" w:space="0" w:color="auto"/>
            </w:tcBorders>
            <w:hideMark/>
          </w:tcPr>
          <w:p w:rsidR="00AF390E" w:rsidRPr="00AF164B" w:rsidRDefault="00AF390E" w:rsidP="00BB175C">
            <w:pPr>
              <w:pStyle w:val="naisf"/>
            </w:pPr>
            <w:r w:rsidRPr="00AF164B">
              <w:t>1. Budžeta ieņēmumi:</w:t>
            </w:r>
          </w:p>
        </w:tc>
        <w:tc>
          <w:tcPr>
            <w:tcW w:w="1136" w:type="dxa"/>
            <w:tcBorders>
              <w:top w:val="single" w:sz="4" w:space="0" w:color="auto"/>
              <w:left w:val="single" w:sz="4" w:space="0" w:color="auto"/>
              <w:bottom w:val="single" w:sz="4" w:space="0" w:color="auto"/>
              <w:right w:val="single" w:sz="4" w:space="0" w:color="auto"/>
            </w:tcBorders>
          </w:tcPr>
          <w:p w:rsidR="00AF390E" w:rsidRPr="00AF164B" w:rsidRDefault="00974211" w:rsidP="00BB175C">
            <w:pPr>
              <w:pStyle w:val="naisf"/>
              <w:jc w:val="center"/>
            </w:pPr>
            <w:r w:rsidRPr="00AF164B">
              <w:t>186 662</w:t>
            </w:r>
          </w:p>
        </w:tc>
        <w:tc>
          <w:tcPr>
            <w:tcW w:w="1553" w:type="dxa"/>
            <w:tcBorders>
              <w:top w:val="single" w:sz="4" w:space="0" w:color="auto"/>
              <w:left w:val="single" w:sz="4" w:space="0" w:color="auto"/>
              <w:bottom w:val="single" w:sz="4" w:space="0" w:color="auto"/>
              <w:right w:val="single" w:sz="4" w:space="0" w:color="auto"/>
            </w:tcBorders>
          </w:tcPr>
          <w:p w:rsidR="00AF390E" w:rsidRPr="00AF164B" w:rsidRDefault="00273656" w:rsidP="00BB175C">
            <w:pPr>
              <w:pStyle w:val="naisf"/>
              <w:jc w:val="center"/>
            </w:pPr>
            <w:r w:rsidRPr="00AF164B">
              <w:t>+335 203</w:t>
            </w:r>
          </w:p>
        </w:tc>
        <w:tc>
          <w:tcPr>
            <w:tcW w:w="1905" w:type="dxa"/>
            <w:tcBorders>
              <w:top w:val="single" w:sz="4" w:space="0" w:color="auto"/>
              <w:left w:val="single" w:sz="4" w:space="0" w:color="auto"/>
              <w:bottom w:val="single" w:sz="4" w:space="0" w:color="auto"/>
              <w:right w:val="single" w:sz="4" w:space="0" w:color="auto"/>
            </w:tcBorders>
          </w:tcPr>
          <w:p w:rsidR="00AF390E" w:rsidRPr="00AF164B" w:rsidRDefault="002B7EAC" w:rsidP="00BB175C">
            <w:pPr>
              <w:jc w:val="center"/>
            </w:pPr>
            <w:r w:rsidRPr="00AF164B">
              <w:t>+335 203</w:t>
            </w:r>
          </w:p>
        </w:tc>
        <w:tc>
          <w:tcPr>
            <w:tcW w:w="1916" w:type="dxa"/>
            <w:tcBorders>
              <w:top w:val="single" w:sz="4" w:space="0" w:color="auto"/>
              <w:left w:val="single" w:sz="4" w:space="0" w:color="auto"/>
              <w:bottom w:val="single" w:sz="4" w:space="0" w:color="auto"/>
              <w:right w:val="single" w:sz="4" w:space="0" w:color="auto"/>
            </w:tcBorders>
          </w:tcPr>
          <w:p w:rsidR="00AF390E" w:rsidRPr="00AF164B" w:rsidRDefault="002B7EAC" w:rsidP="00066A43">
            <w:pPr>
              <w:jc w:val="center"/>
            </w:pPr>
            <w:r w:rsidRPr="00AF164B">
              <w:t>+335 203</w:t>
            </w:r>
          </w:p>
        </w:tc>
        <w:tc>
          <w:tcPr>
            <w:tcW w:w="1912" w:type="dxa"/>
            <w:tcBorders>
              <w:top w:val="single" w:sz="4" w:space="0" w:color="auto"/>
              <w:left w:val="single" w:sz="4" w:space="0" w:color="auto"/>
              <w:bottom w:val="single" w:sz="4" w:space="0" w:color="auto"/>
              <w:right w:val="single" w:sz="4" w:space="0" w:color="auto"/>
            </w:tcBorders>
          </w:tcPr>
          <w:p w:rsidR="00AF390E" w:rsidRPr="00AF164B" w:rsidRDefault="002B7EAC" w:rsidP="00066A43">
            <w:pPr>
              <w:jc w:val="center"/>
            </w:pPr>
            <w:r w:rsidRPr="00AF164B">
              <w:t>+335 203</w:t>
            </w:r>
          </w:p>
        </w:tc>
      </w:tr>
      <w:tr w:rsidR="00E8172A" w:rsidRPr="00AF164B" w:rsidTr="00F95C10">
        <w:trPr>
          <w:jc w:val="center"/>
        </w:trPr>
        <w:tc>
          <w:tcPr>
            <w:tcW w:w="1702"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pStyle w:val="naisf"/>
              <w:numPr>
                <w:ilvl w:val="1"/>
                <w:numId w:val="1"/>
              </w:numPr>
              <w:spacing w:before="0" w:beforeAutospacing="0" w:after="0" w:afterAutospacing="0"/>
              <w:ind w:left="-7" w:firstLine="7"/>
              <w:jc w:val="both"/>
            </w:pPr>
            <w:r w:rsidRPr="00AF164B">
              <w:t>valsts pamatbudžets, tai skaitā ieņēmumi no maksas pakalpojumiem un citi pašu ieņēmumi.</w:t>
            </w:r>
          </w:p>
        </w:tc>
        <w:tc>
          <w:tcPr>
            <w:tcW w:w="1136" w:type="dxa"/>
            <w:tcBorders>
              <w:top w:val="single" w:sz="4" w:space="0" w:color="auto"/>
              <w:left w:val="single" w:sz="4" w:space="0" w:color="auto"/>
              <w:bottom w:val="single" w:sz="4" w:space="0" w:color="auto"/>
              <w:right w:val="single" w:sz="4" w:space="0" w:color="auto"/>
            </w:tcBorders>
          </w:tcPr>
          <w:p w:rsidR="00E8172A" w:rsidRPr="00AF164B" w:rsidRDefault="00974211" w:rsidP="00560520">
            <w:pPr>
              <w:pStyle w:val="naisf"/>
              <w:jc w:val="center"/>
            </w:pPr>
            <w:r w:rsidRPr="00AF164B">
              <w:t>186 662</w:t>
            </w:r>
          </w:p>
        </w:tc>
        <w:tc>
          <w:tcPr>
            <w:tcW w:w="1553"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r w:rsidRPr="00AF164B">
              <w:t>+335 203</w:t>
            </w:r>
          </w:p>
        </w:tc>
        <w:tc>
          <w:tcPr>
            <w:tcW w:w="1905"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jc w:val="center"/>
            </w:pPr>
            <w:r w:rsidRPr="00AF164B">
              <w:t>+335 203</w:t>
            </w:r>
          </w:p>
        </w:tc>
        <w:tc>
          <w:tcPr>
            <w:tcW w:w="1916" w:type="dxa"/>
            <w:tcBorders>
              <w:top w:val="single" w:sz="4" w:space="0" w:color="auto"/>
              <w:left w:val="single" w:sz="4" w:space="0" w:color="auto"/>
              <w:bottom w:val="single" w:sz="4" w:space="0" w:color="auto"/>
              <w:right w:val="single" w:sz="4" w:space="0" w:color="auto"/>
            </w:tcBorders>
          </w:tcPr>
          <w:p w:rsidR="00E8172A" w:rsidRPr="00AF164B" w:rsidRDefault="00E8172A" w:rsidP="00066A43">
            <w:pPr>
              <w:jc w:val="center"/>
            </w:pPr>
            <w:r w:rsidRPr="00AF164B">
              <w:t>+335 203</w:t>
            </w:r>
          </w:p>
        </w:tc>
        <w:tc>
          <w:tcPr>
            <w:tcW w:w="1912" w:type="dxa"/>
            <w:tcBorders>
              <w:top w:val="single" w:sz="4" w:space="0" w:color="auto"/>
              <w:left w:val="single" w:sz="4" w:space="0" w:color="auto"/>
              <w:bottom w:val="single" w:sz="4" w:space="0" w:color="auto"/>
              <w:right w:val="single" w:sz="4" w:space="0" w:color="auto"/>
            </w:tcBorders>
          </w:tcPr>
          <w:p w:rsidR="00E8172A" w:rsidRPr="00AF164B" w:rsidRDefault="00E8172A" w:rsidP="00066A43">
            <w:pPr>
              <w:jc w:val="center"/>
            </w:pPr>
            <w:r w:rsidRPr="00AF164B">
              <w:t>+335 203</w:t>
            </w:r>
          </w:p>
        </w:tc>
      </w:tr>
      <w:tr w:rsidR="00E8172A" w:rsidRPr="00AF164B" w:rsidTr="00F95C10">
        <w:trPr>
          <w:jc w:val="center"/>
        </w:trPr>
        <w:tc>
          <w:tcPr>
            <w:tcW w:w="1702"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pStyle w:val="naisf"/>
            </w:pPr>
            <w:r w:rsidRPr="00AF164B">
              <w:t>1.2. valsts speciālais budžets</w:t>
            </w:r>
          </w:p>
        </w:tc>
        <w:tc>
          <w:tcPr>
            <w:tcW w:w="1136"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pStyle w:val="naisf"/>
              <w:jc w:val="center"/>
            </w:pPr>
            <w:r w:rsidRPr="00AF164B">
              <w:t>0</w:t>
            </w:r>
          </w:p>
        </w:tc>
        <w:tc>
          <w:tcPr>
            <w:tcW w:w="1553"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pStyle w:val="naisf"/>
              <w:jc w:val="center"/>
            </w:pPr>
            <w:r w:rsidRPr="00AF164B">
              <w:t>0</w:t>
            </w:r>
          </w:p>
        </w:tc>
        <w:tc>
          <w:tcPr>
            <w:tcW w:w="1905"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pStyle w:val="naisf"/>
              <w:jc w:val="center"/>
            </w:pPr>
            <w:r w:rsidRPr="00AF164B">
              <w:t>0</w:t>
            </w:r>
          </w:p>
        </w:tc>
        <w:tc>
          <w:tcPr>
            <w:tcW w:w="1916"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pStyle w:val="naisf"/>
              <w:jc w:val="center"/>
            </w:pPr>
            <w:r w:rsidRPr="00AF164B">
              <w:t>0</w:t>
            </w:r>
          </w:p>
        </w:tc>
        <w:tc>
          <w:tcPr>
            <w:tcW w:w="1912"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pStyle w:val="naisf"/>
              <w:jc w:val="center"/>
            </w:pPr>
            <w:r w:rsidRPr="00AF164B">
              <w:t>0</w:t>
            </w:r>
          </w:p>
        </w:tc>
      </w:tr>
      <w:tr w:rsidR="00E8172A" w:rsidRPr="00AF164B" w:rsidTr="00F95C10">
        <w:trPr>
          <w:trHeight w:val="304"/>
          <w:jc w:val="center"/>
        </w:trPr>
        <w:tc>
          <w:tcPr>
            <w:tcW w:w="1702"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pStyle w:val="naisf"/>
            </w:pPr>
            <w:r w:rsidRPr="00AF164B">
              <w:t>1.3. pašvaldību budžets</w:t>
            </w:r>
          </w:p>
        </w:tc>
        <w:tc>
          <w:tcPr>
            <w:tcW w:w="1136"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pStyle w:val="naisf"/>
              <w:jc w:val="center"/>
            </w:pPr>
            <w:r w:rsidRPr="00AF164B">
              <w:t>0</w:t>
            </w:r>
          </w:p>
        </w:tc>
        <w:tc>
          <w:tcPr>
            <w:tcW w:w="1553"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pStyle w:val="naisf"/>
              <w:jc w:val="center"/>
            </w:pPr>
            <w:r w:rsidRPr="00AF164B">
              <w:t>0</w:t>
            </w:r>
          </w:p>
        </w:tc>
        <w:tc>
          <w:tcPr>
            <w:tcW w:w="1905"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pStyle w:val="naisf"/>
              <w:jc w:val="center"/>
            </w:pPr>
            <w:r w:rsidRPr="00AF164B">
              <w:t>0</w:t>
            </w:r>
          </w:p>
        </w:tc>
        <w:tc>
          <w:tcPr>
            <w:tcW w:w="1916"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pStyle w:val="naisf"/>
              <w:jc w:val="center"/>
            </w:pPr>
            <w:r w:rsidRPr="00AF164B">
              <w:t>0</w:t>
            </w:r>
          </w:p>
        </w:tc>
        <w:tc>
          <w:tcPr>
            <w:tcW w:w="1912"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pStyle w:val="naisf"/>
              <w:jc w:val="center"/>
            </w:pPr>
            <w:r w:rsidRPr="00AF164B">
              <w:t>0</w:t>
            </w:r>
          </w:p>
        </w:tc>
      </w:tr>
      <w:tr w:rsidR="00E8172A" w:rsidRPr="00AF164B" w:rsidTr="00F95C10">
        <w:trPr>
          <w:jc w:val="center"/>
        </w:trPr>
        <w:tc>
          <w:tcPr>
            <w:tcW w:w="1702"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jc w:val="both"/>
            </w:pPr>
            <w:r w:rsidRPr="00AF164B">
              <w:t>2. Budžeta izdevumi:</w:t>
            </w:r>
          </w:p>
        </w:tc>
        <w:tc>
          <w:tcPr>
            <w:tcW w:w="1136" w:type="dxa"/>
            <w:tcBorders>
              <w:top w:val="single" w:sz="4" w:space="0" w:color="auto"/>
              <w:left w:val="single" w:sz="4" w:space="0" w:color="auto"/>
              <w:bottom w:val="single" w:sz="4" w:space="0" w:color="auto"/>
              <w:right w:val="single" w:sz="4" w:space="0" w:color="auto"/>
            </w:tcBorders>
          </w:tcPr>
          <w:p w:rsidR="00E8172A" w:rsidRPr="00AF164B" w:rsidRDefault="00974211" w:rsidP="00560520">
            <w:pPr>
              <w:pStyle w:val="naisf"/>
              <w:jc w:val="center"/>
            </w:pPr>
            <w:r w:rsidRPr="00AF164B">
              <w:t>186 662</w:t>
            </w:r>
          </w:p>
        </w:tc>
        <w:tc>
          <w:tcPr>
            <w:tcW w:w="1553" w:type="dxa"/>
            <w:tcBorders>
              <w:top w:val="single" w:sz="4" w:space="0" w:color="auto"/>
              <w:left w:val="single" w:sz="4" w:space="0" w:color="auto"/>
              <w:bottom w:val="single" w:sz="4" w:space="0" w:color="auto"/>
              <w:right w:val="single" w:sz="4" w:space="0" w:color="auto"/>
            </w:tcBorders>
          </w:tcPr>
          <w:p w:rsidR="00E8172A" w:rsidRPr="00AF164B" w:rsidRDefault="00E8172A" w:rsidP="00273656">
            <w:pPr>
              <w:jc w:val="center"/>
            </w:pPr>
            <w:r w:rsidRPr="00AF164B">
              <w:t>+335 203</w:t>
            </w:r>
          </w:p>
        </w:tc>
        <w:tc>
          <w:tcPr>
            <w:tcW w:w="1905" w:type="dxa"/>
            <w:tcBorders>
              <w:top w:val="single" w:sz="4" w:space="0" w:color="auto"/>
              <w:left w:val="single" w:sz="4" w:space="0" w:color="auto"/>
              <w:bottom w:val="single" w:sz="4" w:space="0" w:color="auto"/>
              <w:right w:val="single" w:sz="4" w:space="0" w:color="auto"/>
            </w:tcBorders>
          </w:tcPr>
          <w:p w:rsidR="00E8172A" w:rsidRPr="00AF164B" w:rsidRDefault="00E8172A" w:rsidP="00066A43">
            <w:pPr>
              <w:jc w:val="center"/>
            </w:pPr>
            <w:r w:rsidRPr="00AF164B">
              <w:t>+335 203</w:t>
            </w:r>
          </w:p>
        </w:tc>
        <w:tc>
          <w:tcPr>
            <w:tcW w:w="1916" w:type="dxa"/>
            <w:tcBorders>
              <w:top w:val="single" w:sz="4" w:space="0" w:color="auto"/>
              <w:left w:val="single" w:sz="4" w:space="0" w:color="auto"/>
              <w:bottom w:val="single" w:sz="4" w:space="0" w:color="auto"/>
              <w:right w:val="single" w:sz="4" w:space="0" w:color="auto"/>
            </w:tcBorders>
          </w:tcPr>
          <w:p w:rsidR="00E8172A" w:rsidRPr="00AF164B" w:rsidRDefault="00E8172A" w:rsidP="00066A43">
            <w:pPr>
              <w:jc w:val="center"/>
            </w:pPr>
            <w:r w:rsidRPr="00AF164B">
              <w:t>+335 203</w:t>
            </w:r>
          </w:p>
        </w:tc>
        <w:tc>
          <w:tcPr>
            <w:tcW w:w="1912" w:type="dxa"/>
            <w:tcBorders>
              <w:top w:val="single" w:sz="4" w:space="0" w:color="auto"/>
              <w:left w:val="single" w:sz="4" w:space="0" w:color="auto"/>
              <w:bottom w:val="single" w:sz="4" w:space="0" w:color="auto"/>
              <w:right w:val="single" w:sz="4" w:space="0" w:color="auto"/>
            </w:tcBorders>
          </w:tcPr>
          <w:p w:rsidR="00E8172A" w:rsidRPr="00AF164B" w:rsidRDefault="00E8172A" w:rsidP="00066A43">
            <w:pPr>
              <w:jc w:val="center"/>
            </w:pPr>
            <w:r w:rsidRPr="00AF164B">
              <w:t>+335 203</w:t>
            </w:r>
          </w:p>
        </w:tc>
      </w:tr>
      <w:tr w:rsidR="00E8172A" w:rsidRPr="00AF164B" w:rsidTr="00F95C10">
        <w:trPr>
          <w:jc w:val="center"/>
        </w:trPr>
        <w:tc>
          <w:tcPr>
            <w:tcW w:w="1702"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jc w:val="both"/>
            </w:pPr>
            <w:r w:rsidRPr="00AF164B">
              <w:t>2.1. valsts pamatbudžets</w:t>
            </w:r>
          </w:p>
        </w:tc>
        <w:tc>
          <w:tcPr>
            <w:tcW w:w="1136" w:type="dxa"/>
            <w:tcBorders>
              <w:top w:val="single" w:sz="4" w:space="0" w:color="auto"/>
              <w:left w:val="single" w:sz="4" w:space="0" w:color="auto"/>
              <w:bottom w:val="single" w:sz="4" w:space="0" w:color="auto"/>
              <w:right w:val="single" w:sz="4" w:space="0" w:color="auto"/>
            </w:tcBorders>
          </w:tcPr>
          <w:p w:rsidR="00E8172A" w:rsidRPr="00AF164B" w:rsidRDefault="00974211" w:rsidP="00560520">
            <w:pPr>
              <w:pStyle w:val="naisf"/>
              <w:jc w:val="center"/>
            </w:pPr>
            <w:r w:rsidRPr="00AF164B">
              <w:t>186 662</w:t>
            </w:r>
          </w:p>
        </w:tc>
        <w:tc>
          <w:tcPr>
            <w:tcW w:w="1553" w:type="dxa"/>
            <w:tcBorders>
              <w:top w:val="single" w:sz="4" w:space="0" w:color="auto"/>
              <w:left w:val="single" w:sz="4" w:space="0" w:color="auto"/>
              <w:bottom w:val="single" w:sz="4" w:space="0" w:color="auto"/>
              <w:right w:val="single" w:sz="4" w:space="0" w:color="auto"/>
            </w:tcBorders>
          </w:tcPr>
          <w:p w:rsidR="00E8172A" w:rsidRPr="00AF164B" w:rsidRDefault="00E8172A" w:rsidP="00273656">
            <w:pPr>
              <w:jc w:val="center"/>
            </w:pPr>
            <w:r w:rsidRPr="00AF164B">
              <w:t>+335 203</w:t>
            </w:r>
          </w:p>
        </w:tc>
        <w:tc>
          <w:tcPr>
            <w:tcW w:w="1905" w:type="dxa"/>
            <w:tcBorders>
              <w:top w:val="single" w:sz="4" w:space="0" w:color="auto"/>
              <w:left w:val="single" w:sz="4" w:space="0" w:color="auto"/>
              <w:bottom w:val="single" w:sz="4" w:space="0" w:color="auto"/>
              <w:right w:val="single" w:sz="4" w:space="0" w:color="auto"/>
            </w:tcBorders>
          </w:tcPr>
          <w:p w:rsidR="00E8172A" w:rsidRPr="00AF164B" w:rsidRDefault="00E8172A" w:rsidP="00066A43">
            <w:pPr>
              <w:jc w:val="center"/>
            </w:pPr>
            <w:r w:rsidRPr="00AF164B">
              <w:t>+335 203</w:t>
            </w:r>
          </w:p>
        </w:tc>
        <w:tc>
          <w:tcPr>
            <w:tcW w:w="1916" w:type="dxa"/>
            <w:tcBorders>
              <w:top w:val="single" w:sz="4" w:space="0" w:color="auto"/>
              <w:left w:val="single" w:sz="4" w:space="0" w:color="auto"/>
              <w:bottom w:val="single" w:sz="4" w:space="0" w:color="auto"/>
              <w:right w:val="single" w:sz="4" w:space="0" w:color="auto"/>
            </w:tcBorders>
          </w:tcPr>
          <w:p w:rsidR="00E8172A" w:rsidRPr="00AF164B" w:rsidRDefault="00E8172A" w:rsidP="00066A43">
            <w:pPr>
              <w:jc w:val="center"/>
            </w:pPr>
            <w:r w:rsidRPr="00AF164B">
              <w:t>+335 203</w:t>
            </w:r>
          </w:p>
        </w:tc>
        <w:tc>
          <w:tcPr>
            <w:tcW w:w="1912" w:type="dxa"/>
            <w:tcBorders>
              <w:top w:val="single" w:sz="4" w:space="0" w:color="auto"/>
              <w:left w:val="single" w:sz="4" w:space="0" w:color="auto"/>
              <w:bottom w:val="single" w:sz="4" w:space="0" w:color="auto"/>
              <w:right w:val="single" w:sz="4" w:space="0" w:color="auto"/>
            </w:tcBorders>
          </w:tcPr>
          <w:p w:rsidR="00E8172A" w:rsidRPr="00AF164B" w:rsidRDefault="00E8172A" w:rsidP="00066A43">
            <w:pPr>
              <w:jc w:val="center"/>
            </w:pPr>
            <w:r w:rsidRPr="00AF164B">
              <w:t>+335 203</w:t>
            </w:r>
          </w:p>
        </w:tc>
      </w:tr>
      <w:tr w:rsidR="00E8172A" w:rsidRPr="00AF164B" w:rsidTr="00F95C10">
        <w:trPr>
          <w:jc w:val="center"/>
        </w:trPr>
        <w:tc>
          <w:tcPr>
            <w:tcW w:w="1702"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jc w:val="both"/>
            </w:pPr>
            <w:r w:rsidRPr="00AF164B">
              <w:t>2.2. valsts speciālais budžets</w:t>
            </w:r>
          </w:p>
        </w:tc>
        <w:tc>
          <w:tcPr>
            <w:tcW w:w="1136"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c>
          <w:tcPr>
            <w:tcW w:w="1905"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c>
          <w:tcPr>
            <w:tcW w:w="1916"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r>
      <w:tr w:rsidR="00E8172A" w:rsidRPr="00AF164B" w:rsidTr="00F95C10">
        <w:trPr>
          <w:jc w:val="center"/>
        </w:trPr>
        <w:tc>
          <w:tcPr>
            <w:tcW w:w="1702"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jc w:val="both"/>
            </w:pPr>
            <w:r w:rsidRPr="00AF164B">
              <w:t xml:space="preserve">2.3. pašvaldību budžets </w:t>
            </w:r>
          </w:p>
        </w:tc>
        <w:tc>
          <w:tcPr>
            <w:tcW w:w="1136"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c>
          <w:tcPr>
            <w:tcW w:w="1905"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c>
          <w:tcPr>
            <w:tcW w:w="1916"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r>
      <w:tr w:rsidR="00E8172A" w:rsidRPr="00AF164B" w:rsidTr="00F95C10">
        <w:trPr>
          <w:jc w:val="center"/>
        </w:trPr>
        <w:tc>
          <w:tcPr>
            <w:tcW w:w="1702"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jc w:val="both"/>
            </w:pPr>
            <w:r w:rsidRPr="00AF164B">
              <w:t>3. Finansiālā ietekme:</w:t>
            </w:r>
          </w:p>
        </w:tc>
        <w:tc>
          <w:tcPr>
            <w:tcW w:w="1136"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pStyle w:val="naisf"/>
              <w:jc w:val="center"/>
            </w:pPr>
            <w:r w:rsidRPr="00AF164B">
              <w:t>0</w:t>
            </w:r>
          </w:p>
        </w:tc>
        <w:tc>
          <w:tcPr>
            <w:tcW w:w="1553"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pStyle w:val="naisf"/>
              <w:jc w:val="center"/>
            </w:pPr>
            <w:r w:rsidRPr="00AF164B">
              <w:t>0</w:t>
            </w:r>
          </w:p>
        </w:tc>
        <w:tc>
          <w:tcPr>
            <w:tcW w:w="1905"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tabs>
                <w:tab w:val="left" w:pos="301"/>
                <w:tab w:val="center" w:pos="529"/>
              </w:tabs>
            </w:pPr>
            <w:r w:rsidRPr="00AF164B">
              <w:t>0</w:t>
            </w:r>
          </w:p>
        </w:tc>
        <w:tc>
          <w:tcPr>
            <w:tcW w:w="1916"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r w:rsidRPr="00AF164B">
              <w:t>0</w:t>
            </w:r>
          </w:p>
        </w:tc>
        <w:tc>
          <w:tcPr>
            <w:tcW w:w="1912"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r w:rsidRPr="00AF164B">
              <w:t>0</w:t>
            </w:r>
          </w:p>
        </w:tc>
      </w:tr>
      <w:tr w:rsidR="00E8172A" w:rsidRPr="00AF164B" w:rsidTr="00F95C10">
        <w:trPr>
          <w:jc w:val="center"/>
        </w:trPr>
        <w:tc>
          <w:tcPr>
            <w:tcW w:w="1702"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jc w:val="both"/>
            </w:pPr>
            <w:r w:rsidRPr="00AF164B">
              <w:t>3.1. valsts pamatbudžets</w:t>
            </w:r>
          </w:p>
        </w:tc>
        <w:tc>
          <w:tcPr>
            <w:tcW w:w="1136"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c>
          <w:tcPr>
            <w:tcW w:w="1905"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tabs>
                <w:tab w:val="left" w:pos="301"/>
                <w:tab w:val="center" w:pos="529"/>
              </w:tabs>
            </w:pPr>
          </w:p>
        </w:tc>
        <w:tc>
          <w:tcPr>
            <w:tcW w:w="1916"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r>
      <w:tr w:rsidR="00E8172A" w:rsidRPr="00AF164B" w:rsidTr="00F95C10">
        <w:trPr>
          <w:jc w:val="center"/>
        </w:trPr>
        <w:tc>
          <w:tcPr>
            <w:tcW w:w="1702"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jc w:val="both"/>
            </w:pPr>
            <w:r w:rsidRPr="00AF164B">
              <w:t>3.2. speciālais budžets</w:t>
            </w:r>
          </w:p>
        </w:tc>
        <w:tc>
          <w:tcPr>
            <w:tcW w:w="1136"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c>
          <w:tcPr>
            <w:tcW w:w="1905"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c>
          <w:tcPr>
            <w:tcW w:w="1916"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r>
      <w:tr w:rsidR="00E8172A" w:rsidRPr="00AF164B" w:rsidTr="00F95C10">
        <w:trPr>
          <w:jc w:val="center"/>
        </w:trPr>
        <w:tc>
          <w:tcPr>
            <w:tcW w:w="1702"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jc w:val="both"/>
            </w:pPr>
            <w:r w:rsidRPr="00AF164B">
              <w:t xml:space="preserve">3.3. pašvaldību budžets </w:t>
            </w:r>
          </w:p>
        </w:tc>
        <w:tc>
          <w:tcPr>
            <w:tcW w:w="1136"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c>
          <w:tcPr>
            <w:tcW w:w="1905"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c>
          <w:tcPr>
            <w:tcW w:w="1916"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r>
      <w:tr w:rsidR="00E8172A" w:rsidRPr="00AF164B" w:rsidTr="00F95C10">
        <w:trPr>
          <w:jc w:val="center"/>
        </w:trPr>
        <w:tc>
          <w:tcPr>
            <w:tcW w:w="1702" w:type="dxa"/>
            <w:vMerge w:val="restart"/>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jc w:val="both"/>
            </w:pPr>
            <w:r w:rsidRPr="00AF164B">
              <w:lastRenderedPageBreak/>
              <w:t>4. Finanšu līdzekļi papildu izde</w:t>
            </w:r>
            <w:r w:rsidRPr="00AF164B">
              <w:softHyphen/>
              <w:t>vumu finansēšanai (kompensējošu izdevumu samazinājumu norāda ar "+" zīmi)</w:t>
            </w:r>
          </w:p>
        </w:tc>
        <w:tc>
          <w:tcPr>
            <w:tcW w:w="1136" w:type="dxa"/>
            <w:vMerge w:val="restart"/>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pStyle w:val="naisf"/>
              <w:jc w:val="center"/>
            </w:pPr>
            <w:r w:rsidRPr="00AF164B">
              <w:t>X</w:t>
            </w:r>
          </w:p>
        </w:tc>
        <w:tc>
          <w:tcPr>
            <w:tcW w:w="1553"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pPr>
          </w:p>
        </w:tc>
        <w:tc>
          <w:tcPr>
            <w:tcW w:w="1905"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pPr>
          </w:p>
        </w:tc>
        <w:tc>
          <w:tcPr>
            <w:tcW w:w="1916"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pPr>
          </w:p>
        </w:tc>
        <w:tc>
          <w:tcPr>
            <w:tcW w:w="1912"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pPr>
          </w:p>
        </w:tc>
      </w:tr>
      <w:tr w:rsidR="00E8172A" w:rsidRPr="00AF164B" w:rsidTr="00F95C10">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8172A" w:rsidRPr="00AF164B" w:rsidRDefault="00E8172A" w:rsidP="00BB175C"/>
        </w:tc>
        <w:tc>
          <w:tcPr>
            <w:tcW w:w="1136" w:type="dxa"/>
            <w:vMerge/>
            <w:tcBorders>
              <w:top w:val="single" w:sz="4" w:space="0" w:color="auto"/>
              <w:left w:val="single" w:sz="4" w:space="0" w:color="auto"/>
              <w:bottom w:val="single" w:sz="4" w:space="0" w:color="auto"/>
              <w:right w:val="single" w:sz="4" w:space="0" w:color="auto"/>
            </w:tcBorders>
            <w:vAlign w:val="center"/>
            <w:hideMark/>
          </w:tcPr>
          <w:p w:rsidR="00E8172A" w:rsidRPr="00AF164B" w:rsidRDefault="00E8172A" w:rsidP="00BB175C"/>
        </w:tc>
        <w:tc>
          <w:tcPr>
            <w:tcW w:w="1553"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pPr>
          </w:p>
        </w:tc>
        <w:tc>
          <w:tcPr>
            <w:tcW w:w="1905"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pPr>
          </w:p>
        </w:tc>
        <w:tc>
          <w:tcPr>
            <w:tcW w:w="1916"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pPr>
          </w:p>
        </w:tc>
        <w:tc>
          <w:tcPr>
            <w:tcW w:w="1912"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pPr>
          </w:p>
        </w:tc>
      </w:tr>
      <w:tr w:rsidR="00E8172A" w:rsidRPr="00AF164B" w:rsidTr="00F95C10">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8172A" w:rsidRPr="00AF164B" w:rsidRDefault="00E8172A" w:rsidP="00BB175C"/>
        </w:tc>
        <w:tc>
          <w:tcPr>
            <w:tcW w:w="1136" w:type="dxa"/>
            <w:vMerge/>
            <w:tcBorders>
              <w:top w:val="single" w:sz="4" w:space="0" w:color="auto"/>
              <w:left w:val="single" w:sz="4" w:space="0" w:color="auto"/>
              <w:bottom w:val="single" w:sz="4" w:space="0" w:color="auto"/>
              <w:right w:val="single" w:sz="4" w:space="0" w:color="auto"/>
            </w:tcBorders>
            <w:vAlign w:val="center"/>
            <w:hideMark/>
          </w:tcPr>
          <w:p w:rsidR="00E8172A" w:rsidRPr="00AF164B" w:rsidRDefault="00E8172A" w:rsidP="00BB175C"/>
        </w:tc>
        <w:tc>
          <w:tcPr>
            <w:tcW w:w="1553"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pPr>
          </w:p>
        </w:tc>
        <w:tc>
          <w:tcPr>
            <w:tcW w:w="1905"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pPr>
          </w:p>
        </w:tc>
        <w:tc>
          <w:tcPr>
            <w:tcW w:w="1916"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pPr>
          </w:p>
        </w:tc>
        <w:tc>
          <w:tcPr>
            <w:tcW w:w="1912"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pPr>
          </w:p>
        </w:tc>
      </w:tr>
      <w:tr w:rsidR="00E8172A" w:rsidRPr="00AF164B" w:rsidTr="00F95C10">
        <w:trPr>
          <w:jc w:val="center"/>
        </w:trPr>
        <w:tc>
          <w:tcPr>
            <w:tcW w:w="1702"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jc w:val="both"/>
            </w:pPr>
            <w:r w:rsidRPr="00AF164B">
              <w:t>5. Precizēta finansiālā ietekme:</w:t>
            </w:r>
          </w:p>
        </w:tc>
        <w:tc>
          <w:tcPr>
            <w:tcW w:w="1136" w:type="dxa"/>
            <w:vMerge w:val="restart"/>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c>
          <w:tcPr>
            <w:tcW w:w="1553"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pPr>
          </w:p>
        </w:tc>
        <w:tc>
          <w:tcPr>
            <w:tcW w:w="1905"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tabs>
                <w:tab w:val="left" w:pos="301"/>
                <w:tab w:val="center" w:pos="529"/>
              </w:tabs>
            </w:pPr>
          </w:p>
        </w:tc>
        <w:tc>
          <w:tcPr>
            <w:tcW w:w="1916"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r>
      <w:tr w:rsidR="00E8172A" w:rsidRPr="00AF164B" w:rsidTr="00F95C10">
        <w:trPr>
          <w:jc w:val="center"/>
        </w:trPr>
        <w:tc>
          <w:tcPr>
            <w:tcW w:w="1702"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jc w:val="both"/>
            </w:pPr>
            <w:r w:rsidRPr="00AF164B">
              <w:t>5.1. valsts pamatbudžets</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E8172A" w:rsidRPr="00AF164B" w:rsidRDefault="00E8172A" w:rsidP="00BB175C"/>
        </w:tc>
        <w:tc>
          <w:tcPr>
            <w:tcW w:w="1553"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pPr>
          </w:p>
        </w:tc>
        <w:tc>
          <w:tcPr>
            <w:tcW w:w="1905"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tabs>
                <w:tab w:val="left" w:pos="301"/>
                <w:tab w:val="center" w:pos="529"/>
              </w:tabs>
            </w:pPr>
          </w:p>
        </w:tc>
        <w:tc>
          <w:tcPr>
            <w:tcW w:w="1916"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c>
          <w:tcPr>
            <w:tcW w:w="1912"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jc w:val="center"/>
            </w:pPr>
          </w:p>
        </w:tc>
      </w:tr>
      <w:tr w:rsidR="00E8172A" w:rsidRPr="00AF164B" w:rsidTr="00F95C10">
        <w:trPr>
          <w:jc w:val="center"/>
        </w:trPr>
        <w:tc>
          <w:tcPr>
            <w:tcW w:w="1702"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jc w:val="both"/>
            </w:pPr>
            <w:r w:rsidRPr="00AF164B">
              <w:t>5.2. speciālais budžets</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E8172A" w:rsidRPr="00AF164B" w:rsidRDefault="00E8172A" w:rsidP="00BB175C"/>
        </w:tc>
        <w:tc>
          <w:tcPr>
            <w:tcW w:w="1553"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pPr>
          </w:p>
        </w:tc>
        <w:tc>
          <w:tcPr>
            <w:tcW w:w="1905"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pPr>
          </w:p>
        </w:tc>
        <w:tc>
          <w:tcPr>
            <w:tcW w:w="1916"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pPr>
          </w:p>
        </w:tc>
        <w:tc>
          <w:tcPr>
            <w:tcW w:w="1912"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pPr>
          </w:p>
        </w:tc>
      </w:tr>
      <w:tr w:rsidR="00E8172A" w:rsidRPr="00AF164B" w:rsidTr="00F95C10">
        <w:trPr>
          <w:jc w:val="center"/>
        </w:trPr>
        <w:tc>
          <w:tcPr>
            <w:tcW w:w="1702"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jc w:val="both"/>
            </w:pPr>
            <w:r w:rsidRPr="00AF164B">
              <w:t xml:space="preserve">5.3. pašvaldību budžets </w:t>
            </w: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E8172A" w:rsidRPr="00AF164B" w:rsidRDefault="00E8172A" w:rsidP="00BB175C"/>
        </w:tc>
        <w:tc>
          <w:tcPr>
            <w:tcW w:w="1553"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pPr>
          </w:p>
        </w:tc>
        <w:tc>
          <w:tcPr>
            <w:tcW w:w="1905"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pPr>
          </w:p>
        </w:tc>
        <w:tc>
          <w:tcPr>
            <w:tcW w:w="1916"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pPr>
          </w:p>
        </w:tc>
        <w:tc>
          <w:tcPr>
            <w:tcW w:w="1912"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pStyle w:val="naisf"/>
            </w:pPr>
          </w:p>
        </w:tc>
      </w:tr>
      <w:tr w:rsidR="00F95C10" w:rsidRPr="00AF164B" w:rsidTr="00F95C10">
        <w:trPr>
          <w:trHeight w:val="1971"/>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rsidR="00F95C10" w:rsidRPr="00AF164B" w:rsidRDefault="00F95C10" w:rsidP="00F95C10">
            <w:pPr>
              <w:jc w:val="both"/>
            </w:pPr>
            <w:r w:rsidRPr="00AF164B">
              <w:t>6. Detalizēts ieņēmumu un izdevu</w:t>
            </w:r>
            <w:r w:rsidRPr="00AF164B">
              <w:softHyphen/>
              <w:t>mu aprēķins (ja nepieciešams, detalizētu ieņēmumu un izdevumu aprēķinu var pievienot anotācijas</w:t>
            </w:r>
            <w:proofErr w:type="gramStart"/>
            <w:r w:rsidRPr="00AF164B">
              <w:t xml:space="preserve">  </w:t>
            </w:r>
            <w:proofErr w:type="gramEnd"/>
            <w:r w:rsidRPr="00AF164B">
              <w:t>pielikumā):</w:t>
            </w:r>
          </w:p>
        </w:tc>
        <w:tc>
          <w:tcPr>
            <w:tcW w:w="1136" w:type="dxa"/>
            <w:tcBorders>
              <w:top w:val="single" w:sz="4" w:space="0" w:color="auto"/>
              <w:left w:val="single" w:sz="4" w:space="0" w:color="auto"/>
              <w:bottom w:val="single" w:sz="4" w:space="0" w:color="auto"/>
              <w:right w:val="single" w:sz="4" w:space="0" w:color="auto"/>
            </w:tcBorders>
            <w:vAlign w:val="center"/>
          </w:tcPr>
          <w:p w:rsidR="00F95C10" w:rsidRPr="00AF164B" w:rsidRDefault="00F95C10" w:rsidP="00BB175C">
            <w:pPr>
              <w:pStyle w:val="naisf"/>
              <w:jc w:val="center"/>
            </w:pPr>
          </w:p>
          <w:p w:rsidR="00F95C10" w:rsidRPr="00AF164B" w:rsidRDefault="00F95C10" w:rsidP="00F95C10">
            <w:pPr>
              <w:pStyle w:val="naisf"/>
              <w:jc w:val="center"/>
            </w:pPr>
          </w:p>
        </w:tc>
        <w:tc>
          <w:tcPr>
            <w:tcW w:w="7286" w:type="dxa"/>
            <w:gridSpan w:val="4"/>
            <w:tcBorders>
              <w:top w:val="single" w:sz="4" w:space="0" w:color="auto"/>
              <w:left w:val="single" w:sz="4" w:space="0" w:color="auto"/>
              <w:bottom w:val="single" w:sz="4" w:space="0" w:color="auto"/>
              <w:right w:val="single" w:sz="4" w:space="0" w:color="auto"/>
            </w:tcBorders>
            <w:vAlign w:val="center"/>
          </w:tcPr>
          <w:p w:rsidR="00F95C10" w:rsidRPr="00AF164B" w:rsidRDefault="00F95C10" w:rsidP="00BB175C">
            <w:pPr>
              <w:jc w:val="center"/>
            </w:pPr>
            <w:r w:rsidRPr="00AF164B">
              <w:t xml:space="preserve">Detalizēts izcenojuma aprēķins </w:t>
            </w:r>
            <w:r w:rsidR="006B7A31" w:rsidRPr="00AF164B">
              <w:t>dots</w:t>
            </w:r>
            <w:r w:rsidRPr="00AF164B">
              <w:t xml:space="preserve"> </w:t>
            </w:r>
            <w:r w:rsidR="006B7A31" w:rsidRPr="00AF164B">
              <w:t>a</w:t>
            </w:r>
            <w:r w:rsidRPr="00AF164B">
              <w:t>notācijas 1.pielikumā</w:t>
            </w:r>
          </w:p>
        </w:tc>
      </w:tr>
      <w:tr w:rsidR="00E8172A" w:rsidRPr="00AF164B" w:rsidTr="00F95C10">
        <w:trPr>
          <w:trHeight w:val="618"/>
          <w:jc w:val="center"/>
        </w:trPr>
        <w:tc>
          <w:tcPr>
            <w:tcW w:w="1702"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jc w:val="both"/>
              <w:rPr>
                <w:b/>
              </w:rPr>
            </w:pPr>
            <w:r w:rsidRPr="00AF164B">
              <w:rPr>
                <w:b/>
              </w:rPr>
              <w:t>6.1. detalizēts ieņēmumu aprēķins</w:t>
            </w:r>
          </w:p>
          <w:p w:rsidR="00E8172A" w:rsidRPr="00AF164B" w:rsidRDefault="00E8172A" w:rsidP="00BB175C">
            <w:pPr>
              <w:jc w:val="both"/>
              <w:rPr>
                <w:i/>
              </w:rPr>
            </w:pPr>
          </w:p>
        </w:tc>
        <w:tc>
          <w:tcPr>
            <w:tcW w:w="1136" w:type="dxa"/>
            <w:tcBorders>
              <w:top w:val="single" w:sz="4" w:space="0" w:color="auto"/>
              <w:left w:val="single" w:sz="4" w:space="0" w:color="auto"/>
              <w:bottom w:val="single" w:sz="4" w:space="0" w:color="auto"/>
              <w:right w:val="single" w:sz="4" w:space="0" w:color="auto"/>
            </w:tcBorders>
            <w:vAlign w:val="center"/>
          </w:tcPr>
          <w:p w:rsidR="00E8172A" w:rsidRPr="00AF164B" w:rsidRDefault="00E8172A" w:rsidP="00BB175C">
            <w:pPr>
              <w:pStyle w:val="naisf"/>
              <w:spacing w:before="0" w:beforeAutospacing="0" w:after="0" w:afterAutospacing="0"/>
              <w:jc w:val="center"/>
            </w:pPr>
          </w:p>
        </w:tc>
        <w:tc>
          <w:tcPr>
            <w:tcW w:w="7286" w:type="dxa"/>
            <w:gridSpan w:val="4"/>
            <w:tcBorders>
              <w:top w:val="single" w:sz="4" w:space="0" w:color="auto"/>
              <w:left w:val="single" w:sz="4" w:space="0" w:color="auto"/>
              <w:bottom w:val="single" w:sz="4" w:space="0" w:color="auto"/>
              <w:right w:val="single" w:sz="4" w:space="0" w:color="auto"/>
            </w:tcBorders>
            <w:vAlign w:val="center"/>
          </w:tcPr>
          <w:p w:rsidR="00E8172A" w:rsidRPr="00AF164B" w:rsidRDefault="00E8172A" w:rsidP="00E8172A">
            <w:pPr>
              <w:jc w:val="both"/>
            </w:pPr>
            <w:proofErr w:type="gramStart"/>
            <w:r w:rsidRPr="00AF164B">
              <w:t>2015.gadā</w:t>
            </w:r>
            <w:proofErr w:type="gramEnd"/>
            <w:r w:rsidRPr="00AF164B">
              <w:t xml:space="preserve"> saskaņā ar apstiprināto budžetu kārtējam gadam par zāģbaļķu un zāģmateriālu pārbaudēm (spēkā esošais nediferencētais izcenojums 0,14 </w:t>
            </w:r>
            <w:proofErr w:type="spellStart"/>
            <w:r w:rsidRPr="00AF164B">
              <w:rPr>
                <w:i/>
              </w:rPr>
              <w:t>euro</w:t>
            </w:r>
            <w:proofErr w:type="spellEnd"/>
            <w:r w:rsidRPr="00AF164B">
              <w:t>/m</w:t>
            </w:r>
            <w:r w:rsidRPr="00AF164B">
              <w:rPr>
                <w:vertAlign w:val="superscript"/>
              </w:rPr>
              <w:t>3</w:t>
            </w:r>
            <w:r w:rsidRPr="00AF164B">
              <w:t xml:space="preserve">) </w:t>
            </w:r>
            <w:r w:rsidR="009018CA" w:rsidRPr="00AF164B">
              <w:t xml:space="preserve">ir </w:t>
            </w:r>
            <w:r w:rsidRPr="00AF164B">
              <w:t>plānoti ieņēmumi 185</w:t>
            </w:r>
            <w:r w:rsidR="009018CA" w:rsidRPr="00AF164B">
              <w:t> </w:t>
            </w:r>
            <w:r w:rsidRPr="00AF164B">
              <w:t>662</w:t>
            </w:r>
            <w:r w:rsidRPr="00AF164B">
              <w:rPr>
                <w:i/>
              </w:rPr>
              <w:t xml:space="preserve"> </w:t>
            </w:r>
            <w:proofErr w:type="spellStart"/>
            <w:r w:rsidRPr="00AF164B">
              <w:rPr>
                <w:i/>
              </w:rPr>
              <w:t>euro</w:t>
            </w:r>
            <w:proofErr w:type="spellEnd"/>
            <w:r w:rsidRPr="00AF164B">
              <w:t xml:space="preserve"> apmērā un par pārbaudēm papīrmalkai, apaļkokiem (tehniskai koksnei) (spēkā esošais izcenojums 0,04 </w:t>
            </w:r>
            <w:proofErr w:type="spellStart"/>
            <w:r w:rsidRPr="00AF164B">
              <w:t>euro</w:t>
            </w:r>
            <w:proofErr w:type="spellEnd"/>
            <w:r w:rsidRPr="00AF164B">
              <w:t>/m</w:t>
            </w:r>
            <w:r w:rsidRPr="00AF164B">
              <w:rPr>
                <w:vertAlign w:val="superscript"/>
              </w:rPr>
              <w:t>3</w:t>
            </w:r>
            <w:r w:rsidRPr="00AF164B">
              <w:t xml:space="preserve">) </w:t>
            </w:r>
            <w:r w:rsidR="009018CA" w:rsidRPr="00AF164B">
              <w:t xml:space="preserve">– </w:t>
            </w:r>
            <w:r w:rsidRPr="00AF164B">
              <w:t xml:space="preserve">1000 </w:t>
            </w:r>
            <w:proofErr w:type="spellStart"/>
            <w:r w:rsidRPr="00AF164B">
              <w:rPr>
                <w:i/>
              </w:rPr>
              <w:t>euro</w:t>
            </w:r>
            <w:proofErr w:type="spellEnd"/>
            <w:r w:rsidRPr="00AF164B">
              <w:t xml:space="preserve">. </w:t>
            </w:r>
          </w:p>
          <w:p w:rsidR="00E8172A" w:rsidRPr="00AF164B" w:rsidRDefault="00E8172A" w:rsidP="00E8172A">
            <w:pPr>
              <w:jc w:val="both"/>
            </w:pPr>
            <w:r w:rsidRPr="00AF164B">
              <w:t>426</w:t>
            </w:r>
            <w:r w:rsidR="009018CA" w:rsidRPr="00AF164B">
              <w:t> </w:t>
            </w:r>
            <w:r w:rsidRPr="00AF164B">
              <w:t>157 m</w:t>
            </w:r>
            <w:r w:rsidRPr="00AF164B">
              <w:rPr>
                <w:vertAlign w:val="superscript"/>
              </w:rPr>
              <w:t>3</w:t>
            </w:r>
            <w:r w:rsidRPr="00AF164B">
              <w:t xml:space="preserve"> zāģbaļķi x 0,14 =</w:t>
            </w:r>
            <w:r w:rsidR="009018CA" w:rsidRPr="00AF164B">
              <w:t xml:space="preserve"> </w:t>
            </w:r>
            <w:r w:rsidRPr="00AF164B">
              <w:t>59</w:t>
            </w:r>
            <w:r w:rsidR="009018CA" w:rsidRPr="00AF164B">
              <w:t> </w:t>
            </w:r>
            <w:r w:rsidRPr="00AF164B">
              <w:t>662</w:t>
            </w:r>
            <w:r w:rsidR="009018CA" w:rsidRPr="00AF164B">
              <w:t xml:space="preserve"> </w:t>
            </w:r>
            <w:proofErr w:type="spellStart"/>
            <w:r w:rsidR="009018CA" w:rsidRPr="00AF164B">
              <w:rPr>
                <w:i/>
              </w:rPr>
              <w:t>euro</w:t>
            </w:r>
            <w:proofErr w:type="spellEnd"/>
          </w:p>
          <w:p w:rsidR="00E8172A" w:rsidRPr="00AF164B" w:rsidRDefault="00E8172A" w:rsidP="00E8172A">
            <w:pPr>
              <w:jc w:val="both"/>
            </w:pPr>
            <w:r w:rsidRPr="00AF164B">
              <w:t>900</w:t>
            </w:r>
            <w:r w:rsidR="009018CA" w:rsidRPr="00AF164B">
              <w:t> </w:t>
            </w:r>
            <w:r w:rsidRPr="00AF164B">
              <w:t>000 m</w:t>
            </w:r>
            <w:r w:rsidRPr="00AF164B">
              <w:rPr>
                <w:vertAlign w:val="superscript"/>
              </w:rPr>
              <w:t>3</w:t>
            </w:r>
            <w:r w:rsidRPr="00AF164B">
              <w:t xml:space="preserve"> zāģmateriāli x 0,14=126</w:t>
            </w:r>
            <w:r w:rsidR="009018CA" w:rsidRPr="00AF164B">
              <w:t> </w:t>
            </w:r>
            <w:r w:rsidRPr="00AF164B">
              <w:t>000</w:t>
            </w:r>
            <w:r w:rsidR="009018CA" w:rsidRPr="00AF164B">
              <w:t xml:space="preserve"> </w:t>
            </w:r>
            <w:proofErr w:type="spellStart"/>
            <w:r w:rsidR="009018CA" w:rsidRPr="00AF164B">
              <w:rPr>
                <w:i/>
              </w:rPr>
              <w:t>euro</w:t>
            </w:r>
            <w:proofErr w:type="spellEnd"/>
          </w:p>
          <w:p w:rsidR="00E8172A" w:rsidRPr="00AF164B" w:rsidRDefault="00E8172A" w:rsidP="00E8172A">
            <w:pPr>
              <w:jc w:val="both"/>
            </w:pPr>
            <w:r w:rsidRPr="00AF164B">
              <w:t>25</w:t>
            </w:r>
            <w:r w:rsidR="009018CA" w:rsidRPr="00AF164B">
              <w:t> </w:t>
            </w:r>
            <w:r w:rsidRPr="00AF164B">
              <w:t>000 m</w:t>
            </w:r>
            <w:r w:rsidRPr="00AF164B">
              <w:rPr>
                <w:vertAlign w:val="superscript"/>
              </w:rPr>
              <w:t>3</w:t>
            </w:r>
            <w:r w:rsidRPr="00AF164B">
              <w:t xml:space="preserve"> x</w:t>
            </w:r>
            <w:r w:rsidR="009018CA" w:rsidRPr="00AF164B">
              <w:t xml:space="preserve"> </w:t>
            </w:r>
            <w:r w:rsidRPr="00AF164B">
              <w:t xml:space="preserve">0,04=1000 </w:t>
            </w:r>
            <w:proofErr w:type="spellStart"/>
            <w:r w:rsidRPr="00AF164B">
              <w:rPr>
                <w:i/>
              </w:rPr>
              <w:t>euro</w:t>
            </w:r>
            <w:proofErr w:type="spellEnd"/>
          </w:p>
          <w:p w:rsidR="00E8172A" w:rsidRPr="00AF164B" w:rsidRDefault="00E8172A" w:rsidP="00E8172A">
            <w:pPr>
              <w:jc w:val="both"/>
            </w:pPr>
            <w:r w:rsidRPr="00AF164B">
              <w:t>Kopā par fitosanitārajām pārbaudēm zāģmateriāliem, zāģbaļķiem, apaļkokiem</w:t>
            </w:r>
            <w:r w:rsidR="009018CA" w:rsidRPr="00AF164B">
              <w:t xml:space="preserve"> un</w:t>
            </w:r>
            <w:r w:rsidRPr="00AF164B">
              <w:t xml:space="preserve"> papīrmalkai </w:t>
            </w:r>
            <w:r w:rsidR="009018CA" w:rsidRPr="00AF164B">
              <w:t xml:space="preserve">ir </w:t>
            </w:r>
            <w:r w:rsidRPr="00AF164B">
              <w:t xml:space="preserve">plānoti ieņēmumi 186 662 </w:t>
            </w:r>
            <w:proofErr w:type="spellStart"/>
            <w:r w:rsidRPr="00AF164B">
              <w:rPr>
                <w:i/>
              </w:rPr>
              <w:t>euro</w:t>
            </w:r>
            <w:proofErr w:type="spellEnd"/>
            <w:r w:rsidRPr="00AF164B">
              <w:t xml:space="preserve">. </w:t>
            </w:r>
          </w:p>
          <w:p w:rsidR="00E8172A" w:rsidRPr="00AF164B" w:rsidRDefault="00E8172A" w:rsidP="00E8172A">
            <w:pPr>
              <w:jc w:val="both"/>
            </w:pPr>
            <w:r w:rsidRPr="00AF164B">
              <w:t xml:space="preserve">Bet </w:t>
            </w:r>
            <w:proofErr w:type="gramStart"/>
            <w:r w:rsidRPr="00AF164B">
              <w:t>2015.gadā</w:t>
            </w:r>
            <w:proofErr w:type="gramEnd"/>
            <w:r w:rsidRPr="00AF164B">
              <w:t xml:space="preserve"> </w:t>
            </w:r>
            <w:r w:rsidRPr="00AF164B">
              <w:rPr>
                <w:u w:val="single"/>
              </w:rPr>
              <w:t>pēc izcenojuma izmaiņām</w:t>
            </w:r>
            <w:r w:rsidRPr="00AF164B">
              <w:t xml:space="preserve"> un turpmākajos gados tiek plānots, ka gadā varētu </w:t>
            </w:r>
            <w:r w:rsidR="009018CA" w:rsidRPr="00AF164B">
              <w:t>no</w:t>
            </w:r>
            <w:r w:rsidRPr="00AF164B">
              <w:t>tikt fitosanitārās pārbaudes 850 000 m</w:t>
            </w:r>
            <w:r w:rsidRPr="00AF164B">
              <w:rPr>
                <w:vertAlign w:val="superscript"/>
              </w:rPr>
              <w:t>3</w:t>
            </w:r>
            <w:r w:rsidRPr="00AF164B">
              <w:t xml:space="preserve"> zāģmateriāliem</w:t>
            </w:r>
            <w:r w:rsidR="009018CA" w:rsidRPr="00AF164B">
              <w:t xml:space="preserve"> (tas </w:t>
            </w:r>
            <w:r w:rsidRPr="00AF164B">
              <w:t>veido</w:t>
            </w:r>
            <w:r w:rsidR="009018CA" w:rsidRPr="00AF164B">
              <w:t>tu</w:t>
            </w:r>
            <w:r w:rsidRPr="00AF164B">
              <w:t xml:space="preserve"> ieņēmumus 238 000 </w:t>
            </w:r>
            <w:proofErr w:type="spellStart"/>
            <w:r w:rsidRPr="00AF164B">
              <w:rPr>
                <w:i/>
              </w:rPr>
              <w:t>euro</w:t>
            </w:r>
            <w:proofErr w:type="spellEnd"/>
            <w:r w:rsidRPr="00AF164B">
              <w:t xml:space="preserve"> apmērā (850</w:t>
            </w:r>
            <w:r w:rsidR="009018CA" w:rsidRPr="00AF164B">
              <w:t> </w:t>
            </w:r>
            <w:r w:rsidRPr="00AF164B">
              <w:t xml:space="preserve">000 x 0,28 </w:t>
            </w:r>
            <w:proofErr w:type="spellStart"/>
            <w:r w:rsidRPr="00AF164B">
              <w:rPr>
                <w:i/>
              </w:rPr>
              <w:t>euro</w:t>
            </w:r>
            <w:proofErr w:type="spellEnd"/>
            <w:r w:rsidRPr="00AF164B">
              <w:t>/m</w:t>
            </w:r>
            <w:r w:rsidRPr="00AF164B">
              <w:rPr>
                <w:vertAlign w:val="superscript"/>
              </w:rPr>
              <w:t>3</w:t>
            </w:r>
            <w:r w:rsidRPr="00AF164B">
              <w:t>)</w:t>
            </w:r>
            <w:r w:rsidR="009018CA" w:rsidRPr="00AF164B">
              <w:t>)</w:t>
            </w:r>
            <w:r w:rsidRPr="00AF164B">
              <w:t xml:space="preserve"> un 100 000 m</w:t>
            </w:r>
            <w:r w:rsidRPr="00AF164B">
              <w:rPr>
                <w:vertAlign w:val="superscript"/>
              </w:rPr>
              <w:t>3</w:t>
            </w:r>
            <w:r w:rsidRPr="00AF164B">
              <w:t xml:space="preserve"> apaļkoku (zāģbaļķu) </w:t>
            </w:r>
            <w:r w:rsidR="009018CA" w:rsidRPr="00AF164B">
              <w:t xml:space="preserve">(tas </w:t>
            </w:r>
            <w:r w:rsidRPr="00AF164B">
              <w:t>veido</w:t>
            </w:r>
            <w:r w:rsidR="009018CA" w:rsidRPr="00AF164B">
              <w:t>tu</w:t>
            </w:r>
            <w:r w:rsidRPr="00AF164B">
              <w:t xml:space="preserve"> ieņēmumus 283 000 </w:t>
            </w:r>
            <w:proofErr w:type="spellStart"/>
            <w:r w:rsidRPr="00AF164B">
              <w:rPr>
                <w:i/>
              </w:rPr>
              <w:t>euro</w:t>
            </w:r>
            <w:proofErr w:type="spellEnd"/>
            <w:r w:rsidRPr="00AF164B">
              <w:t xml:space="preserve"> apmērā (100</w:t>
            </w:r>
            <w:r w:rsidR="009018CA" w:rsidRPr="00AF164B">
              <w:t> </w:t>
            </w:r>
            <w:r w:rsidRPr="00AF164B">
              <w:t xml:space="preserve">000 x 2,83 </w:t>
            </w:r>
            <w:proofErr w:type="spellStart"/>
            <w:r w:rsidRPr="00AF164B">
              <w:rPr>
                <w:i/>
              </w:rPr>
              <w:t>euro</w:t>
            </w:r>
            <w:proofErr w:type="spellEnd"/>
            <w:r w:rsidRPr="00AF164B">
              <w:t>/m</w:t>
            </w:r>
            <w:r w:rsidRPr="00AF164B">
              <w:rPr>
                <w:vertAlign w:val="superscript"/>
              </w:rPr>
              <w:t>3</w:t>
            </w:r>
            <w:r w:rsidRPr="00AF164B">
              <w:t xml:space="preserve">). Kopā gadā </w:t>
            </w:r>
            <w:r w:rsidR="009018CA" w:rsidRPr="00AF164B">
              <w:t>tie būtu</w:t>
            </w:r>
            <w:r w:rsidRPr="00AF164B">
              <w:t xml:space="preserve"> 521 000 </w:t>
            </w:r>
            <w:proofErr w:type="spellStart"/>
            <w:r w:rsidRPr="00AF164B">
              <w:rPr>
                <w:i/>
              </w:rPr>
              <w:t>euro</w:t>
            </w:r>
            <w:proofErr w:type="spellEnd"/>
            <w:r w:rsidRPr="00AF164B">
              <w:t>. Plānojot ņemts vērā, ka ne vienmēr un ne visi eksportētāji vēlēsies veikt zāģbaļķu apstrādi, tā nodrošinot kopējo ieņēmumu palielinājumu. Tādējādi palielinājums sa</w:t>
            </w:r>
            <w:r w:rsidR="009018CA" w:rsidRPr="00AF164B">
              <w:t>istīb</w:t>
            </w:r>
            <w:r w:rsidRPr="00AF164B">
              <w:t>ā ar izcenojumu palielinājumu salīdzin</w:t>
            </w:r>
            <w:r w:rsidR="009018CA" w:rsidRPr="00AF164B">
              <w:t>ājumā</w:t>
            </w:r>
            <w:r w:rsidRPr="00AF164B">
              <w:t xml:space="preserve"> ar budžetā apstiprinātajiem ieņēmumiem varētu būt 334 338 </w:t>
            </w:r>
            <w:proofErr w:type="spellStart"/>
            <w:r w:rsidRPr="00AF164B">
              <w:rPr>
                <w:i/>
              </w:rPr>
              <w:t>euro</w:t>
            </w:r>
            <w:proofErr w:type="spellEnd"/>
            <w:r w:rsidRPr="00AF164B">
              <w:t xml:space="preserve">. </w:t>
            </w:r>
          </w:p>
          <w:p w:rsidR="003721C5" w:rsidRPr="00AF164B" w:rsidRDefault="009018CA" w:rsidP="003721C5">
            <w:pPr>
              <w:pStyle w:val="Pamatteksts"/>
              <w:ind w:firstLine="451"/>
              <w:jc w:val="both"/>
              <w:rPr>
                <w:b w:val="0"/>
                <w:sz w:val="24"/>
                <w:szCs w:val="24"/>
              </w:rPr>
            </w:pPr>
            <w:r w:rsidRPr="00AF164B">
              <w:rPr>
                <w:b w:val="0"/>
                <w:sz w:val="24"/>
                <w:szCs w:val="24"/>
              </w:rPr>
              <w:lastRenderedPageBreak/>
              <w:t>Ievērojot</w:t>
            </w:r>
            <w:r w:rsidR="003721C5" w:rsidRPr="00AF164B">
              <w:rPr>
                <w:b w:val="0"/>
                <w:sz w:val="24"/>
                <w:szCs w:val="24"/>
              </w:rPr>
              <w:t xml:space="preserve"> Latvijas Kokrūpniecības federācijas ierosinājumu, tika saskaņots un precizēts kokmateriālu sadalījums pa to veidiem, maksimāli pietuvinot to muitas kodifikatoram. T</w:t>
            </w:r>
            <w:r w:rsidRPr="00AF164B">
              <w:rPr>
                <w:b w:val="0"/>
                <w:sz w:val="24"/>
                <w:szCs w:val="24"/>
              </w:rPr>
              <w:t>āpat</w:t>
            </w:r>
            <w:r w:rsidR="003721C5" w:rsidRPr="00AF164B">
              <w:rPr>
                <w:b w:val="0"/>
                <w:sz w:val="24"/>
                <w:szCs w:val="24"/>
              </w:rPr>
              <w:t>, ņemot vērā iespējamo fitosanitāro risku saskaņā ar pārbaužu veikšanas metodiku, tika pārskatītas pārbaužu faktiskās izmaksas</w:t>
            </w:r>
            <w:r w:rsidRPr="00AF164B">
              <w:rPr>
                <w:b w:val="0"/>
                <w:sz w:val="24"/>
                <w:szCs w:val="24"/>
              </w:rPr>
              <w:t xml:space="preserve"> pēc</w:t>
            </w:r>
            <w:r w:rsidR="003721C5" w:rsidRPr="00AF164B">
              <w:rPr>
                <w:b w:val="0"/>
                <w:sz w:val="24"/>
                <w:szCs w:val="24"/>
              </w:rPr>
              <w:t xml:space="preserve"> reāli patērēt</w:t>
            </w:r>
            <w:r w:rsidRPr="00AF164B">
              <w:rPr>
                <w:b w:val="0"/>
                <w:sz w:val="24"/>
                <w:szCs w:val="24"/>
              </w:rPr>
              <w:t>ā</w:t>
            </w:r>
            <w:r w:rsidR="003721C5" w:rsidRPr="00AF164B">
              <w:rPr>
                <w:b w:val="0"/>
                <w:sz w:val="24"/>
                <w:szCs w:val="24"/>
              </w:rPr>
              <w:t xml:space="preserve"> laik</w:t>
            </w:r>
            <w:r w:rsidRPr="00AF164B">
              <w:rPr>
                <w:b w:val="0"/>
                <w:sz w:val="24"/>
                <w:szCs w:val="24"/>
              </w:rPr>
              <w:t>a</w:t>
            </w:r>
            <w:r w:rsidR="003721C5" w:rsidRPr="00AF164B">
              <w:rPr>
                <w:b w:val="0"/>
                <w:sz w:val="24"/>
                <w:szCs w:val="24"/>
              </w:rPr>
              <w:t xml:space="preserve"> pārbaudē. Pārbaudē kokmateriāl</w:t>
            </w:r>
            <w:r w:rsidRPr="00AF164B">
              <w:rPr>
                <w:b w:val="0"/>
                <w:sz w:val="24"/>
                <w:szCs w:val="24"/>
              </w:rPr>
              <w:t>s ir</w:t>
            </w:r>
            <w:r w:rsidR="003721C5" w:rsidRPr="00AF164B">
              <w:rPr>
                <w:b w:val="0"/>
                <w:sz w:val="24"/>
                <w:szCs w:val="24"/>
              </w:rPr>
              <w:t xml:space="preserve"> </w:t>
            </w:r>
            <w:r w:rsidRPr="00AF164B">
              <w:rPr>
                <w:b w:val="0"/>
                <w:sz w:val="24"/>
                <w:szCs w:val="24"/>
              </w:rPr>
              <w:t>jā</w:t>
            </w:r>
            <w:r w:rsidR="003721C5" w:rsidRPr="00AF164B">
              <w:rPr>
                <w:b w:val="0"/>
                <w:sz w:val="24"/>
                <w:szCs w:val="24"/>
              </w:rPr>
              <w:t>atse</w:t>
            </w:r>
            <w:r w:rsidRPr="00AF164B">
              <w:rPr>
                <w:b w:val="0"/>
                <w:sz w:val="24"/>
                <w:szCs w:val="24"/>
              </w:rPr>
              <w:t>dz</w:t>
            </w:r>
            <w:r w:rsidR="003721C5" w:rsidRPr="00AF164B">
              <w:rPr>
                <w:b w:val="0"/>
                <w:sz w:val="24"/>
                <w:szCs w:val="24"/>
              </w:rPr>
              <w:t xml:space="preserve"> no mizas. Pārbaudāmo vietu skaits kaitīgo organismu noteikšanai </w:t>
            </w:r>
            <w:r w:rsidRPr="00AF164B">
              <w:rPr>
                <w:b w:val="0"/>
                <w:sz w:val="24"/>
                <w:szCs w:val="24"/>
              </w:rPr>
              <w:t xml:space="preserve">ir </w:t>
            </w:r>
            <w:r w:rsidR="003721C5" w:rsidRPr="00AF164B">
              <w:rPr>
                <w:b w:val="0"/>
                <w:sz w:val="24"/>
                <w:szCs w:val="24"/>
              </w:rPr>
              <w:t>atkarīgs no kokmateriāla veida (skujkoki, lapu koki)</w:t>
            </w:r>
            <w:r w:rsidRPr="00AF164B">
              <w:rPr>
                <w:b w:val="0"/>
                <w:sz w:val="24"/>
                <w:szCs w:val="24"/>
              </w:rPr>
              <w:t xml:space="preserve"> un</w:t>
            </w:r>
            <w:r w:rsidR="003721C5" w:rsidRPr="00AF164B">
              <w:rPr>
                <w:b w:val="0"/>
                <w:sz w:val="24"/>
                <w:szCs w:val="24"/>
              </w:rPr>
              <w:t xml:space="preserve"> tā daudzuma. </w:t>
            </w:r>
            <w:r w:rsidRPr="00AF164B">
              <w:rPr>
                <w:b w:val="0"/>
                <w:sz w:val="24"/>
                <w:szCs w:val="24"/>
              </w:rPr>
              <w:t>Viena</w:t>
            </w:r>
            <w:r w:rsidR="003721C5" w:rsidRPr="00AF164B">
              <w:rPr>
                <w:b w:val="0"/>
                <w:sz w:val="24"/>
                <w:szCs w:val="24"/>
              </w:rPr>
              <w:t xml:space="preserve"> pārbaude 20 m</w:t>
            </w:r>
            <w:r w:rsidR="003721C5" w:rsidRPr="00AF164B">
              <w:rPr>
                <w:b w:val="0"/>
                <w:sz w:val="24"/>
                <w:szCs w:val="24"/>
                <w:vertAlign w:val="superscript"/>
              </w:rPr>
              <w:t>3</w:t>
            </w:r>
            <w:r w:rsidR="003721C5" w:rsidRPr="00AF164B">
              <w:rPr>
                <w:b w:val="0"/>
                <w:sz w:val="24"/>
                <w:szCs w:val="24"/>
              </w:rPr>
              <w:t xml:space="preserve"> neapstrādātas koksnes (ar mizas klātbūtni) (cenrāža 12.1.6.2. apakšpunkts), noņemot mizas fragmentus atbilstoši instrukcij</w:t>
            </w:r>
            <w:r w:rsidRPr="00AF164B">
              <w:rPr>
                <w:b w:val="0"/>
                <w:sz w:val="24"/>
                <w:szCs w:val="24"/>
              </w:rPr>
              <w:t>ā</w:t>
            </w:r>
            <w:r w:rsidR="003721C5" w:rsidRPr="00AF164B">
              <w:rPr>
                <w:b w:val="0"/>
                <w:sz w:val="24"/>
                <w:szCs w:val="24"/>
              </w:rPr>
              <w:t xml:space="preserve"> norādītaj</w:t>
            </w:r>
            <w:r w:rsidRPr="00AF164B">
              <w:rPr>
                <w:b w:val="0"/>
                <w:sz w:val="24"/>
                <w:szCs w:val="24"/>
              </w:rPr>
              <w:t>a</w:t>
            </w:r>
            <w:r w:rsidR="003721C5" w:rsidRPr="00AF164B">
              <w:rPr>
                <w:b w:val="0"/>
                <w:sz w:val="24"/>
                <w:szCs w:val="24"/>
              </w:rPr>
              <w:t>m daudzum</w:t>
            </w:r>
            <w:r w:rsidRPr="00AF164B">
              <w:rPr>
                <w:b w:val="0"/>
                <w:sz w:val="24"/>
                <w:szCs w:val="24"/>
              </w:rPr>
              <w:t>a</w:t>
            </w:r>
            <w:r w:rsidR="003721C5" w:rsidRPr="00AF164B">
              <w:rPr>
                <w:b w:val="0"/>
                <w:sz w:val="24"/>
                <w:szCs w:val="24"/>
              </w:rPr>
              <w:t xml:space="preserve">m un vietām, izanalizējot koksnes stāvokli zem mizas (ir vai nav kaitēkļu bojājumi, ejas, grauzumi u.c.), </w:t>
            </w:r>
            <w:proofErr w:type="gramStart"/>
            <w:r w:rsidR="003721C5" w:rsidRPr="00AF164B">
              <w:rPr>
                <w:b w:val="0"/>
                <w:sz w:val="24"/>
                <w:szCs w:val="24"/>
              </w:rPr>
              <w:t xml:space="preserve">nosakot kaitīgo organismu klātbūtni un </w:t>
            </w:r>
            <w:r w:rsidRPr="00AF164B">
              <w:rPr>
                <w:b w:val="0"/>
                <w:sz w:val="24"/>
                <w:szCs w:val="24"/>
              </w:rPr>
              <w:t xml:space="preserve">to </w:t>
            </w:r>
            <w:r w:rsidR="003721C5" w:rsidRPr="00AF164B">
              <w:rPr>
                <w:b w:val="0"/>
                <w:sz w:val="24"/>
                <w:szCs w:val="24"/>
              </w:rPr>
              <w:t xml:space="preserve">konstatācijas gadījumā nosakot </w:t>
            </w:r>
            <w:r w:rsidRPr="00AF164B">
              <w:rPr>
                <w:b w:val="0"/>
                <w:sz w:val="24"/>
                <w:szCs w:val="24"/>
              </w:rPr>
              <w:t xml:space="preserve">arī </w:t>
            </w:r>
            <w:r w:rsidR="003721C5" w:rsidRPr="00AF164B">
              <w:rPr>
                <w:b w:val="0"/>
                <w:sz w:val="24"/>
                <w:szCs w:val="24"/>
              </w:rPr>
              <w:t>kaitīgā organismu sugu,</w:t>
            </w:r>
            <w:proofErr w:type="gramEnd"/>
            <w:r w:rsidR="003721C5" w:rsidRPr="00AF164B">
              <w:rPr>
                <w:b w:val="0"/>
                <w:sz w:val="24"/>
                <w:szCs w:val="24"/>
              </w:rPr>
              <w:t xml:space="preserve"> </w:t>
            </w:r>
            <w:r w:rsidRPr="00AF164B">
              <w:rPr>
                <w:b w:val="0"/>
                <w:sz w:val="24"/>
                <w:szCs w:val="24"/>
              </w:rPr>
              <w:t xml:space="preserve">un </w:t>
            </w:r>
            <w:r w:rsidR="003721C5" w:rsidRPr="00AF164B">
              <w:rPr>
                <w:b w:val="0"/>
                <w:sz w:val="24"/>
                <w:szCs w:val="24"/>
              </w:rPr>
              <w:t xml:space="preserve">noņemot un noformējot paraugus konkrētā kaitīgā organisma laboratoriskam apstiprinājumam, </w:t>
            </w:r>
            <w:r w:rsidRPr="00AF164B">
              <w:rPr>
                <w:b w:val="0"/>
                <w:sz w:val="24"/>
                <w:szCs w:val="24"/>
              </w:rPr>
              <w:t>vidēji prasa</w:t>
            </w:r>
            <w:r w:rsidR="003721C5" w:rsidRPr="00AF164B">
              <w:rPr>
                <w:b w:val="0"/>
                <w:sz w:val="24"/>
                <w:szCs w:val="24"/>
              </w:rPr>
              <w:t xml:space="preserve"> 8 stundas. Saskaitot visas izmaksas – darba alg</w:t>
            </w:r>
            <w:r w:rsidRPr="00AF164B">
              <w:rPr>
                <w:b w:val="0"/>
                <w:sz w:val="24"/>
                <w:szCs w:val="24"/>
              </w:rPr>
              <w:t>u</w:t>
            </w:r>
            <w:r w:rsidR="003721C5" w:rsidRPr="00AF164B">
              <w:rPr>
                <w:b w:val="0"/>
                <w:sz w:val="24"/>
                <w:szCs w:val="24"/>
              </w:rPr>
              <w:t>, darba devēja sociāl</w:t>
            </w:r>
            <w:r w:rsidRPr="00AF164B">
              <w:rPr>
                <w:b w:val="0"/>
                <w:sz w:val="24"/>
                <w:szCs w:val="24"/>
              </w:rPr>
              <w:t>o</w:t>
            </w:r>
            <w:r w:rsidR="003721C5" w:rsidRPr="00AF164B">
              <w:rPr>
                <w:b w:val="0"/>
                <w:sz w:val="24"/>
                <w:szCs w:val="24"/>
              </w:rPr>
              <w:t xml:space="preserve"> </w:t>
            </w:r>
            <w:proofErr w:type="spellStart"/>
            <w:r w:rsidR="003721C5" w:rsidRPr="00AF164B">
              <w:rPr>
                <w:b w:val="0"/>
                <w:sz w:val="24"/>
                <w:szCs w:val="24"/>
              </w:rPr>
              <w:t>nodokli</w:t>
            </w:r>
            <w:r w:rsidRPr="00AF164B">
              <w:rPr>
                <w:b w:val="0"/>
                <w:sz w:val="24"/>
                <w:szCs w:val="24"/>
              </w:rPr>
              <w:t>o</w:t>
            </w:r>
            <w:proofErr w:type="spellEnd"/>
            <w:r w:rsidR="003721C5" w:rsidRPr="00AF164B">
              <w:rPr>
                <w:b w:val="0"/>
                <w:sz w:val="24"/>
                <w:szCs w:val="24"/>
              </w:rPr>
              <w:t>, transporta izmaksas, datubāzes uzturēšan</w:t>
            </w:r>
            <w:r w:rsidRPr="00AF164B">
              <w:rPr>
                <w:b w:val="0"/>
                <w:sz w:val="24"/>
                <w:szCs w:val="24"/>
              </w:rPr>
              <w:t>u</w:t>
            </w:r>
            <w:r w:rsidR="003721C5" w:rsidRPr="00AF164B">
              <w:rPr>
                <w:b w:val="0"/>
                <w:sz w:val="24"/>
                <w:szCs w:val="24"/>
              </w:rPr>
              <w:t>, inspektora aprīkojum</w:t>
            </w:r>
            <w:r w:rsidRPr="00AF164B">
              <w:rPr>
                <w:b w:val="0"/>
                <w:sz w:val="24"/>
                <w:szCs w:val="24"/>
              </w:rPr>
              <w:t>u</w:t>
            </w:r>
            <w:r w:rsidR="003721C5" w:rsidRPr="00AF164B">
              <w:rPr>
                <w:b w:val="0"/>
                <w:sz w:val="24"/>
                <w:szCs w:val="24"/>
              </w:rPr>
              <w:t xml:space="preserve">, inspektoru apmācība – vidēji </w:t>
            </w:r>
            <w:r w:rsidRPr="00AF164B">
              <w:rPr>
                <w:b w:val="0"/>
                <w:sz w:val="24"/>
                <w:szCs w:val="24"/>
              </w:rPr>
              <w:t>vajadzīgi</w:t>
            </w:r>
            <w:r w:rsidR="003721C5" w:rsidRPr="00AF164B">
              <w:rPr>
                <w:b w:val="0"/>
                <w:sz w:val="24"/>
                <w:szCs w:val="24"/>
              </w:rPr>
              <w:t xml:space="preserve"> 56,60</w:t>
            </w:r>
            <w:r w:rsidRPr="00AF164B">
              <w:rPr>
                <w:b w:val="0"/>
                <w:sz w:val="24"/>
                <w:szCs w:val="24"/>
              </w:rPr>
              <w:t xml:space="preserve"> </w:t>
            </w:r>
            <w:proofErr w:type="spellStart"/>
            <w:r w:rsidRPr="00AF164B">
              <w:rPr>
                <w:b w:val="0"/>
                <w:i/>
                <w:sz w:val="24"/>
                <w:szCs w:val="24"/>
              </w:rPr>
              <w:t>euro</w:t>
            </w:r>
            <w:proofErr w:type="spellEnd"/>
            <w:r w:rsidR="003721C5" w:rsidRPr="00AF164B">
              <w:rPr>
                <w:b w:val="0"/>
                <w:sz w:val="24"/>
                <w:szCs w:val="24"/>
              </w:rPr>
              <w:t xml:space="preserve"> (inspektora darba samaksa, degviela, informācijas sistēmas uzturēšana, inspektora aprīkojums). </w:t>
            </w:r>
            <w:r w:rsidRPr="00AF164B">
              <w:rPr>
                <w:b w:val="0"/>
                <w:sz w:val="24"/>
                <w:szCs w:val="24"/>
              </w:rPr>
              <w:t>Tātad</w:t>
            </w:r>
            <w:r w:rsidR="003721C5" w:rsidRPr="00AF164B">
              <w:rPr>
                <w:b w:val="0"/>
                <w:sz w:val="24"/>
                <w:szCs w:val="24"/>
              </w:rPr>
              <w:t xml:space="preserve"> </w:t>
            </w:r>
            <w:r w:rsidRPr="00AF164B">
              <w:rPr>
                <w:b w:val="0"/>
                <w:sz w:val="24"/>
                <w:szCs w:val="24"/>
              </w:rPr>
              <w:t>viena kubikmetra</w:t>
            </w:r>
            <w:r w:rsidR="003721C5" w:rsidRPr="00AF164B">
              <w:rPr>
                <w:b w:val="0"/>
                <w:sz w:val="24"/>
                <w:szCs w:val="24"/>
              </w:rPr>
              <w:t xml:space="preserve"> izmaksas </w:t>
            </w:r>
            <w:r w:rsidRPr="00AF164B">
              <w:rPr>
                <w:b w:val="0"/>
                <w:sz w:val="24"/>
                <w:szCs w:val="24"/>
              </w:rPr>
              <w:t xml:space="preserve">veido </w:t>
            </w:r>
            <w:r w:rsidR="003721C5" w:rsidRPr="00AF164B">
              <w:rPr>
                <w:b w:val="0"/>
                <w:sz w:val="24"/>
                <w:szCs w:val="24"/>
              </w:rPr>
              <w:t>2,83</w:t>
            </w:r>
            <w:r w:rsidRPr="00AF164B">
              <w:rPr>
                <w:b w:val="0"/>
                <w:sz w:val="24"/>
                <w:szCs w:val="24"/>
              </w:rPr>
              <w:t xml:space="preserve"> </w:t>
            </w:r>
            <w:proofErr w:type="spellStart"/>
            <w:r w:rsidRPr="00AF164B">
              <w:rPr>
                <w:b w:val="0"/>
                <w:i/>
                <w:sz w:val="24"/>
                <w:szCs w:val="24"/>
              </w:rPr>
              <w:t>euro</w:t>
            </w:r>
            <w:proofErr w:type="spellEnd"/>
            <w:r w:rsidR="003721C5" w:rsidRPr="00AF164B">
              <w:rPr>
                <w:b w:val="0"/>
                <w:sz w:val="24"/>
                <w:szCs w:val="24"/>
              </w:rPr>
              <w:t>.</w:t>
            </w:r>
          </w:p>
          <w:p w:rsidR="003721C5" w:rsidRPr="00AF164B" w:rsidRDefault="003721C5" w:rsidP="003721C5">
            <w:pPr>
              <w:pStyle w:val="Pamatteksts"/>
              <w:ind w:firstLine="451"/>
              <w:jc w:val="both"/>
              <w:rPr>
                <w:b w:val="0"/>
                <w:sz w:val="24"/>
                <w:szCs w:val="24"/>
              </w:rPr>
            </w:pPr>
            <w:r w:rsidRPr="00AF164B">
              <w:rPr>
                <w:b w:val="0"/>
                <w:sz w:val="24"/>
                <w:szCs w:val="24"/>
              </w:rPr>
              <w:t>Līdz šim</w:t>
            </w:r>
            <w:r w:rsidR="009018CA" w:rsidRPr="00AF164B">
              <w:rPr>
                <w:b w:val="0"/>
                <w:sz w:val="24"/>
                <w:szCs w:val="24"/>
              </w:rPr>
              <w:t>,</w:t>
            </w:r>
            <w:r w:rsidRPr="00AF164B">
              <w:rPr>
                <w:b w:val="0"/>
                <w:sz w:val="24"/>
                <w:szCs w:val="24"/>
              </w:rPr>
              <w:t xml:space="preserve"> piemērojot spēkā esošos izcenojumus</w:t>
            </w:r>
            <w:r w:rsidR="009018CA" w:rsidRPr="00AF164B">
              <w:rPr>
                <w:b w:val="0"/>
                <w:sz w:val="24"/>
                <w:szCs w:val="24"/>
              </w:rPr>
              <w:t>,</w:t>
            </w:r>
            <w:r w:rsidRPr="00AF164B">
              <w:rPr>
                <w:b w:val="0"/>
                <w:sz w:val="24"/>
                <w:szCs w:val="24"/>
              </w:rPr>
              <w:t xml:space="preserve"> </w:t>
            </w:r>
            <w:r w:rsidRPr="00AF164B">
              <w:rPr>
                <w:sz w:val="24"/>
                <w:szCs w:val="24"/>
              </w:rPr>
              <w:t>netika segtas izmaksas</w:t>
            </w:r>
            <w:r w:rsidRPr="00AF164B">
              <w:rPr>
                <w:b w:val="0"/>
                <w:sz w:val="24"/>
                <w:szCs w:val="24"/>
              </w:rPr>
              <w:t xml:space="preserve"> par fitosanitārajām pārbaudēm zāģmateriāliem un apaļkokiem.  </w:t>
            </w:r>
          </w:p>
          <w:p w:rsidR="003721C5" w:rsidRPr="00AF164B" w:rsidRDefault="003721C5" w:rsidP="003721C5">
            <w:pPr>
              <w:jc w:val="both"/>
            </w:pPr>
            <w:r w:rsidRPr="00AF164B">
              <w:t xml:space="preserve">Spēkā esošā izcenojuma aprēķinā par pamatu tika izmantota atšķirīga metodika (apstiprināta </w:t>
            </w:r>
            <w:proofErr w:type="gramStart"/>
            <w:r w:rsidRPr="00AF164B">
              <w:t>2001.gadā</w:t>
            </w:r>
            <w:proofErr w:type="gramEnd"/>
            <w:r w:rsidRPr="00AF164B">
              <w:t>). Šis izcenojums vidēji tika rēķināts pārbaud</w:t>
            </w:r>
            <w:r w:rsidR="009018CA" w:rsidRPr="00AF164B">
              <w:t>e</w:t>
            </w:r>
            <w:r w:rsidRPr="00AF164B">
              <w:t>i, kuras vidējais apjoms 100 m</w:t>
            </w:r>
            <w:r w:rsidRPr="00AF164B">
              <w:rPr>
                <w:vertAlign w:val="superscript"/>
              </w:rPr>
              <w:t>3</w:t>
            </w:r>
            <w:r w:rsidRPr="00AF164B">
              <w:t xml:space="preserve">. 2010.gadā Eiropā tika pārstrādāts Augu veselības režīms, kurā liela uzmanība </w:t>
            </w:r>
            <w:r w:rsidR="009018CA" w:rsidRPr="00AF164B">
              <w:t xml:space="preserve">ir pievērsta </w:t>
            </w:r>
            <w:r w:rsidRPr="00AF164B">
              <w:t xml:space="preserve">jaunajiem fitosanitārajiem </w:t>
            </w:r>
            <w:r w:rsidR="009018CA" w:rsidRPr="00AF164B">
              <w:t>apdraudējumiem</w:t>
            </w:r>
            <w:r w:rsidRPr="00AF164B">
              <w:t xml:space="preserve">. Tāpēc dienests </w:t>
            </w:r>
            <w:proofErr w:type="gramStart"/>
            <w:r w:rsidRPr="00AF164B">
              <w:t>2013.gadā</w:t>
            </w:r>
            <w:proofErr w:type="gramEnd"/>
            <w:r w:rsidRPr="00AF164B">
              <w:t xml:space="preserve"> izstrādāja un apstiprināja jauno pārbaužu veikšanas metodiku,</w:t>
            </w:r>
            <w:r w:rsidR="009018CA" w:rsidRPr="00AF164B">
              <w:t xml:space="preserve"> un atbilstoši tai ir</w:t>
            </w:r>
            <w:r w:rsidRPr="00AF164B">
              <w:t xml:space="preserve"> aprēķināti jaunie izcenojumi fitosanitārajām pārbaudēm koksnei. </w:t>
            </w:r>
            <w:r w:rsidR="009018CA" w:rsidRPr="00AF164B">
              <w:t>A</w:t>
            </w:r>
            <w:r w:rsidRPr="00AF164B">
              <w:t>notācija</w:t>
            </w:r>
            <w:r w:rsidR="009018CA" w:rsidRPr="00AF164B">
              <w:t>s</w:t>
            </w:r>
            <w:r w:rsidRPr="00AF164B">
              <w:t xml:space="preserve"> 2.pielikum</w:t>
            </w:r>
            <w:r w:rsidR="009018CA" w:rsidRPr="00AF164B">
              <w:t>ā</w:t>
            </w:r>
            <w:r w:rsidRPr="00AF164B">
              <w:t xml:space="preserve"> </w:t>
            </w:r>
            <w:r w:rsidR="009018CA" w:rsidRPr="00AF164B">
              <w:t>ir</w:t>
            </w:r>
            <w:r w:rsidRPr="00AF164B">
              <w:t xml:space="preserve"> </w:t>
            </w:r>
            <w:r w:rsidR="009018CA" w:rsidRPr="00AF164B">
              <w:t>do</w:t>
            </w:r>
            <w:r w:rsidRPr="00AF164B">
              <w:t xml:space="preserve">ts izmaksu pozīciju salīdzinājums dažādām koksnes pārbaudēm, pārrēķinot uz </w:t>
            </w:r>
            <w:r w:rsidR="009018CA" w:rsidRPr="00AF164B">
              <w:t>vienu</w:t>
            </w:r>
            <w:r w:rsidRPr="00AF164B">
              <w:t xml:space="preserve"> </w:t>
            </w:r>
            <w:r w:rsidR="009018CA" w:rsidRPr="00AF164B">
              <w:t>kubikmetru</w:t>
            </w:r>
            <w:r w:rsidR="009018CA" w:rsidRPr="00AF164B">
              <w:rPr>
                <w:b/>
              </w:rPr>
              <w:t xml:space="preserve"> </w:t>
            </w:r>
            <w:r w:rsidRPr="00AF164B">
              <w:t xml:space="preserve">koksnes. Vislielākā atšķirība starp jaunajiem un spēkā esošajiem izcenojumiem (izcenojuma aprēķinā piemērotas </w:t>
            </w:r>
            <w:proofErr w:type="gramStart"/>
            <w:r w:rsidRPr="00AF164B">
              <w:t>2005.gada</w:t>
            </w:r>
            <w:proofErr w:type="gramEnd"/>
            <w:r w:rsidRPr="00AF164B">
              <w:t xml:space="preserve"> izmaksas pārrēķinātas </w:t>
            </w:r>
            <w:proofErr w:type="spellStart"/>
            <w:r w:rsidRPr="00AF164B">
              <w:rPr>
                <w:i/>
              </w:rPr>
              <w:t>euro</w:t>
            </w:r>
            <w:proofErr w:type="spellEnd"/>
            <w:r w:rsidRPr="00AF164B">
              <w:t xml:space="preserve">) ir </w:t>
            </w:r>
            <w:r w:rsidR="009018CA" w:rsidRPr="00AF164B">
              <w:t xml:space="preserve">tā </w:t>
            </w:r>
            <w:r w:rsidRPr="00AF164B">
              <w:t xml:space="preserve">laika patēriņā, kas jāpavada pārbaudē, un atbilstošā darba samaksas </w:t>
            </w:r>
            <w:r w:rsidR="009018CA" w:rsidRPr="00AF164B">
              <w:t>apmērā</w:t>
            </w:r>
            <w:r w:rsidRPr="00AF164B">
              <w:t xml:space="preserve">, </w:t>
            </w:r>
            <w:r w:rsidR="009018CA" w:rsidRPr="00AF164B">
              <w:t xml:space="preserve">kā arī </w:t>
            </w:r>
            <w:r w:rsidRPr="00AF164B">
              <w:t>izmaksām degvielai</w:t>
            </w:r>
            <w:r w:rsidR="009018CA" w:rsidRPr="00AF164B">
              <w:t xml:space="preserve"> un</w:t>
            </w:r>
            <w:r w:rsidRPr="00AF164B">
              <w:t xml:space="preserve"> inspektoru aprīkojumam.</w:t>
            </w:r>
          </w:p>
          <w:p w:rsidR="00E8172A" w:rsidRPr="00AF164B" w:rsidRDefault="00E8172A" w:rsidP="00AF390E"/>
          <w:p w:rsidR="00E8172A" w:rsidRPr="00AF164B" w:rsidRDefault="00E8172A" w:rsidP="00B80EAB">
            <w:pPr>
              <w:jc w:val="both"/>
            </w:pPr>
            <w:proofErr w:type="gramStart"/>
            <w:r w:rsidRPr="00AF164B">
              <w:t>2015.gadā</w:t>
            </w:r>
            <w:proofErr w:type="gramEnd"/>
            <w:r w:rsidRPr="00AF164B">
              <w:t xml:space="preserve"> un turpmākajos gados par jaunajiem maksas pakalpojumiem augu aizsardzības līdzekļu aprites jomā plānoti 864,88</w:t>
            </w:r>
            <w:r w:rsidR="009018CA" w:rsidRPr="00AF164B">
              <w:t xml:space="preserve"> </w:t>
            </w:r>
            <w:proofErr w:type="spellStart"/>
            <w:r w:rsidR="009018CA" w:rsidRPr="00AF164B">
              <w:rPr>
                <w:i/>
              </w:rPr>
              <w:t>euro</w:t>
            </w:r>
            <w:proofErr w:type="spellEnd"/>
            <w:r w:rsidRPr="00AF164B">
              <w:t>, tai skaitā:</w:t>
            </w:r>
          </w:p>
          <w:p w:rsidR="00E8172A" w:rsidRPr="00AF164B" w:rsidRDefault="009018CA" w:rsidP="00B80EAB">
            <w:pPr>
              <w:jc w:val="both"/>
            </w:pPr>
            <w:r w:rsidRPr="00AF164B">
              <w:t>a) </w:t>
            </w:r>
            <w:r w:rsidR="00E8172A" w:rsidRPr="00AF164B">
              <w:t>pēc personas pieprasījuma par paraugu ņemšanu no augu aizsardzības līdzekļiem, augsnes, augiem, augu produktiem, sagatavotiem augu aizsardzības līdzekļu darba šķidrumiem, citiem priekšmetiem un parauga atbilstoš</w:t>
            </w:r>
            <w:r w:rsidRPr="00AF164B">
              <w:t>u</w:t>
            </w:r>
            <w:r w:rsidR="00E8172A" w:rsidRPr="00AF164B">
              <w:t xml:space="preserve"> iesaiņošan</w:t>
            </w:r>
            <w:r w:rsidRPr="00AF164B">
              <w:t>u</w:t>
            </w:r>
            <w:r w:rsidR="00E8172A" w:rsidRPr="00AF164B">
              <w:t xml:space="preserve"> (izcenojumā nav iekļauta parauga nogādāšana atbilstošā laboratorijā) </w:t>
            </w:r>
            <w:r w:rsidRPr="00AF164B">
              <w:t>–</w:t>
            </w:r>
            <w:r w:rsidR="00E8172A" w:rsidRPr="00AF164B">
              <w:t xml:space="preserve"> 390</w:t>
            </w:r>
            <w:r w:rsidRPr="00AF164B">
              <w:t> </w:t>
            </w:r>
            <w:proofErr w:type="spellStart"/>
            <w:r w:rsidRPr="00AF164B">
              <w:rPr>
                <w:i/>
              </w:rPr>
              <w:t>euro</w:t>
            </w:r>
            <w:proofErr w:type="spellEnd"/>
            <w:r w:rsidR="00E8172A" w:rsidRPr="00AF164B">
              <w:t xml:space="preserve"> (15 paraug</w:t>
            </w:r>
            <w:r w:rsidR="00C8447D" w:rsidRPr="00AF164B">
              <w:t>u</w:t>
            </w:r>
            <w:r w:rsidR="00E8172A" w:rsidRPr="00AF164B">
              <w:t xml:space="preserve"> x 26</w:t>
            </w:r>
            <w:r w:rsidRPr="00AF164B">
              <w:t> </w:t>
            </w:r>
            <w:proofErr w:type="spellStart"/>
            <w:r w:rsidRPr="00AF164B">
              <w:rPr>
                <w:i/>
              </w:rPr>
              <w:t>euro</w:t>
            </w:r>
            <w:proofErr w:type="spellEnd"/>
            <w:r w:rsidR="00E8172A" w:rsidRPr="00AF164B">
              <w:t>);</w:t>
            </w:r>
          </w:p>
          <w:p w:rsidR="00E8172A" w:rsidRPr="00AF164B" w:rsidRDefault="009018CA" w:rsidP="00B80EAB">
            <w:pPr>
              <w:jc w:val="both"/>
            </w:pPr>
            <w:r w:rsidRPr="00AF164B">
              <w:t>b) </w:t>
            </w:r>
            <w:r w:rsidR="00E8172A" w:rsidRPr="00AF164B">
              <w:t>pēc personas pieprasījuma par novērtējuma sagatavošanu saskaņā ar akreditētas laboratorijas testēšanas pārskatā norādītiem testēšanas rezultātiem augu aizsardzības līdzekļu (kvalitāte pēc derīguma termiņa beigām)</w:t>
            </w:r>
            <w:r w:rsidR="00C8447D" w:rsidRPr="00AF164B">
              <w:t xml:space="preserve"> un</w:t>
            </w:r>
            <w:r w:rsidR="00E8172A" w:rsidRPr="00AF164B">
              <w:t xml:space="preserve"> sagatavotu augu aizsardzības līdzekļu darba šķidrumu, augsnes, augu vai augu produktu paraugā </w:t>
            </w:r>
            <w:r w:rsidR="00C8447D" w:rsidRPr="00AF164B">
              <w:t xml:space="preserve">– </w:t>
            </w:r>
            <w:r w:rsidR="00E8172A" w:rsidRPr="00AF164B">
              <w:t>111,30</w:t>
            </w:r>
            <w:r w:rsidRPr="00AF164B">
              <w:t> </w:t>
            </w:r>
            <w:proofErr w:type="spellStart"/>
            <w:r w:rsidRPr="00AF164B">
              <w:rPr>
                <w:i/>
              </w:rPr>
              <w:t>euro</w:t>
            </w:r>
            <w:proofErr w:type="spellEnd"/>
            <w:r w:rsidR="00E8172A" w:rsidRPr="00AF164B">
              <w:t xml:space="preserve"> (15 novērtējum</w:t>
            </w:r>
            <w:r w:rsidR="00C8447D" w:rsidRPr="00AF164B">
              <w:t>u</w:t>
            </w:r>
            <w:r w:rsidR="00E8172A" w:rsidRPr="00AF164B">
              <w:t xml:space="preserve"> x 7,42</w:t>
            </w:r>
            <w:r w:rsidRPr="00AF164B">
              <w:t> </w:t>
            </w:r>
            <w:proofErr w:type="spellStart"/>
            <w:r w:rsidRPr="00AF164B">
              <w:rPr>
                <w:i/>
              </w:rPr>
              <w:t>euro</w:t>
            </w:r>
            <w:proofErr w:type="spellEnd"/>
            <w:r w:rsidR="00E8172A" w:rsidRPr="00AF164B">
              <w:t>);</w:t>
            </w:r>
          </w:p>
          <w:p w:rsidR="00E8172A" w:rsidRPr="00AF164B" w:rsidRDefault="00C8447D" w:rsidP="00B80EAB">
            <w:pPr>
              <w:jc w:val="both"/>
            </w:pPr>
            <w:r w:rsidRPr="00AF164B">
              <w:t>c) </w:t>
            </w:r>
            <w:r w:rsidR="00E8172A" w:rsidRPr="00AF164B">
              <w:t xml:space="preserve">pēc personas pieprasījuma </w:t>
            </w:r>
            <w:r w:rsidRPr="00AF164B">
              <w:t xml:space="preserve">par </w:t>
            </w:r>
            <w:r w:rsidR="00E8172A" w:rsidRPr="00AF164B">
              <w:t>padziļināta novērtējuma sagatavošan</w:t>
            </w:r>
            <w:r w:rsidRPr="00AF164B">
              <w:t>u</w:t>
            </w:r>
            <w:r w:rsidR="00E8172A" w:rsidRPr="00AF164B">
              <w:t xml:space="preserve"> saskaņā ar akreditētas laboratorijas testēšanas pārskatā norādītiem </w:t>
            </w:r>
            <w:r w:rsidR="00E8172A" w:rsidRPr="00AF164B">
              <w:lastRenderedPageBreak/>
              <w:t xml:space="preserve">testēšanas rezultātiem </w:t>
            </w:r>
            <w:r w:rsidRPr="00AF164B">
              <w:t xml:space="preserve">tādas </w:t>
            </w:r>
            <w:r w:rsidR="00E8172A" w:rsidRPr="00AF164B">
              <w:t>augsnes, augu, augu produktu un citu priekšmetu</w:t>
            </w:r>
            <w:r w:rsidRPr="00AF164B">
              <w:t xml:space="preserve"> paraugā</w:t>
            </w:r>
            <w:r w:rsidR="00E8172A" w:rsidRPr="00AF164B">
              <w:t xml:space="preserve">, kas varētu būt nonākuši saskarē ar augu aizsardzības līdzekļiem, </w:t>
            </w:r>
            <w:r w:rsidRPr="00AF164B">
              <w:t>–</w:t>
            </w:r>
            <w:r w:rsidR="00E8172A" w:rsidRPr="00AF164B">
              <w:t xml:space="preserve"> 363,58 </w:t>
            </w:r>
            <w:proofErr w:type="spellStart"/>
            <w:r w:rsidRPr="00AF164B">
              <w:rPr>
                <w:i/>
              </w:rPr>
              <w:t>euro</w:t>
            </w:r>
            <w:proofErr w:type="spellEnd"/>
            <w:r w:rsidRPr="00AF164B">
              <w:rPr>
                <w:i/>
              </w:rPr>
              <w:t xml:space="preserve"> </w:t>
            </w:r>
            <w:r w:rsidR="00E8172A" w:rsidRPr="00AF164B">
              <w:t>(7 novērtējumi x 51,94</w:t>
            </w:r>
            <w:r w:rsidRPr="00AF164B">
              <w:t> </w:t>
            </w:r>
            <w:proofErr w:type="spellStart"/>
            <w:r w:rsidRPr="00AF164B">
              <w:rPr>
                <w:i/>
              </w:rPr>
              <w:t>euro</w:t>
            </w:r>
            <w:proofErr w:type="spellEnd"/>
            <w:r w:rsidR="00E8172A" w:rsidRPr="00AF164B">
              <w:t>)</w:t>
            </w:r>
          </w:p>
          <w:p w:rsidR="00E8172A" w:rsidRPr="00AF164B" w:rsidRDefault="00E8172A" w:rsidP="00C8447D">
            <w:pPr>
              <w:jc w:val="both"/>
            </w:pPr>
            <w:r w:rsidRPr="00AF164B">
              <w:t>Kopējais palielinājums salīdzin</w:t>
            </w:r>
            <w:r w:rsidR="00C8447D" w:rsidRPr="00AF164B">
              <w:t>ājumā</w:t>
            </w:r>
            <w:r w:rsidRPr="00AF164B">
              <w:t xml:space="preserve"> ar </w:t>
            </w:r>
            <w:proofErr w:type="gramStart"/>
            <w:r w:rsidRPr="00AF164B">
              <w:t>2015.gada</w:t>
            </w:r>
            <w:proofErr w:type="gramEnd"/>
            <w:r w:rsidRPr="00AF164B">
              <w:t xml:space="preserve"> budžetā apstiprinātajiem ieņēmumiem pēc izcenojumu palielinājuma par fitosanitārajām pārbaudēm zāģmateriāliem un apaļkokiem un pēc jauno maksas pakalpojumu ieviešanas augu aizsardzības līdzekļu aprites jomā plānots </w:t>
            </w:r>
            <w:r w:rsidR="00C8447D" w:rsidRPr="00AF164B">
              <w:t xml:space="preserve">ir </w:t>
            </w:r>
            <w:r w:rsidRPr="00AF164B">
              <w:t>335</w:t>
            </w:r>
            <w:r w:rsidR="00C8447D" w:rsidRPr="00AF164B">
              <w:t> </w:t>
            </w:r>
            <w:r w:rsidRPr="00AF164B">
              <w:t xml:space="preserve">203 </w:t>
            </w:r>
            <w:proofErr w:type="spellStart"/>
            <w:r w:rsidRPr="00AF164B">
              <w:rPr>
                <w:i/>
              </w:rPr>
              <w:t>euro</w:t>
            </w:r>
            <w:proofErr w:type="spellEnd"/>
            <w:r w:rsidRPr="00AF164B">
              <w:t xml:space="preserve"> apmērā.</w:t>
            </w:r>
          </w:p>
        </w:tc>
      </w:tr>
      <w:tr w:rsidR="00E8172A" w:rsidRPr="00AF164B" w:rsidTr="00F95C10">
        <w:trPr>
          <w:trHeight w:val="618"/>
          <w:jc w:val="center"/>
        </w:trPr>
        <w:tc>
          <w:tcPr>
            <w:tcW w:w="1702" w:type="dxa"/>
            <w:tcBorders>
              <w:top w:val="single" w:sz="4" w:space="0" w:color="auto"/>
              <w:left w:val="single" w:sz="4" w:space="0" w:color="auto"/>
              <w:bottom w:val="single" w:sz="4" w:space="0" w:color="auto"/>
              <w:right w:val="single" w:sz="4" w:space="0" w:color="auto"/>
            </w:tcBorders>
          </w:tcPr>
          <w:p w:rsidR="00E8172A" w:rsidRPr="00AF164B" w:rsidRDefault="00E8172A" w:rsidP="00BB175C">
            <w:pPr>
              <w:jc w:val="both"/>
              <w:rPr>
                <w:b/>
              </w:rPr>
            </w:pPr>
            <w:r w:rsidRPr="00AF164B">
              <w:rPr>
                <w:b/>
              </w:rPr>
              <w:lastRenderedPageBreak/>
              <w:t>6.1. detalizēts izdevumu aprēķins</w:t>
            </w:r>
          </w:p>
          <w:p w:rsidR="00E8172A" w:rsidRPr="00AF164B" w:rsidRDefault="00E8172A" w:rsidP="00BB175C">
            <w:pPr>
              <w:jc w:val="both"/>
              <w:rPr>
                <w:b/>
              </w:rPr>
            </w:pPr>
          </w:p>
        </w:tc>
        <w:tc>
          <w:tcPr>
            <w:tcW w:w="1136" w:type="dxa"/>
            <w:tcBorders>
              <w:top w:val="single" w:sz="4" w:space="0" w:color="auto"/>
              <w:left w:val="single" w:sz="4" w:space="0" w:color="auto"/>
              <w:bottom w:val="single" w:sz="4" w:space="0" w:color="auto"/>
              <w:right w:val="single" w:sz="4" w:space="0" w:color="auto"/>
            </w:tcBorders>
            <w:vAlign w:val="center"/>
          </w:tcPr>
          <w:p w:rsidR="00E8172A" w:rsidRPr="00AF164B" w:rsidRDefault="00E8172A" w:rsidP="00BB175C">
            <w:pPr>
              <w:pStyle w:val="naisf"/>
              <w:spacing w:before="0" w:beforeAutospacing="0" w:after="0" w:afterAutospacing="0"/>
              <w:jc w:val="center"/>
            </w:pPr>
          </w:p>
        </w:tc>
        <w:tc>
          <w:tcPr>
            <w:tcW w:w="7286" w:type="dxa"/>
            <w:gridSpan w:val="4"/>
            <w:tcBorders>
              <w:top w:val="single" w:sz="4" w:space="0" w:color="auto"/>
              <w:left w:val="single" w:sz="4" w:space="0" w:color="auto"/>
              <w:bottom w:val="single" w:sz="4" w:space="0" w:color="auto"/>
              <w:right w:val="single" w:sz="4" w:space="0" w:color="auto"/>
            </w:tcBorders>
            <w:vAlign w:val="center"/>
          </w:tcPr>
          <w:tbl>
            <w:tblPr>
              <w:tblW w:w="7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6"/>
              <w:gridCol w:w="1483"/>
              <w:gridCol w:w="2049"/>
              <w:gridCol w:w="1191"/>
              <w:gridCol w:w="1191"/>
            </w:tblGrid>
            <w:tr w:rsidR="00E8172A" w:rsidRPr="00AF164B" w:rsidTr="00016C89">
              <w:tc>
                <w:tcPr>
                  <w:tcW w:w="1173" w:type="dxa"/>
                  <w:tcBorders>
                    <w:top w:val="single" w:sz="4" w:space="0" w:color="auto"/>
                    <w:left w:val="single" w:sz="4" w:space="0" w:color="auto"/>
                    <w:bottom w:val="single" w:sz="4" w:space="0" w:color="auto"/>
                    <w:right w:val="single" w:sz="4" w:space="0" w:color="auto"/>
                  </w:tcBorders>
                  <w:vAlign w:val="center"/>
                  <w:hideMark/>
                </w:tcPr>
                <w:p w:rsidR="00E8172A" w:rsidRPr="00AF164B" w:rsidRDefault="00E8172A">
                  <w:pPr>
                    <w:pStyle w:val="naisf"/>
                    <w:spacing w:before="0" w:after="0" w:line="276" w:lineRule="auto"/>
                    <w:jc w:val="center"/>
                    <w:rPr>
                      <w:lang w:eastAsia="en-US"/>
                    </w:rPr>
                  </w:pPr>
                  <w:r w:rsidRPr="00AF164B">
                    <w:rPr>
                      <w:lang w:eastAsia="en-US"/>
                    </w:rPr>
                    <w:t>EKK</w:t>
                  </w:r>
                </w:p>
              </w:tc>
              <w:tc>
                <w:tcPr>
                  <w:tcW w:w="1336" w:type="dxa"/>
                  <w:tcBorders>
                    <w:top w:val="single" w:sz="4" w:space="0" w:color="auto"/>
                    <w:left w:val="single" w:sz="4" w:space="0" w:color="auto"/>
                    <w:bottom w:val="single" w:sz="4" w:space="0" w:color="auto"/>
                    <w:right w:val="single" w:sz="4" w:space="0" w:color="auto"/>
                  </w:tcBorders>
                  <w:vAlign w:val="center"/>
                  <w:hideMark/>
                </w:tcPr>
                <w:p w:rsidR="00E8172A" w:rsidRPr="00AF164B" w:rsidRDefault="00E8172A">
                  <w:pPr>
                    <w:pStyle w:val="naisf"/>
                    <w:spacing w:before="0" w:after="0" w:line="276" w:lineRule="auto"/>
                    <w:jc w:val="center"/>
                    <w:rPr>
                      <w:lang w:eastAsia="en-US"/>
                    </w:rPr>
                  </w:pPr>
                  <w:r w:rsidRPr="00AF164B">
                    <w:rPr>
                      <w:lang w:eastAsia="en-US"/>
                    </w:rPr>
                    <w:t>Izdevumu veidi</w:t>
                  </w:r>
                </w:p>
              </w:tc>
              <w:tc>
                <w:tcPr>
                  <w:tcW w:w="2131" w:type="dxa"/>
                  <w:tcBorders>
                    <w:top w:val="single" w:sz="4" w:space="0" w:color="auto"/>
                    <w:left w:val="single" w:sz="4" w:space="0" w:color="auto"/>
                    <w:bottom w:val="single" w:sz="4" w:space="0" w:color="auto"/>
                    <w:right w:val="single" w:sz="4" w:space="0" w:color="auto"/>
                  </w:tcBorders>
                  <w:vAlign w:val="center"/>
                  <w:hideMark/>
                </w:tcPr>
                <w:p w:rsidR="00E8172A" w:rsidRPr="00AF164B" w:rsidRDefault="00E8172A" w:rsidP="006635AD">
                  <w:pPr>
                    <w:jc w:val="center"/>
                    <w:rPr>
                      <w:rFonts w:eastAsia="Calibri"/>
                    </w:rPr>
                  </w:pPr>
                  <w:proofErr w:type="gramStart"/>
                  <w:r w:rsidRPr="00AF164B">
                    <w:t>2016.g.</w:t>
                  </w:r>
                  <w:proofErr w:type="gramEnd"/>
                  <w:r w:rsidRPr="00AF164B">
                    <w:t xml:space="preserve"> plāns, EUR</w:t>
                  </w:r>
                </w:p>
              </w:tc>
              <w:tc>
                <w:tcPr>
                  <w:tcW w:w="1210" w:type="dxa"/>
                  <w:tcBorders>
                    <w:top w:val="single" w:sz="4" w:space="0" w:color="auto"/>
                    <w:left w:val="single" w:sz="4" w:space="0" w:color="auto"/>
                    <w:bottom w:val="single" w:sz="4" w:space="0" w:color="auto"/>
                    <w:right w:val="single" w:sz="4" w:space="0" w:color="auto"/>
                  </w:tcBorders>
                  <w:hideMark/>
                </w:tcPr>
                <w:p w:rsidR="00E8172A" w:rsidRPr="00AF164B" w:rsidRDefault="00E8172A" w:rsidP="006635AD">
                  <w:pPr>
                    <w:jc w:val="both"/>
                    <w:rPr>
                      <w:rFonts w:eastAsia="Calibri"/>
                    </w:rPr>
                  </w:pPr>
                  <w:proofErr w:type="gramStart"/>
                  <w:r w:rsidRPr="00AF164B">
                    <w:t>2017.g.</w:t>
                  </w:r>
                  <w:proofErr w:type="gramEnd"/>
                  <w:r w:rsidRPr="00AF164B">
                    <w:t xml:space="preserve"> plāns, EUR</w:t>
                  </w:r>
                </w:p>
              </w:tc>
              <w:tc>
                <w:tcPr>
                  <w:tcW w:w="1210" w:type="dxa"/>
                  <w:tcBorders>
                    <w:top w:val="single" w:sz="4" w:space="0" w:color="auto"/>
                    <w:left w:val="single" w:sz="4" w:space="0" w:color="auto"/>
                    <w:bottom w:val="single" w:sz="4" w:space="0" w:color="auto"/>
                    <w:right w:val="single" w:sz="4" w:space="0" w:color="auto"/>
                  </w:tcBorders>
                  <w:hideMark/>
                </w:tcPr>
                <w:p w:rsidR="00E8172A" w:rsidRPr="00AF164B" w:rsidRDefault="00E8172A" w:rsidP="006635AD">
                  <w:pPr>
                    <w:jc w:val="both"/>
                    <w:rPr>
                      <w:rFonts w:eastAsia="Calibri"/>
                    </w:rPr>
                  </w:pPr>
                  <w:proofErr w:type="gramStart"/>
                  <w:r w:rsidRPr="00AF164B">
                    <w:t>2018.g.</w:t>
                  </w:r>
                  <w:proofErr w:type="gramEnd"/>
                  <w:r w:rsidRPr="00AF164B">
                    <w:t xml:space="preserve"> plāns, EUR </w:t>
                  </w:r>
                </w:p>
              </w:tc>
            </w:tr>
            <w:tr w:rsidR="00E8172A" w:rsidRPr="00AF164B" w:rsidTr="00016C89">
              <w:tc>
                <w:tcPr>
                  <w:tcW w:w="1173" w:type="dxa"/>
                  <w:tcBorders>
                    <w:top w:val="single" w:sz="4" w:space="0" w:color="auto"/>
                    <w:left w:val="single" w:sz="4" w:space="0" w:color="auto"/>
                    <w:bottom w:val="single" w:sz="4" w:space="0" w:color="auto"/>
                    <w:right w:val="single" w:sz="4" w:space="0" w:color="auto"/>
                  </w:tcBorders>
                  <w:hideMark/>
                </w:tcPr>
                <w:p w:rsidR="00E8172A" w:rsidRPr="00AF164B" w:rsidRDefault="00E8172A">
                  <w:pPr>
                    <w:jc w:val="both"/>
                    <w:rPr>
                      <w:rFonts w:ascii="Calibri" w:eastAsia="Calibri" w:hAnsi="Calibri"/>
                      <w:lang w:eastAsia="en-US"/>
                    </w:rPr>
                  </w:pPr>
                  <w:r w:rsidRPr="00AF164B">
                    <w:rPr>
                      <w:bCs/>
                    </w:rPr>
                    <w:t>1000-4000;</w:t>
                  </w:r>
                  <w:r w:rsidRPr="00AF164B">
                    <w:rPr>
                      <w:bCs/>
                    </w:rPr>
                    <w:br/>
                    <w:t>6000-7000</w:t>
                  </w:r>
                </w:p>
              </w:tc>
              <w:tc>
                <w:tcPr>
                  <w:tcW w:w="1336" w:type="dxa"/>
                  <w:tcBorders>
                    <w:top w:val="single" w:sz="4" w:space="0" w:color="auto"/>
                    <w:left w:val="single" w:sz="4" w:space="0" w:color="auto"/>
                    <w:bottom w:val="single" w:sz="4" w:space="0" w:color="auto"/>
                    <w:right w:val="single" w:sz="4" w:space="0" w:color="auto"/>
                  </w:tcBorders>
                  <w:vAlign w:val="center"/>
                  <w:hideMark/>
                </w:tcPr>
                <w:p w:rsidR="00E8172A" w:rsidRPr="00AF164B" w:rsidRDefault="00E8172A">
                  <w:pPr>
                    <w:rPr>
                      <w:rFonts w:eastAsia="Calibri"/>
                      <w:b/>
                      <w:bCs/>
                    </w:rPr>
                  </w:pPr>
                  <w:r w:rsidRPr="00AF164B">
                    <w:rPr>
                      <w:b/>
                      <w:bCs/>
                    </w:rPr>
                    <w:t>Uzturēšanas izdevumi</w:t>
                  </w:r>
                </w:p>
              </w:tc>
              <w:tc>
                <w:tcPr>
                  <w:tcW w:w="2131" w:type="dxa"/>
                  <w:tcBorders>
                    <w:top w:val="single" w:sz="4" w:space="0" w:color="auto"/>
                    <w:left w:val="single" w:sz="4" w:space="0" w:color="auto"/>
                    <w:bottom w:val="single" w:sz="4" w:space="0" w:color="auto"/>
                    <w:right w:val="single" w:sz="4" w:space="0" w:color="auto"/>
                  </w:tcBorders>
                  <w:vAlign w:val="center"/>
                </w:tcPr>
                <w:p w:rsidR="00E8172A" w:rsidRPr="00AF164B" w:rsidRDefault="00E8172A">
                  <w:pPr>
                    <w:pStyle w:val="naisf"/>
                    <w:spacing w:before="0" w:after="0" w:line="276" w:lineRule="auto"/>
                    <w:rPr>
                      <w:b/>
                      <w:lang w:eastAsia="en-US"/>
                    </w:rPr>
                  </w:pPr>
                  <w:r w:rsidRPr="00AF164B">
                    <w:rPr>
                      <w:lang w:eastAsia="en-US"/>
                    </w:rPr>
                    <w:t>521 865</w:t>
                  </w:r>
                </w:p>
              </w:tc>
              <w:tc>
                <w:tcPr>
                  <w:tcW w:w="1210" w:type="dxa"/>
                  <w:tcBorders>
                    <w:top w:val="single" w:sz="4" w:space="0" w:color="auto"/>
                    <w:left w:val="single" w:sz="4" w:space="0" w:color="auto"/>
                    <w:bottom w:val="single" w:sz="4" w:space="0" w:color="auto"/>
                    <w:right w:val="single" w:sz="4" w:space="0" w:color="auto"/>
                  </w:tcBorders>
                  <w:vAlign w:val="center"/>
                </w:tcPr>
                <w:p w:rsidR="00E8172A" w:rsidRPr="00AF164B" w:rsidRDefault="00E8172A" w:rsidP="00016C89">
                  <w:pPr>
                    <w:pStyle w:val="naisf"/>
                    <w:spacing w:before="0" w:after="0" w:line="276" w:lineRule="auto"/>
                    <w:jc w:val="center"/>
                    <w:rPr>
                      <w:b/>
                      <w:lang w:eastAsia="en-US"/>
                    </w:rPr>
                  </w:pPr>
                  <w:r w:rsidRPr="00AF164B">
                    <w:rPr>
                      <w:lang w:eastAsia="en-US"/>
                    </w:rPr>
                    <w:t>521 865</w:t>
                  </w:r>
                </w:p>
              </w:tc>
              <w:tc>
                <w:tcPr>
                  <w:tcW w:w="1210" w:type="dxa"/>
                  <w:tcBorders>
                    <w:top w:val="single" w:sz="4" w:space="0" w:color="auto"/>
                    <w:left w:val="single" w:sz="4" w:space="0" w:color="auto"/>
                    <w:bottom w:val="single" w:sz="4" w:space="0" w:color="auto"/>
                    <w:right w:val="single" w:sz="4" w:space="0" w:color="auto"/>
                  </w:tcBorders>
                  <w:vAlign w:val="center"/>
                </w:tcPr>
                <w:p w:rsidR="00E8172A" w:rsidRPr="00AF164B" w:rsidRDefault="00E8172A" w:rsidP="00016C89">
                  <w:pPr>
                    <w:pStyle w:val="naisf"/>
                    <w:spacing w:before="0" w:after="0" w:line="276" w:lineRule="auto"/>
                    <w:jc w:val="center"/>
                    <w:rPr>
                      <w:b/>
                      <w:lang w:eastAsia="en-US"/>
                    </w:rPr>
                  </w:pPr>
                  <w:r w:rsidRPr="00AF164B">
                    <w:rPr>
                      <w:lang w:eastAsia="en-US"/>
                    </w:rPr>
                    <w:t>521 865</w:t>
                  </w:r>
                </w:p>
              </w:tc>
            </w:tr>
            <w:tr w:rsidR="00E8172A" w:rsidRPr="00AF164B" w:rsidTr="00016C89">
              <w:tc>
                <w:tcPr>
                  <w:tcW w:w="1173" w:type="dxa"/>
                  <w:tcBorders>
                    <w:top w:val="single" w:sz="4" w:space="0" w:color="auto"/>
                    <w:left w:val="single" w:sz="4" w:space="0" w:color="auto"/>
                    <w:bottom w:val="single" w:sz="4" w:space="0" w:color="auto"/>
                    <w:right w:val="single" w:sz="4" w:space="0" w:color="auto"/>
                  </w:tcBorders>
                </w:tcPr>
                <w:p w:rsidR="00E8172A" w:rsidRPr="00AF164B" w:rsidRDefault="00E8172A">
                  <w:pPr>
                    <w:jc w:val="both"/>
                    <w:rPr>
                      <w:rFonts w:eastAsia="Calibri"/>
                      <w:bCs/>
                    </w:rPr>
                  </w:pPr>
                  <w:r w:rsidRPr="00AF164B">
                    <w:rPr>
                      <w:bCs/>
                    </w:rPr>
                    <w:t>1000-2000</w:t>
                  </w:r>
                </w:p>
                <w:p w:rsidR="00E8172A" w:rsidRPr="00AF164B" w:rsidRDefault="00E8172A">
                  <w:pPr>
                    <w:pStyle w:val="naisf"/>
                    <w:spacing w:before="0" w:after="0" w:line="276" w:lineRule="auto"/>
                    <w:rPr>
                      <w:lang w:eastAsia="en-US"/>
                    </w:rPr>
                  </w:pPr>
                </w:p>
              </w:tc>
              <w:tc>
                <w:tcPr>
                  <w:tcW w:w="1336" w:type="dxa"/>
                  <w:tcBorders>
                    <w:top w:val="single" w:sz="4" w:space="0" w:color="auto"/>
                    <w:left w:val="single" w:sz="4" w:space="0" w:color="auto"/>
                    <w:bottom w:val="single" w:sz="4" w:space="0" w:color="auto"/>
                    <w:right w:val="single" w:sz="4" w:space="0" w:color="auto"/>
                  </w:tcBorders>
                  <w:vAlign w:val="center"/>
                  <w:hideMark/>
                </w:tcPr>
                <w:p w:rsidR="00E8172A" w:rsidRPr="00AF164B" w:rsidRDefault="00E8172A">
                  <w:pPr>
                    <w:rPr>
                      <w:rFonts w:eastAsia="Calibri"/>
                      <w:b/>
                      <w:bCs/>
                    </w:rPr>
                  </w:pPr>
                  <w:r w:rsidRPr="00AF164B">
                    <w:rPr>
                      <w:b/>
                      <w:bCs/>
                    </w:rPr>
                    <w:t>Kārtējie izdevumi</w:t>
                  </w:r>
                </w:p>
              </w:tc>
              <w:tc>
                <w:tcPr>
                  <w:tcW w:w="2131" w:type="dxa"/>
                  <w:tcBorders>
                    <w:top w:val="single" w:sz="4" w:space="0" w:color="auto"/>
                    <w:left w:val="single" w:sz="4" w:space="0" w:color="auto"/>
                    <w:bottom w:val="single" w:sz="4" w:space="0" w:color="auto"/>
                    <w:right w:val="single" w:sz="4" w:space="0" w:color="auto"/>
                  </w:tcBorders>
                  <w:vAlign w:val="center"/>
                </w:tcPr>
                <w:p w:rsidR="00E8172A" w:rsidRPr="00AF164B" w:rsidRDefault="00E8172A">
                  <w:pPr>
                    <w:pStyle w:val="naisf"/>
                    <w:spacing w:before="0" w:after="0" w:line="276" w:lineRule="auto"/>
                    <w:rPr>
                      <w:lang w:eastAsia="en-US"/>
                    </w:rPr>
                  </w:pPr>
                  <w:r w:rsidRPr="00AF164B">
                    <w:rPr>
                      <w:lang w:eastAsia="en-US"/>
                    </w:rPr>
                    <w:t>521 865</w:t>
                  </w:r>
                </w:p>
              </w:tc>
              <w:tc>
                <w:tcPr>
                  <w:tcW w:w="1210" w:type="dxa"/>
                  <w:tcBorders>
                    <w:top w:val="single" w:sz="4" w:space="0" w:color="auto"/>
                    <w:left w:val="single" w:sz="4" w:space="0" w:color="auto"/>
                    <w:bottom w:val="single" w:sz="4" w:space="0" w:color="auto"/>
                    <w:right w:val="single" w:sz="4" w:space="0" w:color="auto"/>
                  </w:tcBorders>
                  <w:vAlign w:val="center"/>
                </w:tcPr>
                <w:p w:rsidR="00E8172A" w:rsidRPr="00AF164B" w:rsidRDefault="00E8172A" w:rsidP="00016C89">
                  <w:pPr>
                    <w:jc w:val="center"/>
                  </w:pPr>
                  <w:r w:rsidRPr="00AF164B">
                    <w:rPr>
                      <w:lang w:eastAsia="en-US"/>
                    </w:rPr>
                    <w:t>521 865</w:t>
                  </w:r>
                </w:p>
              </w:tc>
              <w:tc>
                <w:tcPr>
                  <w:tcW w:w="1210" w:type="dxa"/>
                  <w:tcBorders>
                    <w:top w:val="single" w:sz="4" w:space="0" w:color="auto"/>
                    <w:left w:val="single" w:sz="4" w:space="0" w:color="auto"/>
                    <w:bottom w:val="single" w:sz="4" w:space="0" w:color="auto"/>
                    <w:right w:val="single" w:sz="4" w:space="0" w:color="auto"/>
                  </w:tcBorders>
                  <w:vAlign w:val="center"/>
                </w:tcPr>
                <w:p w:rsidR="00E8172A" w:rsidRPr="00AF164B" w:rsidRDefault="00E8172A" w:rsidP="00016C89">
                  <w:pPr>
                    <w:jc w:val="center"/>
                  </w:pPr>
                  <w:r w:rsidRPr="00AF164B">
                    <w:rPr>
                      <w:lang w:eastAsia="en-US"/>
                    </w:rPr>
                    <w:t>521 865</w:t>
                  </w:r>
                </w:p>
              </w:tc>
            </w:tr>
            <w:tr w:rsidR="00E8172A" w:rsidRPr="00AF164B" w:rsidTr="0076543A">
              <w:tc>
                <w:tcPr>
                  <w:tcW w:w="1173" w:type="dxa"/>
                  <w:tcBorders>
                    <w:top w:val="single" w:sz="4" w:space="0" w:color="auto"/>
                    <w:left w:val="single" w:sz="4" w:space="0" w:color="auto"/>
                    <w:bottom w:val="single" w:sz="4" w:space="0" w:color="auto"/>
                    <w:right w:val="single" w:sz="4" w:space="0" w:color="auto"/>
                  </w:tcBorders>
                  <w:hideMark/>
                </w:tcPr>
                <w:p w:rsidR="00E8172A" w:rsidRPr="00AF164B" w:rsidRDefault="00E8172A">
                  <w:pPr>
                    <w:jc w:val="both"/>
                    <w:rPr>
                      <w:rFonts w:eastAsia="Calibri"/>
                      <w:bCs/>
                    </w:rPr>
                  </w:pPr>
                  <w:r w:rsidRPr="00AF164B">
                    <w:rPr>
                      <w:bCs/>
                    </w:rPr>
                    <w:t>1000</w:t>
                  </w:r>
                </w:p>
              </w:tc>
              <w:tc>
                <w:tcPr>
                  <w:tcW w:w="1336" w:type="dxa"/>
                  <w:tcBorders>
                    <w:top w:val="single" w:sz="4" w:space="0" w:color="auto"/>
                    <w:left w:val="single" w:sz="4" w:space="0" w:color="auto"/>
                    <w:bottom w:val="single" w:sz="4" w:space="0" w:color="auto"/>
                    <w:right w:val="single" w:sz="4" w:space="0" w:color="auto"/>
                  </w:tcBorders>
                  <w:vAlign w:val="center"/>
                  <w:hideMark/>
                </w:tcPr>
                <w:p w:rsidR="00E8172A" w:rsidRPr="00AF164B" w:rsidRDefault="00E8172A">
                  <w:pPr>
                    <w:rPr>
                      <w:rFonts w:eastAsia="Calibri"/>
                      <w:bCs/>
                    </w:rPr>
                  </w:pPr>
                  <w:r w:rsidRPr="00AF164B">
                    <w:rPr>
                      <w:bCs/>
                    </w:rPr>
                    <w:t>Atlīdzība</w:t>
                  </w:r>
                </w:p>
              </w:tc>
              <w:tc>
                <w:tcPr>
                  <w:tcW w:w="2131" w:type="dxa"/>
                  <w:tcBorders>
                    <w:top w:val="single" w:sz="4" w:space="0" w:color="auto"/>
                    <w:left w:val="single" w:sz="4" w:space="0" w:color="auto"/>
                    <w:bottom w:val="single" w:sz="4" w:space="0" w:color="auto"/>
                    <w:right w:val="single" w:sz="4" w:space="0" w:color="auto"/>
                  </w:tcBorders>
                </w:tcPr>
                <w:p w:rsidR="00E8172A" w:rsidRPr="00AF164B" w:rsidRDefault="00E8172A" w:rsidP="00016C89">
                  <w:pPr>
                    <w:pStyle w:val="naisf"/>
                    <w:spacing w:before="0" w:after="0" w:line="276" w:lineRule="auto"/>
                    <w:rPr>
                      <w:lang w:eastAsia="en-US"/>
                    </w:rPr>
                  </w:pPr>
                  <w:r w:rsidRPr="00AF164B">
                    <w:rPr>
                      <w:lang w:eastAsia="en-US"/>
                    </w:rPr>
                    <w:t>481 462</w:t>
                  </w:r>
                </w:p>
              </w:tc>
              <w:tc>
                <w:tcPr>
                  <w:tcW w:w="1210" w:type="dxa"/>
                  <w:tcBorders>
                    <w:top w:val="single" w:sz="4" w:space="0" w:color="auto"/>
                    <w:left w:val="single" w:sz="4" w:space="0" w:color="auto"/>
                    <w:bottom w:val="single" w:sz="4" w:space="0" w:color="auto"/>
                    <w:right w:val="single" w:sz="4" w:space="0" w:color="auto"/>
                  </w:tcBorders>
                </w:tcPr>
                <w:p w:rsidR="00E8172A" w:rsidRPr="00AF164B" w:rsidRDefault="00E8172A" w:rsidP="00016C89">
                  <w:pPr>
                    <w:pStyle w:val="naisf"/>
                    <w:spacing w:before="0" w:after="0" w:line="276" w:lineRule="auto"/>
                    <w:jc w:val="center"/>
                    <w:rPr>
                      <w:lang w:eastAsia="en-US"/>
                    </w:rPr>
                  </w:pPr>
                  <w:r w:rsidRPr="00AF164B">
                    <w:rPr>
                      <w:lang w:eastAsia="en-US"/>
                    </w:rPr>
                    <w:t>481 462</w:t>
                  </w:r>
                </w:p>
              </w:tc>
              <w:tc>
                <w:tcPr>
                  <w:tcW w:w="1210" w:type="dxa"/>
                  <w:tcBorders>
                    <w:top w:val="single" w:sz="4" w:space="0" w:color="auto"/>
                    <w:left w:val="single" w:sz="4" w:space="0" w:color="auto"/>
                    <w:bottom w:val="single" w:sz="4" w:space="0" w:color="auto"/>
                    <w:right w:val="single" w:sz="4" w:space="0" w:color="auto"/>
                  </w:tcBorders>
                </w:tcPr>
                <w:p w:rsidR="00E8172A" w:rsidRPr="00AF164B" w:rsidRDefault="00E8172A" w:rsidP="00016C89">
                  <w:pPr>
                    <w:pStyle w:val="naisf"/>
                    <w:spacing w:before="0" w:after="0" w:line="276" w:lineRule="auto"/>
                    <w:jc w:val="center"/>
                    <w:rPr>
                      <w:lang w:eastAsia="en-US"/>
                    </w:rPr>
                  </w:pPr>
                  <w:r w:rsidRPr="00AF164B">
                    <w:rPr>
                      <w:lang w:eastAsia="en-US"/>
                    </w:rPr>
                    <w:t>481 462</w:t>
                  </w:r>
                </w:p>
              </w:tc>
            </w:tr>
            <w:tr w:rsidR="00E8172A" w:rsidRPr="00AF164B" w:rsidTr="0076543A">
              <w:tc>
                <w:tcPr>
                  <w:tcW w:w="1173" w:type="dxa"/>
                  <w:tcBorders>
                    <w:top w:val="single" w:sz="4" w:space="0" w:color="auto"/>
                    <w:left w:val="single" w:sz="4" w:space="0" w:color="auto"/>
                    <w:bottom w:val="single" w:sz="4" w:space="0" w:color="auto"/>
                    <w:right w:val="single" w:sz="4" w:space="0" w:color="auto"/>
                  </w:tcBorders>
                  <w:hideMark/>
                </w:tcPr>
                <w:p w:rsidR="00E8172A" w:rsidRPr="00AF164B" w:rsidRDefault="00E8172A">
                  <w:pPr>
                    <w:jc w:val="both"/>
                    <w:rPr>
                      <w:rFonts w:eastAsia="Calibri"/>
                      <w:bCs/>
                    </w:rPr>
                  </w:pPr>
                  <w:r w:rsidRPr="00AF164B">
                    <w:rPr>
                      <w:bCs/>
                    </w:rPr>
                    <w:t>1100</w:t>
                  </w:r>
                </w:p>
              </w:tc>
              <w:tc>
                <w:tcPr>
                  <w:tcW w:w="1336" w:type="dxa"/>
                  <w:tcBorders>
                    <w:top w:val="single" w:sz="4" w:space="0" w:color="auto"/>
                    <w:left w:val="single" w:sz="4" w:space="0" w:color="auto"/>
                    <w:bottom w:val="single" w:sz="4" w:space="0" w:color="auto"/>
                    <w:right w:val="single" w:sz="4" w:space="0" w:color="auto"/>
                  </w:tcBorders>
                  <w:vAlign w:val="center"/>
                  <w:hideMark/>
                </w:tcPr>
                <w:p w:rsidR="00E8172A" w:rsidRPr="00AF164B" w:rsidRDefault="00E8172A">
                  <w:pPr>
                    <w:rPr>
                      <w:rFonts w:eastAsia="Calibri"/>
                      <w:bCs/>
                    </w:rPr>
                  </w:pPr>
                  <w:r w:rsidRPr="00AF164B">
                    <w:rPr>
                      <w:bCs/>
                    </w:rPr>
                    <w:t>Atalgojums</w:t>
                  </w:r>
                </w:p>
              </w:tc>
              <w:tc>
                <w:tcPr>
                  <w:tcW w:w="2131" w:type="dxa"/>
                  <w:tcBorders>
                    <w:top w:val="single" w:sz="4" w:space="0" w:color="auto"/>
                    <w:left w:val="single" w:sz="4" w:space="0" w:color="auto"/>
                    <w:bottom w:val="single" w:sz="4" w:space="0" w:color="auto"/>
                    <w:right w:val="single" w:sz="4" w:space="0" w:color="auto"/>
                  </w:tcBorders>
                </w:tcPr>
                <w:p w:rsidR="00E8172A" w:rsidRPr="00AF164B" w:rsidRDefault="00E8172A">
                  <w:pPr>
                    <w:pStyle w:val="naisf"/>
                    <w:spacing w:before="0" w:after="0" w:line="276" w:lineRule="auto"/>
                    <w:rPr>
                      <w:lang w:eastAsia="en-US"/>
                    </w:rPr>
                  </w:pPr>
                  <w:r w:rsidRPr="00AF164B">
                    <w:rPr>
                      <w:lang w:eastAsia="en-US"/>
                    </w:rPr>
                    <w:t>389564</w:t>
                  </w:r>
                </w:p>
              </w:tc>
              <w:tc>
                <w:tcPr>
                  <w:tcW w:w="1210" w:type="dxa"/>
                  <w:tcBorders>
                    <w:top w:val="single" w:sz="4" w:space="0" w:color="auto"/>
                    <w:left w:val="single" w:sz="4" w:space="0" w:color="auto"/>
                    <w:bottom w:val="single" w:sz="4" w:space="0" w:color="auto"/>
                    <w:right w:val="single" w:sz="4" w:space="0" w:color="auto"/>
                  </w:tcBorders>
                </w:tcPr>
                <w:p w:rsidR="00E8172A" w:rsidRPr="00AF164B" w:rsidRDefault="00E8172A" w:rsidP="00016C89">
                  <w:pPr>
                    <w:pStyle w:val="naisf"/>
                    <w:spacing w:before="0" w:after="0" w:line="276" w:lineRule="auto"/>
                    <w:jc w:val="center"/>
                    <w:rPr>
                      <w:lang w:eastAsia="en-US"/>
                    </w:rPr>
                  </w:pPr>
                  <w:r w:rsidRPr="00AF164B">
                    <w:rPr>
                      <w:lang w:eastAsia="en-US"/>
                    </w:rPr>
                    <w:t>389564</w:t>
                  </w:r>
                </w:p>
              </w:tc>
              <w:tc>
                <w:tcPr>
                  <w:tcW w:w="1210" w:type="dxa"/>
                  <w:tcBorders>
                    <w:top w:val="single" w:sz="4" w:space="0" w:color="auto"/>
                    <w:left w:val="single" w:sz="4" w:space="0" w:color="auto"/>
                    <w:bottom w:val="single" w:sz="4" w:space="0" w:color="auto"/>
                    <w:right w:val="single" w:sz="4" w:space="0" w:color="auto"/>
                  </w:tcBorders>
                </w:tcPr>
                <w:p w:rsidR="00E8172A" w:rsidRPr="00AF164B" w:rsidRDefault="00E8172A" w:rsidP="00016C89">
                  <w:pPr>
                    <w:pStyle w:val="naisf"/>
                    <w:spacing w:before="0" w:after="0" w:line="276" w:lineRule="auto"/>
                    <w:jc w:val="center"/>
                    <w:rPr>
                      <w:lang w:eastAsia="en-US"/>
                    </w:rPr>
                  </w:pPr>
                  <w:r w:rsidRPr="00AF164B">
                    <w:rPr>
                      <w:lang w:eastAsia="en-US"/>
                    </w:rPr>
                    <w:t>389564</w:t>
                  </w:r>
                </w:p>
              </w:tc>
            </w:tr>
            <w:tr w:rsidR="00E8172A" w:rsidRPr="00AF164B" w:rsidTr="0076543A">
              <w:tc>
                <w:tcPr>
                  <w:tcW w:w="1173" w:type="dxa"/>
                  <w:tcBorders>
                    <w:top w:val="single" w:sz="4" w:space="0" w:color="auto"/>
                    <w:left w:val="single" w:sz="4" w:space="0" w:color="auto"/>
                    <w:bottom w:val="single" w:sz="4" w:space="0" w:color="auto"/>
                    <w:right w:val="single" w:sz="4" w:space="0" w:color="auto"/>
                  </w:tcBorders>
                  <w:hideMark/>
                </w:tcPr>
                <w:p w:rsidR="00E8172A" w:rsidRPr="00AF164B" w:rsidRDefault="00E8172A">
                  <w:pPr>
                    <w:pStyle w:val="naisf"/>
                    <w:spacing w:before="0" w:after="0" w:line="276" w:lineRule="auto"/>
                    <w:rPr>
                      <w:lang w:eastAsia="en-US"/>
                    </w:rPr>
                  </w:pPr>
                  <w:r w:rsidRPr="00AF164B">
                    <w:rPr>
                      <w:lang w:eastAsia="en-US"/>
                    </w:rPr>
                    <w:t>2000</w:t>
                  </w:r>
                </w:p>
              </w:tc>
              <w:tc>
                <w:tcPr>
                  <w:tcW w:w="1336" w:type="dxa"/>
                  <w:tcBorders>
                    <w:top w:val="single" w:sz="4" w:space="0" w:color="auto"/>
                    <w:left w:val="single" w:sz="4" w:space="0" w:color="auto"/>
                    <w:bottom w:val="single" w:sz="4" w:space="0" w:color="auto"/>
                    <w:right w:val="single" w:sz="4" w:space="0" w:color="auto"/>
                  </w:tcBorders>
                  <w:vAlign w:val="center"/>
                  <w:hideMark/>
                </w:tcPr>
                <w:p w:rsidR="00E8172A" w:rsidRPr="00AF164B" w:rsidRDefault="00E8172A">
                  <w:pPr>
                    <w:rPr>
                      <w:rFonts w:eastAsia="Calibri"/>
                    </w:rPr>
                  </w:pPr>
                  <w:r w:rsidRPr="00AF164B">
                    <w:t>Preces un pakalpojumi</w:t>
                  </w:r>
                </w:p>
              </w:tc>
              <w:tc>
                <w:tcPr>
                  <w:tcW w:w="2131" w:type="dxa"/>
                  <w:tcBorders>
                    <w:top w:val="single" w:sz="4" w:space="0" w:color="auto"/>
                    <w:left w:val="single" w:sz="4" w:space="0" w:color="auto"/>
                    <w:bottom w:val="single" w:sz="4" w:space="0" w:color="auto"/>
                    <w:right w:val="single" w:sz="4" w:space="0" w:color="auto"/>
                  </w:tcBorders>
                </w:tcPr>
                <w:p w:rsidR="00E8172A" w:rsidRPr="00AF164B" w:rsidRDefault="00E8172A">
                  <w:pPr>
                    <w:jc w:val="both"/>
                    <w:rPr>
                      <w:rFonts w:eastAsia="Calibri"/>
                    </w:rPr>
                  </w:pPr>
                  <w:r w:rsidRPr="00AF164B">
                    <w:rPr>
                      <w:rFonts w:eastAsia="Calibri"/>
                    </w:rPr>
                    <w:t>40403</w:t>
                  </w:r>
                </w:p>
              </w:tc>
              <w:tc>
                <w:tcPr>
                  <w:tcW w:w="1210" w:type="dxa"/>
                  <w:tcBorders>
                    <w:top w:val="single" w:sz="4" w:space="0" w:color="auto"/>
                    <w:left w:val="single" w:sz="4" w:space="0" w:color="auto"/>
                    <w:bottom w:val="single" w:sz="4" w:space="0" w:color="auto"/>
                    <w:right w:val="single" w:sz="4" w:space="0" w:color="auto"/>
                  </w:tcBorders>
                </w:tcPr>
                <w:p w:rsidR="00E8172A" w:rsidRPr="00AF164B" w:rsidRDefault="00E8172A" w:rsidP="00016C89">
                  <w:pPr>
                    <w:jc w:val="center"/>
                    <w:rPr>
                      <w:rFonts w:eastAsia="Calibri"/>
                    </w:rPr>
                  </w:pPr>
                  <w:r w:rsidRPr="00AF164B">
                    <w:rPr>
                      <w:rFonts w:eastAsia="Calibri"/>
                    </w:rPr>
                    <w:t>40403</w:t>
                  </w:r>
                </w:p>
              </w:tc>
              <w:tc>
                <w:tcPr>
                  <w:tcW w:w="1210" w:type="dxa"/>
                  <w:tcBorders>
                    <w:top w:val="single" w:sz="4" w:space="0" w:color="auto"/>
                    <w:left w:val="single" w:sz="4" w:space="0" w:color="auto"/>
                    <w:bottom w:val="single" w:sz="4" w:space="0" w:color="auto"/>
                    <w:right w:val="single" w:sz="4" w:space="0" w:color="auto"/>
                  </w:tcBorders>
                </w:tcPr>
                <w:p w:rsidR="00E8172A" w:rsidRPr="00AF164B" w:rsidRDefault="00E8172A" w:rsidP="00016C89">
                  <w:pPr>
                    <w:jc w:val="center"/>
                    <w:rPr>
                      <w:rFonts w:eastAsia="Calibri"/>
                    </w:rPr>
                  </w:pPr>
                  <w:r w:rsidRPr="00AF164B">
                    <w:rPr>
                      <w:rFonts w:eastAsia="Calibri"/>
                    </w:rPr>
                    <w:t>40403</w:t>
                  </w:r>
                </w:p>
              </w:tc>
            </w:tr>
          </w:tbl>
          <w:p w:rsidR="00E8172A" w:rsidRPr="00AF164B" w:rsidRDefault="00E8172A" w:rsidP="00BB175C">
            <w:pPr>
              <w:jc w:val="center"/>
            </w:pPr>
          </w:p>
        </w:tc>
      </w:tr>
      <w:tr w:rsidR="00E8172A" w:rsidRPr="00AF164B" w:rsidTr="00F95C10">
        <w:trPr>
          <w:jc w:val="center"/>
        </w:trPr>
        <w:tc>
          <w:tcPr>
            <w:tcW w:w="1702" w:type="dxa"/>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jc w:val="both"/>
            </w:pPr>
            <w:r w:rsidRPr="00AF164B">
              <w:t>7. Cita informācija</w:t>
            </w:r>
          </w:p>
        </w:tc>
        <w:tc>
          <w:tcPr>
            <w:tcW w:w="8422" w:type="dxa"/>
            <w:gridSpan w:val="5"/>
            <w:tcBorders>
              <w:top w:val="single" w:sz="4" w:space="0" w:color="auto"/>
              <w:left w:val="single" w:sz="4" w:space="0" w:color="auto"/>
              <w:bottom w:val="single" w:sz="4" w:space="0" w:color="auto"/>
              <w:right w:val="single" w:sz="4" w:space="0" w:color="auto"/>
            </w:tcBorders>
            <w:hideMark/>
          </w:tcPr>
          <w:p w:rsidR="00E8172A" w:rsidRPr="00AF164B" w:rsidRDefault="00E8172A" w:rsidP="00BB175C">
            <w:pPr>
              <w:jc w:val="both"/>
            </w:pPr>
            <w:r w:rsidRPr="00AF164B">
              <w:t xml:space="preserve">Pēc noteikumu projektā noteiktās izcenojuma piemērošanas koksnei </w:t>
            </w:r>
            <w:proofErr w:type="gramStart"/>
            <w:r w:rsidRPr="00AF164B">
              <w:t>2015.gadā</w:t>
            </w:r>
            <w:proofErr w:type="gramEnd"/>
            <w:r w:rsidRPr="00AF164B">
              <w:t xml:space="preserve"> un turpmākajos gados ieņēmumi no fitosanitārajām pārbaudēm </w:t>
            </w:r>
            <w:r w:rsidRPr="00AF164B">
              <w:rPr>
                <w:bCs/>
              </w:rPr>
              <w:t xml:space="preserve">kopumā varētu palielināties par </w:t>
            </w:r>
            <w:r w:rsidRPr="00AF164B">
              <w:t xml:space="preserve">334 338 </w:t>
            </w:r>
            <w:proofErr w:type="spellStart"/>
            <w:r w:rsidRPr="00AF164B">
              <w:rPr>
                <w:i/>
              </w:rPr>
              <w:t>euro</w:t>
            </w:r>
            <w:proofErr w:type="spellEnd"/>
            <w:r w:rsidRPr="00AF164B">
              <w:t xml:space="preserve"> salīdzinājumā ar 2015.gada apstiprināto ieņēmumu plānu.</w:t>
            </w:r>
          </w:p>
          <w:p w:rsidR="00E8172A" w:rsidRPr="00AF164B" w:rsidRDefault="00E8172A" w:rsidP="00BB175C">
            <w:pPr>
              <w:pStyle w:val="Pamatteksts"/>
              <w:jc w:val="both"/>
              <w:rPr>
                <w:b w:val="0"/>
                <w:color w:val="FF0000"/>
                <w:sz w:val="24"/>
                <w:szCs w:val="24"/>
              </w:rPr>
            </w:pPr>
            <w:r w:rsidRPr="00AF164B">
              <w:rPr>
                <w:b w:val="0"/>
                <w:sz w:val="24"/>
                <w:szCs w:val="24"/>
              </w:rPr>
              <w:t xml:space="preserve">Izmaksu palielinājums par fitosanitārajām pārbaudēm neapstrādātu apaļkoku kravām eksportētājus varētu veicināt apaļkokus pirms eksportēšanas apstrādāt, tādējādi palielinot pievienoto vērtību. </w:t>
            </w:r>
          </w:p>
          <w:p w:rsidR="00E8172A" w:rsidRPr="00AF164B" w:rsidRDefault="00E8172A" w:rsidP="00BB175C">
            <w:pPr>
              <w:pStyle w:val="Pamatteksts"/>
              <w:jc w:val="both"/>
              <w:rPr>
                <w:b w:val="0"/>
                <w:sz w:val="24"/>
                <w:szCs w:val="24"/>
              </w:rPr>
            </w:pPr>
            <w:r w:rsidRPr="00AF164B">
              <w:rPr>
                <w:b w:val="0"/>
                <w:sz w:val="24"/>
                <w:szCs w:val="24"/>
              </w:rPr>
              <w:t xml:space="preserve">Taču nav prognozējams, vai eksportētāji vēlēsies veikt zāģbaļķu apstrādi, tādējādi nodrošinot kopējo ieņēmumu palielinājumu valstī. </w:t>
            </w:r>
          </w:p>
          <w:p w:rsidR="00E8172A" w:rsidRPr="00AF164B" w:rsidRDefault="00E8172A" w:rsidP="00BB175C">
            <w:pPr>
              <w:pStyle w:val="Pamatteksts"/>
              <w:jc w:val="both"/>
              <w:rPr>
                <w:b w:val="0"/>
                <w:sz w:val="24"/>
                <w:szCs w:val="24"/>
              </w:rPr>
            </w:pPr>
            <w:r w:rsidRPr="00AF164B">
              <w:rPr>
                <w:b w:val="0"/>
                <w:sz w:val="24"/>
                <w:szCs w:val="24"/>
              </w:rPr>
              <w:t xml:space="preserve">Jauno izcenojumu piemērošana no </w:t>
            </w:r>
            <w:proofErr w:type="gramStart"/>
            <w:r w:rsidRPr="00AF164B">
              <w:rPr>
                <w:b w:val="0"/>
                <w:sz w:val="24"/>
                <w:szCs w:val="24"/>
              </w:rPr>
              <w:t>2015.gada</w:t>
            </w:r>
            <w:proofErr w:type="gramEnd"/>
            <w:r w:rsidRPr="00AF164B">
              <w:rPr>
                <w:b w:val="0"/>
                <w:sz w:val="24"/>
                <w:szCs w:val="24"/>
              </w:rPr>
              <w:t xml:space="preserve"> par paraugu ņemšanu un novērtējuma sagatavošanu pēc klientu pieprasījuma palielinās kopējos ieņēmumus no maksas pakalpojumiem apmēru par 865 </w:t>
            </w:r>
            <w:proofErr w:type="spellStart"/>
            <w:r w:rsidRPr="00AF164B">
              <w:rPr>
                <w:b w:val="0"/>
                <w:i/>
                <w:sz w:val="24"/>
                <w:szCs w:val="24"/>
              </w:rPr>
              <w:t>euro</w:t>
            </w:r>
            <w:proofErr w:type="spellEnd"/>
            <w:r w:rsidRPr="00AF164B">
              <w:rPr>
                <w:b w:val="0"/>
                <w:sz w:val="24"/>
                <w:szCs w:val="24"/>
              </w:rPr>
              <w:t xml:space="preserve"> gadā.</w:t>
            </w:r>
          </w:p>
          <w:p w:rsidR="00E8172A" w:rsidRPr="00AF164B" w:rsidRDefault="00E8172A" w:rsidP="006635AD">
            <w:pPr>
              <w:pStyle w:val="Pamatteksts"/>
              <w:jc w:val="both"/>
              <w:rPr>
                <w:sz w:val="24"/>
                <w:szCs w:val="24"/>
              </w:rPr>
            </w:pPr>
            <w:proofErr w:type="gramStart"/>
            <w:r w:rsidRPr="00AF164B">
              <w:rPr>
                <w:b w:val="0"/>
                <w:sz w:val="24"/>
                <w:szCs w:val="24"/>
              </w:rPr>
              <w:t>2015.gadā</w:t>
            </w:r>
            <w:proofErr w:type="gramEnd"/>
            <w:r w:rsidRPr="00AF164B">
              <w:rPr>
                <w:b w:val="0"/>
                <w:sz w:val="24"/>
                <w:szCs w:val="24"/>
              </w:rPr>
              <w:t xml:space="preserve"> un turpmākajos gados ieņēmumu palielinājums, kas varētu rasties Valsts augu aizsardzības dienesta budžeta programmā 27.00 „Augu veselība un augu aprites uzraudzība”, tiks novirzīts izdevumiem par fitosanitārajām pārbaudēm</w:t>
            </w:r>
            <w:r w:rsidRPr="00AF164B">
              <w:rPr>
                <w:b w:val="0"/>
                <w:sz w:val="24"/>
                <w:szCs w:val="24"/>
                <w:lang w:eastAsia="lv-LV"/>
              </w:rPr>
              <w:t xml:space="preserve"> </w:t>
            </w:r>
            <w:r w:rsidRPr="00AF164B">
              <w:rPr>
                <w:b w:val="0"/>
                <w:sz w:val="24"/>
                <w:szCs w:val="24"/>
              </w:rPr>
              <w:t>un paraugu ņemšanu un novērtējumu  sagatavošanu pēc personas pieprasījuma.</w:t>
            </w:r>
          </w:p>
        </w:tc>
      </w:tr>
    </w:tbl>
    <w:p w:rsidR="00587FB6" w:rsidRPr="00AF164B" w:rsidRDefault="00587FB6" w:rsidP="00587FB6">
      <w:pPr>
        <w:pStyle w:val="naisf"/>
        <w:spacing w:before="0" w:beforeAutospacing="0" w:after="0" w:afterAutospacing="0"/>
      </w:pPr>
      <w:r w:rsidRPr="00AF164B">
        <w:tab/>
      </w:r>
    </w:p>
    <w:tbl>
      <w:tblPr>
        <w:tblW w:w="102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442"/>
        <w:gridCol w:w="6960"/>
      </w:tblGrid>
      <w:tr w:rsidR="00587FB6" w:rsidRPr="00AF164B" w:rsidTr="00BB175C">
        <w:tc>
          <w:tcPr>
            <w:tcW w:w="10200" w:type="dxa"/>
            <w:gridSpan w:val="3"/>
          </w:tcPr>
          <w:p w:rsidR="00587FB6" w:rsidRPr="00AF164B" w:rsidRDefault="00587FB6" w:rsidP="00BB175C">
            <w:pPr>
              <w:pStyle w:val="naisnod"/>
              <w:spacing w:before="0" w:after="0"/>
              <w:jc w:val="center"/>
              <w:rPr>
                <w:b/>
              </w:rPr>
            </w:pPr>
            <w:r w:rsidRPr="00AF164B">
              <w:rPr>
                <w:b/>
              </w:rPr>
              <w:t>IV. Tiesību akta projekta ietekme uz spēkā esošo tiesību normu sistēmu</w:t>
            </w:r>
          </w:p>
        </w:tc>
      </w:tr>
      <w:tr w:rsidR="00587FB6" w:rsidRPr="00AF164B" w:rsidTr="00BB175C">
        <w:tc>
          <w:tcPr>
            <w:tcW w:w="798" w:type="dxa"/>
          </w:tcPr>
          <w:p w:rsidR="00587FB6" w:rsidRPr="00AF164B" w:rsidRDefault="00587FB6" w:rsidP="00BB175C">
            <w:pPr>
              <w:pStyle w:val="Galvene"/>
              <w:tabs>
                <w:tab w:val="left" w:pos="2628"/>
              </w:tabs>
              <w:jc w:val="both"/>
              <w:rPr>
                <w:iCs/>
              </w:rPr>
            </w:pPr>
            <w:r w:rsidRPr="00AF164B">
              <w:rPr>
                <w:iCs/>
              </w:rPr>
              <w:t>1.</w:t>
            </w:r>
          </w:p>
        </w:tc>
        <w:tc>
          <w:tcPr>
            <w:tcW w:w="2442" w:type="dxa"/>
          </w:tcPr>
          <w:p w:rsidR="00587FB6" w:rsidRPr="00AF164B" w:rsidRDefault="00587FB6" w:rsidP="00BB175C">
            <w:pPr>
              <w:pStyle w:val="Galvene"/>
              <w:tabs>
                <w:tab w:val="left" w:pos="2628"/>
              </w:tabs>
              <w:jc w:val="both"/>
              <w:rPr>
                <w:iCs/>
              </w:rPr>
            </w:pPr>
            <w:r w:rsidRPr="00AF164B">
              <w:t>Nepieciešamie saistītie tiesību aktu projekti</w:t>
            </w:r>
          </w:p>
        </w:tc>
        <w:tc>
          <w:tcPr>
            <w:tcW w:w="6960" w:type="dxa"/>
          </w:tcPr>
          <w:p w:rsidR="00587FB6" w:rsidRPr="00AF164B" w:rsidRDefault="00587FB6" w:rsidP="00BB175C">
            <w:pPr>
              <w:pStyle w:val="naiskr"/>
              <w:spacing w:before="0" w:beforeAutospacing="0" w:after="0" w:afterAutospacing="0"/>
              <w:jc w:val="both"/>
            </w:pPr>
            <w:r w:rsidRPr="00AF164B">
              <w:t>Nav.</w:t>
            </w:r>
          </w:p>
        </w:tc>
      </w:tr>
      <w:tr w:rsidR="00587FB6" w:rsidRPr="00AF164B" w:rsidTr="00BB175C">
        <w:tc>
          <w:tcPr>
            <w:tcW w:w="798" w:type="dxa"/>
          </w:tcPr>
          <w:p w:rsidR="00587FB6" w:rsidRPr="00AF164B" w:rsidRDefault="00587FB6" w:rsidP="00BB175C">
            <w:pPr>
              <w:pStyle w:val="Galvene"/>
              <w:tabs>
                <w:tab w:val="left" w:pos="2628"/>
              </w:tabs>
              <w:jc w:val="both"/>
              <w:rPr>
                <w:iCs/>
              </w:rPr>
            </w:pPr>
            <w:r w:rsidRPr="00AF164B">
              <w:rPr>
                <w:iCs/>
              </w:rPr>
              <w:t>2.</w:t>
            </w:r>
          </w:p>
        </w:tc>
        <w:tc>
          <w:tcPr>
            <w:tcW w:w="2442" w:type="dxa"/>
          </w:tcPr>
          <w:p w:rsidR="00587FB6" w:rsidRPr="00AF164B" w:rsidRDefault="00587FB6" w:rsidP="00BB175C">
            <w:pPr>
              <w:pStyle w:val="Galvene"/>
              <w:tabs>
                <w:tab w:val="left" w:pos="2628"/>
              </w:tabs>
              <w:jc w:val="both"/>
            </w:pPr>
            <w:r w:rsidRPr="00AF164B">
              <w:t>Atbildīgā institūcija</w:t>
            </w:r>
          </w:p>
        </w:tc>
        <w:tc>
          <w:tcPr>
            <w:tcW w:w="6960" w:type="dxa"/>
          </w:tcPr>
          <w:p w:rsidR="00587FB6" w:rsidRPr="00AF164B" w:rsidRDefault="00587FB6" w:rsidP="00BB175C">
            <w:pPr>
              <w:pStyle w:val="naiskr"/>
              <w:spacing w:before="0" w:beforeAutospacing="0" w:after="0" w:afterAutospacing="0"/>
              <w:jc w:val="both"/>
            </w:pPr>
            <w:r w:rsidRPr="00AF164B">
              <w:t>Par normatīvo aktu projektu sagatavošanu ir atbildīga Zemkopības ministrija.</w:t>
            </w:r>
          </w:p>
        </w:tc>
      </w:tr>
      <w:tr w:rsidR="00587FB6" w:rsidRPr="00AF164B" w:rsidTr="00BB175C">
        <w:tc>
          <w:tcPr>
            <w:tcW w:w="798" w:type="dxa"/>
          </w:tcPr>
          <w:p w:rsidR="00587FB6" w:rsidRPr="00AF164B" w:rsidRDefault="00587FB6" w:rsidP="00BB175C">
            <w:pPr>
              <w:pStyle w:val="Galvene"/>
              <w:tabs>
                <w:tab w:val="left" w:pos="2628"/>
              </w:tabs>
              <w:jc w:val="both"/>
              <w:rPr>
                <w:iCs/>
              </w:rPr>
            </w:pPr>
            <w:r w:rsidRPr="00AF164B">
              <w:rPr>
                <w:iCs/>
              </w:rPr>
              <w:t>3.</w:t>
            </w:r>
          </w:p>
        </w:tc>
        <w:tc>
          <w:tcPr>
            <w:tcW w:w="2442" w:type="dxa"/>
          </w:tcPr>
          <w:p w:rsidR="00587FB6" w:rsidRPr="00AF164B" w:rsidRDefault="00587FB6" w:rsidP="00BB175C">
            <w:pPr>
              <w:pStyle w:val="Galvene"/>
              <w:tabs>
                <w:tab w:val="left" w:pos="2628"/>
              </w:tabs>
              <w:jc w:val="both"/>
              <w:rPr>
                <w:iCs/>
              </w:rPr>
            </w:pPr>
            <w:r w:rsidRPr="00AF164B">
              <w:t>Cita informācija</w:t>
            </w:r>
          </w:p>
        </w:tc>
        <w:tc>
          <w:tcPr>
            <w:tcW w:w="6960" w:type="dxa"/>
          </w:tcPr>
          <w:p w:rsidR="00587FB6" w:rsidRPr="00AF164B" w:rsidRDefault="00587FB6" w:rsidP="00BB175C">
            <w:r w:rsidRPr="00AF164B">
              <w:t>Nav.</w:t>
            </w:r>
          </w:p>
        </w:tc>
      </w:tr>
    </w:tbl>
    <w:p w:rsidR="00587FB6" w:rsidRPr="00AF164B" w:rsidRDefault="00587FB6" w:rsidP="00587FB6">
      <w:pPr>
        <w:pStyle w:val="naisc"/>
        <w:spacing w:before="0" w:beforeAutospacing="0" w:after="0" w:afterAutospacing="0"/>
        <w:rPr>
          <w:bCs/>
          <w:i/>
        </w:rPr>
      </w:pPr>
    </w:p>
    <w:p w:rsidR="00587FB6" w:rsidRPr="00AF164B" w:rsidRDefault="00587FB6" w:rsidP="00587FB6">
      <w:pPr>
        <w:pStyle w:val="naisc"/>
        <w:spacing w:before="0" w:beforeAutospacing="0" w:after="0" w:afterAutospacing="0"/>
        <w:rPr>
          <w:bCs/>
          <w:i/>
        </w:rPr>
      </w:pPr>
      <w:r w:rsidRPr="00AF164B">
        <w:rPr>
          <w:bCs/>
          <w:i/>
        </w:rPr>
        <w:t>Anotācijas V sadaļas 1.un 2.tabula – projekts šo jomu neskar.</w:t>
      </w:r>
    </w:p>
    <w:p w:rsidR="00587FB6" w:rsidRDefault="00587FB6" w:rsidP="00587FB6">
      <w:pPr>
        <w:ind w:firstLine="720"/>
        <w:jc w:val="both"/>
      </w:pPr>
    </w:p>
    <w:p w:rsidR="00AF164B" w:rsidRPr="00AF164B" w:rsidRDefault="00AF164B" w:rsidP="00587FB6">
      <w:pPr>
        <w:ind w:firstLine="720"/>
        <w:jc w:val="both"/>
      </w:pPr>
    </w:p>
    <w:tbl>
      <w:tblPr>
        <w:tblW w:w="545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2"/>
        <w:gridCol w:w="6118"/>
      </w:tblGrid>
      <w:tr w:rsidR="00587FB6" w:rsidRPr="00AF164B" w:rsidTr="00BB175C">
        <w:tc>
          <w:tcPr>
            <w:tcW w:w="5000" w:type="pct"/>
            <w:gridSpan w:val="2"/>
          </w:tcPr>
          <w:p w:rsidR="00587FB6" w:rsidRPr="00AF164B" w:rsidRDefault="00587FB6" w:rsidP="00BB175C">
            <w:pPr>
              <w:pStyle w:val="naisc"/>
              <w:spacing w:before="0" w:beforeAutospacing="0" w:after="0" w:afterAutospacing="0"/>
              <w:jc w:val="center"/>
              <w:rPr>
                <w:b/>
                <w:bCs/>
              </w:rPr>
            </w:pPr>
          </w:p>
          <w:p w:rsidR="00587FB6" w:rsidRPr="00AF164B" w:rsidRDefault="00587FB6" w:rsidP="00BB175C">
            <w:pPr>
              <w:pStyle w:val="naisc"/>
              <w:spacing w:before="0" w:beforeAutospacing="0" w:after="0" w:afterAutospacing="0"/>
              <w:jc w:val="center"/>
              <w:rPr>
                <w:b/>
                <w:bCs/>
              </w:rPr>
            </w:pPr>
            <w:r w:rsidRPr="00AF164B">
              <w:rPr>
                <w:b/>
                <w:bCs/>
              </w:rPr>
              <w:t>VI. Sabiedrības līdzdalība un k</w:t>
            </w:r>
            <w:r w:rsidRPr="00AF164B">
              <w:rPr>
                <w:b/>
                <w:bCs/>
                <w:color w:val="414142"/>
              </w:rPr>
              <w:t>omunikācijas aktivitātes</w:t>
            </w:r>
          </w:p>
        </w:tc>
      </w:tr>
      <w:tr w:rsidR="00587FB6" w:rsidRPr="00AF164B" w:rsidTr="00BB175C">
        <w:tc>
          <w:tcPr>
            <w:tcW w:w="1983" w:type="pct"/>
          </w:tcPr>
          <w:p w:rsidR="00587FB6" w:rsidRPr="00AF164B" w:rsidRDefault="00587FB6" w:rsidP="00BB175C">
            <w:pPr>
              <w:pStyle w:val="naiskr"/>
            </w:pPr>
            <w:r w:rsidRPr="00AF164B">
              <w:t>1. Plānotās sabiedrības līdzdalības un komunikācijas aktivitātes saistībā ar projektu</w:t>
            </w:r>
          </w:p>
        </w:tc>
        <w:tc>
          <w:tcPr>
            <w:tcW w:w="3017" w:type="pct"/>
          </w:tcPr>
          <w:p w:rsidR="00587FB6" w:rsidRPr="00AF164B" w:rsidRDefault="00587FB6" w:rsidP="00710848">
            <w:pPr>
              <w:jc w:val="both"/>
            </w:pPr>
            <w:r w:rsidRPr="00AF164B">
              <w:rPr>
                <w:bCs/>
              </w:rPr>
              <w:t xml:space="preserve">Noteikumu projekts </w:t>
            </w:r>
            <w:proofErr w:type="gramStart"/>
            <w:r w:rsidRPr="00AF164B">
              <w:rPr>
                <w:bCs/>
              </w:rPr>
              <w:t>2014.gada</w:t>
            </w:r>
            <w:proofErr w:type="gramEnd"/>
            <w:r w:rsidRPr="00AF164B">
              <w:rPr>
                <w:bCs/>
              </w:rPr>
              <w:t xml:space="preserve"> </w:t>
            </w:r>
            <w:r w:rsidR="00A207C5" w:rsidRPr="00AF164B">
              <w:rPr>
                <w:bCs/>
              </w:rPr>
              <w:t>novembrī</w:t>
            </w:r>
            <w:r w:rsidRPr="00AF164B">
              <w:rPr>
                <w:bCs/>
              </w:rPr>
              <w:t xml:space="preserve"> tiks ievietots Zemkopības ministrijas tīmekļa vietnē.</w:t>
            </w:r>
          </w:p>
        </w:tc>
      </w:tr>
      <w:tr w:rsidR="00587FB6" w:rsidRPr="00AF164B" w:rsidTr="00BB175C">
        <w:tc>
          <w:tcPr>
            <w:tcW w:w="1983" w:type="pct"/>
          </w:tcPr>
          <w:p w:rsidR="00587FB6" w:rsidRPr="00AF164B" w:rsidRDefault="00587FB6" w:rsidP="00BB175C">
            <w:pPr>
              <w:jc w:val="both"/>
              <w:rPr>
                <w:bCs/>
              </w:rPr>
            </w:pPr>
            <w:r w:rsidRPr="00AF164B">
              <w:t xml:space="preserve">2. Sabiedrības līdzdalība projekta izstrādē </w:t>
            </w:r>
          </w:p>
          <w:p w:rsidR="00587FB6" w:rsidRPr="00AF164B" w:rsidRDefault="00587FB6" w:rsidP="00BB175C">
            <w:pPr>
              <w:pStyle w:val="naiskr"/>
            </w:pPr>
          </w:p>
        </w:tc>
        <w:tc>
          <w:tcPr>
            <w:tcW w:w="3017" w:type="pct"/>
          </w:tcPr>
          <w:p w:rsidR="00964B1D" w:rsidRPr="00AF164B" w:rsidRDefault="00964B1D" w:rsidP="00710848">
            <w:pPr>
              <w:jc w:val="both"/>
            </w:pPr>
            <w:r w:rsidRPr="00AF164B">
              <w:t xml:space="preserve">Sagatavošanas gaitā noteikumu projekts </w:t>
            </w:r>
            <w:proofErr w:type="gramStart"/>
            <w:r w:rsidRPr="00AF164B">
              <w:t xml:space="preserve">elektroniski nosūtīts </w:t>
            </w:r>
            <w:r w:rsidR="0092467F" w:rsidRPr="00AF164B">
              <w:t>b</w:t>
            </w:r>
            <w:r w:rsidRPr="00AF164B">
              <w:t>iedrībai “Latvijas Kokrūpniecības federācija”,</w:t>
            </w:r>
            <w:r w:rsidRPr="00AF164B">
              <w:rPr>
                <w:color w:val="000000"/>
              </w:rPr>
              <w:t xml:space="preserve"> Latvijas Kokmateriālu ražotāju un tirgotāju asociācijai, Latvijas Kokapstrādes uzņēmēju un eksportētāju asociācijai</w:t>
            </w:r>
            <w:r w:rsidR="0092467F" w:rsidRPr="00AF164B">
              <w:rPr>
                <w:color w:val="000000"/>
              </w:rPr>
              <w:t xml:space="preserve"> un</w:t>
            </w:r>
            <w:r w:rsidRPr="00AF164B">
              <w:rPr>
                <w:color w:val="000000"/>
              </w:rPr>
              <w:t xml:space="preserve"> </w:t>
            </w:r>
            <w:r w:rsidR="0092467F" w:rsidRPr="00AF164B">
              <w:rPr>
                <w:color w:val="000000"/>
              </w:rPr>
              <w:t>a</w:t>
            </w:r>
            <w:r w:rsidRPr="00AF164B">
              <w:rPr>
                <w:color w:val="000000"/>
              </w:rPr>
              <w:t>sociācijai</w:t>
            </w:r>
            <w:proofErr w:type="gramEnd"/>
            <w:r w:rsidRPr="00AF164B">
              <w:rPr>
                <w:color w:val="000000"/>
              </w:rPr>
              <w:t xml:space="preserve"> „Latvijas Koks”.</w:t>
            </w:r>
            <w:r w:rsidRPr="00AF164B">
              <w:rPr>
                <w:rStyle w:val="apple-tab-span"/>
                <w:color w:val="000000"/>
              </w:rPr>
              <w:t> </w:t>
            </w:r>
          </w:p>
          <w:p w:rsidR="00741DA4" w:rsidRPr="00AF164B" w:rsidRDefault="00741DA4" w:rsidP="00710848">
            <w:pPr>
              <w:jc w:val="both"/>
            </w:pPr>
          </w:p>
        </w:tc>
      </w:tr>
      <w:tr w:rsidR="00587FB6" w:rsidRPr="00AF164B" w:rsidTr="00BB175C">
        <w:tc>
          <w:tcPr>
            <w:tcW w:w="1983" w:type="pct"/>
          </w:tcPr>
          <w:p w:rsidR="00587FB6" w:rsidRPr="00AF164B" w:rsidRDefault="00587FB6" w:rsidP="00BB175C">
            <w:pPr>
              <w:pStyle w:val="naisf"/>
            </w:pPr>
            <w:r w:rsidRPr="00AF164B">
              <w:t>3. Sabiedrības līdzdalības rezultāti</w:t>
            </w:r>
          </w:p>
        </w:tc>
        <w:tc>
          <w:tcPr>
            <w:tcW w:w="3017" w:type="pct"/>
          </w:tcPr>
          <w:p w:rsidR="00587FB6" w:rsidRPr="00AF164B" w:rsidRDefault="00964B1D" w:rsidP="00BB175C">
            <w:pPr>
              <w:jc w:val="both"/>
            </w:pPr>
            <w:r w:rsidRPr="00AF164B">
              <w:t>Biedrībai “Latvijas Kokrūpniecības federācija”,</w:t>
            </w:r>
            <w:r w:rsidRPr="00AF164B">
              <w:rPr>
                <w:color w:val="000000"/>
              </w:rPr>
              <w:t xml:space="preserve"> Latvijas Kokmateriālu ražotāju un tirgotāju asociācijai, Latvijas Kokapstrādes uzņēmēju un eksportētāju asociācijai</w:t>
            </w:r>
            <w:r w:rsidR="0092467F" w:rsidRPr="00AF164B">
              <w:rPr>
                <w:color w:val="000000"/>
              </w:rPr>
              <w:t xml:space="preserve"> un</w:t>
            </w:r>
            <w:r w:rsidRPr="00AF164B">
              <w:rPr>
                <w:color w:val="000000"/>
              </w:rPr>
              <w:t xml:space="preserve"> </w:t>
            </w:r>
            <w:r w:rsidR="0092467F" w:rsidRPr="00AF164B">
              <w:rPr>
                <w:color w:val="000000"/>
              </w:rPr>
              <w:t>a</w:t>
            </w:r>
            <w:r w:rsidRPr="00AF164B">
              <w:rPr>
                <w:color w:val="000000"/>
              </w:rPr>
              <w:t>sociācijai „Latvijas Koks” nav iebildumu par noteikumu projektu.</w:t>
            </w:r>
            <w:r w:rsidRPr="00AF164B">
              <w:rPr>
                <w:rStyle w:val="apple-tab-span"/>
                <w:color w:val="000000"/>
              </w:rPr>
              <w:t xml:space="preserve">  </w:t>
            </w:r>
            <w:r w:rsidRPr="00AF164B">
              <w:t>Biedrība “Latvijas Kokrūpniecības federācija” tika iesaistīta projekta izstrādē.</w:t>
            </w:r>
          </w:p>
        </w:tc>
      </w:tr>
      <w:tr w:rsidR="00587FB6" w:rsidRPr="00AF164B" w:rsidTr="00BB175C">
        <w:tc>
          <w:tcPr>
            <w:tcW w:w="1983" w:type="pct"/>
          </w:tcPr>
          <w:p w:rsidR="00587FB6" w:rsidRPr="00AF164B" w:rsidRDefault="00587FB6" w:rsidP="00BB175C">
            <w:pPr>
              <w:pStyle w:val="naiskr"/>
            </w:pPr>
            <w:r w:rsidRPr="00AF164B">
              <w:t>4. Cita informācija</w:t>
            </w:r>
          </w:p>
        </w:tc>
        <w:tc>
          <w:tcPr>
            <w:tcW w:w="3017" w:type="pct"/>
          </w:tcPr>
          <w:p w:rsidR="00587FB6" w:rsidRPr="00AF164B" w:rsidRDefault="00587FB6" w:rsidP="00BB175C">
            <w:pPr>
              <w:pStyle w:val="naisc"/>
              <w:spacing w:before="0" w:beforeAutospacing="0" w:after="0" w:afterAutospacing="0"/>
            </w:pPr>
            <w:r w:rsidRPr="00AF164B">
              <w:t>Nav.</w:t>
            </w:r>
          </w:p>
        </w:tc>
      </w:tr>
    </w:tbl>
    <w:p w:rsidR="00587FB6" w:rsidRPr="00AF164B" w:rsidRDefault="00587FB6" w:rsidP="00587FB6">
      <w:pPr>
        <w:pStyle w:val="naisf"/>
        <w:spacing w:before="0" w:beforeAutospacing="0" w:after="0" w:afterAutospacing="0"/>
      </w:pPr>
    </w:p>
    <w:tbl>
      <w:tblPr>
        <w:tblW w:w="5459"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2"/>
        <w:gridCol w:w="6118"/>
      </w:tblGrid>
      <w:tr w:rsidR="00587FB6" w:rsidRPr="00AF164B" w:rsidTr="00BB175C">
        <w:tc>
          <w:tcPr>
            <w:tcW w:w="5000" w:type="pct"/>
            <w:gridSpan w:val="2"/>
          </w:tcPr>
          <w:p w:rsidR="00587FB6" w:rsidRPr="00AF164B" w:rsidRDefault="00587FB6" w:rsidP="00BB175C">
            <w:pPr>
              <w:pStyle w:val="naisc"/>
              <w:spacing w:before="0" w:beforeAutospacing="0" w:after="0" w:afterAutospacing="0"/>
              <w:jc w:val="center"/>
              <w:rPr>
                <w:b/>
                <w:bCs/>
              </w:rPr>
            </w:pPr>
          </w:p>
          <w:p w:rsidR="00587FB6" w:rsidRPr="00AF164B" w:rsidRDefault="00587FB6" w:rsidP="00BB175C">
            <w:pPr>
              <w:pStyle w:val="naisc"/>
              <w:spacing w:before="0" w:beforeAutospacing="0" w:after="0" w:afterAutospacing="0"/>
              <w:jc w:val="center"/>
              <w:rPr>
                <w:b/>
                <w:bCs/>
              </w:rPr>
            </w:pPr>
            <w:r w:rsidRPr="00AF164B">
              <w:rPr>
                <w:b/>
                <w:bCs/>
              </w:rPr>
              <w:t>VII. Tiesību akta projekta izpildes nodrošināšana un tās ietekme uz institūcijām</w:t>
            </w:r>
          </w:p>
        </w:tc>
      </w:tr>
      <w:tr w:rsidR="00587FB6" w:rsidRPr="00AF164B" w:rsidTr="00BB175C">
        <w:tc>
          <w:tcPr>
            <w:tcW w:w="1983" w:type="pct"/>
          </w:tcPr>
          <w:p w:rsidR="00587FB6" w:rsidRPr="00AF164B" w:rsidRDefault="00587FB6" w:rsidP="00BB175C">
            <w:pPr>
              <w:pStyle w:val="Paraststmeklis"/>
              <w:spacing w:before="0" w:beforeAutospacing="0" w:after="0" w:afterAutospacing="0"/>
              <w:jc w:val="both"/>
              <w:rPr>
                <w:lang w:val="lv-LV"/>
              </w:rPr>
            </w:pPr>
            <w:r w:rsidRPr="00AF164B">
              <w:rPr>
                <w:lang w:val="lv-LV"/>
              </w:rPr>
              <w:t>1. Projekta izpildē iesaistītās institūcijas</w:t>
            </w:r>
          </w:p>
        </w:tc>
        <w:tc>
          <w:tcPr>
            <w:tcW w:w="3017" w:type="pct"/>
          </w:tcPr>
          <w:p w:rsidR="00587FB6" w:rsidRPr="00AF164B" w:rsidRDefault="00587FB6" w:rsidP="00BB175C">
            <w:r w:rsidRPr="00AF164B">
              <w:t>Valsts augu aizsardzības dienes</w:t>
            </w:r>
            <w:r w:rsidR="00BF06E7" w:rsidRPr="00AF164B">
              <w:t>ts</w:t>
            </w:r>
            <w:r w:rsidR="004824FC" w:rsidRPr="00AF164B">
              <w:t xml:space="preserve"> </w:t>
            </w:r>
          </w:p>
          <w:p w:rsidR="00587FB6" w:rsidRPr="00AF164B" w:rsidRDefault="00587FB6" w:rsidP="00BB175C">
            <w:pPr>
              <w:spacing w:line="240" w:lineRule="atLeast"/>
              <w:rPr>
                <w:bCs/>
              </w:rPr>
            </w:pPr>
          </w:p>
          <w:p w:rsidR="00587FB6" w:rsidRPr="00AF164B" w:rsidRDefault="00587FB6" w:rsidP="00BB175C">
            <w:pPr>
              <w:pStyle w:val="Kjene"/>
              <w:tabs>
                <w:tab w:val="clear" w:pos="4153"/>
                <w:tab w:val="clear" w:pos="8306"/>
              </w:tabs>
              <w:ind w:right="-108"/>
              <w:jc w:val="both"/>
            </w:pPr>
          </w:p>
        </w:tc>
      </w:tr>
      <w:tr w:rsidR="00587FB6" w:rsidRPr="00AF164B" w:rsidTr="00BB175C">
        <w:trPr>
          <w:trHeight w:val="554"/>
        </w:trPr>
        <w:tc>
          <w:tcPr>
            <w:tcW w:w="1983" w:type="pct"/>
          </w:tcPr>
          <w:p w:rsidR="00587FB6" w:rsidRPr="00AF164B" w:rsidRDefault="00587FB6" w:rsidP="00BB175C">
            <w:r w:rsidRPr="00AF164B">
              <w:t xml:space="preserve">2. Projekta izpildes ietekme uz pārvaldes funkcijām un institucionālo struktūru. </w:t>
            </w:r>
          </w:p>
          <w:p w:rsidR="00587FB6" w:rsidRPr="00AF164B" w:rsidRDefault="00587FB6" w:rsidP="00BB175C">
            <w:pPr>
              <w:pStyle w:val="Paraststmeklis"/>
              <w:spacing w:before="0" w:beforeAutospacing="0" w:after="0" w:afterAutospacing="0"/>
              <w:jc w:val="both"/>
              <w:rPr>
                <w:rFonts w:eastAsia="Times New Roman"/>
                <w:lang w:val="lv-LV" w:eastAsia="lv-LV"/>
              </w:rPr>
            </w:pPr>
            <w:r w:rsidRPr="00AF164B">
              <w:rPr>
                <w:rFonts w:eastAsia="Times New Roman"/>
                <w:lang w:val="lv-LV" w:eastAsia="lv-LV"/>
              </w:rPr>
              <w:t>Jaunu institūciju izveide, esošu institūciju likvidācija vai reorganizācija, to ietekme uz institūcijas cilvēkresursiem</w:t>
            </w:r>
          </w:p>
        </w:tc>
        <w:tc>
          <w:tcPr>
            <w:tcW w:w="3017" w:type="pct"/>
          </w:tcPr>
          <w:p w:rsidR="00587FB6" w:rsidRPr="00AF164B" w:rsidRDefault="00587FB6" w:rsidP="00BB175C">
            <w:pPr>
              <w:jc w:val="both"/>
            </w:pPr>
            <w:r w:rsidRPr="00AF164B">
              <w:t>Projekts šo jomu neskar</w:t>
            </w:r>
            <w:r w:rsidR="00ED77FE" w:rsidRPr="00AF164B">
              <w:t>.</w:t>
            </w:r>
          </w:p>
          <w:p w:rsidR="00587FB6" w:rsidRPr="00AF164B" w:rsidRDefault="00587FB6" w:rsidP="00BB175C">
            <w:pPr>
              <w:jc w:val="both"/>
            </w:pPr>
          </w:p>
        </w:tc>
      </w:tr>
      <w:tr w:rsidR="00587FB6" w:rsidRPr="00AF164B" w:rsidTr="00BB175C">
        <w:trPr>
          <w:trHeight w:val="70"/>
        </w:trPr>
        <w:tc>
          <w:tcPr>
            <w:tcW w:w="1983" w:type="pct"/>
          </w:tcPr>
          <w:p w:rsidR="00587FB6" w:rsidRPr="00AF164B" w:rsidRDefault="00587FB6" w:rsidP="00BB175C">
            <w:pPr>
              <w:pStyle w:val="Paraststmeklis"/>
              <w:spacing w:before="0" w:beforeAutospacing="0" w:after="0" w:afterAutospacing="0"/>
              <w:jc w:val="both"/>
              <w:rPr>
                <w:lang w:val="lv-LV"/>
              </w:rPr>
            </w:pPr>
            <w:r w:rsidRPr="00AF164B">
              <w:rPr>
                <w:lang w:val="lv-LV"/>
              </w:rPr>
              <w:t>3. Cita informācija</w:t>
            </w:r>
          </w:p>
        </w:tc>
        <w:tc>
          <w:tcPr>
            <w:tcW w:w="3017" w:type="pct"/>
          </w:tcPr>
          <w:p w:rsidR="00587FB6" w:rsidRPr="00AF164B" w:rsidRDefault="00587FB6" w:rsidP="00BB175C">
            <w:pPr>
              <w:rPr>
                <w:rFonts w:eastAsia="Arial Unicode MS"/>
              </w:rPr>
            </w:pPr>
            <w:r w:rsidRPr="00AF164B">
              <w:t>Nav.</w:t>
            </w:r>
          </w:p>
        </w:tc>
      </w:tr>
    </w:tbl>
    <w:p w:rsidR="00587FB6" w:rsidRPr="00AF164B" w:rsidRDefault="00587FB6" w:rsidP="00587FB6">
      <w:pPr>
        <w:pStyle w:val="naisf"/>
        <w:spacing w:before="0" w:beforeAutospacing="0" w:after="0" w:afterAutospacing="0"/>
      </w:pPr>
    </w:p>
    <w:p w:rsidR="00587FB6" w:rsidRPr="00AF164B" w:rsidRDefault="00587FB6" w:rsidP="00587FB6">
      <w:pPr>
        <w:pStyle w:val="naisf"/>
        <w:spacing w:before="0" w:beforeAutospacing="0" w:after="0" w:afterAutospacing="0"/>
      </w:pPr>
      <w:r w:rsidRPr="00AF164B">
        <w:tab/>
      </w:r>
    </w:p>
    <w:p w:rsidR="00587FB6" w:rsidRPr="00AF164B" w:rsidRDefault="00587FB6" w:rsidP="00587FB6">
      <w:pPr>
        <w:pStyle w:val="naisf"/>
        <w:spacing w:before="0" w:beforeAutospacing="0" w:after="0" w:afterAutospacing="0"/>
      </w:pPr>
    </w:p>
    <w:p w:rsidR="00587FB6" w:rsidRPr="00AF164B" w:rsidRDefault="00587FB6" w:rsidP="00587FB6">
      <w:pPr>
        <w:pStyle w:val="naisf"/>
        <w:spacing w:before="0" w:beforeAutospacing="0" w:after="0" w:afterAutospacing="0"/>
        <w:ind w:firstLine="720"/>
      </w:pPr>
      <w:r w:rsidRPr="00AF164B">
        <w:t>Zemkopības ministrs</w:t>
      </w:r>
      <w:r w:rsidRPr="00AF164B">
        <w:tab/>
      </w:r>
      <w:r w:rsidRPr="00AF164B">
        <w:tab/>
      </w:r>
      <w:r w:rsidRPr="00AF164B">
        <w:tab/>
      </w:r>
      <w:r w:rsidRPr="00AF164B">
        <w:tab/>
      </w:r>
      <w:r w:rsidRPr="00AF164B">
        <w:tab/>
      </w:r>
      <w:r w:rsidRPr="00AF164B">
        <w:tab/>
        <w:t xml:space="preserve">J. </w:t>
      </w:r>
      <w:proofErr w:type="spellStart"/>
      <w:r w:rsidRPr="00AF164B">
        <w:t>Dūklavs</w:t>
      </w:r>
      <w:proofErr w:type="spellEnd"/>
    </w:p>
    <w:p w:rsidR="00587FB6" w:rsidRPr="00DA30A2" w:rsidRDefault="00587FB6" w:rsidP="00587FB6">
      <w:pPr>
        <w:pStyle w:val="naisf"/>
        <w:spacing w:before="0" w:beforeAutospacing="0" w:after="0" w:afterAutospacing="0"/>
        <w:ind w:firstLine="720"/>
        <w:rPr>
          <w:sz w:val="28"/>
          <w:szCs w:val="28"/>
        </w:rPr>
      </w:pPr>
    </w:p>
    <w:p w:rsidR="00587FB6" w:rsidRPr="00DA30A2" w:rsidRDefault="00587FB6" w:rsidP="00587FB6">
      <w:pPr>
        <w:pStyle w:val="naisf"/>
        <w:spacing w:before="0" w:beforeAutospacing="0" w:after="0" w:afterAutospacing="0"/>
        <w:ind w:firstLine="720"/>
        <w:rPr>
          <w:sz w:val="28"/>
          <w:szCs w:val="28"/>
        </w:rPr>
      </w:pPr>
    </w:p>
    <w:p w:rsidR="00587FB6" w:rsidRPr="00DA30A2" w:rsidRDefault="00587FB6" w:rsidP="00587FB6">
      <w:pPr>
        <w:pStyle w:val="naisf"/>
        <w:spacing w:before="0" w:beforeAutospacing="0" w:after="0" w:afterAutospacing="0"/>
        <w:ind w:firstLine="720"/>
        <w:rPr>
          <w:sz w:val="28"/>
          <w:szCs w:val="28"/>
        </w:rPr>
      </w:pPr>
    </w:p>
    <w:p w:rsidR="00587FB6" w:rsidRPr="00DA30A2" w:rsidRDefault="00587FB6" w:rsidP="00587FB6">
      <w:pPr>
        <w:pStyle w:val="naisf"/>
        <w:spacing w:before="0" w:beforeAutospacing="0" w:after="0" w:afterAutospacing="0"/>
        <w:ind w:firstLine="720"/>
        <w:rPr>
          <w:sz w:val="28"/>
          <w:szCs w:val="28"/>
        </w:rPr>
      </w:pPr>
    </w:p>
    <w:p w:rsidR="000C737A" w:rsidRPr="00DA30A2" w:rsidRDefault="000C737A" w:rsidP="00587FB6">
      <w:pPr>
        <w:pStyle w:val="naisf"/>
        <w:spacing w:before="0" w:beforeAutospacing="0" w:after="0" w:afterAutospacing="0"/>
        <w:ind w:firstLine="720"/>
        <w:rPr>
          <w:sz w:val="28"/>
          <w:szCs w:val="28"/>
        </w:rPr>
      </w:pPr>
    </w:p>
    <w:p w:rsidR="000C737A" w:rsidRPr="00DA30A2" w:rsidRDefault="000C737A" w:rsidP="00587FB6">
      <w:pPr>
        <w:pStyle w:val="naisf"/>
        <w:spacing w:before="0" w:beforeAutospacing="0" w:after="0" w:afterAutospacing="0"/>
        <w:ind w:firstLine="720"/>
        <w:rPr>
          <w:sz w:val="28"/>
          <w:szCs w:val="28"/>
        </w:rPr>
      </w:pPr>
    </w:p>
    <w:p w:rsidR="000C737A" w:rsidRPr="00DA30A2" w:rsidRDefault="000C737A" w:rsidP="00E73874">
      <w:pPr>
        <w:pStyle w:val="naisf"/>
        <w:spacing w:before="0" w:beforeAutospacing="0" w:after="0" w:afterAutospacing="0"/>
        <w:rPr>
          <w:sz w:val="28"/>
          <w:szCs w:val="28"/>
        </w:rPr>
      </w:pPr>
    </w:p>
    <w:p w:rsidR="000C737A" w:rsidRPr="00DA30A2" w:rsidRDefault="000C737A" w:rsidP="00587FB6">
      <w:pPr>
        <w:pStyle w:val="naisf"/>
        <w:spacing w:before="0" w:beforeAutospacing="0" w:after="0" w:afterAutospacing="0"/>
        <w:ind w:firstLine="720"/>
        <w:rPr>
          <w:sz w:val="28"/>
          <w:szCs w:val="28"/>
        </w:rPr>
      </w:pPr>
    </w:p>
    <w:p w:rsidR="00AF164B" w:rsidRDefault="00AF164B" w:rsidP="00587FB6">
      <w:pPr>
        <w:pStyle w:val="Pamattekstsaratkpi"/>
        <w:spacing w:after="0"/>
        <w:ind w:left="0"/>
        <w:rPr>
          <w:sz w:val="20"/>
        </w:rPr>
      </w:pPr>
      <w:r>
        <w:rPr>
          <w:sz w:val="20"/>
        </w:rPr>
        <w:t>22.01.2015. 15:59</w:t>
      </w:r>
    </w:p>
    <w:p w:rsidR="00B52A29" w:rsidRDefault="00B52A29" w:rsidP="00587FB6">
      <w:pPr>
        <w:pStyle w:val="Pamattekstsaratkpi"/>
        <w:spacing w:after="0"/>
        <w:ind w:left="0"/>
        <w:rPr>
          <w:sz w:val="20"/>
        </w:rPr>
      </w:pPr>
      <w:r>
        <w:rPr>
          <w:sz w:val="20"/>
        </w:rPr>
        <w:fldChar w:fldCharType="begin"/>
      </w:r>
      <w:r>
        <w:rPr>
          <w:sz w:val="20"/>
        </w:rPr>
        <w:instrText xml:space="preserve"> NUMWORDS   \* MERGEFORMAT </w:instrText>
      </w:r>
      <w:r>
        <w:rPr>
          <w:sz w:val="20"/>
        </w:rPr>
        <w:fldChar w:fldCharType="separate"/>
      </w:r>
      <w:r>
        <w:rPr>
          <w:sz w:val="20"/>
        </w:rPr>
        <w:t>2362</w:t>
      </w:r>
      <w:r>
        <w:rPr>
          <w:sz w:val="20"/>
        </w:rPr>
        <w:fldChar w:fldCharType="end"/>
      </w:r>
    </w:p>
    <w:p w:rsidR="00587FB6" w:rsidRPr="00DA30A2" w:rsidRDefault="007B45A9" w:rsidP="00587FB6">
      <w:pPr>
        <w:pStyle w:val="Pamattekstsaratkpi"/>
        <w:spacing w:after="0"/>
        <w:ind w:left="0"/>
        <w:rPr>
          <w:sz w:val="20"/>
        </w:rPr>
      </w:pPr>
      <w:bookmarkStart w:id="0" w:name="_GoBack"/>
      <w:bookmarkEnd w:id="0"/>
      <w:r>
        <w:rPr>
          <w:sz w:val="20"/>
        </w:rPr>
        <w:t>I.Blūma</w:t>
      </w:r>
    </w:p>
    <w:p w:rsidR="00587FB6" w:rsidRPr="005C7E7D" w:rsidRDefault="00587FB6" w:rsidP="00587FB6">
      <w:pPr>
        <w:pStyle w:val="Pamattekstsaratkpi"/>
        <w:spacing w:after="0"/>
        <w:ind w:left="0"/>
        <w:rPr>
          <w:sz w:val="20"/>
        </w:rPr>
      </w:pPr>
      <w:r w:rsidRPr="00DA30A2">
        <w:rPr>
          <w:sz w:val="20"/>
        </w:rPr>
        <w:t xml:space="preserve">67027309, </w:t>
      </w:r>
      <w:r w:rsidR="007B45A9">
        <w:rPr>
          <w:sz w:val="20"/>
        </w:rPr>
        <w:t>Iveta</w:t>
      </w:r>
      <w:r w:rsidR="00926758">
        <w:rPr>
          <w:sz w:val="20"/>
        </w:rPr>
        <w:t>.</w:t>
      </w:r>
      <w:r w:rsidR="007B45A9">
        <w:rPr>
          <w:sz w:val="20"/>
        </w:rPr>
        <w:t>Bluma</w:t>
      </w:r>
      <w:r w:rsidRPr="00DA30A2">
        <w:rPr>
          <w:sz w:val="20"/>
        </w:rPr>
        <w:t>@vaad.gov.lv</w:t>
      </w:r>
    </w:p>
    <w:p w:rsidR="0035700F" w:rsidRDefault="0035700F"/>
    <w:sectPr w:rsidR="0035700F" w:rsidSect="00BB175C">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FAC" w:rsidRDefault="00BA7FAC">
      <w:r>
        <w:separator/>
      </w:r>
    </w:p>
  </w:endnote>
  <w:endnote w:type="continuationSeparator" w:id="0">
    <w:p w:rsidR="00BA7FAC" w:rsidRDefault="00BA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8CA" w:rsidRDefault="00926758" w:rsidP="00BB175C">
    <w:pPr>
      <w:pStyle w:val="Kjene"/>
      <w:jc w:val="both"/>
    </w:pPr>
    <w:r w:rsidRPr="00EC7A37">
      <w:rPr>
        <w:sz w:val="20"/>
      </w:rPr>
      <w:t>ZM</w:t>
    </w:r>
    <w:r>
      <w:rPr>
        <w:sz w:val="20"/>
      </w:rPr>
      <w:t>Anot</w:t>
    </w:r>
    <w:r w:rsidRPr="00EC7A37">
      <w:rPr>
        <w:sz w:val="20"/>
      </w:rPr>
      <w:t>_</w:t>
    </w:r>
    <w:r>
      <w:rPr>
        <w:sz w:val="20"/>
      </w:rPr>
      <w:t>220115</w:t>
    </w:r>
    <w:r w:rsidR="009018CA" w:rsidRPr="00EC7A37">
      <w:rPr>
        <w:sz w:val="20"/>
      </w:rPr>
      <w:t xml:space="preserve">; </w:t>
    </w:r>
    <w:r w:rsidR="009018CA" w:rsidRPr="00EC7A37">
      <w:rPr>
        <w:bCs/>
        <w:sz w:val="20"/>
      </w:rPr>
      <w:t>Grozījum</w:t>
    </w:r>
    <w:r w:rsidR="009018CA">
      <w:rPr>
        <w:bCs/>
        <w:sz w:val="20"/>
      </w:rPr>
      <w:t>i</w:t>
    </w:r>
    <w:r w:rsidR="009018CA" w:rsidRPr="00EC7A37">
      <w:rPr>
        <w:bCs/>
        <w:sz w:val="20"/>
      </w:rPr>
      <w:t xml:space="preserve"> Ministru kabineta 20</w:t>
    </w:r>
    <w:r w:rsidR="009018CA">
      <w:rPr>
        <w:bCs/>
        <w:sz w:val="20"/>
      </w:rPr>
      <w:t>12</w:t>
    </w:r>
    <w:r w:rsidR="009018CA" w:rsidRPr="00EC7A37">
      <w:rPr>
        <w:bCs/>
        <w:sz w:val="20"/>
      </w:rPr>
      <w:t>.gada 1</w:t>
    </w:r>
    <w:r w:rsidR="009018CA">
      <w:rPr>
        <w:bCs/>
        <w:sz w:val="20"/>
      </w:rPr>
      <w:t>0</w:t>
    </w:r>
    <w:r w:rsidR="009018CA" w:rsidRPr="00EC7A37">
      <w:rPr>
        <w:bCs/>
        <w:sz w:val="20"/>
      </w:rPr>
      <w:t>.</w:t>
    </w:r>
    <w:r w:rsidR="009018CA">
      <w:rPr>
        <w:bCs/>
        <w:sz w:val="20"/>
      </w:rPr>
      <w:t>jūlija</w:t>
    </w:r>
    <w:r w:rsidR="009018CA" w:rsidRPr="00EC7A37">
      <w:rPr>
        <w:bCs/>
        <w:sz w:val="20"/>
      </w:rPr>
      <w:t xml:space="preserve"> noteikumos Nr.</w:t>
    </w:r>
    <w:r w:rsidR="009018CA">
      <w:rPr>
        <w:bCs/>
        <w:sz w:val="20"/>
      </w:rPr>
      <w:t>493</w:t>
    </w:r>
    <w:r w:rsidR="009018CA" w:rsidRPr="00EC7A37">
      <w:rPr>
        <w:bCs/>
        <w:sz w:val="20"/>
      </w:rPr>
      <w:t xml:space="preserve"> „Valsts augu aizsardzības dienesta maksas pakalpojumu cenrādi</w:t>
    </w:r>
    <w:r w:rsidR="009018CA">
      <w:rPr>
        <w:bCs/>
        <w:sz w:val="20"/>
      </w:rPr>
      <w:t>s</w:t>
    </w:r>
    <w:r w:rsidR="009018CA" w:rsidRPr="00EC7A37">
      <w:rPr>
        <w:bCs/>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8CA" w:rsidRPr="00710848" w:rsidRDefault="00926758" w:rsidP="00710848">
    <w:pPr>
      <w:pStyle w:val="Kjene"/>
      <w:jc w:val="both"/>
    </w:pPr>
    <w:r w:rsidRPr="00EC7A37">
      <w:rPr>
        <w:sz w:val="20"/>
      </w:rPr>
      <w:t>ZM</w:t>
    </w:r>
    <w:r>
      <w:rPr>
        <w:sz w:val="20"/>
      </w:rPr>
      <w:t>Anot</w:t>
    </w:r>
    <w:r w:rsidRPr="00EC7A37">
      <w:rPr>
        <w:sz w:val="20"/>
      </w:rPr>
      <w:t>_</w:t>
    </w:r>
    <w:r>
      <w:rPr>
        <w:sz w:val="20"/>
      </w:rPr>
      <w:t>220115</w:t>
    </w:r>
    <w:r w:rsidR="009018CA" w:rsidRPr="00EC7A37">
      <w:rPr>
        <w:sz w:val="20"/>
      </w:rPr>
      <w:t xml:space="preserve">; </w:t>
    </w:r>
    <w:r w:rsidR="009018CA" w:rsidRPr="00EC7A37">
      <w:rPr>
        <w:bCs/>
        <w:sz w:val="20"/>
      </w:rPr>
      <w:t>Grozījum</w:t>
    </w:r>
    <w:r w:rsidR="009018CA">
      <w:rPr>
        <w:bCs/>
        <w:sz w:val="20"/>
      </w:rPr>
      <w:t>i</w:t>
    </w:r>
    <w:r w:rsidR="009018CA" w:rsidRPr="00EC7A37">
      <w:rPr>
        <w:bCs/>
        <w:sz w:val="20"/>
      </w:rPr>
      <w:t xml:space="preserve"> Ministru kabineta 20</w:t>
    </w:r>
    <w:r w:rsidR="009018CA">
      <w:rPr>
        <w:bCs/>
        <w:sz w:val="20"/>
      </w:rPr>
      <w:t>12</w:t>
    </w:r>
    <w:r w:rsidR="009018CA" w:rsidRPr="00EC7A37">
      <w:rPr>
        <w:bCs/>
        <w:sz w:val="20"/>
      </w:rPr>
      <w:t>.gada 1</w:t>
    </w:r>
    <w:r w:rsidR="009018CA">
      <w:rPr>
        <w:bCs/>
        <w:sz w:val="20"/>
      </w:rPr>
      <w:t>0</w:t>
    </w:r>
    <w:r w:rsidR="009018CA" w:rsidRPr="00EC7A37">
      <w:rPr>
        <w:bCs/>
        <w:sz w:val="20"/>
      </w:rPr>
      <w:t>.</w:t>
    </w:r>
    <w:r w:rsidR="009018CA">
      <w:rPr>
        <w:bCs/>
        <w:sz w:val="20"/>
      </w:rPr>
      <w:t>jūlija</w:t>
    </w:r>
    <w:r w:rsidR="009018CA" w:rsidRPr="00EC7A37">
      <w:rPr>
        <w:bCs/>
        <w:sz w:val="20"/>
      </w:rPr>
      <w:t xml:space="preserve"> noteikumos Nr.</w:t>
    </w:r>
    <w:r w:rsidR="009018CA">
      <w:rPr>
        <w:bCs/>
        <w:sz w:val="20"/>
      </w:rPr>
      <w:t>493</w:t>
    </w:r>
    <w:r w:rsidR="009018CA" w:rsidRPr="00EC7A37">
      <w:rPr>
        <w:bCs/>
        <w:sz w:val="20"/>
      </w:rPr>
      <w:t xml:space="preserve"> „Valsts augu aizsardzības dienesta maksas pakalpojumu cenrādi</w:t>
    </w:r>
    <w:r w:rsidR="009018CA">
      <w:rPr>
        <w:bCs/>
        <w:sz w:val="20"/>
      </w:rPr>
      <w:t>s</w:t>
    </w:r>
    <w:r w:rsidR="009018CA" w:rsidRPr="00EC7A37">
      <w:rPr>
        <w:bCs/>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FAC" w:rsidRDefault="00BA7FAC">
      <w:r>
        <w:separator/>
      </w:r>
    </w:p>
  </w:footnote>
  <w:footnote w:type="continuationSeparator" w:id="0">
    <w:p w:rsidR="00BA7FAC" w:rsidRDefault="00BA7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8CA" w:rsidRDefault="009018C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018CA" w:rsidRDefault="009018C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8CA" w:rsidRDefault="009018C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52A29">
      <w:rPr>
        <w:rStyle w:val="Lappusesnumurs"/>
        <w:noProof/>
      </w:rPr>
      <w:t>6</w:t>
    </w:r>
    <w:r>
      <w:rPr>
        <w:rStyle w:val="Lappusesnumurs"/>
      </w:rPr>
      <w:fldChar w:fldCharType="end"/>
    </w:r>
  </w:p>
  <w:p w:rsidR="009018CA" w:rsidRDefault="009018C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84C8E"/>
    <w:multiLevelType w:val="multilevel"/>
    <w:tmpl w:val="3DA67706"/>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B181101"/>
    <w:multiLevelType w:val="hybridMultilevel"/>
    <w:tmpl w:val="465EFEB6"/>
    <w:lvl w:ilvl="0" w:tplc="0334427E">
      <w:start w:val="1"/>
      <w:numFmt w:val="decimal"/>
      <w:lvlText w:val="%1."/>
      <w:lvlJc w:val="left"/>
      <w:pPr>
        <w:ind w:left="811" w:hanging="360"/>
      </w:pPr>
      <w:rPr>
        <w:rFonts w:hint="default"/>
        <w:b w:val="0"/>
        <w:sz w:val="24"/>
      </w:rPr>
    </w:lvl>
    <w:lvl w:ilvl="1" w:tplc="04260019" w:tentative="1">
      <w:start w:val="1"/>
      <w:numFmt w:val="lowerLetter"/>
      <w:lvlText w:val="%2."/>
      <w:lvlJc w:val="left"/>
      <w:pPr>
        <w:ind w:left="1531" w:hanging="360"/>
      </w:pPr>
    </w:lvl>
    <w:lvl w:ilvl="2" w:tplc="0426001B" w:tentative="1">
      <w:start w:val="1"/>
      <w:numFmt w:val="lowerRoman"/>
      <w:lvlText w:val="%3."/>
      <w:lvlJc w:val="right"/>
      <w:pPr>
        <w:ind w:left="2251" w:hanging="180"/>
      </w:pPr>
    </w:lvl>
    <w:lvl w:ilvl="3" w:tplc="0426000F" w:tentative="1">
      <w:start w:val="1"/>
      <w:numFmt w:val="decimal"/>
      <w:lvlText w:val="%4."/>
      <w:lvlJc w:val="left"/>
      <w:pPr>
        <w:ind w:left="2971" w:hanging="360"/>
      </w:pPr>
    </w:lvl>
    <w:lvl w:ilvl="4" w:tplc="04260019" w:tentative="1">
      <w:start w:val="1"/>
      <w:numFmt w:val="lowerLetter"/>
      <w:lvlText w:val="%5."/>
      <w:lvlJc w:val="left"/>
      <w:pPr>
        <w:ind w:left="3691" w:hanging="360"/>
      </w:pPr>
    </w:lvl>
    <w:lvl w:ilvl="5" w:tplc="0426001B" w:tentative="1">
      <w:start w:val="1"/>
      <w:numFmt w:val="lowerRoman"/>
      <w:lvlText w:val="%6."/>
      <w:lvlJc w:val="right"/>
      <w:pPr>
        <w:ind w:left="4411" w:hanging="180"/>
      </w:pPr>
    </w:lvl>
    <w:lvl w:ilvl="6" w:tplc="0426000F" w:tentative="1">
      <w:start w:val="1"/>
      <w:numFmt w:val="decimal"/>
      <w:lvlText w:val="%7."/>
      <w:lvlJc w:val="left"/>
      <w:pPr>
        <w:ind w:left="5131" w:hanging="360"/>
      </w:pPr>
    </w:lvl>
    <w:lvl w:ilvl="7" w:tplc="04260019" w:tentative="1">
      <w:start w:val="1"/>
      <w:numFmt w:val="lowerLetter"/>
      <w:lvlText w:val="%8."/>
      <w:lvlJc w:val="left"/>
      <w:pPr>
        <w:ind w:left="5851" w:hanging="360"/>
      </w:pPr>
    </w:lvl>
    <w:lvl w:ilvl="8" w:tplc="0426001B" w:tentative="1">
      <w:start w:val="1"/>
      <w:numFmt w:val="lowerRoman"/>
      <w:lvlText w:val="%9."/>
      <w:lvlJc w:val="right"/>
      <w:pPr>
        <w:ind w:left="65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FB6"/>
    <w:rsid w:val="00006E8D"/>
    <w:rsid w:val="00016C89"/>
    <w:rsid w:val="00060FF6"/>
    <w:rsid w:val="00062FA5"/>
    <w:rsid w:val="00066A43"/>
    <w:rsid w:val="000C737A"/>
    <w:rsid w:val="000D42BC"/>
    <w:rsid w:val="000E0B4B"/>
    <w:rsid w:val="000F59B2"/>
    <w:rsid w:val="000F77C5"/>
    <w:rsid w:val="00126892"/>
    <w:rsid w:val="00133570"/>
    <w:rsid w:val="00141147"/>
    <w:rsid w:val="00162EE7"/>
    <w:rsid w:val="00166B05"/>
    <w:rsid w:val="00173131"/>
    <w:rsid w:val="00174755"/>
    <w:rsid w:val="001979B9"/>
    <w:rsid w:val="001A256B"/>
    <w:rsid w:val="001E27F7"/>
    <w:rsid w:val="00221194"/>
    <w:rsid w:val="0022208F"/>
    <w:rsid w:val="00232C43"/>
    <w:rsid w:val="0025764A"/>
    <w:rsid w:val="00273656"/>
    <w:rsid w:val="002B7EAC"/>
    <w:rsid w:val="002F51D5"/>
    <w:rsid w:val="00304C38"/>
    <w:rsid w:val="003073BC"/>
    <w:rsid w:val="00313183"/>
    <w:rsid w:val="003147C1"/>
    <w:rsid w:val="003175FA"/>
    <w:rsid w:val="00344539"/>
    <w:rsid w:val="0035700F"/>
    <w:rsid w:val="003721C5"/>
    <w:rsid w:val="003800E6"/>
    <w:rsid w:val="00393175"/>
    <w:rsid w:val="003B0CFF"/>
    <w:rsid w:val="003E6017"/>
    <w:rsid w:val="003F02A2"/>
    <w:rsid w:val="003F0D2E"/>
    <w:rsid w:val="003F47EB"/>
    <w:rsid w:val="00417E1B"/>
    <w:rsid w:val="004364D9"/>
    <w:rsid w:val="00436EBC"/>
    <w:rsid w:val="00440BB6"/>
    <w:rsid w:val="00470FE1"/>
    <w:rsid w:val="004824FC"/>
    <w:rsid w:val="004E4F30"/>
    <w:rsid w:val="0050588B"/>
    <w:rsid w:val="00515666"/>
    <w:rsid w:val="00523E74"/>
    <w:rsid w:val="00560520"/>
    <w:rsid w:val="00587FB6"/>
    <w:rsid w:val="005D370E"/>
    <w:rsid w:val="00615AE7"/>
    <w:rsid w:val="00636288"/>
    <w:rsid w:val="006635AD"/>
    <w:rsid w:val="006A37FF"/>
    <w:rsid w:val="006B7A31"/>
    <w:rsid w:val="006D26E8"/>
    <w:rsid w:val="006D33C2"/>
    <w:rsid w:val="006F54C9"/>
    <w:rsid w:val="00705D42"/>
    <w:rsid w:val="00710848"/>
    <w:rsid w:val="007156AC"/>
    <w:rsid w:val="007360E6"/>
    <w:rsid w:val="00741DA4"/>
    <w:rsid w:val="0076543A"/>
    <w:rsid w:val="00780727"/>
    <w:rsid w:val="007867CB"/>
    <w:rsid w:val="00790098"/>
    <w:rsid w:val="007908CC"/>
    <w:rsid w:val="007B45A9"/>
    <w:rsid w:val="007C0419"/>
    <w:rsid w:val="007D17A8"/>
    <w:rsid w:val="007F1CDF"/>
    <w:rsid w:val="00804E0C"/>
    <w:rsid w:val="008E5F1D"/>
    <w:rsid w:val="009018CA"/>
    <w:rsid w:val="0092467F"/>
    <w:rsid w:val="00926758"/>
    <w:rsid w:val="00960CEC"/>
    <w:rsid w:val="00964B1D"/>
    <w:rsid w:val="00974211"/>
    <w:rsid w:val="009A4E84"/>
    <w:rsid w:val="009C49D0"/>
    <w:rsid w:val="009D72E0"/>
    <w:rsid w:val="009D7313"/>
    <w:rsid w:val="00A207C5"/>
    <w:rsid w:val="00A51D01"/>
    <w:rsid w:val="00A62065"/>
    <w:rsid w:val="00A6482C"/>
    <w:rsid w:val="00AC07B1"/>
    <w:rsid w:val="00AF164B"/>
    <w:rsid w:val="00AF1BEF"/>
    <w:rsid w:val="00AF390E"/>
    <w:rsid w:val="00B13CBE"/>
    <w:rsid w:val="00B52A29"/>
    <w:rsid w:val="00B61713"/>
    <w:rsid w:val="00B65B63"/>
    <w:rsid w:val="00B80EAB"/>
    <w:rsid w:val="00BA4826"/>
    <w:rsid w:val="00BA7FAC"/>
    <w:rsid w:val="00BB175C"/>
    <w:rsid w:val="00BC4EE2"/>
    <w:rsid w:val="00BD34B8"/>
    <w:rsid w:val="00BD36AC"/>
    <w:rsid w:val="00BF06E7"/>
    <w:rsid w:val="00C828D8"/>
    <w:rsid w:val="00C8447D"/>
    <w:rsid w:val="00C971D6"/>
    <w:rsid w:val="00CC71BB"/>
    <w:rsid w:val="00D57DA4"/>
    <w:rsid w:val="00D60968"/>
    <w:rsid w:val="00DA30A2"/>
    <w:rsid w:val="00DA77B6"/>
    <w:rsid w:val="00DB0755"/>
    <w:rsid w:val="00DC4169"/>
    <w:rsid w:val="00DF5CD1"/>
    <w:rsid w:val="00E2065A"/>
    <w:rsid w:val="00E228B3"/>
    <w:rsid w:val="00E2722D"/>
    <w:rsid w:val="00E5657C"/>
    <w:rsid w:val="00E73874"/>
    <w:rsid w:val="00E75166"/>
    <w:rsid w:val="00E8172A"/>
    <w:rsid w:val="00E96794"/>
    <w:rsid w:val="00EA3C50"/>
    <w:rsid w:val="00ED77FE"/>
    <w:rsid w:val="00EE3689"/>
    <w:rsid w:val="00EF4933"/>
    <w:rsid w:val="00EF7F17"/>
    <w:rsid w:val="00F15A9F"/>
    <w:rsid w:val="00F42FF9"/>
    <w:rsid w:val="00F54BE6"/>
    <w:rsid w:val="00F661F1"/>
    <w:rsid w:val="00F67153"/>
    <w:rsid w:val="00F732D2"/>
    <w:rsid w:val="00F74891"/>
    <w:rsid w:val="00F878B8"/>
    <w:rsid w:val="00F95C10"/>
    <w:rsid w:val="00FA1C6A"/>
    <w:rsid w:val="00FD4FC3"/>
    <w:rsid w:val="00FE5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6192F-D946-4D18-A388-46FA55688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87FB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587FB6"/>
    <w:pPr>
      <w:spacing w:before="100" w:beforeAutospacing="1" w:after="100" w:afterAutospacing="1"/>
    </w:pPr>
  </w:style>
  <w:style w:type="paragraph" w:customStyle="1" w:styleId="naisnod">
    <w:name w:val="naisnod"/>
    <w:basedOn w:val="Parasts"/>
    <w:rsid w:val="00587FB6"/>
    <w:pPr>
      <w:spacing w:before="100" w:beforeAutospacing="1" w:after="100" w:afterAutospacing="1"/>
    </w:pPr>
  </w:style>
  <w:style w:type="paragraph" w:customStyle="1" w:styleId="naiskr">
    <w:name w:val="naiskr"/>
    <w:basedOn w:val="Parasts"/>
    <w:rsid w:val="00587FB6"/>
    <w:pPr>
      <w:spacing w:before="100" w:beforeAutospacing="1" w:after="100" w:afterAutospacing="1"/>
    </w:pPr>
  </w:style>
  <w:style w:type="paragraph" w:customStyle="1" w:styleId="naisf">
    <w:name w:val="naisf"/>
    <w:basedOn w:val="Parasts"/>
    <w:uiPriority w:val="99"/>
    <w:rsid w:val="00587FB6"/>
    <w:pPr>
      <w:spacing w:before="100" w:beforeAutospacing="1" w:after="100" w:afterAutospacing="1"/>
    </w:pPr>
  </w:style>
  <w:style w:type="paragraph" w:styleId="Pamatteksts">
    <w:name w:val="Body Text"/>
    <w:basedOn w:val="Parasts"/>
    <w:link w:val="PamattekstsRakstz"/>
    <w:rsid w:val="00587FB6"/>
    <w:pPr>
      <w:jc w:val="right"/>
    </w:pPr>
    <w:rPr>
      <w:b/>
      <w:sz w:val="28"/>
      <w:szCs w:val="20"/>
      <w:lang w:eastAsia="en-US"/>
    </w:rPr>
  </w:style>
  <w:style w:type="character" w:customStyle="1" w:styleId="PamattekstsRakstz">
    <w:name w:val="Pamatteksts Rakstz."/>
    <w:basedOn w:val="Noklusjumarindkopasfonts"/>
    <w:link w:val="Pamatteksts"/>
    <w:rsid w:val="00587FB6"/>
    <w:rPr>
      <w:rFonts w:ascii="Times New Roman" w:eastAsia="Times New Roman" w:hAnsi="Times New Roman" w:cs="Times New Roman"/>
      <w:b/>
      <w:sz w:val="28"/>
      <w:szCs w:val="20"/>
    </w:rPr>
  </w:style>
  <w:style w:type="paragraph" w:styleId="Galvene">
    <w:name w:val="header"/>
    <w:basedOn w:val="Parasts"/>
    <w:link w:val="GalveneRakstz"/>
    <w:rsid w:val="00587FB6"/>
    <w:pPr>
      <w:tabs>
        <w:tab w:val="center" w:pos="4153"/>
        <w:tab w:val="right" w:pos="8306"/>
      </w:tabs>
    </w:pPr>
  </w:style>
  <w:style w:type="character" w:customStyle="1" w:styleId="GalveneRakstz">
    <w:name w:val="Galvene Rakstz."/>
    <w:basedOn w:val="Noklusjumarindkopasfonts"/>
    <w:link w:val="Galvene"/>
    <w:rsid w:val="00587FB6"/>
    <w:rPr>
      <w:rFonts w:ascii="Times New Roman" w:eastAsia="Times New Roman" w:hAnsi="Times New Roman" w:cs="Times New Roman"/>
      <w:sz w:val="24"/>
      <w:szCs w:val="24"/>
      <w:lang w:eastAsia="lv-LV"/>
    </w:rPr>
  </w:style>
  <w:style w:type="character" w:styleId="Lappusesnumurs">
    <w:name w:val="page number"/>
    <w:rsid w:val="00587FB6"/>
    <w:rPr>
      <w:rFonts w:cs="Times New Roman"/>
    </w:rPr>
  </w:style>
  <w:style w:type="paragraph" w:styleId="Kjene">
    <w:name w:val="footer"/>
    <w:basedOn w:val="Parasts"/>
    <w:link w:val="KjeneRakstz"/>
    <w:uiPriority w:val="99"/>
    <w:rsid w:val="00587FB6"/>
    <w:pPr>
      <w:tabs>
        <w:tab w:val="center" w:pos="4153"/>
        <w:tab w:val="right" w:pos="8306"/>
      </w:tabs>
    </w:pPr>
  </w:style>
  <w:style w:type="character" w:customStyle="1" w:styleId="KjeneRakstz">
    <w:name w:val="Kājene Rakstz."/>
    <w:basedOn w:val="Noklusjumarindkopasfonts"/>
    <w:link w:val="Kjene"/>
    <w:uiPriority w:val="99"/>
    <w:rsid w:val="00587FB6"/>
    <w:rPr>
      <w:rFonts w:ascii="Times New Roman" w:eastAsia="Times New Roman" w:hAnsi="Times New Roman" w:cs="Times New Roman"/>
      <w:sz w:val="24"/>
      <w:szCs w:val="24"/>
      <w:lang w:eastAsia="lv-LV"/>
    </w:rPr>
  </w:style>
  <w:style w:type="paragraph" w:styleId="Paraststmeklis">
    <w:name w:val="Normal (Web)"/>
    <w:basedOn w:val="Parasts"/>
    <w:uiPriority w:val="99"/>
    <w:rsid w:val="00587FB6"/>
    <w:pPr>
      <w:spacing w:before="100" w:beforeAutospacing="1" w:after="100" w:afterAutospacing="1"/>
    </w:pPr>
    <w:rPr>
      <w:rFonts w:eastAsia="Arial Unicode MS"/>
      <w:lang w:val="en-GB" w:eastAsia="en-US"/>
    </w:rPr>
  </w:style>
  <w:style w:type="paragraph" w:styleId="Pamattekstsaratkpi">
    <w:name w:val="Body Text Indent"/>
    <w:basedOn w:val="Parasts"/>
    <w:link w:val="PamattekstsaratkpiRakstz"/>
    <w:uiPriority w:val="99"/>
    <w:rsid w:val="00587FB6"/>
    <w:pPr>
      <w:spacing w:after="120"/>
      <w:ind w:left="283"/>
    </w:pPr>
    <w:rPr>
      <w:noProof/>
      <w:sz w:val="28"/>
      <w:szCs w:val="20"/>
      <w:lang w:eastAsia="en-US"/>
    </w:rPr>
  </w:style>
  <w:style w:type="character" w:customStyle="1" w:styleId="PamattekstsaratkpiRakstz">
    <w:name w:val="Pamatteksts ar atkāpi Rakstz."/>
    <w:basedOn w:val="Noklusjumarindkopasfonts"/>
    <w:link w:val="Pamattekstsaratkpi"/>
    <w:uiPriority w:val="99"/>
    <w:rsid w:val="00587FB6"/>
    <w:rPr>
      <w:rFonts w:ascii="Times New Roman" w:eastAsia="Times New Roman" w:hAnsi="Times New Roman" w:cs="Times New Roman"/>
      <w:noProof/>
      <w:sz w:val="28"/>
      <w:szCs w:val="20"/>
    </w:rPr>
  </w:style>
  <w:style w:type="character" w:styleId="Hipersaite">
    <w:name w:val="Hyperlink"/>
    <w:basedOn w:val="Noklusjumarindkopasfonts"/>
    <w:uiPriority w:val="99"/>
    <w:unhideWhenUsed/>
    <w:rsid w:val="00587FB6"/>
    <w:rPr>
      <w:strike w:val="0"/>
      <w:dstrike w:val="0"/>
      <w:color w:val="0D4D00"/>
      <w:u w:val="none"/>
      <w:effect w:val="none"/>
    </w:rPr>
  </w:style>
  <w:style w:type="paragraph" w:styleId="Balonteksts">
    <w:name w:val="Balloon Text"/>
    <w:basedOn w:val="Parasts"/>
    <w:link w:val="BalontekstsRakstz"/>
    <w:uiPriority w:val="99"/>
    <w:semiHidden/>
    <w:unhideWhenUsed/>
    <w:rsid w:val="00232C43"/>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32C43"/>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F74891"/>
    <w:rPr>
      <w:sz w:val="16"/>
      <w:szCs w:val="16"/>
    </w:rPr>
  </w:style>
  <w:style w:type="paragraph" w:styleId="Komentrateksts">
    <w:name w:val="annotation text"/>
    <w:basedOn w:val="Parasts"/>
    <w:link w:val="KomentratekstsRakstz"/>
    <w:uiPriority w:val="99"/>
    <w:semiHidden/>
    <w:unhideWhenUsed/>
    <w:rsid w:val="00F74891"/>
    <w:rPr>
      <w:sz w:val="20"/>
      <w:szCs w:val="20"/>
    </w:rPr>
  </w:style>
  <w:style w:type="character" w:customStyle="1" w:styleId="KomentratekstsRakstz">
    <w:name w:val="Komentāra teksts Rakstz."/>
    <w:basedOn w:val="Noklusjumarindkopasfonts"/>
    <w:link w:val="Komentrateksts"/>
    <w:uiPriority w:val="99"/>
    <w:semiHidden/>
    <w:rsid w:val="00F74891"/>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F74891"/>
    <w:rPr>
      <w:b/>
      <w:bCs/>
    </w:rPr>
  </w:style>
  <w:style w:type="character" w:customStyle="1" w:styleId="KomentratmaRakstz">
    <w:name w:val="Komentāra tēma Rakstz."/>
    <w:basedOn w:val="KomentratekstsRakstz"/>
    <w:link w:val="Komentratma"/>
    <w:uiPriority w:val="99"/>
    <w:semiHidden/>
    <w:rsid w:val="00F74891"/>
    <w:rPr>
      <w:rFonts w:ascii="Times New Roman" w:eastAsia="Times New Roman" w:hAnsi="Times New Roman" w:cs="Times New Roman"/>
      <w:b/>
      <w:bCs/>
      <w:sz w:val="20"/>
      <w:szCs w:val="20"/>
      <w:lang w:eastAsia="lv-LV"/>
    </w:rPr>
  </w:style>
  <w:style w:type="character" w:customStyle="1" w:styleId="apple-tab-span">
    <w:name w:val="apple-tab-span"/>
    <w:basedOn w:val="Noklusjumarindkopasfonts"/>
    <w:rsid w:val="00A207C5"/>
  </w:style>
  <w:style w:type="paragraph" w:styleId="Prskatjums">
    <w:name w:val="Revision"/>
    <w:hidden/>
    <w:uiPriority w:val="99"/>
    <w:semiHidden/>
    <w:rsid w:val="00B13CBE"/>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09777">
      <w:bodyDiv w:val="1"/>
      <w:marLeft w:val="0"/>
      <w:marRight w:val="0"/>
      <w:marTop w:val="0"/>
      <w:marBottom w:val="0"/>
      <w:divBdr>
        <w:top w:val="none" w:sz="0" w:space="0" w:color="auto"/>
        <w:left w:val="none" w:sz="0" w:space="0" w:color="auto"/>
        <w:bottom w:val="none" w:sz="0" w:space="0" w:color="auto"/>
        <w:right w:val="none" w:sz="0" w:space="0" w:color="auto"/>
      </w:divBdr>
    </w:div>
    <w:div w:id="258834344">
      <w:bodyDiv w:val="1"/>
      <w:marLeft w:val="0"/>
      <w:marRight w:val="0"/>
      <w:marTop w:val="0"/>
      <w:marBottom w:val="0"/>
      <w:divBdr>
        <w:top w:val="none" w:sz="0" w:space="0" w:color="auto"/>
        <w:left w:val="none" w:sz="0" w:space="0" w:color="auto"/>
        <w:bottom w:val="none" w:sz="0" w:space="0" w:color="auto"/>
        <w:right w:val="none" w:sz="0" w:space="0" w:color="auto"/>
      </w:divBdr>
    </w:div>
    <w:div w:id="925387034">
      <w:bodyDiv w:val="1"/>
      <w:marLeft w:val="0"/>
      <w:marRight w:val="0"/>
      <w:marTop w:val="0"/>
      <w:marBottom w:val="0"/>
      <w:divBdr>
        <w:top w:val="none" w:sz="0" w:space="0" w:color="auto"/>
        <w:left w:val="none" w:sz="0" w:space="0" w:color="auto"/>
        <w:bottom w:val="none" w:sz="0" w:space="0" w:color="auto"/>
        <w:right w:val="none" w:sz="0" w:space="0" w:color="auto"/>
      </w:divBdr>
    </w:div>
    <w:div w:id="1007248755">
      <w:bodyDiv w:val="1"/>
      <w:marLeft w:val="0"/>
      <w:marRight w:val="0"/>
      <w:marTop w:val="0"/>
      <w:marBottom w:val="0"/>
      <w:divBdr>
        <w:top w:val="none" w:sz="0" w:space="0" w:color="auto"/>
        <w:left w:val="none" w:sz="0" w:space="0" w:color="auto"/>
        <w:bottom w:val="none" w:sz="0" w:space="0" w:color="auto"/>
        <w:right w:val="none" w:sz="0" w:space="0" w:color="auto"/>
      </w:divBdr>
    </w:div>
    <w:div w:id="147837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09/1107?locale=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lex.europa.eu/eli/dir/1991/414?locale=LV" TargetMode="External"/><Relationship Id="rId4" Type="http://schemas.openxmlformats.org/officeDocument/2006/relationships/settings" Target="settings.xml"/><Relationship Id="rId9" Type="http://schemas.openxmlformats.org/officeDocument/2006/relationships/hyperlink" Target="http://eur-lex.europa.eu/eli/dir/1979/117?locale=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5ED2A-D078-447F-A5BC-F78BEAF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2425</Words>
  <Characters>17024</Characters>
  <Application>Microsoft Office Word</Application>
  <DocSecurity>0</DocSecurity>
  <Lines>654</Lines>
  <Paragraphs>234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Bluma</dc:creator>
  <cp:lastModifiedBy>Renārs Žagars</cp:lastModifiedBy>
  <cp:revision>9</cp:revision>
  <dcterms:created xsi:type="dcterms:W3CDTF">2015-01-21T08:38:00Z</dcterms:created>
  <dcterms:modified xsi:type="dcterms:W3CDTF">2015-01-22T13:59:00Z</dcterms:modified>
</cp:coreProperties>
</file>