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E2" w:rsidRPr="00286C5A" w:rsidRDefault="00DB32E2" w:rsidP="00DB32E2">
      <w:pPr>
        <w:jc w:val="center"/>
        <w:rPr>
          <w:b/>
          <w:lang w:val="lv-LV" w:eastAsia="lv-LV"/>
        </w:rPr>
      </w:pPr>
      <w:bookmarkStart w:id="0" w:name="OLE_LINK7"/>
      <w:bookmarkStart w:id="1" w:name="OLE_LINK8"/>
      <w:r w:rsidRPr="00286C5A">
        <w:rPr>
          <w:b/>
          <w:lang w:val="lv-LV" w:eastAsia="lv-LV"/>
        </w:rPr>
        <w:t xml:space="preserve">Ministru kabineta rīkojuma projekta </w:t>
      </w:r>
      <w:r w:rsidRPr="00286C5A">
        <w:rPr>
          <w:b/>
          <w:bCs/>
          <w:lang w:val="lv-LV" w:eastAsia="lv-LV"/>
        </w:rPr>
        <w:t xml:space="preserve">„Grozījums Ministru kabineta </w:t>
      </w:r>
      <w:proofErr w:type="gramStart"/>
      <w:r w:rsidRPr="00286C5A">
        <w:rPr>
          <w:b/>
          <w:bCs/>
          <w:lang w:val="lv-LV" w:eastAsia="lv-LV"/>
        </w:rPr>
        <w:t>2014.gada</w:t>
      </w:r>
      <w:proofErr w:type="gramEnd"/>
      <w:r w:rsidRPr="00286C5A">
        <w:rPr>
          <w:b/>
          <w:bCs/>
          <w:lang w:val="lv-LV" w:eastAsia="lv-LV"/>
        </w:rPr>
        <w:t xml:space="preserve"> 1</w:t>
      </w:r>
      <w:r w:rsidR="00587F33" w:rsidRPr="00286C5A">
        <w:rPr>
          <w:b/>
          <w:bCs/>
          <w:lang w:val="lv-LV" w:eastAsia="lv-LV"/>
        </w:rPr>
        <w:t>7</w:t>
      </w:r>
      <w:r w:rsidRPr="00286C5A">
        <w:rPr>
          <w:b/>
          <w:bCs/>
          <w:lang w:val="lv-LV" w:eastAsia="lv-LV"/>
        </w:rPr>
        <w:t>.jūlija rīkojumā Nr.359 „</w:t>
      </w:r>
      <w:r w:rsidRPr="00286C5A">
        <w:rPr>
          <w:b/>
          <w:lang w:val="lv-LV" w:eastAsia="lv-LV"/>
        </w:rPr>
        <w:t>Par pasākumiem Āfrikas cūku mēra izplatīšanās ierobežošanai</w:t>
      </w:r>
      <w:r w:rsidRPr="00286C5A">
        <w:rPr>
          <w:b/>
          <w:bCs/>
          <w:lang w:val="lv-LV" w:eastAsia="lv-LV"/>
        </w:rPr>
        <w:t>””</w:t>
      </w:r>
    </w:p>
    <w:p w:rsidR="00DB32E2" w:rsidRPr="00286C5A" w:rsidRDefault="00DB32E2" w:rsidP="00DB32E2">
      <w:pPr>
        <w:widowControl w:val="0"/>
        <w:jc w:val="center"/>
        <w:rPr>
          <w:b/>
          <w:bCs/>
          <w:lang w:val="lv-LV" w:eastAsia="lv-LV"/>
        </w:rPr>
      </w:pPr>
      <w:r w:rsidRPr="00286C5A">
        <w:rPr>
          <w:b/>
          <w:bCs/>
          <w:lang w:val="lv-LV" w:eastAsia="lv-LV"/>
        </w:rPr>
        <w:t>sākotnējās ietekmes novērtējuma ziņojums (anotācija)</w:t>
      </w:r>
    </w:p>
    <w:p w:rsidR="00DB32E2" w:rsidRPr="00286C5A" w:rsidRDefault="00DB32E2" w:rsidP="00DB32E2">
      <w:pPr>
        <w:widowControl w:val="0"/>
        <w:jc w:val="center"/>
        <w:rPr>
          <w:b/>
          <w:bCs/>
          <w:lang w:val="lv-LV" w:eastAsia="lv-LV"/>
        </w:rPr>
      </w:pPr>
    </w:p>
    <w:tbl>
      <w:tblPr>
        <w:tblW w:w="4968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174"/>
        <w:gridCol w:w="2532"/>
        <w:gridCol w:w="5907"/>
      </w:tblGrid>
      <w:tr w:rsidR="00DB32E2" w:rsidRPr="00286C5A" w:rsidTr="003E32E3">
        <w:tc>
          <w:tcPr>
            <w:tcW w:w="5000" w:type="pct"/>
            <w:gridSpan w:val="4"/>
            <w:vAlign w:val="center"/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286C5A">
              <w:rPr>
                <w:b/>
                <w:bCs/>
                <w:lang w:val="lv-LV"/>
              </w:rPr>
              <w:t>I. Tiesību akta projekta izstrādes nepieciešamība</w:t>
            </w:r>
          </w:p>
        </w:tc>
      </w:tr>
      <w:tr w:rsidR="00DB32E2" w:rsidRPr="00CF5ED7" w:rsidTr="00DB32E2">
        <w:tc>
          <w:tcPr>
            <w:tcW w:w="312" w:type="pct"/>
            <w:gridSpan w:val="2"/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1.</w:t>
            </w:r>
          </w:p>
        </w:tc>
        <w:tc>
          <w:tcPr>
            <w:tcW w:w="1407" w:type="pct"/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Pamatojums</w:t>
            </w:r>
          </w:p>
        </w:tc>
        <w:tc>
          <w:tcPr>
            <w:tcW w:w="3281" w:type="pct"/>
          </w:tcPr>
          <w:p w:rsidR="00DB32E2" w:rsidRPr="00286C5A" w:rsidRDefault="008C7D68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 xml:space="preserve">Ministru kabineta </w:t>
            </w:r>
            <w:proofErr w:type="gramStart"/>
            <w:r w:rsidR="00587F33" w:rsidRPr="00286C5A">
              <w:rPr>
                <w:lang w:val="lv-LV"/>
              </w:rPr>
              <w:t>2014.gada</w:t>
            </w:r>
            <w:proofErr w:type="gramEnd"/>
            <w:r w:rsidR="00587F33" w:rsidRPr="00286C5A">
              <w:rPr>
                <w:lang w:val="lv-LV"/>
              </w:rPr>
              <w:t xml:space="preserve"> 17.jūlija rīkojuma Nr.359 „Par pasākumiem Āfrikas cūku mēra izplatīšanās ierobežošanai” 9.</w:t>
            </w:r>
            <w:r w:rsidR="00587F33" w:rsidRPr="00286C5A">
              <w:rPr>
                <w:vertAlign w:val="superscript"/>
                <w:lang w:val="lv-LV"/>
              </w:rPr>
              <w:t>2</w:t>
            </w:r>
            <w:r w:rsidR="00E2426B" w:rsidRPr="00286C5A">
              <w:rPr>
                <w:vertAlign w:val="superscript"/>
                <w:lang w:val="lv-LV"/>
              </w:rPr>
              <w:t> </w:t>
            </w:r>
            <w:r w:rsidR="00587F33" w:rsidRPr="00286C5A">
              <w:rPr>
                <w:lang w:val="lv-LV"/>
              </w:rPr>
              <w:t>punkts.</w:t>
            </w:r>
          </w:p>
        </w:tc>
      </w:tr>
      <w:tr w:rsidR="00DB32E2" w:rsidRPr="00CF5ED7" w:rsidTr="00DB32E2">
        <w:tc>
          <w:tcPr>
            <w:tcW w:w="312" w:type="pct"/>
            <w:gridSpan w:val="2"/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2.</w:t>
            </w:r>
          </w:p>
        </w:tc>
        <w:tc>
          <w:tcPr>
            <w:tcW w:w="1407" w:type="pct"/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81" w:type="pct"/>
          </w:tcPr>
          <w:p w:rsidR="00DB32E2" w:rsidRPr="00286C5A" w:rsidRDefault="00A32AA5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proofErr w:type="gramStart"/>
            <w:r w:rsidRPr="00286C5A">
              <w:rPr>
                <w:lang w:val="lv-LV"/>
              </w:rPr>
              <w:t>2014.gada</w:t>
            </w:r>
            <w:proofErr w:type="gramEnd"/>
            <w:r w:rsidRPr="00286C5A">
              <w:rPr>
                <w:lang w:val="lv-LV"/>
              </w:rPr>
              <w:t xml:space="preserve"> 26.jūnijā </w:t>
            </w:r>
            <w:r w:rsidR="00DB32E2" w:rsidRPr="00286C5A">
              <w:rPr>
                <w:lang w:val="lv-LV"/>
              </w:rPr>
              <w:t xml:space="preserve">mājas un meža cūkām </w:t>
            </w:r>
            <w:r w:rsidR="00167A97" w:rsidRPr="00286C5A">
              <w:rPr>
                <w:lang w:val="lv-LV"/>
              </w:rPr>
              <w:t xml:space="preserve">tika </w:t>
            </w:r>
            <w:r w:rsidR="00DB32E2" w:rsidRPr="00286C5A">
              <w:rPr>
                <w:lang w:val="lv-LV"/>
              </w:rPr>
              <w:t>konstatē</w:t>
            </w:r>
            <w:r w:rsidR="00167A97" w:rsidRPr="00286C5A">
              <w:rPr>
                <w:lang w:val="lv-LV"/>
              </w:rPr>
              <w:t>ti</w:t>
            </w:r>
            <w:r w:rsidR="00DB32E2" w:rsidRPr="00286C5A">
              <w:rPr>
                <w:lang w:val="lv-LV"/>
              </w:rPr>
              <w:t xml:space="preserve"> pirm</w:t>
            </w:r>
            <w:r w:rsidR="00167A97" w:rsidRPr="00286C5A">
              <w:rPr>
                <w:lang w:val="lv-LV"/>
              </w:rPr>
              <w:t>ie</w:t>
            </w:r>
            <w:r w:rsidR="00DB32E2" w:rsidRPr="00286C5A">
              <w:rPr>
                <w:lang w:val="lv-LV"/>
              </w:rPr>
              <w:t xml:space="preserve"> Āfrikas cūku mēra (turpmāk – ĀCM) uzliesmojuma gadījum</w:t>
            </w:r>
            <w:r w:rsidR="00167A97" w:rsidRPr="00286C5A">
              <w:rPr>
                <w:lang w:val="lv-LV"/>
              </w:rPr>
              <w:t>i, un</w:t>
            </w:r>
            <w:r w:rsidR="00DB32E2" w:rsidRPr="00286C5A">
              <w:rPr>
                <w:lang w:val="lv-LV"/>
              </w:rPr>
              <w:t xml:space="preserve"> 11. un 12.jūlijā ĀCM tika konstatēts vēl divās piemājas saimniecībās ar zemu biodrošības līmeni. Tāpēc </w:t>
            </w:r>
            <w:proofErr w:type="gramStart"/>
            <w:r w:rsidR="00DB32E2" w:rsidRPr="00286C5A">
              <w:rPr>
                <w:lang w:val="lv-LV"/>
              </w:rPr>
              <w:t>2014.gada</w:t>
            </w:r>
            <w:proofErr w:type="gramEnd"/>
            <w:r w:rsidR="00DB32E2" w:rsidRPr="00286C5A">
              <w:rPr>
                <w:lang w:val="lv-LV"/>
              </w:rPr>
              <w:t xml:space="preserve"> 15.jūlijā Ministru kabinets pieņēma rīkojumu Nr.359 „Par pasākumiem Āfrikas cūku mēra izplatīšanās ierobežošanai” (turpmāk – rīkojums Nr.359), nosakot stingrus nosacījumus cūku sugas dzīvnieku novietnēm un pasākumus, kas veicami, ja cūku sugas dzīvnieku īpašnieki nevar īstenot</w:t>
            </w:r>
            <w:r w:rsidR="00D93C81" w:rsidRPr="00286C5A">
              <w:rPr>
                <w:lang w:val="lv-LV"/>
              </w:rPr>
              <w:t xml:space="preserve"> šos nosacījumus</w:t>
            </w:r>
            <w:r w:rsidR="00DB32E2" w:rsidRPr="00286C5A">
              <w:rPr>
                <w:lang w:val="lv-LV"/>
              </w:rPr>
              <w:t>.</w:t>
            </w:r>
          </w:p>
          <w:p w:rsidR="00A32AA5" w:rsidRPr="00286C5A" w:rsidRDefault="00DB32E2" w:rsidP="00B9058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5A">
              <w:rPr>
                <w:rFonts w:ascii="Times New Roman" w:hAnsi="Times New Roman"/>
                <w:sz w:val="24"/>
                <w:szCs w:val="24"/>
              </w:rPr>
              <w:t xml:space="preserve">Dzīvnieku īpašniekiem, kuri nevar īstenot noteiktos pasākumus, 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tika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pie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>prasī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ta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 cūku sugas dzīvnieku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 xml:space="preserve"> izkaušana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, paredzot kompensāciju par 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nokautajiem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 dzīvniekiem. </w:t>
            </w:r>
            <w:r w:rsidR="00CF6804" w:rsidRPr="00286C5A">
              <w:rPr>
                <w:rFonts w:ascii="Times New Roman" w:hAnsi="Times New Roman"/>
                <w:sz w:val="24"/>
                <w:szCs w:val="24"/>
              </w:rPr>
              <w:t xml:space="preserve">Sākotnēji tika plānots, ka kompensāciju izmaksai būs nepieciešami 1 502 450 </w:t>
            </w:r>
            <w:proofErr w:type="spellStart"/>
            <w:r w:rsidR="00CF6804" w:rsidRPr="00286C5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CF6804" w:rsidRPr="00286C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2AA5" w:rsidRPr="00286C5A">
              <w:rPr>
                <w:rFonts w:ascii="Times New Roman" w:hAnsi="Times New Roman"/>
                <w:sz w:val="24"/>
                <w:szCs w:val="24"/>
              </w:rPr>
              <w:t xml:space="preserve">Lauku atbalsta dienests 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A32AA5" w:rsidRPr="00286C5A">
              <w:rPr>
                <w:rFonts w:ascii="Times New Roman" w:hAnsi="Times New Roman"/>
                <w:sz w:val="24"/>
                <w:szCs w:val="24"/>
              </w:rPr>
              <w:t>apkopoj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is</w:t>
            </w:r>
            <w:r w:rsidR="00A32AA5" w:rsidRPr="00286C5A">
              <w:rPr>
                <w:rFonts w:ascii="Times New Roman" w:hAnsi="Times New Roman"/>
                <w:sz w:val="24"/>
                <w:szCs w:val="24"/>
              </w:rPr>
              <w:t xml:space="preserve"> informāciju par 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 xml:space="preserve">dzīvnieku īpašnieku iesniegumiem, kas saņemti </w:t>
            </w:r>
            <w:r w:rsidR="00A32AA5" w:rsidRPr="00286C5A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proofErr w:type="gramStart"/>
            <w:r w:rsidR="00A32AA5" w:rsidRPr="00286C5A">
              <w:rPr>
                <w:rFonts w:ascii="Times New Roman" w:hAnsi="Times New Roman"/>
                <w:sz w:val="24"/>
                <w:szCs w:val="24"/>
              </w:rPr>
              <w:t>2014.gada</w:t>
            </w:r>
            <w:proofErr w:type="gramEnd"/>
            <w:r w:rsidR="00CF6804" w:rsidRPr="0028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AA5" w:rsidRPr="00286C5A">
              <w:rPr>
                <w:rFonts w:ascii="Times New Roman" w:hAnsi="Times New Roman"/>
                <w:sz w:val="24"/>
                <w:szCs w:val="24"/>
              </w:rPr>
              <w:t>26.novembrim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,</w:t>
            </w:r>
            <w:r w:rsidR="00A32AA5" w:rsidRPr="00286C5A">
              <w:rPr>
                <w:rFonts w:ascii="Times New Roman" w:hAnsi="Times New Roman"/>
                <w:sz w:val="24"/>
                <w:szCs w:val="24"/>
              </w:rPr>
              <w:t xml:space="preserve"> un informēj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is</w:t>
            </w:r>
            <w:r w:rsidR="00A32AA5" w:rsidRPr="00286C5A">
              <w:rPr>
                <w:rFonts w:ascii="Times New Roman" w:hAnsi="Times New Roman"/>
                <w:sz w:val="24"/>
                <w:szCs w:val="24"/>
              </w:rPr>
              <w:t xml:space="preserve"> Zemkopības ministriju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 xml:space="preserve"> par to</w:t>
            </w:r>
            <w:r w:rsidR="00A32AA5" w:rsidRPr="00286C5A">
              <w:rPr>
                <w:rFonts w:ascii="Times New Roman" w:hAnsi="Times New Roman"/>
                <w:sz w:val="24"/>
                <w:szCs w:val="24"/>
              </w:rPr>
              <w:t xml:space="preserve">, ka 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 xml:space="preserve">kompensāciju izmaksām </w:t>
            </w:r>
            <w:r w:rsidR="00A32AA5" w:rsidRPr="00286C5A">
              <w:rPr>
                <w:rFonts w:ascii="Times New Roman" w:hAnsi="Times New Roman"/>
                <w:sz w:val="24"/>
                <w:szCs w:val="24"/>
              </w:rPr>
              <w:t xml:space="preserve">pietrūkst 364 145 </w:t>
            </w:r>
            <w:proofErr w:type="spellStart"/>
            <w:r w:rsidR="00A32AA5" w:rsidRPr="00286C5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A32AA5" w:rsidRPr="00286C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Ievērojot</w:t>
            </w:r>
            <w:r w:rsidR="00A32AA5" w:rsidRPr="00286C5A">
              <w:rPr>
                <w:rFonts w:ascii="Times New Roman" w:hAnsi="Times New Roman"/>
                <w:sz w:val="24"/>
                <w:szCs w:val="24"/>
              </w:rPr>
              <w:t xml:space="preserve"> saņemto informāciju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,</w:t>
            </w:r>
            <w:r w:rsidR="00A32AA5" w:rsidRPr="00286C5A">
              <w:rPr>
                <w:rFonts w:ascii="Times New Roman" w:hAnsi="Times New Roman"/>
                <w:sz w:val="24"/>
                <w:szCs w:val="24"/>
              </w:rPr>
              <w:t xml:space="preserve"> Zemkopības ministrija sagatavoja grozījumus rīkojumā Nr.359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,</w:t>
            </w:r>
            <w:r w:rsidR="00A32AA5" w:rsidRPr="00286C5A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CF6804" w:rsidRPr="00286C5A">
              <w:rPr>
                <w:rFonts w:ascii="Times New Roman" w:hAnsi="Times New Roman"/>
                <w:sz w:val="24"/>
                <w:szCs w:val="24"/>
              </w:rPr>
              <w:t xml:space="preserve">Ministru kabinets </w:t>
            </w:r>
            <w:proofErr w:type="gramStart"/>
            <w:r w:rsidR="00CF6804" w:rsidRPr="00286C5A">
              <w:rPr>
                <w:rFonts w:ascii="Times New Roman" w:hAnsi="Times New Roman"/>
                <w:sz w:val="24"/>
                <w:szCs w:val="24"/>
              </w:rPr>
              <w:t>2014.gada</w:t>
            </w:r>
            <w:proofErr w:type="gramEnd"/>
            <w:r w:rsidR="00CF6804" w:rsidRPr="00286C5A">
              <w:rPr>
                <w:rFonts w:ascii="Times New Roman" w:hAnsi="Times New Roman"/>
                <w:sz w:val="24"/>
                <w:szCs w:val="24"/>
              </w:rPr>
              <w:t xml:space="preserve"> 2.decembra sēdē nolēma piešķirt 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 xml:space="preserve">papildus nepieciešamo finansējumu </w:t>
            </w:r>
            <w:r w:rsidR="00A32AA5" w:rsidRPr="00286C5A">
              <w:rPr>
                <w:rFonts w:ascii="Times New Roman" w:hAnsi="Times New Roman"/>
                <w:sz w:val="24"/>
                <w:szCs w:val="24"/>
              </w:rPr>
              <w:t>kompensāciju izmaksai dzīvnieku īpašniekiem</w:t>
            </w:r>
            <w:r w:rsidR="00A32AA5" w:rsidRPr="00286C5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B7C0D" w:rsidRPr="00286C5A" w:rsidRDefault="00A32AA5" w:rsidP="00A32AA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5A">
              <w:rPr>
                <w:rFonts w:ascii="Times New Roman" w:hAnsi="Times New Roman"/>
                <w:sz w:val="24"/>
                <w:szCs w:val="24"/>
              </w:rPr>
              <w:t xml:space="preserve">Saskaņā ar Ministru kabineta </w:t>
            </w:r>
            <w:proofErr w:type="gramStart"/>
            <w:r w:rsidRPr="00286C5A">
              <w:rPr>
                <w:rFonts w:ascii="Times New Roman" w:hAnsi="Times New Roman"/>
                <w:sz w:val="24"/>
                <w:szCs w:val="24"/>
              </w:rPr>
              <w:t>2013.gada</w:t>
            </w:r>
            <w:proofErr w:type="gramEnd"/>
            <w:r w:rsidRPr="0028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8D3" w:rsidRPr="00286C5A">
              <w:rPr>
                <w:rFonts w:ascii="Times New Roman" w:hAnsi="Times New Roman"/>
                <w:sz w:val="24"/>
                <w:szCs w:val="24"/>
              </w:rPr>
              <w:t>20.augusta noteikumu Nr.621 „Noteikumi par biodrošības pasākumu kopumu dzīvnieku turēšanas vietām” (turpmāk – noteikumi Nr.621) 10.</w:t>
            </w:r>
            <w:r w:rsidR="005338D3" w:rsidRPr="00286C5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5338D3" w:rsidRPr="00286C5A">
              <w:rPr>
                <w:rFonts w:ascii="Times New Roman" w:hAnsi="Times New Roman"/>
                <w:sz w:val="24"/>
                <w:szCs w:val="24"/>
              </w:rPr>
              <w:t>4.apakšpunkt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u</w:t>
            </w:r>
            <w:r w:rsidR="005338D3" w:rsidRPr="00286C5A">
              <w:rPr>
                <w:rFonts w:ascii="Times New Roman" w:hAnsi="Times New Roman"/>
                <w:sz w:val="24"/>
                <w:szCs w:val="24"/>
              </w:rPr>
              <w:t xml:space="preserve"> dzīvnieku īpašniekiem šajā punktā noteiktajās teritorijās līdz 2014.gada 9.oktobrim bija jāuzsāk biodrošības prasību īstenošana dzīvnieku novietnēs. Savukārt noteikumu Nr.621 10.</w:t>
            </w:r>
            <w:r w:rsidR="005338D3" w:rsidRPr="00286C5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E3C9D" w:rsidRPr="00286C5A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="005338D3" w:rsidRPr="00286C5A">
              <w:rPr>
                <w:rFonts w:ascii="Times New Roman" w:hAnsi="Times New Roman"/>
                <w:sz w:val="24"/>
                <w:szCs w:val="24"/>
              </w:rPr>
              <w:t xml:space="preserve">punkts nosaka trīs mēnešu periodu, kurā dzīvnieku īpašniekam ir jāizkauj dzīvnieki, ja 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 xml:space="preserve">viņš </w:t>
            </w:r>
            <w:r w:rsidR="005338D3" w:rsidRPr="00286C5A">
              <w:rPr>
                <w:rFonts w:ascii="Times New Roman" w:hAnsi="Times New Roman"/>
                <w:sz w:val="24"/>
                <w:szCs w:val="24"/>
              </w:rPr>
              <w:t xml:space="preserve">nevar 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izpildīt</w:t>
            </w:r>
            <w:r w:rsidR="005338D3" w:rsidRPr="00286C5A">
              <w:rPr>
                <w:rFonts w:ascii="Times New Roman" w:hAnsi="Times New Roman"/>
                <w:sz w:val="24"/>
                <w:szCs w:val="24"/>
              </w:rPr>
              <w:t xml:space="preserve"> noteiktās biodrošības prasības. </w:t>
            </w:r>
            <w:proofErr w:type="gramStart"/>
            <w:r w:rsidR="005338D3" w:rsidRPr="00286C5A">
              <w:rPr>
                <w:rFonts w:ascii="Times New Roman" w:hAnsi="Times New Roman"/>
                <w:sz w:val="24"/>
                <w:szCs w:val="24"/>
              </w:rPr>
              <w:t>2015.gada</w:t>
            </w:r>
            <w:proofErr w:type="gramEnd"/>
            <w:r w:rsidR="005338D3" w:rsidRPr="00286C5A">
              <w:rPr>
                <w:rFonts w:ascii="Times New Roman" w:hAnsi="Times New Roman"/>
                <w:sz w:val="24"/>
                <w:szCs w:val="24"/>
              </w:rPr>
              <w:t xml:space="preserve"> 8.janvārī beidzās termiņš, līdz kuram bija jānokauj dzīvnieki, ja novietnē n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av iespējams</w:t>
            </w:r>
            <w:r w:rsidR="005338D3" w:rsidRPr="00286C5A">
              <w:rPr>
                <w:rFonts w:ascii="Times New Roman" w:hAnsi="Times New Roman"/>
                <w:sz w:val="24"/>
                <w:szCs w:val="24"/>
              </w:rPr>
              <w:t xml:space="preserve"> īstenot noteiktās biodrošības prasības. Lauku atbalsta dienests ir apkopojis informāciju par 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 xml:space="preserve">laikā no </w:t>
            </w:r>
            <w:proofErr w:type="gramStart"/>
            <w:r w:rsidR="00D93C81" w:rsidRPr="00286C5A">
              <w:rPr>
                <w:rFonts w:ascii="Times New Roman" w:hAnsi="Times New Roman"/>
                <w:sz w:val="24"/>
                <w:szCs w:val="24"/>
              </w:rPr>
              <w:t>2014.gada</w:t>
            </w:r>
            <w:proofErr w:type="gramEnd"/>
            <w:r w:rsidR="00D93C81" w:rsidRPr="00286C5A">
              <w:rPr>
                <w:rFonts w:ascii="Times New Roman" w:hAnsi="Times New Roman"/>
                <w:sz w:val="24"/>
                <w:szCs w:val="24"/>
              </w:rPr>
              <w:t xml:space="preserve"> 27.novembra līdz 2015.gada 20.janvārim saņemtajiem </w:t>
            </w:r>
            <w:r w:rsidR="005338D3" w:rsidRPr="00286C5A">
              <w:rPr>
                <w:rFonts w:ascii="Times New Roman" w:hAnsi="Times New Roman"/>
                <w:sz w:val="24"/>
                <w:szCs w:val="24"/>
              </w:rPr>
              <w:t>dzīvnieku īpašnieku iesniegumiem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, kuros lūgta</w:t>
            </w:r>
            <w:r w:rsidR="005338D3" w:rsidRPr="00286C5A">
              <w:rPr>
                <w:rFonts w:ascii="Times New Roman" w:hAnsi="Times New Roman"/>
                <w:sz w:val="24"/>
                <w:szCs w:val="24"/>
              </w:rPr>
              <w:t xml:space="preserve"> kompensācij</w:t>
            </w:r>
            <w:r w:rsidR="005749AD" w:rsidRPr="00286C5A">
              <w:rPr>
                <w:rFonts w:ascii="Times New Roman" w:hAnsi="Times New Roman"/>
                <w:sz w:val="24"/>
                <w:szCs w:val="24"/>
              </w:rPr>
              <w:t>a</w:t>
            </w:r>
            <w:r w:rsidR="005338D3" w:rsidRPr="0028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 xml:space="preserve">par cūku sugas dzīvniekiem, kas </w:t>
            </w:r>
            <w:r w:rsidR="005338D3" w:rsidRPr="00286C5A">
              <w:rPr>
                <w:rFonts w:ascii="Times New Roman" w:hAnsi="Times New Roman"/>
                <w:sz w:val="24"/>
                <w:szCs w:val="24"/>
              </w:rPr>
              <w:t xml:space="preserve">biodrošības prasību neīstenošanas dēļ 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 xml:space="preserve">izkauti </w:t>
            </w:r>
            <w:r w:rsidR="0014392B" w:rsidRPr="00286C5A">
              <w:rPr>
                <w:rFonts w:ascii="Times New Roman" w:hAnsi="Times New Roman"/>
                <w:sz w:val="24"/>
                <w:szCs w:val="24"/>
              </w:rPr>
              <w:t>līdz 2015.gada 8.janvārim</w:t>
            </w:r>
            <w:r w:rsidR="005338D3" w:rsidRPr="00286C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C0D" w:rsidRPr="00286C5A" w:rsidRDefault="005B7C0D" w:rsidP="005B7C0D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5A">
              <w:rPr>
                <w:rFonts w:ascii="Times New Roman" w:hAnsi="Times New Roman"/>
                <w:sz w:val="24"/>
                <w:szCs w:val="24"/>
              </w:rPr>
              <w:t>Noteikumu Nr.621 10.</w:t>
            </w:r>
            <w:r w:rsidRPr="00286C5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punkts noteica, ka dzīvnieku īpašnieki, kuri ir īstenojuši noteikumu Nr.621 </w:t>
            </w:r>
            <w:hyperlink r:id="rId6" w:anchor="p10.1" w:tgtFrame="_blank" w:history="1">
              <w:r w:rsidRPr="00286C5A">
                <w:rPr>
                  <w:rFonts w:ascii="Times New Roman" w:hAnsi="Times New Roman"/>
                  <w:sz w:val="24"/>
                  <w:szCs w:val="24"/>
                </w:rPr>
                <w:t>10.</w:t>
              </w:r>
              <w:r w:rsidRPr="00286C5A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 xml:space="preserve">1 </w:t>
              </w:r>
              <w:r w:rsidRPr="00286C5A">
                <w:rPr>
                  <w:rFonts w:ascii="Times New Roman" w:hAnsi="Times New Roman"/>
                  <w:sz w:val="24"/>
                  <w:szCs w:val="24"/>
                </w:rPr>
                <w:t>punktā</w:t>
              </w:r>
            </w:hyperlink>
            <w:r w:rsidRPr="0028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minētos biodrošības pasākumus, </w:t>
            </w:r>
            <w:proofErr w:type="gramStart"/>
            <w:r w:rsidRPr="00286C5A">
              <w:rPr>
                <w:rFonts w:ascii="Times New Roman" w:hAnsi="Times New Roman"/>
                <w:sz w:val="24"/>
                <w:szCs w:val="24"/>
              </w:rPr>
              <w:t>bet</w:t>
            </w:r>
            <w:proofErr w:type="gramEnd"/>
            <w:r w:rsidRPr="00286C5A">
              <w:rPr>
                <w:rFonts w:ascii="Times New Roman" w:hAnsi="Times New Roman"/>
                <w:sz w:val="24"/>
                <w:szCs w:val="24"/>
              </w:rPr>
              <w:t xml:space="preserve"> kuriem ĀCM ierobežojumu dēļ ir radušies tirdzniecības traucējumi un tāpēc piespiedu kārtā nepieciešams izkaut cūku sugas dzīvniekus, informē Pārtikas un veterinārā dienesta inspektoru vai dienesta pilnvarotu veterinārārstu un </w:t>
            </w:r>
            <w:r w:rsidR="00167A97" w:rsidRPr="00286C5A">
              <w:rPr>
                <w:rFonts w:ascii="Times New Roman" w:hAnsi="Times New Roman"/>
                <w:sz w:val="24"/>
                <w:szCs w:val="24"/>
              </w:rPr>
              <w:t>izkauj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 dzīvnieku</w:t>
            </w:r>
            <w:r w:rsidR="00167A97" w:rsidRPr="00286C5A">
              <w:rPr>
                <w:rFonts w:ascii="Times New Roman" w:hAnsi="Times New Roman"/>
                <w:sz w:val="24"/>
                <w:szCs w:val="24"/>
              </w:rPr>
              <w:t>s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. Viens cūku sugas dzīvnieku īpašnieks augustā informēja Pārtikas un veterināro dienestu, ka ĀCM uzlikto ierobežojumu dēļ ir radušies tirdzniecības traucējumi un ir paredzēts izkaut dzīvniekus. </w:t>
            </w:r>
            <w:r w:rsidR="00167A97" w:rsidRPr="00286C5A">
              <w:rPr>
                <w:rFonts w:ascii="Times New Roman" w:hAnsi="Times New Roman"/>
                <w:sz w:val="24"/>
                <w:szCs w:val="24"/>
              </w:rPr>
              <w:t xml:space="preserve">Tā kā šim 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dzīvnieku īpašniekam piederēja ļoti </w:t>
            </w:r>
            <w:r w:rsidR="00167A97" w:rsidRPr="00286C5A">
              <w:rPr>
                <w:rFonts w:ascii="Times New Roman" w:hAnsi="Times New Roman"/>
                <w:sz w:val="24"/>
                <w:szCs w:val="24"/>
              </w:rPr>
              <w:t>daudz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 dzīvnieku, tika saskaņots dzīvnieku izkaušanas grafiks, paredzot visu</w:t>
            </w:r>
            <w:r w:rsidR="00167A97" w:rsidRPr="00286C5A">
              <w:rPr>
                <w:rFonts w:ascii="Times New Roman" w:hAnsi="Times New Roman"/>
                <w:sz w:val="24"/>
                <w:szCs w:val="24"/>
              </w:rPr>
              <w:t>s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 dzīvnieku</w:t>
            </w:r>
            <w:r w:rsidR="00167A97" w:rsidRPr="00286C5A">
              <w:rPr>
                <w:rFonts w:ascii="Times New Roman" w:hAnsi="Times New Roman"/>
                <w:sz w:val="24"/>
                <w:szCs w:val="24"/>
              </w:rPr>
              <w:t>s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 izkau</w:t>
            </w:r>
            <w:r w:rsidR="00167A97" w:rsidRPr="00286C5A">
              <w:rPr>
                <w:rFonts w:ascii="Times New Roman" w:hAnsi="Times New Roman"/>
                <w:sz w:val="24"/>
                <w:szCs w:val="24"/>
              </w:rPr>
              <w:t>t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proofErr w:type="gramStart"/>
            <w:r w:rsidRPr="00286C5A">
              <w:rPr>
                <w:rFonts w:ascii="Times New Roman" w:hAnsi="Times New Roman"/>
                <w:sz w:val="24"/>
                <w:szCs w:val="24"/>
              </w:rPr>
              <w:t>2014.gada</w:t>
            </w:r>
            <w:proofErr w:type="gramEnd"/>
            <w:r w:rsidRPr="00286C5A">
              <w:rPr>
                <w:rFonts w:ascii="Times New Roman" w:hAnsi="Times New Roman"/>
                <w:sz w:val="24"/>
                <w:szCs w:val="24"/>
              </w:rPr>
              <w:t xml:space="preserve"> beigām. </w:t>
            </w:r>
            <w:r w:rsidR="00167A97" w:rsidRPr="00286C5A">
              <w:rPr>
                <w:rFonts w:ascii="Times New Roman" w:hAnsi="Times New Roman"/>
                <w:sz w:val="24"/>
                <w:szCs w:val="24"/>
              </w:rPr>
              <w:t>Saskaņā ar grafiku d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>zīvnieku īpašnieks izkāva dzīvniekus un iesniedza Lauku atbalsta dienestā iesniegumu un dokumentus kompensācijas saņemšanai. Noteikumu 10.</w:t>
            </w:r>
            <w:r w:rsidRPr="00286C5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 un 10.</w:t>
            </w:r>
            <w:r w:rsidRPr="00286C5A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 punktā nebija noteikti termiņi, līdz kuram jāizkauj dzīvnieki. Eiropas Komisija </w:t>
            </w:r>
            <w:proofErr w:type="gramStart"/>
            <w:r w:rsidRPr="00286C5A">
              <w:rPr>
                <w:rFonts w:ascii="Times New Roman" w:hAnsi="Times New Roman"/>
                <w:sz w:val="24"/>
                <w:szCs w:val="24"/>
              </w:rPr>
              <w:t>2014.gada</w:t>
            </w:r>
            <w:proofErr w:type="gramEnd"/>
            <w:r w:rsidRPr="00286C5A">
              <w:rPr>
                <w:rFonts w:ascii="Times New Roman" w:hAnsi="Times New Roman"/>
                <w:sz w:val="24"/>
                <w:szCs w:val="24"/>
              </w:rPr>
              <w:t xml:space="preserve"> 9.oktobrī noteica ĀCM ierobežojumu zonās noteikto ierobežojumu atvieglojumus. </w:t>
            </w:r>
            <w:r w:rsidR="00167A97" w:rsidRPr="00286C5A">
              <w:rPr>
                <w:rFonts w:ascii="Times New Roman" w:hAnsi="Times New Roman"/>
                <w:sz w:val="24"/>
                <w:szCs w:val="24"/>
              </w:rPr>
              <w:t>Ievērojot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 šos atvieglojumus, Zemkopības ministrija sagatavoja grozījumus noteikumos Nr.621</w:t>
            </w:r>
            <w:r w:rsidR="00167A97" w:rsidRPr="00286C5A">
              <w:rPr>
                <w:rFonts w:ascii="Times New Roman" w:hAnsi="Times New Roman"/>
                <w:sz w:val="24"/>
                <w:szCs w:val="24"/>
              </w:rPr>
              <w:t>,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 un Ministru kabinets </w:t>
            </w:r>
            <w:proofErr w:type="gramStart"/>
            <w:r w:rsidRPr="00286C5A">
              <w:rPr>
                <w:rFonts w:ascii="Times New Roman" w:hAnsi="Times New Roman"/>
                <w:sz w:val="24"/>
                <w:szCs w:val="24"/>
              </w:rPr>
              <w:t>2014.gada</w:t>
            </w:r>
            <w:proofErr w:type="gramEnd"/>
            <w:r w:rsidRPr="00286C5A">
              <w:rPr>
                <w:rFonts w:ascii="Times New Roman" w:hAnsi="Times New Roman"/>
                <w:sz w:val="24"/>
                <w:szCs w:val="24"/>
              </w:rPr>
              <w:t xml:space="preserve"> 3.novembrī nolēma grozīt noteikumus Nr.621</w:t>
            </w:r>
            <w:r w:rsidR="00167A97" w:rsidRPr="00286C5A">
              <w:rPr>
                <w:rFonts w:ascii="Times New Roman" w:hAnsi="Times New Roman"/>
                <w:sz w:val="24"/>
                <w:szCs w:val="24"/>
              </w:rPr>
              <w:t>, no tiem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 svītroj</w:t>
            </w:r>
            <w:r w:rsidR="00167A97" w:rsidRPr="00286C5A">
              <w:rPr>
                <w:rFonts w:ascii="Times New Roman" w:hAnsi="Times New Roman"/>
                <w:sz w:val="24"/>
                <w:szCs w:val="24"/>
              </w:rPr>
              <w:t>ot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  <w:r w:rsidRPr="00286C5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 un 10.</w:t>
            </w:r>
            <w:r w:rsidRPr="00286C5A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punktu. </w:t>
            </w:r>
          </w:p>
          <w:p w:rsidR="005B7C0D" w:rsidRPr="00286C5A" w:rsidRDefault="005338D3" w:rsidP="00A32AA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5A">
              <w:rPr>
                <w:rFonts w:ascii="Times New Roman" w:hAnsi="Times New Roman"/>
                <w:sz w:val="24"/>
                <w:szCs w:val="24"/>
              </w:rPr>
              <w:t xml:space="preserve">Kopējā kompensāciju izmaksām nepieciešamā summa ir 347 135 </w:t>
            </w:r>
            <w:proofErr w:type="spellStart"/>
            <w:r w:rsidRPr="00286C5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86C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32E2" w:rsidRPr="00286C5A" w:rsidRDefault="008C7D68" w:rsidP="00D93C81">
            <w:pPr>
              <w:pStyle w:val="Bezatstarpm"/>
              <w:jc w:val="both"/>
              <w:rPr>
                <w:sz w:val="24"/>
                <w:szCs w:val="24"/>
              </w:rPr>
            </w:pPr>
            <w:r w:rsidRPr="00286C5A">
              <w:rPr>
                <w:rFonts w:ascii="Times New Roman" w:hAnsi="Times New Roman"/>
                <w:sz w:val="24"/>
                <w:szCs w:val="24"/>
              </w:rPr>
              <w:t xml:space="preserve">Pamatojoties </w:t>
            </w:r>
            <w:r w:rsidR="00587F33" w:rsidRPr="00286C5A">
              <w:rPr>
                <w:rFonts w:ascii="Times New Roman" w:hAnsi="Times New Roman"/>
                <w:sz w:val="24"/>
                <w:szCs w:val="24"/>
              </w:rPr>
              <w:t>uz Lauku atbalsta dienesta sniegto informāciju un rīkojuma Nr.359 9.</w:t>
            </w:r>
            <w:r w:rsidR="00587F33" w:rsidRPr="00286C5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1E2A20" w:rsidRPr="00286C5A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="00587F33" w:rsidRPr="00286C5A">
              <w:rPr>
                <w:rFonts w:ascii="Times New Roman" w:hAnsi="Times New Roman"/>
                <w:sz w:val="24"/>
                <w:szCs w:val="24"/>
              </w:rPr>
              <w:t>punktu, ir sagatavots Ministru kabineta rīkojuma projekts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C81" w:rsidRPr="00286C5A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„Grozījums Ministru kabineta </w:t>
            </w:r>
            <w:proofErr w:type="gramStart"/>
            <w:r w:rsidR="00D93C81" w:rsidRPr="00286C5A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2014.gada</w:t>
            </w:r>
            <w:proofErr w:type="gramEnd"/>
            <w:r w:rsidR="00D93C81" w:rsidRPr="00286C5A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17.jūlija rīkojumā Nr.359 „</w:t>
            </w:r>
            <w:r w:rsidR="00D93C81" w:rsidRPr="00286C5A">
              <w:rPr>
                <w:rFonts w:ascii="Times New Roman" w:hAnsi="Times New Roman"/>
                <w:sz w:val="24"/>
                <w:szCs w:val="24"/>
                <w:lang w:eastAsia="lv-LV"/>
              </w:rPr>
              <w:t>Par pasākumiem Āfrikas cūku mēra izplatīšanās ierobežošanai</w:t>
            </w:r>
            <w:r w:rsidR="00D93C81" w:rsidRPr="00286C5A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”” (turpmāk – rīkojuma projekts)</w:t>
            </w:r>
            <w:r w:rsidR="00587F33" w:rsidRPr="00286C5A">
              <w:rPr>
                <w:rFonts w:ascii="Times New Roman" w:hAnsi="Times New Roman"/>
                <w:sz w:val="24"/>
                <w:szCs w:val="24"/>
              </w:rPr>
              <w:t>, lai Finanšu ministrija var piešķirt Zemkopības ministrijai nepieciešamo finansējumu rīkojuma 7.punktā paredzēto kompensāciju izmaksai.</w:t>
            </w:r>
            <w:r w:rsidR="00587F33" w:rsidRPr="00286C5A">
              <w:rPr>
                <w:sz w:val="24"/>
                <w:szCs w:val="24"/>
              </w:rPr>
              <w:t xml:space="preserve"> </w:t>
            </w:r>
          </w:p>
        </w:tc>
      </w:tr>
      <w:tr w:rsidR="00DB32E2" w:rsidRPr="00286C5A" w:rsidTr="00DB32E2">
        <w:tc>
          <w:tcPr>
            <w:tcW w:w="312" w:type="pct"/>
            <w:gridSpan w:val="2"/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lastRenderedPageBreak/>
              <w:t>3.</w:t>
            </w:r>
          </w:p>
        </w:tc>
        <w:tc>
          <w:tcPr>
            <w:tcW w:w="1407" w:type="pct"/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Projekta izstrādē iesaistītās institūcijas</w:t>
            </w:r>
          </w:p>
        </w:tc>
        <w:tc>
          <w:tcPr>
            <w:tcW w:w="3281" w:type="pct"/>
          </w:tcPr>
          <w:p w:rsidR="00DB32E2" w:rsidRPr="00286C5A" w:rsidRDefault="00587F33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Lauku atbalsta</w:t>
            </w:r>
            <w:r w:rsidR="00DB32E2" w:rsidRPr="00286C5A">
              <w:rPr>
                <w:lang w:val="lv-LV"/>
              </w:rPr>
              <w:t xml:space="preserve"> dienests</w:t>
            </w:r>
          </w:p>
        </w:tc>
      </w:tr>
      <w:tr w:rsidR="00DB32E2" w:rsidRPr="00286C5A" w:rsidTr="00DB32E2">
        <w:tc>
          <w:tcPr>
            <w:tcW w:w="312" w:type="pct"/>
            <w:gridSpan w:val="2"/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4.</w:t>
            </w:r>
          </w:p>
        </w:tc>
        <w:tc>
          <w:tcPr>
            <w:tcW w:w="1407" w:type="pct"/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Cita informācija</w:t>
            </w:r>
          </w:p>
        </w:tc>
        <w:tc>
          <w:tcPr>
            <w:tcW w:w="3281" w:type="pct"/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Nav.</w:t>
            </w:r>
          </w:p>
        </w:tc>
      </w:tr>
      <w:tr w:rsidR="00DB32E2" w:rsidRPr="00286C5A" w:rsidTr="003E32E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b/>
                <w:lang w:val="lv-LV"/>
              </w:rPr>
            </w:pPr>
            <w:r w:rsidRPr="00286C5A">
              <w:rPr>
                <w:b/>
                <w:lang w:val="lv-LV"/>
              </w:rPr>
              <w:t>II. Tiesību akta projekta ietekme uz sabiedrību,</w:t>
            </w:r>
            <w:r w:rsidRPr="00286C5A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DB32E2" w:rsidRPr="00CF5ED7" w:rsidTr="00587F3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1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1.</w:t>
            </w:r>
          </w:p>
        </w:tc>
        <w:tc>
          <w:tcPr>
            <w:tcW w:w="150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E2" w:rsidRPr="00286C5A" w:rsidRDefault="00DB32E2" w:rsidP="001E2A20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Rīkojuma projekta tiesiskais regulējums attiecas uz vis</w:t>
            </w:r>
            <w:r w:rsidR="00587F33" w:rsidRPr="00286C5A">
              <w:rPr>
                <w:lang w:val="lv-LV"/>
              </w:rPr>
              <w:t>ie</w:t>
            </w:r>
            <w:r w:rsidRPr="00286C5A">
              <w:rPr>
                <w:lang w:val="lv-LV"/>
              </w:rPr>
              <w:t xml:space="preserve">m </w:t>
            </w:r>
            <w:r w:rsidR="00587F33" w:rsidRPr="00286C5A">
              <w:rPr>
                <w:lang w:val="lv-LV"/>
              </w:rPr>
              <w:t>dzīvnieku īpašniekiem</w:t>
            </w:r>
            <w:r w:rsidRPr="00286C5A">
              <w:rPr>
                <w:lang w:val="lv-LV"/>
              </w:rPr>
              <w:t>, kur</w:t>
            </w:r>
            <w:r w:rsidR="001E2A20" w:rsidRPr="00286C5A">
              <w:rPr>
                <w:lang w:val="lv-LV"/>
              </w:rPr>
              <w:t>u</w:t>
            </w:r>
            <w:r w:rsidRPr="00286C5A">
              <w:rPr>
                <w:lang w:val="lv-LV"/>
              </w:rPr>
              <w:t xml:space="preserve"> </w:t>
            </w:r>
            <w:r w:rsidR="001E2A20" w:rsidRPr="00286C5A">
              <w:rPr>
                <w:lang w:val="lv-LV"/>
              </w:rPr>
              <w:t>novietnes atrodas</w:t>
            </w:r>
            <w:r w:rsidRPr="00286C5A">
              <w:rPr>
                <w:lang w:val="lv-LV"/>
              </w:rPr>
              <w:t xml:space="preserve"> </w:t>
            </w:r>
            <w:r w:rsidR="00E82014" w:rsidRPr="00286C5A">
              <w:rPr>
                <w:lang w:val="lv-LV"/>
              </w:rPr>
              <w:t>noteikumu Nr.621 10.</w:t>
            </w:r>
            <w:r w:rsidR="00E82014" w:rsidRPr="00286C5A">
              <w:rPr>
                <w:vertAlign w:val="superscript"/>
                <w:lang w:val="lv-LV"/>
              </w:rPr>
              <w:t>1</w:t>
            </w:r>
            <w:r w:rsidR="00E82014" w:rsidRPr="00286C5A">
              <w:rPr>
                <w:lang w:val="lv-LV"/>
              </w:rPr>
              <w:t xml:space="preserve">4.apakšpunktā noteiktajā </w:t>
            </w:r>
            <w:r w:rsidRPr="00286C5A">
              <w:rPr>
                <w:lang w:val="lv-LV"/>
              </w:rPr>
              <w:t>teritorijā</w:t>
            </w:r>
            <w:r w:rsidR="00E82014" w:rsidRPr="00286C5A">
              <w:rPr>
                <w:lang w:val="lv-LV"/>
              </w:rPr>
              <w:t xml:space="preserve"> un</w:t>
            </w:r>
            <w:r w:rsidR="00587F33" w:rsidRPr="00286C5A">
              <w:rPr>
                <w:lang w:val="lv-LV"/>
              </w:rPr>
              <w:t xml:space="preserve"> kur</w:t>
            </w:r>
            <w:r w:rsidR="00E82014" w:rsidRPr="00286C5A">
              <w:rPr>
                <w:lang w:val="lv-LV"/>
              </w:rPr>
              <w:t>i</w:t>
            </w:r>
            <w:r w:rsidR="00587F33" w:rsidRPr="00286C5A">
              <w:rPr>
                <w:lang w:val="lv-LV"/>
              </w:rPr>
              <w:t xml:space="preserve"> </w:t>
            </w:r>
            <w:r w:rsidR="00E82014" w:rsidRPr="00286C5A">
              <w:rPr>
                <w:lang w:val="lv-LV"/>
              </w:rPr>
              <w:t xml:space="preserve">Lauku atbalsta dienestā </w:t>
            </w:r>
            <w:r w:rsidR="00587F33" w:rsidRPr="00286C5A">
              <w:rPr>
                <w:lang w:val="lv-LV"/>
              </w:rPr>
              <w:t xml:space="preserve">ir </w:t>
            </w:r>
            <w:r w:rsidR="00E82014" w:rsidRPr="00286C5A">
              <w:rPr>
                <w:lang w:val="lv-LV"/>
              </w:rPr>
              <w:t>iesnieguši iesni</w:t>
            </w:r>
            <w:r w:rsidR="001E2A20" w:rsidRPr="00286C5A">
              <w:rPr>
                <w:lang w:val="lv-LV"/>
              </w:rPr>
              <w:t>e</w:t>
            </w:r>
            <w:r w:rsidR="00E82014" w:rsidRPr="00286C5A">
              <w:rPr>
                <w:lang w:val="lv-LV"/>
              </w:rPr>
              <w:t>gumu kompensācijas saņemšanai</w:t>
            </w:r>
            <w:r w:rsidRPr="00286C5A">
              <w:rPr>
                <w:lang w:val="lv-LV"/>
              </w:rPr>
              <w:t xml:space="preserve">. </w:t>
            </w:r>
          </w:p>
        </w:tc>
      </w:tr>
      <w:tr w:rsidR="00DB32E2" w:rsidRPr="00286C5A" w:rsidTr="00587F3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1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2.</w:t>
            </w:r>
          </w:p>
        </w:tc>
        <w:tc>
          <w:tcPr>
            <w:tcW w:w="150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E2" w:rsidRPr="00286C5A" w:rsidRDefault="00587F33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Projekts šo jomu neskar.</w:t>
            </w:r>
          </w:p>
        </w:tc>
      </w:tr>
      <w:tr w:rsidR="00DB32E2" w:rsidRPr="00286C5A" w:rsidTr="00587F3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1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lastRenderedPageBreak/>
              <w:t>3.</w:t>
            </w:r>
          </w:p>
        </w:tc>
        <w:tc>
          <w:tcPr>
            <w:tcW w:w="150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Administratīvo izmaksu monetārs novērtējums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Projekts šo jomu neskar.</w:t>
            </w:r>
          </w:p>
        </w:tc>
      </w:tr>
      <w:tr w:rsidR="00DB32E2" w:rsidRPr="00286C5A" w:rsidTr="00587F3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1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4.</w:t>
            </w:r>
          </w:p>
        </w:tc>
        <w:tc>
          <w:tcPr>
            <w:tcW w:w="150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Cita informācija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Nav.</w:t>
            </w:r>
          </w:p>
        </w:tc>
      </w:tr>
    </w:tbl>
    <w:p w:rsidR="00DB32E2" w:rsidRPr="00286C5A" w:rsidRDefault="00DB32E2" w:rsidP="00DB32E2">
      <w:pPr>
        <w:pStyle w:val="naisf"/>
        <w:spacing w:before="0" w:beforeAutospacing="0" w:after="0" w:afterAutospacing="0"/>
        <w:rPr>
          <w:i/>
          <w:lang w:val="lv-LV"/>
        </w:rPr>
      </w:pP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276"/>
        <w:gridCol w:w="1275"/>
        <w:gridCol w:w="1276"/>
      </w:tblGrid>
      <w:tr w:rsidR="00587F33" w:rsidRPr="00CF5ED7" w:rsidTr="003E32E3">
        <w:tc>
          <w:tcPr>
            <w:tcW w:w="9322" w:type="dxa"/>
            <w:gridSpan w:val="6"/>
          </w:tcPr>
          <w:p w:rsidR="00587F33" w:rsidRPr="00286C5A" w:rsidRDefault="00587F33" w:rsidP="003E32E3">
            <w:pPr>
              <w:rPr>
                <w:b/>
                <w:lang w:val="lv-LV"/>
              </w:rPr>
            </w:pPr>
            <w:r w:rsidRPr="00286C5A">
              <w:rPr>
                <w:b/>
                <w:lang w:val="lv-LV"/>
              </w:rPr>
              <w:t>III. Tiesību akta projekta ietekme uz valsts budžetu un pašvaldību budžetiem</w:t>
            </w:r>
          </w:p>
        </w:tc>
      </w:tr>
      <w:tr w:rsidR="00587F33" w:rsidRPr="00286C5A" w:rsidTr="003E32E3">
        <w:tc>
          <w:tcPr>
            <w:tcW w:w="2518" w:type="dxa"/>
            <w:vMerge w:val="restart"/>
          </w:tcPr>
          <w:p w:rsidR="00587F33" w:rsidRPr="00286C5A" w:rsidRDefault="00587F33" w:rsidP="003E32E3">
            <w:pPr>
              <w:rPr>
                <w:lang w:val="lv-LV"/>
              </w:rPr>
            </w:pPr>
            <w:r w:rsidRPr="00286C5A">
              <w:rPr>
                <w:lang w:val="lv-LV"/>
              </w:rPr>
              <w:t>Rādītāji</w:t>
            </w:r>
          </w:p>
        </w:tc>
        <w:tc>
          <w:tcPr>
            <w:tcW w:w="2977" w:type="dxa"/>
            <w:gridSpan w:val="2"/>
            <w:vMerge w:val="restart"/>
          </w:tcPr>
          <w:p w:rsidR="00587F33" w:rsidRPr="00286C5A" w:rsidRDefault="00587F33" w:rsidP="00E82014">
            <w:pPr>
              <w:rPr>
                <w:lang w:val="lv-LV"/>
              </w:rPr>
            </w:pPr>
            <w:proofErr w:type="gramStart"/>
            <w:r w:rsidRPr="00286C5A">
              <w:rPr>
                <w:lang w:val="lv-LV"/>
              </w:rPr>
              <w:t>201</w:t>
            </w:r>
            <w:r w:rsidR="00E82014" w:rsidRPr="00286C5A">
              <w:rPr>
                <w:lang w:val="lv-LV"/>
              </w:rPr>
              <w:t>5</w:t>
            </w:r>
            <w:r w:rsidRPr="00286C5A">
              <w:rPr>
                <w:lang w:val="lv-LV"/>
              </w:rPr>
              <w:t>.gads</w:t>
            </w:r>
            <w:proofErr w:type="gramEnd"/>
          </w:p>
        </w:tc>
        <w:tc>
          <w:tcPr>
            <w:tcW w:w="3827" w:type="dxa"/>
            <w:gridSpan w:val="3"/>
          </w:tcPr>
          <w:p w:rsidR="00587F33" w:rsidRPr="00286C5A" w:rsidRDefault="00587F33" w:rsidP="003E32E3">
            <w:pPr>
              <w:rPr>
                <w:lang w:val="lv-LV"/>
              </w:rPr>
            </w:pPr>
            <w:r w:rsidRPr="00286C5A">
              <w:rPr>
                <w:lang w:val="lv-LV"/>
              </w:rPr>
              <w:t xml:space="preserve">Turpmākie trīs gadi </w:t>
            </w:r>
            <w:r w:rsidRPr="00286C5A">
              <w:rPr>
                <w:i/>
                <w:lang w:val="lv-LV"/>
              </w:rPr>
              <w:t>(</w:t>
            </w:r>
            <w:proofErr w:type="spellStart"/>
            <w:r w:rsidRPr="00286C5A">
              <w:rPr>
                <w:i/>
                <w:lang w:val="lv-LV"/>
              </w:rPr>
              <w:t>euro</w:t>
            </w:r>
            <w:proofErr w:type="spellEnd"/>
            <w:r w:rsidRPr="00286C5A">
              <w:rPr>
                <w:i/>
                <w:lang w:val="lv-LV"/>
              </w:rPr>
              <w:t>)</w:t>
            </w:r>
          </w:p>
        </w:tc>
      </w:tr>
      <w:tr w:rsidR="00587F33" w:rsidRPr="00286C5A" w:rsidTr="003E32E3">
        <w:tc>
          <w:tcPr>
            <w:tcW w:w="2518" w:type="dxa"/>
            <w:vMerge/>
          </w:tcPr>
          <w:p w:rsidR="00587F33" w:rsidRPr="00286C5A" w:rsidRDefault="00587F33" w:rsidP="003E32E3">
            <w:pPr>
              <w:rPr>
                <w:lang w:val="lv-LV"/>
              </w:rPr>
            </w:pPr>
          </w:p>
        </w:tc>
        <w:tc>
          <w:tcPr>
            <w:tcW w:w="2977" w:type="dxa"/>
            <w:gridSpan w:val="2"/>
            <w:vMerge/>
          </w:tcPr>
          <w:p w:rsidR="00587F33" w:rsidRPr="00286C5A" w:rsidRDefault="00587F33" w:rsidP="003E32E3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587F33" w:rsidRPr="00286C5A" w:rsidRDefault="00587F33" w:rsidP="00E82014">
            <w:pPr>
              <w:rPr>
                <w:lang w:val="lv-LV"/>
              </w:rPr>
            </w:pPr>
            <w:proofErr w:type="gramStart"/>
            <w:r w:rsidRPr="00286C5A">
              <w:rPr>
                <w:lang w:val="lv-LV"/>
              </w:rPr>
              <w:t>201</w:t>
            </w:r>
            <w:r w:rsidR="00E82014" w:rsidRPr="00286C5A">
              <w:rPr>
                <w:lang w:val="lv-LV"/>
              </w:rPr>
              <w:t>6</w:t>
            </w:r>
            <w:r w:rsidRPr="00286C5A">
              <w:rPr>
                <w:lang w:val="lv-LV"/>
              </w:rPr>
              <w:t>.gads</w:t>
            </w:r>
            <w:proofErr w:type="gramEnd"/>
          </w:p>
        </w:tc>
        <w:tc>
          <w:tcPr>
            <w:tcW w:w="1275" w:type="dxa"/>
          </w:tcPr>
          <w:p w:rsidR="00587F33" w:rsidRPr="00286C5A" w:rsidRDefault="00587F33" w:rsidP="00E82014">
            <w:pPr>
              <w:rPr>
                <w:lang w:val="lv-LV"/>
              </w:rPr>
            </w:pPr>
            <w:proofErr w:type="gramStart"/>
            <w:r w:rsidRPr="00286C5A">
              <w:rPr>
                <w:lang w:val="lv-LV"/>
              </w:rPr>
              <w:t>201</w:t>
            </w:r>
            <w:r w:rsidR="00E82014" w:rsidRPr="00286C5A">
              <w:rPr>
                <w:lang w:val="lv-LV"/>
              </w:rPr>
              <w:t>7</w:t>
            </w:r>
            <w:r w:rsidRPr="00286C5A">
              <w:rPr>
                <w:lang w:val="lv-LV"/>
              </w:rPr>
              <w:t>.gads</w:t>
            </w:r>
            <w:proofErr w:type="gramEnd"/>
          </w:p>
        </w:tc>
        <w:tc>
          <w:tcPr>
            <w:tcW w:w="1276" w:type="dxa"/>
          </w:tcPr>
          <w:p w:rsidR="00587F33" w:rsidRPr="00286C5A" w:rsidRDefault="00587F33" w:rsidP="00E82014">
            <w:pPr>
              <w:rPr>
                <w:lang w:val="lv-LV"/>
              </w:rPr>
            </w:pPr>
            <w:proofErr w:type="gramStart"/>
            <w:r w:rsidRPr="00286C5A">
              <w:rPr>
                <w:lang w:val="lv-LV"/>
              </w:rPr>
              <w:t>201</w:t>
            </w:r>
            <w:r w:rsidR="00E82014" w:rsidRPr="00286C5A">
              <w:rPr>
                <w:lang w:val="lv-LV"/>
              </w:rPr>
              <w:t>8</w:t>
            </w:r>
            <w:r w:rsidRPr="00286C5A">
              <w:rPr>
                <w:lang w:val="lv-LV"/>
              </w:rPr>
              <w:t>.gads</w:t>
            </w:r>
            <w:proofErr w:type="gramEnd"/>
          </w:p>
        </w:tc>
      </w:tr>
      <w:tr w:rsidR="00587F33" w:rsidRPr="00286C5A" w:rsidTr="003E32E3">
        <w:tc>
          <w:tcPr>
            <w:tcW w:w="2518" w:type="dxa"/>
            <w:vMerge/>
          </w:tcPr>
          <w:p w:rsidR="00587F33" w:rsidRPr="00286C5A" w:rsidRDefault="00587F33" w:rsidP="003E32E3">
            <w:pPr>
              <w:rPr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Saskaņā ar valsts budžetu kārtējam gadam</w:t>
            </w:r>
          </w:p>
        </w:tc>
        <w:tc>
          <w:tcPr>
            <w:tcW w:w="1559" w:type="dxa"/>
            <w:vAlign w:val="center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Izmaiņas kārtējā gadā, salīdzinot ar valsts budžetu kārtējam gadam</w:t>
            </w:r>
          </w:p>
        </w:tc>
        <w:tc>
          <w:tcPr>
            <w:tcW w:w="1276" w:type="dxa"/>
            <w:vAlign w:val="center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Izmaiņas, salīdzinot ar kārtējo (n) gadu</w:t>
            </w:r>
          </w:p>
        </w:tc>
        <w:tc>
          <w:tcPr>
            <w:tcW w:w="1275" w:type="dxa"/>
            <w:vAlign w:val="center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Izmaiņas, salīdzinot ar kārtējo (n) gadu</w:t>
            </w:r>
          </w:p>
        </w:tc>
        <w:tc>
          <w:tcPr>
            <w:tcW w:w="1276" w:type="dxa"/>
            <w:vAlign w:val="center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Izmaiņas, salīdzinot ar kārtējo (n) gadu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CC6591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1</w:t>
            </w:r>
          </w:p>
        </w:tc>
        <w:tc>
          <w:tcPr>
            <w:tcW w:w="1418" w:type="dxa"/>
          </w:tcPr>
          <w:p w:rsidR="00587F33" w:rsidRPr="00286C5A" w:rsidRDefault="00587F33" w:rsidP="00CC6591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2</w:t>
            </w:r>
          </w:p>
        </w:tc>
        <w:tc>
          <w:tcPr>
            <w:tcW w:w="1559" w:type="dxa"/>
          </w:tcPr>
          <w:p w:rsidR="00587F33" w:rsidRPr="00286C5A" w:rsidRDefault="00587F33" w:rsidP="00CC6591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3</w:t>
            </w:r>
          </w:p>
        </w:tc>
        <w:tc>
          <w:tcPr>
            <w:tcW w:w="1276" w:type="dxa"/>
          </w:tcPr>
          <w:p w:rsidR="00587F33" w:rsidRPr="00286C5A" w:rsidRDefault="00587F33" w:rsidP="00CC6591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4</w:t>
            </w:r>
          </w:p>
        </w:tc>
        <w:tc>
          <w:tcPr>
            <w:tcW w:w="1275" w:type="dxa"/>
          </w:tcPr>
          <w:p w:rsidR="00587F33" w:rsidRPr="00286C5A" w:rsidRDefault="00587F33" w:rsidP="00CC6591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5</w:t>
            </w:r>
          </w:p>
        </w:tc>
        <w:tc>
          <w:tcPr>
            <w:tcW w:w="1276" w:type="dxa"/>
          </w:tcPr>
          <w:p w:rsidR="00587F33" w:rsidRPr="00286C5A" w:rsidRDefault="00587F33" w:rsidP="00CC6591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6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1.Budžeta ieņēmumi:</w:t>
            </w:r>
          </w:p>
        </w:tc>
        <w:tc>
          <w:tcPr>
            <w:tcW w:w="1418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559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CC6591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1.1. valsts pamatbudžets, tai skaitā ieņēmumi no maksas pakalpo-</w:t>
            </w:r>
            <w:proofErr w:type="spellStart"/>
            <w:r w:rsidRPr="00286C5A">
              <w:rPr>
                <w:lang w:val="lv-LV"/>
              </w:rPr>
              <w:t>jumiem</w:t>
            </w:r>
            <w:proofErr w:type="spellEnd"/>
            <w:r w:rsidRPr="00286C5A">
              <w:rPr>
                <w:lang w:val="lv-LV"/>
              </w:rPr>
              <w:t xml:space="preserve"> un citi pašu ieņēmumi</w:t>
            </w:r>
          </w:p>
        </w:tc>
        <w:tc>
          <w:tcPr>
            <w:tcW w:w="1418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559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1.2. valsts speciālais budžets</w:t>
            </w:r>
          </w:p>
        </w:tc>
        <w:tc>
          <w:tcPr>
            <w:tcW w:w="1418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559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1.3. pašvaldību budžets</w:t>
            </w:r>
          </w:p>
        </w:tc>
        <w:tc>
          <w:tcPr>
            <w:tcW w:w="1418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559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2. Budžeta izdevumi:</w:t>
            </w:r>
          </w:p>
        </w:tc>
        <w:tc>
          <w:tcPr>
            <w:tcW w:w="1418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559" w:type="dxa"/>
          </w:tcPr>
          <w:p w:rsidR="00587F33" w:rsidRPr="00286C5A" w:rsidRDefault="00E73253" w:rsidP="00550188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3</w:t>
            </w:r>
            <w:r w:rsidR="00550188" w:rsidRPr="00286C5A">
              <w:rPr>
                <w:lang w:val="lv-LV"/>
              </w:rPr>
              <w:t>47</w:t>
            </w:r>
            <w:r w:rsidRPr="00286C5A">
              <w:rPr>
                <w:lang w:val="lv-LV"/>
              </w:rPr>
              <w:t xml:space="preserve"> 1</w:t>
            </w:r>
            <w:r w:rsidR="00550188" w:rsidRPr="00286C5A">
              <w:rPr>
                <w:lang w:val="lv-LV"/>
              </w:rPr>
              <w:t>3</w:t>
            </w:r>
            <w:r w:rsidRPr="00286C5A">
              <w:rPr>
                <w:lang w:val="lv-LV"/>
              </w:rPr>
              <w:t>5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2.1. valsts pamatbudžets</w:t>
            </w:r>
          </w:p>
        </w:tc>
        <w:tc>
          <w:tcPr>
            <w:tcW w:w="1418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559" w:type="dxa"/>
          </w:tcPr>
          <w:p w:rsidR="00587F33" w:rsidRPr="00286C5A" w:rsidRDefault="00E73253" w:rsidP="00550188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3</w:t>
            </w:r>
            <w:r w:rsidR="00550188" w:rsidRPr="00286C5A">
              <w:rPr>
                <w:lang w:val="lv-LV"/>
              </w:rPr>
              <w:t>47</w:t>
            </w:r>
            <w:r w:rsidRPr="00286C5A">
              <w:rPr>
                <w:lang w:val="lv-LV"/>
              </w:rPr>
              <w:t xml:space="preserve"> 1</w:t>
            </w:r>
            <w:r w:rsidR="00550188" w:rsidRPr="00286C5A">
              <w:rPr>
                <w:lang w:val="lv-LV"/>
              </w:rPr>
              <w:t>3</w:t>
            </w:r>
            <w:r w:rsidRPr="00286C5A">
              <w:rPr>
                <w:lang w:val="lv-LV"/>
              </w:rPr>
              <w:t>5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2.2. valsts speciālais budžets</w:t>
            </w:r>
          </w:p>
        </w:tc>
        <w:tc>
          <w:tcPr>
            <w:tcW w:w="1418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559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2.3. pašvaldību budžets</w:t>
            </w:r>
          </w:p>
        </w:tc>
        <w:tc>
          <w:tcPr>
            <w:tcW w:w="1418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559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3. Finansiālā ietekme:</w:t>
            </w:r>
          </w:p>
        </w:tc>
        <w:tc>
          <w:tcPr>
            <w:tcW w:w="1418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559" w:type="dxa"/>
          </w:tcPr>
          <w:p w:rsidR="00587F33" w:rsidRPr="00286C5A" w:rsidRDefault="00D93C81" w:rsidP="00550188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–</w:t>
            </w:r>
            <w:r w:rsidR="00E73253" w:rsidRPr="00286C5A">
              <w:rPr>
                <w:lang w:val="lv-LV"/>
              </w:rPr>
              <w:t>3</w:t>
            </w:r>
            <w:r w:rsidR="00550188" w:rsidRPr="00286C5A">
              <w:rPr>
                <w:lang w:val="lv-LV"/>
              </w:rPr>
              <w:t>47</w:t>
            </w:r>
            <w:r w:rsidR="00FE6E03" w:rsidRPr="00286C5A">
              <w:rPr>
                <w:lang w:val="lv-LV"/>
              </w:rPr>
              <w:t xml:space="preserve"> </w:t>
            </w:r>
            <w:r w:rsidR="00E73253" w:rsidRPr="00286C5A">
              <w:rPr>
                <w:lang w:val="lv-LV"/>
              </w:rPr>
              <w:t>1</w:t>
            </w:r>
            <w:r w:rsidR="00550188" w:rsidRPr="00286C5A">
              <w:rPr>
                <w:lang w:val="lv-LV"/>
              </w:rPr>
              <w:t>3</w:t>
            </w:r>
            <w:r w:rsidR="00FE6E03" w:rsidRPr="00286C5A">
              <w:rPr>
                <w:lang w:val="lv-LV"/>
              </w:rPr>
              <w:t>5</w:t>
            </w:r>
          </w:p>
        </w:tc>
        <w:tc>
          <w:tcPr>
            <w:tcW w:w="1276" w:type="dxa"/>
          </w:tcPr>
          <w:p w:rsidR="00587F33" w:rsidRPr="00286C5A" w:rsidRDefault="00CC6591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3.1. valsts pamatbudžets</w:t>
            </w:r>
          </w:p>
        </w:tc>
        <w:tc>
          <w:tcPr>
            <w:tcW w:w="1418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559" w:type="dxa"/>
          </w:tcPr>
          <w:p w:rsidR="00587F33" w:rsidRPr="00286C5A" w:rsidRDefault="00D93C81" w:rsidP="00550188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–</w:t>
            </w:r>
            <w:r w:rsidR="00E73253" w:rsidRPr="00286C5A">
              <w:rPr>
                <w:lang w:val="lv-LV"/>
              </w:rPr>
              <w:t>3</w:t>
            </w:r>
            <w:r w:rsidR="00550188" w:rsidRPr="00286C5A">
              <w:rPr>
                <w:lang w:val="lv-LV"/>
              </w:rPr>
              <w:t>47</w:t>
            </w:r>
            <w:r w:rsidR="00FE6E03" w:rsidRPr="00286C5A">
              <w:rPr>
                <w:lang w:val="lv-LV"/>
              </w:rPr>
              <w:t xml:space="preserve"> </w:t>
            </w:r>
            <w:r w:rsidR="00E73253" w:rsidRPr="00286C5A">
              <w:rPr>
                <w:lang w:val="lv-LV"/>
              </w:rPr>
              <w:t>1</w:t>
            </w:r>
            <w:r w:rsidR="00550188" w:rsidRPr="00286C5A">
              <w:rPr>
                <w:lang w:val="lv-LV"/>
              </w:rPr>
              <w:t>3</w:t>
            </w:r>
            <w:r w:rsidR="00FE6E03" w:rsidRPr="00286C5A">
              <w:rPr>
                <w:lang w:val="lv-LV"/>
              </w:rPr>
              <w:t>5</w:t>
            </w:r>
          </w:p>
        </w:tc>
        <w:tc>
          <w:tcPr>
            <w:tcW w:w="1276" w:type="dxa"/>
          </w:tcPr>
          <w:p w:rsidR="00587F33" w:rsidRPr="00286C5A" w:rsidRDefault="00CC6591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3.2. speciālais budžets</w:t>
            </w:r>
          </w:p>
        </w:tc>
        <w:tc>
          <w:tcPr>
            <w:tcW w:w="1418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559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3.3. pašvaldību budžets</w:t>
            </w:r>
          </w:p>
        </w:tc>
        <w:tc>
          <w:tcPr>
            <w:tcW w:w="1418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559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559"/>
        <w:gridCol w:w="1276"/>
        <w:gridCol w:w="1275"/>
        <w:gridCol w:w="1276"/>
      </w:tblGrid>
      <w:tr w:rsidR="00587F33" w:rsidRPr="00286C5A" w:rsidTr="003E32E3">
        <w:tc>
          <w:tcPr>
            <w:tcW w:w="2518" w:type="dxa"/>
            <w:vMerge w:val="restart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4. Finanšu līdzekļi papildu izde</w:t>
            </w:r>
            <w:r w:rsidRPr="00286C5A">
              <w:rPr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1418" w:type="dxa"/>
            <w:vMerge w:val="restart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X</w:t>
            </w:r>
          </w:p>
        </w:tc>
        <w:tc>
          <w:tcPr>
            <w:tcW w:w="1559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286C5A" w:rsidTr="003E32E3">
        <w:tc>
          <w:tcPr>
            <w:tcW w:w="2518" w:type="dxa"/>
            <w:vMerge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  <w:vMerge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</w:p>
        </w:tc>
        <w:tc>
          <w:tcPr>
            <w:tcW w:w="1559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286C5A" w:rsidTr="003E32E3">
        <w:tc>
          <w:tcPr>
            <w:tcW w:w="2518" w:type="dxa"/>
            <w:vMerge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  <w:vMerge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</w:p>
        </w:tc>
        <w:tc>
          <w:tcPr>
            <w:tcW w:w="1559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</w:p>
          <w:p w:rsidR="00FE6E03" w:rsidRPr="00286C5A" w:rsidRDefault="00FE6E03" w:rsidP="003E32E3">
            <w:pPr>
              <w:jc w:val="center"/>
              <w:rPr>
                <w:lang w:val="lv-LV"/>
              </w:rPr>
            </w:pPr>
          </w:p>
          <w:p w:rsidR="00FE6E03" w:rsidRPr="00286C5A" w:rsidRDefault="00FE6E03" w:rsidP="00550188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 xml:space="preserve">+ </w:t>
            </w:r>
            <w:r w:rsidR="00E73253" w:rsidRPr="00286C5A">
              <w:rPr>
                <w:lang w:val="lv-LV"/>
              </w:rPr>
              <w:t>3</w:t>
            </w:r>
            <w:r w:rsidR="00550188" w:rsidRPr="00286C5A">
              <w:rPr>
                <w:lang w:val="lv-LV"/>
              </w:rPr>
              <w:t>47</w:t>
            </w:r>
            <w:r w:rsidRPr="00286C5A">
              <w:rPr>
                <w:lang w:val="lv-LV"/>
              </w:rPr>
              <w:t xml:space="preserve"> </w:t>
            </w:r>
            <w:r w:rsidR="00E73253" w:rsidRPr="00286C5A">
              <w:rPr>
                <w:lang w:val="lv-LV"/>
              </w:rPr>
              <w:t>1</w:t>
            </w:r>
            <w:r w:rsidR="00550188" w:rsidRPr="00286C5A">
              <w:rPr>
                <w:lang w:val="lv-LV"/>
              </w:rPr>
              <w:t>3</w:t>
            </w:r>
            <w:r w:rsidRPr="00286C5A">
              <w:rPr>
                <w:lang w:val="lv-LV"/>
              </w:rPr>
              <w:t>5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5. Precizēta finansiālā ietekme:</w:t>
            </w:r>
          </w:p>
        </w:tc>
        <w:tc>
          <w:tcPr>
            <w:tcW w:w="1418" w:type="dxa"/>
            <w:vMerge w:val="restart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X</w:t>
            </w:r>
          </w:p>
        </w:tc>
        <w:tc>
          <w:tcPr>
            <w:tcW w:w="1559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5.1. valsts pamatbudžets</w:t>
            </w:r>
          </w:p>
        </w:tc>
        <w:tc>
          <w:tcPr>
            <w:tcW w:w="1418" w:type="dxa"/>
            <w:vMerge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</w:p>
        </w:tc>
        <w:tc>
          <w:tcPr>
            <w:tcW w:w="1559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5.2. speciālais budžets</w:t>
            </w:r>
          </w:p>
        </w:tc>
        <w:tc>
          <w:tcPr>
            <w:tcW w:w="1418" w:type="dxa"/>
            <w:vMerge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</w:p>
        </w:tc>
        <w:tc>
          <w:tcPr>
            <w:tcW w:w="1559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 5.3. pašvaldību budžets</w:t>
            </w:r>
          </w:p>
        </w:tc>
        <w:tc>
          <w:tcPr>
            <w:tcW w:w="1418" w:type="dxa"/>
            <w:vMerge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</w:p>
        </w:tc>
        <w:tc>
          <w:tcPr>
            <w:tcW w:w="1559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5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  <w:tc>
          <w:tcPr>
            <w:tcW w:w="1276" w:type="dxa"/>
          </w:tcPr>
          <w:p w:rsidR="00587F33" w:rsidRPr="00286C5A" w:rsidRDefault="00587F33" w:rsidP="003E32E3">
            <w:pPr>
              <w:jc w:val="center"/>
              <w:rPr>
                <w:lang w:val="lv-LV"/>
              </w:rPr>
            </w:pPr>
            <w:r w:rsidRPr="00286C5A">
              <w:rPr>
                <w:lang w:val="lv-LV"/>
              </w:rPr>
              <w:t>0</w:t>
            </w:r>
          </w:p>
        </w:tc>
      </w:tr>
      <w:tr w:rsidR="00587F33" w:rsidRPr="00CF5ED7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lastRenderedPageBreak/>
              <w:t>6. Detalizēts ieņēmumu un izdevu</w:t>
            </w:r>
            <w:r w:rsidRPr="00286C5A">
              <w:rPr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804" w:type="dxa"/>
            <w:gridSpan w:val="5"/>
          </w:tcPr>
          <w:p w:rsidR="00587F33" w:rsidRPr="00286C5A" w:rsidRDefault="00CC6591" w:rsidP="00D93C81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5A">
              <w:rPr>
                <w:rFonts w:ascii="Times New Roman" w:hAnsi="Times New Roman"/>
                <w:sz w:val="24"/>
                <w:szCs w:val="24"/>
              </w:rPr>
              <w:t>Saskaņā ar rīkojuma Nr.359 6.punkt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u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 par pieaugušu vaislas dzīvnieku (sivēnmāti, kuili) kompensācija ir 170,00</w:t>
            </w:r>
            <w:r w:rsidR="00B575A4" w:rsidRPr="0028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C5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86C5A">
              <w:rPr>
                <w:rFonts w:ascii="Times New Roman" w:hAnsi="Times New Roman"/>
                <w:sz w:val="24"/>
                <w:szCs w:val="24"/>
              </w:rPr>
              <w:t xml:space="preserve">, par nobarojamo cūku vai jauncūku 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>120,00</w:t>
            </w:r>
            <w:r w:rsidR="00B575A4" w:rsidRPr="0028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C5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86C5A">
              <w:rPr>
                <w:rFonts w:ascii="Times New Roman" w:hAnsi="Times New Roman"/>
                <w:sz w:val="24"/>
                <w:szCs w:val="24"/>
              </w:rPr>
              <w:t xml:space="preserve"> un par piena sivēnu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 –</w:t>
            </w:r>
            <w:r w:rsidRPr="00286C5A">
              <w:rPr>
                <w:rFonts w:ascii="Times New Roman" w:hAnsi="Times New Roman"/>
                <w:sz w:val="24"/>
                <w:szCs w:val="24"/>
              </w:rPr>
              <w:t xml:space="preserve"> 35,00</w:t>
            </w:r>
            <w:r w:rsidR="00B575A4" w:rsidRPr="0028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C5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86C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E2A20" w:rsidRPr="00286C5A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proofErr w:type="gramStart"/>
            <w:r w:rsidR="001E2A20" w:rsidRPr="00286C5A">
              <w:rPr>
                <w:rFonts w:ascii="Times New Roman" w:hAnsi="Times New Roman"/>
                <w:sz w:val="24"/>
                <w:szCs w:val="24"/>
              </w:rPr>
              <w:t>2014.gada</w:t>
            </w:r>
            <w:proofErr w:type="gramEnd"/>
            <w:r w:rsidR="001E2A20" w:rsidRPr="00286C5A">
              <w:rPr>
                <w:rFonts w:ascii="Times New Roman" w:hAnsi="Times New Roman"/>
                <w:sz w:val="24"/>
                <w:szCs w:val="24"/>
              </w:rPr>
              <w:t xml:space="preserve"> 27.novembra </w:t>
            </w:r>
            <w:r w:rsidR="001E2A20" w:rsidRPr="00286C5A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261223" w:rsidRPr="00286C5A">
              <w:rPr>
                <w:rFonts w:ascii="Times New Roman" w:hAnsi="Times New Roman"/>
                <w:color w:val="000000"/>
                <w:sz w:val="24"/>
                <w:szCs w:val="24"/>
              </w:rPr>
              <w:t>īdz 201</w:t>
            </w:r>
            <w:r w:rsidR="00550188" w:rsidRPr="00286C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61223" w:rsidRPr="00286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.gada </w:t>
            </w:r>
            <w:r w:rsidR="00E73253" w:rsidRPr="00286C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50188" w:rsidRPr="00286C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61223" w:rsidRPr="00286C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50188" w:rsidRPr="00286C5A">
              <w:rPr>
                <w:rFonts w:ascii="Times New Roman" w:hAnsi="Times New Roman"/>
                <w:color w:val="000000"/>
                <w:sz w:val="24"/>
                <w:szCs w:val="24"/>
              </w:rPr>
              <w:t>janvārim</w:t>
            </w:r>
            <w:r w:rsidR="00261223" w:rsidRPr="00286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Lauku atbalsta dienestā ir saņemti iesniegumi kompensācijas i</w:t>
            </w:r>
            <w:r w:rsidR="00261223" w:rsidRPr="00286C5A">
              <w:rPr>
                <w:rFonts w:ascii="Times New Roman" w:hAnsi="Times New Roman"/>
                <w:sz w:val="24"/>
                <w:szCs w:val="24"/>
              </w:rPr>
              <w:t xml:space="preserve">zmaksai par kopējo summu </w:t>
            </w:r>
            <w:r w:rsidR="00550188" w:rsidRPr="00286C5A">
              <w:rPr>
                <w:rFonts w:ascii="Times New Roman" w:hAnsi="Times New Roman"/>
                <w:sz w:val="24"/>
                <w:szCs w:val="24"/>
              </w:rPr>
              <w:t>347</w:t>
            </w:r>
            <w:r w:rsidR="00E73253" w:rsidRPr="0028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188" w:rsidRPr="00286C5A">
              <w:rPr>
                <w:rFonts w:ascii="Times New Roman" w:hAnsi="Times New Roman"/>
                <w:sz w:val="24"/>
                <w:szCs w:val="24"/>
              </w:rPr>
              <w:t>135</w:t>
            </w:r>
            <w:r w:rsidR="00261223" w:rsidRPr="0028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1223" w:rsidRPr="00286C5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D93C81" w:rsidRPr="00286C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apmērā</w:t>
            </w:r>
            <w:r w:rsidR="00261223" w:rsidRPr="00286C5A">
              <w:rPr>
                <w:rFonts w:ascii="Times New Roman" w:hAnsi="Times New Roman"/>
                <w:sz w:val="24"/>
                <w:szCs w:val="24"/>
              </w:rPr>
              <w:t xml:space="preserve">. Ministru kabinets </w:t>
            </w:r>
            <w:proofErr w:type="gramStart"/>
            <w:r w:rsidR="00261223" w:rsidRPr="00286C5A">
              <w:rPr>
                <w:rFonts w:ascii="Times New Roman" w:hAnsi="Times New Roman"/>
                <w:sz w:val="24"/>
                <w:szCs w:val="24"/>
              </w:rPr>
              <w:t>2014.gada</w:t>
            </w:r>
            <w:proofErr w:type="gramEnd"/>
            <w:r w:rsidR="00261223" w:rsidRPr="0028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92B" w:rsidRPr="00286C5A">
              <w:rPr>
                <w:rFonts w:ascii="Times New Roman" w:hAnsi="Times New Roman"/>
                <w:sz w:val="24"/>
                <w:szCs w:val="24"/>
              </w:rPr>
              <w:t>2</w:t>
            </w:r>
            <w:r w:rsidR="00261223" w:rsidRPr="00286C5A">
              <w:rPr>
                <w:rFonts w:ascii="Times New Roman" w:hAnsi="Times New Roman"/>
                <w:sz w:val="24"/>
                <w:szCs w:val="24"/>
              </w:rPr>
              <w:t>.</w:t>
            </w:r>
            <w:r w:rsidR="00550188" w:rsidRPr="00286C5A">
              <w:rPr>
                <w:rFonts w:ascii="Times New Roman" w:hAnsi="Times New Roman"/>
                <w:sz w:val="24"/>
                <w:szCs w:val="24"/>
              </w:rPr>
              <w:t>decembrī</w:t>
            </w:r>
            <w:r w:rsidR="00261223" w:rsidRPr="0028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 w:rsidR="00261223" w:rsidRPr="00286C5A">
              <w:rPr>
                <w:rFonts w:ascii="Times New Roman" w:hAnsi="Times New Roman"/>
                <w:sz w:val="24"/>
                <w:szCs w:val="24"/>
              </w:rPr>
              <w:t>piešķīra</w:t>
            </w:r>
            <w:r w:rsidR="00550188" w:rsidRPr="00286C5A">
              <w:rPr>
                <w:rFonts w:ascii="Times New Roman" w:hAnsi="Times New Roman"/>
                <w:sz w:val="24"/>
                <w:szCs w:val="24"/>
              </w:rPr>
              <w:t xml:space="preserve"> 364 145 </w:t>
            </w:r>
            <w:proofErr w:type="spellStart"/>
            <w:r w:rsidR="00550188" w:rsidRPr="00286C5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550188" w:rsidRPr="00286C5A">
              <w:rPr>
                <w:rFonts w:ascii="Times New Roman" w:hAnsi="Times New Roman"/>
                <w:sz w:val="24"/>
                <w:szCs w:val="24"/>
              </w:rPr>
              <w:t>, lai Lauku atbalsta dienests varētu izmaksāt kompensācijas dzīvnieku īpašniekiem, k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>as</w:t>
            </w:r>
            <w:r w:rsidR="00550188" w:rsidRPr="0028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C81" w:rsidRPr="00286C5A">
              <w:rPr>
                <w:rFonts w:ascii="Times New Roman" w:hAnsi="Times New Roman"/>
                <w:sz w:val="24"/>
                <w:szCs w:val="24"/>
              </w:rPr>
              <w:t xml:space="preserve">dokumentus Lauku atbalsta dienestā bija iesnieguši </w:t>
            </w:r>
            <w:r w:rsidR="00550188" w:rsidRPr="00286C5A">
              <w:rPr>
                <w:rFonts w:ascii="Times New Roman" w:hAnsi="Times New Roman"/>
                <w:sz w:val="24"/>
                <w:szCs w:val="24"/>
              </w:rPr>
              <w:t>līdz 2014.gada 26.novembrim</w:t>
            </w:r>
            <w:r w:rsidR="00BE17CE" w:rsidRPr="00286C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6.1. detalizēts ieņēmumu aprēķins</w:t>
            </w:r>
          </w:p>
        </w:tc>
        <w:tc>
          <w:tcPr>
            <w:tcW w:w="6804" w:type="dxa"/>
            <w:gridSpan w:val="5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6.2. detalizēts izdevumu aprēķins</w:t>
            </w:r>
          </w:p>
        </w:tc>
        <w:tc>
          <w:tcPr>
            <w:tcW w:w="6804" w:type="dxa"/>
            <w:gridSpan w:val="5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</w:p>
        </w:tc>
      </w:tr>
      <w:tr w:rsidR="00587F33" w:rsidRPr="00286C5A" w:rsidTr="003E32E3">
        <w:tc>
          <w:tcPr>
            <w:tcW w:w="2518" w:type="dxa"/>
          </w:tcPr>
          <w:p w:rsidR="00587F33" w:rsidRPr="00286C5A" w:rsidRDefault="00587F33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>7. Cita informācija</w:t>
            </w:r>
          </w:p>
        </w:tc>
        <w:tc>
          <w:tcPr>
            <w:tcW w:w="6804" w:type="dxa"/>
            <w:gridSpan w:val="5"/>
          </w:tcPr>
          <w:p w:rsidR="00587F33" w:rsidRPr="00286C5A" w:rsidRDefault="00D03382" w:rsidP="003E32E3">
            <w:pPr>
              <w:jc w:val="both"/>
              <w:rPr>
                <w:lang w:val="lv-LV"/>
              </w:rPr>
            </w:pPr>
            <w:r w:rsidRPr="00286C5A">
              <w:rPr>
                <w:lang w:val="lv-LV"/>
              </w:rPr>
              <w:t xml:space="preserve">Nav </w:t>
            </w:r>
          </w:p>
        </w:tc>
      </w:tr>
    </w:tbl>
    <w:p w:rsidR="00587F33" w:rsidRPr="00286C5A" w:rsidRDefault="00587F33" w:rsidP="00587F33">
      <w:pPr>
        <w:rPr>
          <w:lang w:val="lv-LV"/>
        </w:rPr>
      </w:pPr>
    </w:p>
    <w:p w:rsidR="00DB32E2" w:rsidRPr="00286C5A" w:rsidRDefault="00DB32E2" w:rsidP="00DB32E2">
      <w:pPr>
        <w:pStyle w:val="naisf"/>
        <w:spacing w:before="0" w:beforeAutospacing="0" w:after="0" w:afterAutospacing="0"/>
        <w:rPr>
          <w:i/>
          <w:lang w:val="lv-LV"/>
        </w:rPr>
      </w:pPr>
      <w:r w:rsidRPr="00286C5A">
        <w:rPr>
          <w:i/>
          <w:lang w:val="lv-LV"/>
        </w:rPr>
        <w:t>Anotācijas III, IV, V un VI sadaļa – projekts šīs jomas neskar.</w:t>
      </w:r>
    </w:p>
    <w:p w:rsidR="00DB32E2" w:rsidRPr="00286C5A" w:rsidRDefault="00DB32E2" w:rsidP="00DB32E2">
      <w:pPr>
        <w:pStyle w:val="naisf"/>
        <w:spacing w:before="0" w:beforeAutospacing="0" w:after="0" w:afterAutospacing="0"/>
        <w:rPr>
          <w:i/>
          <w:lang w:val="lv-LV"/>
        </w:rPr>
      </w:pPr>
    </w:p>
    <w:tbl>
      <w:tblPr>
        <w:tblW w:w="5000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"/>
        <w:gridCol w:w="2677"/>
        <w:gridCol w:w="5681"/>
      </w:tblGrid>
      <w:tr w:rsidR="00DB32E2" w:rsidRPr="00CF5ED7" w:rsidTr="003E32E3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b/>
                <w:bCs/>
                <w:lang w:val="lv-LV"/>
              </w:rPr>
            </w:pPr>
            <w:r w:rsidRPr="00286C5A">
              <w:rPr>
                <w:b/>
                <w:bCs/>
                <w:lang w:val="lv-LV"/>
              </w:rPr>
              <w:t>VII. Tiesību akta projekta izpildes nodrošināšana un tās ietekme uz institūcijām</w:t>
            </w:r>
          </w:p>
        </w:tc>
      </w:tr>
      <w:tr w:rsidR="00DB32E2" w:rsidRPr="00286C5A" w:rsidTr="003E32E3"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1.</w:t>
            </w:r>
          </w:p>
        </w:tc>
        <w:tc>
          <w:tcPr>
            <w:tcW w:w="1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Projekta izpildē iesaistītās institūcijas</w:t>
            </w:r>
          </w:p>
        </w:tc>
        <w:tc>
          <w:tcPr>
            <w:tcW w:w="3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Lauku atbalsta dienests</w:t>
            </w:r>
          </w:p>
        </w:tc>
      </w:tr>
      <w:tr w:rsidR="00DB32E2" w:rsidRPr="00286C5A" w:rsidTr="003E32E3"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2.</w:t>
            </w:r>
          </w:p>
        </w:tc>
        <w:tc>
          <w:tcPr>
            <w:tcW w:w="1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 xml:space="preserve">Projekta izpildes ietekme uz pārvaldes funkcijām un institucionālo struktūru. </w:t>
            </w:r>
          </w:p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Projekts šo jomu neskar.</w:t>
            </w:r>
          </w:p>
        </w:tc>
      </w:tr>
      <w:tr w:rsidR="00DB32E2" w:rsidRPr="00286C5A" w:rsidTr="003E32E3"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3.</w:t>
            </w:r>
          </w:p>
        </w:tc>
        <w:tc>
          <w:tcPr>
            <w:tcW w:w="1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Cita informācija</w:t>
            </w:r>
          </w:p>
        </w:tc>
        <w:tc>
          <w:tcPr>
            <w:tcW w:w="3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2E2" w:rsidRPr="00286C5A" w:rsidRDefault="00DB32E2" w:rsidP="003E32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286C5A">
              <w:rPr>
                <w:lang w:val="lv-LV"/>
              </w:rPr>
              <w:t>Nav.</w:t>
            </w:r>
          </w:p>
        </w:tc>
      </w:tr>
    </w:tbl>
    <w:p w:rsidR="00DB32E2" w:rsidRPr="00286C5A" w:rsidRDefault="00DB32E2" w:rsidP="00DB32E2">
      <w:pPr>
        <w:pStyle w:val="naisf"/>
        <w:spacing w:before="0" w:beforeAutospacing="0" w:after="0" w:afterAutospacing="0"/>
        <w:rPr>
          <w:lang w:val="lv-LV"/>
        </w:rPr>
      </w:pPr>
    </w:p>
    <w:p w:rsidR="00DB32E2" w:rsidRPr="00286C5A" w:rsidRDefault="00DB32E2" w:rsidP="00DB32E2">
      <w:pPr>
        <w:pStyle w:val="naisf"/>
        <w:spacing w:before="0" w:beforeAutospacing="0" w:after="0" w:afterAutospacing="0"/>
        <w:rPr>
          <w:lang w:val="lv-LV"/>
        </w:rPr>
      </w:pPr>
    </w:p>
    <w:p w:rsidR="00DB32E2" w:rsidRPr="00286C5A" w:rsidRDefault="00DB32E2" w:rsidP="00DB32E2">
      <w:pPr>
        <w:pStyle w:val="naisf"/>
        <w:spacing w:before="0" w:beforeAutospacing="0" w:after="0" w:afterAutospacing="0"/>
        <w:rPr>
          <w:lang w:val="lv-LV"/>
        </w:rPr>
      </w:pPr>
    </w:p>
    <w:p w:rsidR="00DB32E2" w:rsidRPr="00286C5A" w:rsidRDefault="00DB32E2" w:rsidP="00DB32E2">
      <w:pPr>
        <w:pStyle w:val="naisf"/>
        <w:spacing w:before="0" w:beforeAutospacing="0" w:after="0" w:afterAutospacing="0"/>
        <w:rPr>
          <w:lang w:val="lv-LV"/>
        </w:rPr>
      </w:pPr>
      <w:r w:rsidRPr="00286C5A">
        <w:rPr>
          <w:lang w:val="lv-LV"/>
        </w:rPr>
        <w:tab/>
        <w:t>Zemkopības ministrs</w:t>
      </w:r>
      <w:r w:rsidRPr="00286C5A">
        <w:rPr>
          <w:lang w:val="lv-LV"/>
        </w:rPr>
        <w:tab/>
      </w:r>
      <w:r w:rsidRPr="00286C5A">
        <w:rPr>
          <w:lang w:val="lv-LV"/>
        </w:rPr>
        <w:tab/>
      </w:r>
      <w:r w:rsidRPr="00286C5A">
        <w:rPr>
          <w:lang w:val="lv-LV"/>
        </w:rPr>
        <w:tab/>
      </w:r>
      <w:r w:rsidRPr="00286C5A">
        <w:rPr>
          <w:lang w:val="lv-LV"/>
        </w:rPr>
        <w:tab/>
      </w:r>
      <w:r w:rsidRPr="00286C5A">
        <w:rPr>
          <w:lang w:val="lv-LV"/>
        </w:rPr>
        <w:tab/>
      </w:r>
      <w:r w:rsidRPr="00286C5A">
        <w:rPr>
          <w:lang w:val="lv-LV"/>
        </w:rPr>
        <w:tab/>
      </w:r>
      <w:proofErr w:type="spellStart"/>
      <w:r w:rsidRPr="00286C5A">
        <w:rPr>
          <w:lang w:val="lv-LV"/>
        </w:rPr>
        <w:t>J.Dūklavs</w:t>
      </w:r>
      <w:proofErr w:type="spellEnd"/>
    </w:p>
    <w:p w:rsidR="00DB32E2" w:rsidRPr="00CC6591" w:rsidRDefault="00DB32E2" w:rsidP="00DB32E2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DB32E2" w:rsidRPr="00CC6591" w:rsidRDefault="00DB32E2" w:rsidP="00DB32E2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DB32E2" w:rsidRPr="00CC6591" w:rsidRDefault="00DB32E2" w:rsidP="00DB32E2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DB32E2" w:rsidRPr="00CC6591" w:rsidRDefault="00DB32E2" w:rsidP="00DB32E2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DB32E2" w:rsidRDefault="00DB32E2" w:rsidP="00DB32E2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286C5A" w:rsidRDefault="00286C5A" w:rsidP="00DB32E2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286C5A" w:rsidRDefault="00286C5A" w:rsidP="00DB32E2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286C5A" w:rsidRPr="00CC6591" w:rsidRDefault="00286C5A" w:rsidP="00DB32E2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DB32E2" w:rsidRPr="00CC6591" w:rsidRDefault="00DB32E2" w:rsidP="00DB32E2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DB32E2" w:rsidRPr="00CC6591" w:rsidRDefault="00DB32E2" w:rsidP="00DB32E2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286C5A" w:rsidRDefault="00286C5A" w:rsidP="00DB32E2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02.02.2015. 12:13</w:t>
      </w:r>
    </w:p>
    <w:p w:rsidR="00CF5ED7" w:rsidRDefault="00CF5ED7" w:rsidP="00DB32E2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1028</w:t>
      </w:r>
      <w:r>
        <w:rPr>
          <w:sz w:val="20"/>
          <w:szCs w:val="20"/>
          <w:lang w:val="lv-LV"/>
        </w:rPr>
        <w:fldChar w:fldCharType="end"/>
      </w:r>
    </w:p>
    <w:p w:rsidR="00DB32E2" w:rsidRPr="00CC6591" w:rsidRDefault="00DB32E2" w:rsidP="00DB32E2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bookmarkStart w:id="2" w:name="_GoBack"/>
      <w:bookmarkEnd w:id="2"/>
      <w:r w:rsidRPr="00CC6591">
        <w:rPr>
          <w:sz w:val="20"/>
          <w:szCs w:val="20"/>
          <w:lang w:val="lv-LV"/>
        </w:rPr>
        <w:t>S.Vanaga</w:t>
      </w:r>
    </w:p>
    <w:p w:rsidR="001B2649" w:rsidRPr="00CC6591" w:rsidRDefault="00DB32E2" w:rsidP="00C2422F">
      <w:pPr>
        <w:pStyle w:val="naisf"/>
        <w:spacing w:before="0" w:beforeAutospacing="0" w:after="0" w:afterAutospacing="0"/>
        <w:rPr>
          <w:lang w:val="lv-LV"/>
        </w:rPr>
      </w:pPr>
      <w:r w:rsidRPr="00CC6591">
        <w:rPr>
          <w:sz w:val="20"/>
          <w:szCs w:val="20"/>
          <w:lang w:val="lv-LV"/>
        </w:rPr>
        <w:t xml:space="preserve">67027363, </w:t>
      </w:r>
      <w:r w:rsidRPr="00286C5A">
        <w:rPr>
          <w:sz w:val="20"/>
          <w:szCs w:val="20"/>
          <w:lang w:val="lv-LV"/>
        </w:rPr>
        <w:t>Sanita.Vanaga@zm.gov.lv</w:t>
      </w:r>
      <w:bookmarkEnd w:id="0"/>
      <w:bookmarkEnd w:id="1"/>
    </w:p>
    <w:sectPr w:rsidR="001B2649" w:rsidRPr="00CC6591" w:rsidSect="00115207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BA" w:rsidRDefault="00277DBA" w:rsidP="00CC6591">
      <w:r>
        <w:separator/>
      </w:r>
    </w:p>
  </w:endnote>
  <w:endnote w:type="continuationSeparator" w:id="0">
    <w:p w:rsidR="00277DBA" w:rsidRDefault="00277DBA" w:rsidP="00CC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A8" w:rsidRPr="005226B5" w:rsidRDefault="00B47488" w:rsidP="005226B5">
    <w:pPr>
      <w:pStyle w:val="Bezatstarpm"/>
      <w:jc w:val="both"/>
      <w:rPr>
        <w:rFonts w:ascii="Times New Roman" w:hAnsi="Times New Roman"/>
        <w:bCs/>
        <w:sz w:val="20"/>
        <w:szCs w:val="20"/>
        <w:lang w:eastAsia="lv-LV"/>
      </w:rPr>
    </w:pPr>
    <w:r w:rsidRPr="005226B5">
      <w:rPr>
        <w:rFonts w:ascii="Times New Roman" w:hAnsi="Times New Roman"/>
        <w:sz w:val="20"/>
        <w:szCs w:val="20"/>
      </w:rPr>
      <w:t>ZManot_</w:t>
    </w:r>
    <w:r w:rsidR="000A57C3">
      <w:rPr>
        <w:rFonts w:ascii="Times New Roman" w:hAnsi="Times New Roman"/>
        <w:sz w:val="20"/>
        <w:szCs w:val="20"/>
      </w:rPr>
      <w:t>2</w:t>
    </w:r>
    <w:r w:rsidR="005B7C0D">
      <w:rPr>
        <w:rFonts w:ascii="Times New Roman" w:hAnsi="Times New Roman"/>
        <w:sz w:val="20"/>
        <w:szCs w:val="20"/>
      </w:rPr>
      <w:t>9</w:t>
    </w:r>
    <w:r w:rsidR="000A57C3">
      <w:rPr>
        <w:rFonts w:ascii="Times New Roman" w:hAnsi="Times New Roman"/>
        <w:sz w:val="20"/>
        <w:szCs w:val="20"/>
      </w:rPr>
      <w:t>0115</w:t>
    </w:r>
    <w:r w:rsidRPr="005226B5">
      <w:rPr>
        <w:rFonts w:ascii="Times New Roman" w:hAnsi="Times New Roman"/>
        <w:sz w:val="20"/>
        <w:szCs w:val="20"/>
      </w:rPr>
      <w:t xml:space="preserve">_ACMierobežošana; Ministru kabineta rīkojuma projekta </w:t>
    </w:r>
    <w:r w:rsidRPr="005226B5">
      <w:rPr>
        <w:rFonts w:ascii="Times New Roman" w:hAnsi="Times New Roman"/>
        <w:bCs/>
        <w:sz w:val="20"/>
        <w:szCs w:val="20"/>
        <w:lang w:eastAsia="lv-LV"/>
      </w:rPr>
      <w:t xml:space="preserve">„Grozījums Ministru kabineta </w:t>
    </w:r>
    <w:proofErr w:type="gramStart"/>
    <w:r>
      <w:rPr>
        <w:rFonts w:ascii="Times New Roman" w:hAnsi="Times New Roman"/>
        <w:bCs/>
        <w:sz w:val="20"/>
        <w:szCs w:val="20"/>
        <w:lang w:eastAsia="lv-LV"/>
      </w:rPr>
      <w:t>2</w:t>
    </w:r>
    <w:r w:rsidRPr="005226B5">
      <w:rPr>
        <w:rFonts w:ascii="Times New Roman" w:hAnsi="Times New Roman"/>
        <w:bCs/>
        <w:sz w:val="20"/>
        <w:szCs w:val="20"/>
        <w:lang w:eastAsia="lv-LV"/>
      </w:rPr>
      <w:t>014.gada</w:t>
    </w:r>
    <w:proofErr w:type="gramEnd"/>
    <w:r w:rsidRPr="005226B5">
      <w:rPr>
        <w:rFonts w:ascii="Times New Roman" w:hAnsi="Times New Roman"/>
        <w:bCs/>
        <w:sz w:val="20"/>
        <w:szCs w:val="20"/>
        <w:lang w:eastAsia="lv-LV"/>
      </w:rPr>
      <w:t xml:space="preserve"> 15.jūlija rīkojumā Nr.359 „</w:t>
    </w:r>
    <w:r w:rsidRPr="005226B5">
      <w:rPr>
        <w:rFonts w:ascii="Times New Roman" w:hAnsi="Times New Roman"/>
        <w:sz w:val="20"/>
        <w:szCs w:val="20"/>
        <w:lang w:eastAsia="lv-LV"/>
      </w:rPr>
      <w:t>Par pasākumiem Āfrikas cūku mēra izplatīšanās ierobežošanai</w:t>
    </w:r>
    <w:r w:rsidRPr="005226B5">
      <w:rPr>
        <w:rFonts w:ascii="Times New Roman" w:hAnsi="Times New Roman"/>
        <w:bCs/>
        <w:sz w:val="20"/>
        <w:szCs w:val="20"/>
        <w:lang w:eastAsia="lv-LV"/>
      </w:rPr>
      <w:t>””</w:t>
    </w:r>
    <w:r>
      <w:rPr>
        <w:rFonts w:ascii="Times New Roman" w:hAnsi="Times New Roman"/>
        <w:bCs/>
        <w:sz w:val="20"/>
        <w:szCs w:val="20"/>
        <w:lang w:eastAsia="lv-LV"/>
      </w:rPr>
      <w:t xml:space="preserve"> </w:t>
    </w:r>
    <w:r w:rsidRPr="005226B5">
      <w:rPr>
        <w:rFonts w:ascii="Times New Roman" w:hAnsi="Times New Roman"/>
        <w:bCs/>
        <w:sz w:val="20"/>
        <w:szCs w:val="20"/>
        <w:lang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B5" w:rsidRPr="005226B5" w:rsidRDefault="00B47488" w:rsidP="005226B5">
    <w:pPr>
      <w:pStyle w:val="Bezatstarpm"/>
      <w:jc w:val="both"/>
      <w:rPr>
        <w:rFonts w:ascii="Times New Roman" w:hAnsi="Times New Roman"/>
        <w:bCs/>
        <w:sz w:val="20"/>
        <w:szCs w:val="20"/>
        <w:lang w:eastAsia="lv-LV"/>
      </w:rPr>
    </w:pPr>
    <w:r w:rsidRPr="005226B5">
      <w:rPr>
        <w:rFonts w:ascii="Times New Roman" w:hAnsi="Times New Roman"/>
        <w:sz w:val="20"/>
        <w:szCs w:val="20"/>
      </w:rPr>
      <w:t>ZManot_</w:t>
    </w:r>
    <w:r w:rsidR="000A57C3">
      <w:rPr>
        <w:rFonts w:ascii="Times New Roman" w:hAnsi="Times New Roman"/>
        <w:sz w:val="20"/>
        <w:szCs w:val="20"/>
      </w:rPr>
      <w:t>2</w:t>
    </w:r>
    <w:r w:rsidR="005B7C0D">
      <w:rPr>
        <w:rFonts w:ascii="Times New Roman" w:hAnsi="Times New Roman"/>
        <w:sz w:val="20"/>
        <w:szCs w:val="20"/>
      </w:rPr>
      <w:t>9</w:t>
    </w:r>
    <w:r w:rsidR="000A57C3">
      <w:rPr>
        <w:rFonts w:ascii="Times New Roman" w:hAnsi="Times New Roman"/>
        <w:sz w:val="20"/>
        <w:szCs w:val="20"/>
      </w:rPr>
      <w:t>0115</w:t>
    </w:r>
    <w:r w:rsidRPr="005226B5">
      <w:rPr>
        <w:rFonts w:ascii="Times New Roman" w:hAnsi="Times New Roman"/>
        <w:sz w:val="20"/>
        <w:szCs w:val="20"/>
      </w:rPr>
      <w:t xml:space="preserve">_ACMierobežošana; Ministru kabineta rīkojuma projekta </w:t>
    </w:r>
    <w:r w:rsidRPr="005226B5">
      <w:rPr>
        <w:rFonts w:ascii="Times New Roman" w:hAnsi="Times New Roman"/>
        <w:bCs/>
        <w:sz w:val="20"/>
        <w:szCs w:val="20"/>
        <w:lang w:eastAsia="lv-LV"/>
      </w:rPr>
      <w:t xml:space="preserve">„Grozījums Ministru kabineta </w:t>
    </w:r>
    <w:proofErr w:type="gramStart"/>
    <w:r>
      <w:rPr>
        <w:rFonts w:ascii="Times New Roman" w:hAnsi="Times New Roman"/>
        <w:bCs/>
        <w:sz w:val="20"/>
        <w:szCs w:val="20"/>
        <w:lang w:eastAsia="lv-LV"/>
      </w:rPr>
      <w:t>2</w:t>
    </w:r>
    <w:r w:rsidRPr="005226B5">
      <w:rPr>
        <w:rFonts w:ascii="Times New Roman" w:hAnsi="Times New Roman"/>
        <w:bCs/>
        <w:sz w:val="20"/>
        <w:szCs w:val="20"/>
        <w:lang w:eastAsia="lv-LV"/>
      </w:rPr>
      <w:t>014.gada</w:t>
    </w:r>
    <w:proofErr w:type="gramEnd"/>
    <w:r w:rsidRPr="005226B5">
      <w:rPr>
        <w:rFonts w:ascii="Times New Roman" w:hAnsi="Times New Roman"/>
        <w:bCs/>
        <w:sz w:val="20"/>
        <w:szCs w:val="20"/>
        <w:lang w:eastAsia="lv-LV"/>
      </w:rPr>
      <w:t xml:space="preserve"> 15.jūlija rīkojumā Nr.359 „</w:t>
    </w:r>
    <w:r w:rsidRPr="005226B5">
      <w:rPr>
        <w:rFonts w:ascii="Times New Roman" w:hAnsi="Times New Roman"/>
        <w:sz w:val="20"/>
        <w:szCs w:val="20"/>
        <w:lang w:eastAsia="lv-LV"/>
      </w:rPr>
      <w:t>Par pasākumiem Āfrikas cūku mēra izplatīšanās ierobežošanai</w:t>
    </w:r>
    <w:r w:rsidRPr="005226B5">
      <w:rPr>
        <w:rFonts w:ascii="Times New Roman" w:hAnsi="Times New Roman"/>
        <w:bCs/>
        <w:sz w:val="20"/>
        <w:szCs w:val="20"/>
        <w:lang w:eastAsia="lv-LV"/>
      </w:rPr>
      <w:t>””</w:t>
    </w:r>
    <w:r>
      <w:rPr>
        <w:rFonts w:ascii="Times New Roman" w:hAnsi="Times New Roman"/>
        <w:bCs/>
        <w:sz w:val="20"/>
        <w:szCs w:val="20"/>
        <w:lang w:eastAsia="lv-LV"/>
      </w:rPr>
      <w:t xml:space="preserve"> </w:t>
    </w:r>
    <w:r w:rsidRPr="005226B5">
      <w:rPr>
        <w:rFonts w:ascii="Times New Roman" w:hAnsi="Times New Roman"/>
        <w:bCs/>
        <w:sz w:val="20"/>
        <w:szCs w:val="20"/>
        <w:lang w:eastAsia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BA" w:rsidRDefault="00277DBA" w:rsidP="00CC6591">
      <w:r>
        <w:separator/>
      </w:r>
    </w:p>
  </w:footnote>
  <w:footnote w:type="continuationSeparator" w:id="0">
    <w:p w:rsidR="00277DBA" w:rsidRDefault="00277DBA" w:rsidP="00CC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B4748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CF5E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B4748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F5ED7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D27E52" w:rsidRDefault="00CF5ED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E2"/>
    <w:rsid w:val="00021AB3"/>
    <w:rsid w:val="000A57C3"/>
    <w:rsid w:val="000B0D62"/>
    <w:rsid w:val="000D7400"/>
    <w:rsid w:val="0014392B"/>
    <w:rsid w:val="00167A97"/>
    <w:rsid w:val="001B2649"/>
    <w:rsid w:val="001C1834"/>
    <w:rsid w:val="001E2A20"/>
    <w:rsid w:val="00210117"/>
    <w:rsid w:val="00214FC0"/>
    <w:rsid w:val="00234104"/>
    <w:rsid w:val="00261223"/>
    <w:rsid w:val="00277DBA"/>
    <w:rsid w:val="0028178E"/>
    <w:rsid w:val="00286C5A"/>
    <w:rsid w:val="00292E2C"/>
    <w:rsid w:val="002F5B85"/>
    <w:rsid w:val="00395ED3"/>
    <w:rsid w:val="003F757A"/>
    <w:rsid w:val="004C0AA1"/>
    <w:rsid w:val="005338D3"/>
    <w:rsid w:val="00550188"/>
    <w:rsid w:val="005749AD"/>
    <w:rsid w:val="0058018B"/>
    <w:rsid w:val="00587F33"/>
    <w:rsid w:val="005B7C0D"/>
    <w:rsid w:val="0064369B"/>
    <w:rsid w:val="0065716F"/>
    <w:rsid w:val="006D53BC"/>
    <w:rsid w:val="0071123E"/>
    <w:rsid w:val="00754898"/>
    <w:rsid w:val="007C09FC"/>
    <w:rsid w:val="007C24DC"/>
    <w:rsid w:val="00855B3F"/>
    <w:rsid w:val="008C2584"/>
    <w:rsid w:val="008C7D68"/>
    <w:rsid w:val="008C7DB2"/>
    <w:rsid w:val="008E0C14"/>
    <w:rsid w:val="00901545"/>
    <w:rsid w:val="00947FAA"/>
    <w:rsid w:val="00A024B1"/>
    <w:rsid w:val="00A07577"/>
    <w:rsid w:val="00A32AA5"/>
    <w:rsid w:val="00A841AD"/>
    <w:rsid w:val="00AB4BE4"/>
    <w:rsid w:val="00B47488"/>
    <w:rsid w:val="00B575A4"/>
    <w:rsid w:val="00B90585"/>
    <w:rsid w:val="00BE17CE"/>
    <w:rsid w:val="00BE3C9D"/>
    <w:rsid w:val="00C2422F"/>
    <w:rsid w:val="00C76C04"/>
    <w:rsid w:val="00C955A4"/>
    <w:rsid w:val="00CC6591"/>
    <w:rsid w:val="00CF5ED7"/>
    <w:rsid w:val="00CF6804"/>
    <w:rsid w:val="00D03382"/>
    <w:rsid w:val="00D93C81"/>
    <w:rsid w:val="00DB0188"/>
    <w:rsid w:val="00DB32E2"/>
    <w:rsid w:val="00DD40D8"/>
    <w:rsid w:val="00E2426B"/>
    <w:rsid w:val="00E73253"/>
    <w:rsid w:val="00E82014"/>
    <w:rsid w:val="00E84BF5"/>
    <w:rsid w:val="00E96F05"/>
    <w:rsid w:val="00F071B2"/>
    <w:rsid w:val="00F60702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C3B00-34C6-4D04-A92A-B2BE9914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B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DB32E2"/>
    <w:pPr>
      <w:spacing w:before="100" w:beforeAutospacing="1" w:after="100" w:afterAutospacing="1"/>
      <w:jc w:val="both"/>
    </w:pPr>
    <w:rPr>
      <w:rFonts w:eastAsia="Arial Unicode MS"/>
    </w:rPr>
  </w:style>
  <w:style w:type="paragraph" w:styleId="Galvene">
    <w:name w:val="header"/>
    <w:basedOn w:val="Parasts"/>
    <w:link w:val="GalveneRakstz"/>
    <w:rsid w:val="00DB32E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B32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DB32E2"/>
  </w:style>
  <w:style w:type="character" w:styleId="Hipersaite">
    <w:name w:val="Hyperlink"/>
    <w:basedOn w:val="Noklusjumarindkopasfonts"/>
    <w:rsid w:val="00DB32E2"/>
    <w:rPr>
      <w:color w:val="0000FF"/>
      <w:u w:val="single"/>
    </w:rPr>
  </w:style>
  <w:style w:type="paragraph" w:styleId="Bezatstarpm">
    <w:name w:val="No Spacing"/>
    <w:qFormat/>
    <w:rsid w:val="00DB32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-ti">
    <w:name w:val="doc-ti"/>
    <w:basedOn w:val="Parasts"/>
    <w:rsid w:val="008C7D68"/>
    <w:pPr>
      <w:spacing w:before="240" w:after="120"/>
      <w:jc w:val="center"/>
    </w:pPr>
    <w:rPr>
      <w:b/>
      <w:bCs/>
      <w:lang w:val="lv-LV" w:eastAsia="lv-LV"/>
    </w:rPr>
  </w:style>
  <w:style w:type="table" w:styleId="Reatabula">
    <w:name w:val="Table Grid"/>
    <w:basedOn w:val="Parastatabula"/>
    <w:uiPriority w:val="59"/>
    <w:rsid w:val="0058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CC6591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C65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6122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12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227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25987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6908</Characters>
  <Application>Microsoft Office Word</Application>
  <DocSecurity>0</DocSecurity>
  <Lines>383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2014.gada 17.jūlija rīkojumā Nr.359 "Par pasākumiem Āfrikas cūku mēra izplatīšanās ierobežošanai</vt:lpstr>
      <vt:lpstr>Grozījumi Ministru kabineta 2014.gada 17.jūlija rīkojumā Nr.359 "Par pasākumiem Āfrikas cūku mēra izplatīšanās ierobežošanai</vt:lpstr>
    </vt:vector>
  </TitlesOfParts>
  <Manager>Veterinārais un pārtikas departaments</Manager>
  <Company>Zemkopības Ministrija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17.jūlija rīkojumā Nr.359 "Par pasākumiem Āfrikas cūku mēra izplatīšanās ierobežošanai</dc:title>
  <dc:subject>Sākotnējās ietekmes novērtējums (anotācija)</dc:subject>
  <dc:creator>Sanita Vanaga</dc:creator>
  <dc:description>Sanita.Vanaga@zm.gov.lv, 67027363</dc:description>
  <cp:lastModifiedBy>Renārs Žagars</cp:lastModifiedBy>
  <cp:revision>10</cp:revision>
  <cp:lastPrinted>2014-11-20T11:57:00Z</cp:lastPrinted>
  <dcterms:created xsi:type="dcterms:W3CDTF">2015-02-02T09:55:00Z</dcterms:created>
  <dcterms:modified xsi:type="dcterms:W3CDTF">2015-02-04T07:45:00Z</dcterms:modified>
</cp:coreProperties>
</file>