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1E4AD" w14:textId="77777777" w:rsidR="00EC4C87" w:rsidRPr="00174238" w:rsidRDefault="00EC4C87" w:rsidP="00183579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74238">
        <w:rPr>
          <w:rFonts w:ascii="Times New Roman" w:eastAsia="Times New Roman" w:hAnsi="Times New Roman" w:cs="Times New Roman"/>
          <w:noProof/>
          <w:sz w:val="28"/>
          <w:szCs w:val="28"/>
        </w:rPr>
        <w:t>1.</w:t>
      </w:r>
      <w:r w:rsidR="008C26F0" w:rsidRPr="00174238">
        <w:rPr>
          <w:rFonts w:ascii="Times New Roman" w:eastAsia="Times New Roman" w:hAnsi="Times New Roman" w:cs="Times New Roman"/>
          <w:noProof/>
          <w:sz w:val="28"/>
          <w:szCs w:val="28"/>
        </w:rPr>
        <w:t> </w:t>
      </w:r>
      <w:r w:rsidRPr="00174238">
        <w:rPr>
          <w:rFonts w:ascii="Times New Roman" w:eastAsia="Times New Roman" w:hAnsi="Times New Roman" w:cs="Times New Roman"/>
          <w:noProof/>
          <w:sz w:val="28"/>
          <w:szCs w:val="28"/>
        </w:rPr>
        <w:t>pielikums</w:t>
      </w:r>
      <w:r w:rsidRPr="00174238">
        <w:rPr>
          <w:rFonts w:ascii="Times New Roman" w:eastAsia="Times New Roman" w:hAnsi="Times New Roman" w:cs="Times New Roman"/>
          <w:noProof/>
          <w:sz w:val="28"/>
          <w:szCs w:val="28"/>
        </w:rPr>
        <w:br/>
        <w:t>Ministru kabineta</w:t>
      </w:r>
    </w:p>
    <w:p w14:paraId="0B9F47C5" w14:textId="0909EA1C" w:rsidR="00183579" w:rsidRPr="00025A32" w:rsidRDefault="00183579" w:rsidP="00183579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25A32">
        <w:rPr>
          <w:rFonts w:ascii="Times New Roman" w:eastAsia="Times New Roman" w:hAnsi="Times New Roman" w:cs="Times New Roman"/>
          <w:noProof/>
          <w:sz w:val="28"/>
          <w:szCs w:val="28"/>
        </w:rPr>
        <w:t>2015. gada  </w:t>
      </w:r>
      <w:r w:rsidR="00025A32" w:rsidRPr="00025A32">
        <w:rPr>
          <w:rFonts w:ascii="Times New Roman" w:hAnsi="Times New Roman" w:cs="Times New Roman"/>
          <w:sz w:val="28"/>
          <w:szCs w:val="28"/>
        </w:rPr>
        <w:t>30. jūnij</w:t>
      </w:r>
      <w:r w:rsidR="00025A32" w:rsidRPr="00025A32">
        <w:rPr>
          <w:rFonts w:ascii="Times New Roman" w:hAnsi="Times New Roman" w:cs="Times New Roman"/>
          <w:sz w:val="28"/>
          <w:szCs w:val="28"/>
        </w:rPr>
        <w:t>a</w:t>
      </w:r>
    </w:p>
    <w:p w14:paraId="789113C6" w14:textId="29D5F5B5" w:rsidR="00183579" w:rsidRPr="00183579" w:rsidRDefault="00183579" w:rsidP="00183579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83579">
        <w:rPr>
          <w:rFonts w:ascii="Times New Roman" w:eastAsia="Times New Roman" w:hAnsi="Times New Roman" w:cs="Times New Roman"/>
          <w:noProof/>
          <w:sz w:val="28"/>
          <w:szCs w:val="28"/>
        </w:rPr>
        <w:t>noteikumiem Nr. </w:t>
      </w:r>
      <w:r w:rsidR="00025A32">
        <w:rPr>
          <w:rFonts w:ascii="Times New Roman" w:eastAsia="Times New Roman" w:hAnsi="Times New Roman" w:cs="Times New Roman"/>
          <w:noProof/>
          <w:sz w:val="28"/>
          <w:szCs w:val="28"/>
        </w:rPr>
        <w:t>356</w:t>
      </w:r>
      <w:bookmarkStart w:id="0" w:name="_GoBack"/>
      <w:bookmarkEnd w:id="0"/>
    </w:p>
    <w:p w14:paraId="4921E4AF" w14:textId="77777777" w:rsidR="00EC4C87" w:rsidRPr="00EC4C87" w:rsidRDefault="00EC4C87" w:rsidP="00183579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921E4B0" w14:textId="77777777" w:rsidR="00EC4C87" w:rsidRPr="00183579" w:rsidRDefault="00EC4C87" w:rsidP="0018357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bookmarkStart w:id="1" w:name="277235"/>
      <w:bookmarkEnd w:id="1"/>
      <w:r w:rsidRPr="00183579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>No partijas ņemamo primāro paraugu minimālais skaits</w:t>
      </w:r>
    </w:p>
    <w:p w14:paraId="4921E4B1" w14:textId="77777777" w:rsidR="00EC4C87" w:rsidRPr="00C90E5B" w:rsidRDefault="00EC4C87" w:rsidP="0018357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2965"/>
        <w:gridCol w:w="5244"/>
      </w:tblGrid>
      <w:tr w:rsidR="00EC4C87" w:rsidRPr="00EC4C87" w14:paraId="4921E4B5" w14:textId="77777777" w:rsidTr="00C90E5B">
        <w:trPr>
          <w:trHeight w:val="105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B4FF7" w14:textId="77777777" w:rsidR="00C90E5B" w:rsidRDefault="00EC4C87" w:rsidP="00C9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Nr.</w:t>
            </w:r>
          </w:p>
          <w:p w14:paraId="4921E4B2" w14:textId="27476E08" w:rsidR="00EC4C87" w:rsidRPr="00EC4C87" w:rsidRDefault="00EC4C87" w:rsidP="00C9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p.</w:t>
            </w:r>
            <w:r w:rsidR="0018357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k.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1E4B3" w14:textId="77777777" w:rsidR="00EC4C87" w:rsidRPr="00EC4C87" w:rsidRDefault="00EC4C87" w:rsidP="00C9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Produkta veids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1E4B4" w14:textId="77777777" w:rsidR="00EC4C87" w:rsidRPr="00EC4C87" w:rsidRDefault="00EC4C87" w:rsidP="00C9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No partijas ņemamo primāro paraugu</w:t>
            </w: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minimālais skaits</w:t>
            </w:r>
          </w:p>
        </w:tc>
      </w:tr>
      <w:tr w:rsidR="00EC4C87" w:rsidRPr="00EC4C87" w14:paraId="4921E4B9" w14:textId="77777777" w:rsidTr="00C90E5B">
        <w:trPr>
          <w:trHeight w:val="105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B6" w14:textId="77777777" w:rsidR="00EC4C87" w:rsidRPr="00EC4C87" w:rsidRDefault="00EC4C87" w:rsidP="00C9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B7" w14:textId="77777777" w:rsidR="00EC4C87" w:rsidRPr="00EC4C87" w:rsidRDefault="00EC4C87" w:rsidP="00C90E5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Gaļa, arī putnu gaļa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B8" w14:textId="77777777" w:rsidR="00EC4C87" w:rsidRPr="00EC4C87" w:rsidRDefault="00EC4C87" w:rsidP="00C90E5B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C90E5B" w:rsidRPr="00EC4C87" w14:paraId="4921E4BC" w14:textId="77777777" w:rsidTr="00C90E5B">
        <w:trPr>
          <w:trHeight w:val="105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BB" w14:textId="77777777" w:rsidR="00C90E5B" w:rsidRPr="00EC4C87" w:rsidRDefault="00C90E5B" w:rsidP="00C90E5B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Ja ir aizdomas, ka partija satur pārāk daudz pesticīdu atlieku, paraugu ņem saskaņā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ar šo noteikumu 2.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pielikumu </w:t>
            </w:r>
          </w:p>
        </w:tc>
      </w:tr>
      <w:tr w:rsidR="00EC4C87" w:rsidRPr="00EC4C87" w14:paraId="4921E4BF" w14:textId="77777777" w:rsidTr="00C90E5B">
        <w:trPr>
          <w:trHeight w:val="105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BD" w14:textId="77777777" w:rsidR="00EC4C87" w:rsidRPr="00EC4C87" w:rsidRDefault="00EC4C87" w:rsidP="00C9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4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BE" w14:textId="77777777" w:rsidR="00EC4C87" w:rsidRPr="00EC4C87" w:rsidRDefault="00EC4C87" w:rsidP="00C90E5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Citi produkti</w:t>
            </w:r>
          </w:p>
        </w:tc>
      </w:tr>
      <w:tr w:rsidR="00EC4C87" w:rsidRPr="00EC4C87" w14:paraId="4921E4C4" w14:textId="77777777" w:rsidTr="00C90E5B">
        <w:trPr>
          <w:trHeight w:val="105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C0" w14:textId="77777777" w:rsidR="00EC4C87" w:rsidRPr="00EC4C87" w:rsidRDefault="00EC4C87" w:rsidP="00C9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2.1.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C1" w14:textId="77777777" w:rsidR="00EC4C87" w:rsidRPr="00EC4C87" w:rsidRDefault="00EC4C87" w:rsidP="00C90E5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iepakoti vai berami produkti, kurus var uzskatīt par labi samaisītiem vai viendabīgiem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C2" w14:textId="77777777" w:rsidR="00EC4C87" w:rsidRPr="00EC4C87" w:rsidRDefault="00EC4C87" w:rsidP="00C90E5B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  <w:p w14:paraId="4921E4C3" w14:textId="77777777" w:rsidR="00EC4C87" w:rsidRPr="00EC4C87" w:rsidRDefault="00EC4C87" w:rsidP="00C90E5B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partija var būt sajaukta, piemēram,</w:t>
            </w:r>
            <w:r w:rsidR="008C26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šķirošanas vai ražošanas procesā</w:t>
            </w:r>
          </w:p>
        </w:tc>
      </w:tr>
      <w:tr w:rsidR="00EC4C87" w:rsidRPr="00EC4C87" w14:paraId="4921E4C8" w14:textId="77777777" w:rsidTr="00C90E5B">
        <w:trPr>
          <w:trHeight w:val="105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C5" w14:textId="77777777" w:rsidR="00EC4C87" w:rsidRPr="00EC4C87" w:rsidRDefault="00EC4C87" w:rsidP="00C9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C6" w14:textId="77777777" w:rsidR="00EC4C87" w:rsidRPr="00EC4C87" w:rsidRDefault="00EC4C87" w:rsidP="00C90E5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iepakoti vai berami produkti, k</w:t>
            </w:r>
            <w:r w:rsidR="008C26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as</w:t>
            </w: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var nebūt labi samaisīti vai viendabīgi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C7" w14:textId="2C4B7EA7" w:rsidR="00EC4C87" w:rsidRPr="00EC4C87" w:rsidRDefault="00EC4C87" w:rsidP="00B257F6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augu izcelsmes primār</w:t>
            </w:r>
            <w:r w:rsidR="00B257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ajiem</w:t>
            </w: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pārtikas produkti</w:t>
            </w:r>
            <w:r w:rsidR="00BF14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em</w:t>
            </w: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, kas sastāv no lielām vienībām, primāro paraugu minimālais skaits atbilst minimālajam vienību skaitam, kas </w:t>
            </w:r>
            <w:r w:rsidR="00C90E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nepieciešams</w:t>
            </w: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laboratorijas paraugam un sakrīt ar šo noteikumu 4.</w:t>
            </w:r>
            <w:r w:rsidR="00BF14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pielikumā norādīto minimālo vienību skaitu laboratorijas paraugam</w:t>
            </w:r>
          </w:p>
        </w:tc>
      </w:tr>
      <w:tr w:rsidR="00EC4C87" w:rsidRPr="00EC4C87" w14:paraId="4921E4CB" w14:textId="77777777" w:rsidTr="00C90E5B">
        <w:trPr>
          <w:trHeight w:val="105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C9" w14:textId="77777777" w:rsidR="00EC4C87" w:rsidRPr="00EC4C87" w:rsidRDefault="00EC4C87" w:rsidP="00C9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2.2.1.</w:t>
            </w:r>
          </w:p>
        </w:tc>
        <w:tc>
          <w:tcPr>
            <w:tcW w:w="4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CA" w14:textId="77777777" w:rsidR="00EC4C87" w:rsidRPr="00EC4C87" w:rsidRDefault="00EC4C87" w:rsidP="00C90E5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partijas svars (kg)</w:t>
            </w:r>
          </w:p>
        </w:tc>
      </w:tr>
      <w:tr w:rsidR="00EC4C87" w:rsidRPr="00EC4C87" w14:paraId="4921E4CF" w14:textId="77777777" w:rsidTr="00C90E5B">
        <w:trPr>
          <w:trHeight w:val="105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CC" w14:textId="77777777" w:rsidR="00EC4C87" w:rsidRPr="00EC4C87" w:rsidRDefault="00EC4C87" w:rsidP="00C9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2.2.1.1.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CD" w14:textId="77777777" w:rsidR="00EC4C87" w:rsidRPr="00EC4C87" w:rsidRDefault="00EC4C87" w:rsidP="00C90E5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&lt; 50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CE" w14:textId="77777777" w:rsidR="00EC4C87" w:rsidRPr="00EC4C87" w:rsidRDefault="00EC4C87" w:rsidP="00C90E5B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EC4C87" w:rsidRPr="00EC4C87" w14:paraId="4921E4D3" w14:textId="77777777" w:rsidTr="00C90E5B">
        <w:trPr>
          <w:trHeight w:val="105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D0" w14:textId="77777777" w:rsidR="00EC4C87" w:rsidRPr="00EC4C87" w:rsidRDefault="00EC4C87" w:rsidP="00C9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2.2.1.2.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D1" w14:textId="77777777" w:rsidR="00EC4C87" w:rsidRPr="00EC4C87" w:rsidRDefault="00EC4C87" w:rsidP="00C90E5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50–500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D2" w14:textId="77777777" w:rsidR="00EC4C87" w:rsidRPr="00EC4C87" w:rsidRDefault="00EC4C87" w:rsidP="00C90E5B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EC4C87" w:rsidRPr="00EC4C87" w14:paraId="4921E4D7" w14:textId="77777777" w:rsidTr="00C90E5B">
        <w:trPr>
          <w:trHeight w:val="105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D4" w14:textId="77777777" w:rsidR="00EC4C87" w:rsidRPr="00EC4C87" w:rsidRDefault="00EC4C87" w:rsidP="00C9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2.2.1.3.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D5" w14:textId="77777777" w:rsidR="00EC4C87" w:rsidRPr="00EC4C87" w:rsidRDefault="00EC4C87" w:rsidP="00C90E5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&gt; 500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D6" w14:textId="77777777" w:rsidR="00EC4C87" w:rsidRPr="00EC4C87" w:rsidRDefault="00EC4C87" w:rsidP="00C90E5B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EC4C87" w:rsidRPr="00EC4C87" w14:paraId="4921E4DA" w14:textId="77777777" w:rsidTr="00C90E5B">
        <w:trPr>
          <w:trHeight w:val="105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D8" w14:textId="77777777" w:rsidR="00EC4C87" w:rsidRPr="00EC4C87" w:rsidRDefault="00EC4C87" w:rsidP="00C9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2.2.2.</w:t>
            </w:r>
          </w:p>
        </w:tc>
        <w:tc>
          <w:tcPr>
            <w:tcW w:w="4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D9" w14:textId="77777777" w:rsidR="00EC4C87" w:rsidRPr="00EC4C87" w:rsidRDefault="00EC4C87" w:rsidP="00C90E5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skārda kārbu, kartona kārbu vai citu konteineru skaits partijā</w:t>
            </w:r>
          </w:p>
        </w:tc>
      </w:tr>
      <w:tr w:rsidR="00EC4C87" w:rsidRPr="00EC4C87" w14:paraId="4921E4DE" w14:textId="77777777" w:rsidTr="00C90E5B">
        <w:trPr>
          <w:trHeight w:val="105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DB" w14:textId="77777777" w:rsidR="00EC4C87" w:rsidRPr="00EC4C87" w:rsidRDefault="00EC4C87" w:rsidP="00C9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2.2.2.1.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DC" w14:textId="77777777" w:rsidR="00EC4C87" w:rsidRPr="00EC4C87" w:rsidRDefault="00EC4C87" w:rsidP="00C90E5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1–25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DD" w14:textId="77777777" w:rsidR="00EC4C87" w:rsidRPr="00EC4C87" w:rsidRDefault="00EC4C87" w:rsidP="00C90E5B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EC4C87" w:rsidRPr="00EC4C87" w14:paraId="4921E4E2" w14:textId="77777777" w:rsidTr="00C90E5B">
        <w:trPr>
          <w:trHeight w:val="105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DF" w14:textId="77777777" w:rsidR="00EC4C87" w:rsidRPr="00EC4C87" w:rsidRDefault="00EC4C87" w:rsidP="00C9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2.2.2.2.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E0" w14:textId="77777777" w:rsidR="00EC4C87" w:rsidRPr="00EC4C87" w:rsidRDefault="00EC4C87" w:rsidP="00C90E5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26–100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E1" w14:textId="77777777" w:rsidR="00EC4C87" w:rsidRPr="00EC4C87" w:rsidRDefault="00EC4C87" w:rsidP="00C90E5B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EC4C87" w:rsidRPr="00EC4C87" w14:paraId="4921E4E6" w14:textId="77777777" w:rsidTr="00C90E5B">
        <w:trPr>
          <w:trHeight w:val="105"/>
        </w:trPr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E3" w14:textId="77777777" w:rsidR="00EC4C87" w:rsidRPr="00EC4C87" w:rsidRDefault="00EC4C87" w:rsidP="00C90E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2.2.2.3.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E4" w14:textId="77777777" w:rsidR="00EC4C87" w:rsidRPr="00EC4C87" w:rsidRDefault="00EC4C87" w:rsidP="00C90E5B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&gt; 100</w:t>
            </w:r>
          </w:p>
        </w:tc>
        <w:tc>
          <w:tcPr>
            <w:tcW w:w="2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1E4E5" w14:textId="77777777" w:rsidR="00EC4C87" w:rsidRPr="00EC4C87" w:rsidRDefault="00EC4C87" w:rsidP="00C90E5B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C4C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</w:tbl>
    <w:p w14:paraId="4921E4E7" w14:textId="77777777" w:rsidR="00EC4C87" w:rsidRDefault="00EC4C87" w:rsidP="00183579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E155BCC" w14:textId="77777777" w:rsidR="00183579" w:rsidRDefault="00183579" w:rsidP="00183579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46F520A" w14:textId="77777777" w:rsidR="00183579" w:rsidRPr="00EC4C87" w:rsidRDefault="00183579" w:rsidP="00183579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921E4E8" w14:textId="18883ECA" w:rsidR="00EC4C87" w:rsidRPr="00174238" w:rsidRDefault="00EC4C87" w:rsidP="00C90E5B">
      <w:pPr>
        <w:tabs>
          <w:tab w:val="left" w:pos="6663"/>
        </w:tabs>
        <w:spacing w:after="0" w:line="240" w:lineRule="auto"/>
        <w:ind w:left="283" w:firstLine="426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74238">
        <w:rPr>
          <w:rFonts w:ascii="Times New Roman" w:eastAsia="Times New Roman" w:hAnsi="Times New Roman" w:cs="Times New Roman"/>
          <w:noProof/>
          <w:sz w:val="28"/>
          <w:szCs w:val="28"/>
        </w:rPr>
        <w:t>Zemkopības ministrs</w:t>
      </w:r>
      <w:r w:rsidR="007A1E61" w:rsidRPr="00174238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174238" w:rsidRPr="0017423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Jānis </w:t>
      </w:r>
      <w:r w:rsidRPr="00174238">
        <w:rPr>
          <w:rFonts w:ascii="Times New Roman" w:eastAsia="Times New Roman" w:hAnsi="Times New Roman" w:cs="Times New Roman"/>
          <w:noProof/>
          <w:sz w:val="28"/>
          <w:szCs w:val="28"/>
        </w:rPr>
        <w:t>Dūklavs</w:t>
      </w:r>
    </w:p>
    <w:sectPr w:rsidR="00EC4C87" w:rsidRPr="00174238" w:rsidSect="00183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1E4F1" w14:textId="77777777" w:rsidR="00B81F0F" w:rsidRDefault="00B81F0F" w:rsidP="00C30176">
      <w:pPr>
        <w:spacing w:after="0" w:line="240" w:lineRule="auto"/>
      </w:pPr>
      <w:r>
        <w:separator/>
      </w:r>
    </w:p>
  </w:endnote>
  <w:endnote w:type="continuationSeparator" w:id="0">
    <w:p w14:paraId="4921E4F2" w14:textId="77777777" w:rsidR="00B81F0F" w:rsidRDefault="00B81F0F" w:rsidP="00C3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E823F" w14:textId="77777777" w:rsidR="00183579" w:rsidRDefault="001835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959C" w14:textId="77777777" w:rsidR="00183579" w:rsidRDefault="001835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71330" w14:textId="1457EFF5" w:rsidR="00183579" w:rsidRPr="00183579" w:rsidRDefault="00183579">
    <w:pPr>
      <w:pStyle w:val="Footer"/>
      <w:rPr>
        <w:rFonts w:ascii="Times New Roman" w:hAnsi="Times New Roman" w:cs="Times New Roman"/>
        <w:sz w:val="16"/>
        <w:szCs w:val="16"/>
      </w:rPr>
    </w:pPr>
    <w:r w:rsidRPr="00183579">
      <w:rPr>
        <w:rFonts w:ascii="Times New Roman" w:hAnsi="Times New Roman" w:cs="Times New Roman"/>
        <w:sz w:val="16"/>
        <w:szCs w:val="16"/>
      </w:rPr>
      <w:t>N1059_5p1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1E4EF" w14:textId="77777777" w:rsidR="00B81F0F" w:rsidRDefault="00B81F0F" w:rsidP="00C30176">
      <w:pPr>
        <w:spacing w:after="0" w:line="240" w:lineRule="auto"/>
      </w:pPr>
      <w:r>
        <w:separator/>
      </w:r>
    </w:p>
  </w:footnote>
  <w:footnote w:type="continuationSeparator" w:id="0">
    <w:p w14:paraId="4921E4F0" w14:textId="77777777" w:rsidR="00B81F0F" w:rsidRDefault="00B81F0F" w:rsidP="00C3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77053" w14:textId="77777777" w:rsidR="00183579" w:rsidRDefault="001835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489C2" w14:textId="77777777" w:rsidR="00183579" w:rsidRDefault="001835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4F765" w14:textId="77777777" w:rsidR="00183579" w:rsidRDefault="001835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87"/>
    <w:rsid w:val="00025A32"/>
    <w:rsid w:val="000E726D"/>
    <w:rsid w:val="000F2CFA"/>
    <w:rsid w:val="00174238"/>
    <w:rsid w:val="00183579"/>
    <w:rsid w:val="001B00BA"/>
    <w:rsid w:val="003B66A1"/>
    <w:rsid w:val="006D2410"/>
    <w:rsid w:val="006F47E0"/>
    <w:rsid w:val="00785D69"/>
    <w:rsid w:val="007A1E61"/>
    <w:rsid w:val="00893BF4"/>
    <w:rsid w:val="008C26F0"/>
    <w:rsid w:val="00A61335"/>
    <w:rsid w:val="00A72BA0"/>
    <w:rsid w:val="00AA4EFF"/>
    <w:rsid w:val="00B02243"/>
    <w:rsid w:val="00B257F6"/>
    <w:rsid w:val="00B81F0F"/>
    <w:rsid w:val="00BD7CFF"/>
    <w:rsid w:val="00BF1429"/>
    <w:rsid w:val="00C30176"/>
    <w:rsid w:val="00C90E5B"/>
    <w:rsid w:val="00CD4A3C"/>
    <w:rsid w:val="00D446C4"/>
    <w:rsid w:val="00DE1BAA"/>
    <w:rsid w:val="00EC4C87"/>
    <w:rsid w:val="00F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21E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176"/>
  </w:style>
  <w:style w:type="paragraph" w:styleId="Footer">
    <w:name w:val="footer"/>
    <w:basedOn w:val="Normal"/>
    <w:link w:val="FooterChar"/>
    <w:uiPriority w:val="99"/>
    <w:unhideWhenUsed/>
    <w:rsid w:val="00C3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176"/>
  </w:style>
  <w:style w:type="character" w:styleId="CommentReference">
    <w:name w:val="annotation reference"/>
    <w:basedOn w:val="DefaultParagraphFont"/>
    <w:uiPriority w:val="99"/>
    <w:semiHidden/>
    <w:unhideWhenUsed/>
    <w:rsid w:val="00BF1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4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176"/>
  </w:style>
  <w:style w:type="paragraph" w:styleId="Footer">
    <w:name w:val="footer"/>
    <w:basedOn w:val="Normal"/>
    <w:link w:val="FooterChar"/>
    <w:uiPriority w:val="99"/>
    <w:unhideWhenUsed/>
    <w:rsid w:val="00C3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176"/>
  </w:style>
  <w:style w:type="character" w:styleId="CommentReference">
    <w:name w:val="annotation reference"/>
    <w:basedOn w:val="DefaultParagraphFont"/>
    <w:uiPriority w:val="99"/>
    <w:semiHidden/>
    <w:unhideWhenUsed/>
    <w:rsid w:val="00BF1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4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Riekstins</dc:creator>
  <cp:lastModifiedBy>Iveta Stafecka</cp:lastModifiedBy>
  <cp:revision>9</cp:revision>
  <cp:lastPrinted>2015-06-27T07:28:00Z</cp:lastPrinted>
  <dcterms:created xsi:type="dcterms:W3CDTF">2015-05-25T07:07:00Z</dcterms:created>
  <dcterms:modified xsi:type="dcterms:W3CDTF">2015-07-01T12:36:00Z</dcterms:modified>
</cp:coreProperties>
</file>