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DA55F2" w:rsidP="00BA3486">
      <w:pPr>
        <w:shd w:val="clear" w:color="auto" w:fill="FFFFFF"/>
        <w:jc w:val="center"/>
        <w:rPr>
          <w:rFonts w:cs="Times New Roman"/>
          <w:b/>
          <w:bCs/>
          <w:sz w:val="24"/>
          <w:szCs w:val="24"/>
          <w:lang w:val="lv-LV" w:eastAsia="lv-LV" w:bidi="ar-SA"/>
        </w:rPr>
      </w:pPr>
      <w:r w:rsidRPr="00DF6769">
        <w:rPr>
          <w:rFonts w:cs="Times New Roman"/>
          <w:b/>
          <w:bCs/>
          <w:sz w:val="24"/>
          <w:szCs w:val="24"/>
          <w:lang w:val="lv-LV" w:eastAsia="lv-LV" w:bidi="ar-SA"/>
        </w:rPr>
        <w:t>Likumprojekta „</w:t>
      </w:r>
      <w:r w:rsidR="00DF6769" w:rsidRPr="00DF6769">
        <w:rPr>
          <w:b/>
          <w:bCs/>
          <w:sz w:val="24"/>
          <w:szCs w:val="24"/>
          <w:lang w:val="lv-LV"/>
        </w:rPr>
        <w:t>Grozījumi likumā „Par interešu konflikta novēršanu valsts amatpersonu darbībā”</w:t>
      </w:r>
      <w:r w:rsidRPr="00DF6769">
        <w:rPr>
          <w:rFonts w:cs="Times New Roman"/>
          <w:b/>
          <w:bCs/>
          <w:sz w:val="24"/>
          <w:szCs w:val="24"/>
          <w:lang w:val="lv-LV" w:eastAsia="lv-LV" w:bidi="ar-SA"/>
        </w:rPr>
        <w:t>” sākotnējās ietekmes novērtējuma ziņojums (anotācija</w:t>
      </w:r>
      <w:r w:rsidRPr="00E65F9E">
        <w:rPr>
          <w:rFonts w:cs="Times New Roman"/>
          <w:b/>
          <w:bCs/>
          <w:sz w:val="24"/>
          <w:szCs w:val="24"/>
          <w:lang w:val="lv-LV" w:eastAsia="lv-LV" w:bidi="ar-SA"/>
        </w:rPr>
        <w:t>)</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2797"/>
        <w:gridCol w:w="5774"/>
      </w:tblGrid>
      <w:tr w:rsidR="00065F37" w:rsidRPr="00E65F9E" w:rsidTr="0079325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38789A" w:rsidTr="00793251">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650AAC" w:rsidP="001925E4">
            <w:pPr>
              <w:ind w:firstLine="500"/>
              <w:jc w:val="both"/>
              <w:rPr>
                <w:rFonts w:cs="Times New Roman"/>
                <w:sz w:val="24"/>
                <w:szCs w:val="24"/>
                <w:lang w:val="lv-LV" w:eastAsia="lv-LV" w:bidi="ar-SA"/>
              </w:rPr>
            </w:pPr>
            <w:r w:rsidRPr="00E65F9E">
              <w:rPr>
                <w:rFonts w:cs="Times New Roman"/>
                <w:sz w:val="24"/>
                <w:szCs w:val="24"/>
                <w:lang w:val="lv-LV"/>
              </w:rPr>
              <w:t xml:space="preserve">Aizsardzības ministrija ir </w:t>
            </w:r>
            <w:r w:rsidR="00670E2E">
              <w:rPr>
                <w:rFonts w:cs="Times New Roman"/>
                <w:sz w:val="24"/>
                <w:szCs w:val="24"/>
                <w:lang w:val="lv-LV"/>
              </w:rPr>
              <w:t>izstrādājusi</w:t>
            </w:r>
            <w:r w:rsidRPr="00E65F9E">
              <w:rPr>
                <w:rFonts w:cs="Times New Roman"/>
                <w:sz w:val="24"/>
                <w:szCs w:val="24"/>
                <w:lang w:val="lv-LV"/>
              </w:rPr>
              <w:t xml:space="preserve"> grozījumus </w:t>
            </w:r>
            <w:r w:rsidR="00670E2E">
              <w:rPr>
                <w:rFonts w:cs="Times New Roman"/>
                <w:sz w:val="24"/>
                <w:szCs w:val="24"/>
                <w:lang w:val="lv-LV"/>
              </w:rPr>
              <w:t>likumā „Par interešu konflikta novēršanu valsts amatpersonu darbībā”</w:t>
            </w:r>
            <w:r w:rsidRPr="00E65F9E">
              <w:rPr>
                <w:rFonts w:cs="Times New Roman"/>
                <w:sz w:val="24"/>
                <w:szCs w:val="24"/>
                <w:lang w:val="lv-LV"/>
              </w:rPr>
              <w:t>,</w:t>
            </w:r>
            <w:r w:rsidR="00670E2E">
              <w:rPr>
                <w:rFonts w:cs="Times New Roman"/>
                <w:sz w:val="24"/>
                <w:szCs w:val="24"/>
                <w:lang w:val="lv-LV"/>
              </w:rPr>
              <w:t xml:space="preserve"> ievērojot grozījumus Latvijas Republikas Zemessardzes likumā, </w:t>
            </w:r>
            <w:r w:rsidRPr="00E65F9E">
              <w:rPr>
                <w:rFonts w:cs="Times New Roman"/>
                <w:sz w:val="24"/>
                <w:szCs w:val="24"/>
                <w:lang w:val="lv-LV"/>
              </w:rPr>
              <w:t>k</w:t>
            </w:r>
            <w:r w:rsidR="001925E4">
              <w:rPr>
                <w:rFonts w:cs="Times New Roman"/>
                <w:sz w:val="24"/>
                <w:szCs w:val="24"/>
                <w:lang w:val="lv-LV"/>
              </w:rPr>
              <w:t>uri</w:t>
            </w:r>
            <w:r w:rsidRPr="00E65F9E">
              <w:rPr>
                <w:rFonts w:cs="Times New Roman"/>
                <w:sz w:val="24"/>
                <w:szCs w:val="24"/>
                <w:lang w:val="lv-LV"/>
              </w:rPr>
              <w:t xml:space="preserve"> </w:t>
            </w:r>
            <w:r w:rsidR="00670E2E">
              <w:rPr>
                <w:rFonts w:cs="Times New Roman"/>
                <w:sz w:val="24"/>
                <w:szCs w:val="24"/>
                <w:lang w:val="lv-LV"/>
              </w:rPr>
              <w:t>paredz iespēju zemessargam uzdot pildīt</w:t>
            </w:r>
            <w:r w:rsidR="00126877">
              <w:rPr>
                <w:rFonts w:cs="Times New Roman"/>
                <w:sz w:val="24"/>
                <w:szCs w:val="24"/>
                <w:lang w:val="lv-LV"/>
              </w:rPr>
              <w:t xml:space="preserve"> profesionālā dienesta</w:t>
            </w:r>
            <w:r w:rsidR="00670E2E">
              <w:rPr>
                <w:rFonts w:cs="Times New Roman"/>
                <w:sz w:val="24"/>
                <w:szCs w:val="24"/>
                <w:lang w:val="lv-LV"/>
              </w:rPr>
              <w:t xml:space="preserve"> karavīra amata pienākumus</w:t>
            </w:r>
            <w:r w:rsidRPr="00E65F9E">
              <w:rPr>
                <w:rFonts w:cs="Times New Roman"/>
                <w:sz w:val="24"/>
                <w:szCs w:val="24"/>
                <w:lang w:val="lv-LV"/>
              </w:rPr>
              <w:t>.</w:t>
            </w:r>
            <w:proofErr w:type="gramStart"/>
            <w:r w:rsidRPr="00E65F9E">
              <w:rPr>
                <w:rFonts w:cs="Times New Roman"/>
                <w:sz w:val="24"/>
                <w:szCs w:val="24"/>
                <w:lang w:val="lv-LV"/>
              </w:rPr>
              <w:t xml:space="preserve">   </w:t>
            </w:r>
            <w:proofErr w:type="gramEnd"/>
          </w:p>
        </w:tc>
      </w:tr>
      <w:tr w:rsidR="00065F37" w:rsidRPr="001915AF"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7877F6" w:rsidRDefault="007877F6" w:rsidP="003F6A17">
            <w:pPr>
              <w:ind w:firstLine="500"/>
              <w:jc w:val="both"/>
              <w:rPr>
                <w:rFonts w:cs="Times New Roman"/>
                <w:sz w:val="24"/>
                <w:szCs w:val="24"/>
                <w:lang w:val="lv-LV" w:eastAsia="lv-LV" w:bidi="ar-SA"/>
              </w:rPr>
            </w:pPr>
            <w:r w:rsidRPr="007877F6">
              <w:rPr>
                <w:rFonts w:cs="Times New Roman"/>
                <w:sz w:val="24"/>
                <w:szCs w:val="24"/>
                <w:lang w:val="lv-LV" w:eastAsia="zh-TW" w:bidi="ar-SA"/>
              </w:rPr>
              <w:t xml:space="preserve">2014.gada 18.jūnijā stājās spēkā grozījumi Latvijas Republikas Zemessardzes likumā, kas </w:t>
            </w:r>
            <w:r w:rsidRPr="007877F6">
              <w:rPr>
                <w:rFonts w:cs="Times New Roman"/>
                <w:bCs/>
                <w:sz w:val="24"/>
                <w:szCs w:val="24"/>
                <w:lang w:val="lv-LV" w:eastAsia="lv-LV" w:bidi="ar-SA"/>
              </w:rPr>
              <w:t xml:space="preserve">paredz iespēju zemessargiem </w:t>
            </w:r>
            <w:r w:rsidRPr="007877F6">
              <w:rPr>
                <w:rFonts w:cs="Times New Roman"/>
                <w:sz w:val="24"/>
                <w:szCs w:val="24"/>
                <w:lang w:val="lv-LV" w:eastAsia="lv-LV" w:bidi="ar-SA"/>
              </w:rPr>
              <w:t>aizvietot prombūtnē esošus profesionālā dienesta karavīrus un aizpildīt vakances ar atbilstošiem speciālistiem, kas pilda dienestu Zemessardzē. Šīs izmaiņas dod iespēju zemessargiem iegūt jaunu pieredzi vai bijušajiem profesionālā dienesta karavīriem, kas iestājušies Zemessardzē, saglabāt savas profesionālās iemaņas un ciešu saikni ar Nacionālajiem bruņotajiem spēkiem</w:t>
            </w:r>
            <w:r w:rsidR="00390F5A">
              <w:rPr>
                <w:rFonts w:cs="Times New Roman"/>
                <w:sz w:val="24"/>
                <w:szCs w:val="24"/>
                <w:lang w:val="lv-LV" w:eastAsia="lv-LV" w:bidi="ar-SA"/>
              </w:rPr>
              <w:t xml:space="preserve"> (turpmāk – NBS)</w:t>
            </w:r>
            <w:r w:rsidRPr="007877F6">
              <w:rPr>
                <w:rFonts w:cs="Times New Roman"/>
                <w:sz w:val="24"/>
                <w:szCs w:val="24"/>
                <w:lang w:val="lv-LV" w:eastAsia="lv-LV" w:bidi="ar-SA"/>
              </w:rPr>
              <w:t>, pildot karavīra amata pienākumus. Tādējādi zemessargam, kuram ir attiecīgajam amatam noteiktā izglītība un kvalifikācija, uz laiku līdz karavīra iecelšanai amatā vai līdz brīdim, kad karavīrs atgriežas no ilgstošas prombūtnes (piemēram, no bērna kopšanas atvaļinājuma), bet ne ilgāk par pusotru gadu, var uzdot pildīt prombūtnē esoša karavīra vai vakanta karavīra amata pienākumus.</w:t>
            </w:r>
          </w:p>
          <w:p w:rsidR="00A43363" w:rsidRDefault="00A43363" w:rsidP="00A43363">
            <w:pPr>
              <w:ind w:firstLine="500"/>
              <w:jc w:val="both"/>
              <w:rPr>
                <w:sz w:val="24"/>
                <w:szCs w:val="24"/>
                <w:lang w:val="lv-LV" w:eastAsia="lv-LV"/>
              </w:rPr>
            </w:pPr>
            <w:r w:rsidRPr="00A43363">
              <w:rPr>
                <w:rFonts w:cs="Times New Roman"/>
                <w:sz w:val="24"/>
                <w:szCs w:val="24"/>
                <w:lang w:val="lv-LV" w:eastAsia="lv-LV" w:bidi="ar-SA"/>
              </w:rPr>
              <w:t xml:space="preserve">Saskaņā ar likuma „Par interešu konflikta novēršanu valsts amatpersonu darbībā” 4.panta pirmās daļas 22.punktu Nacionālo bruņoto spēku profesionālā dienesta karavīrs ir uzskatāms par valsts amatpersonu. Likuma „Par interešu konflikta novēršanu valsts amatpersonu darbībā” 7.panta astotajā daļā noteikts, ka </w:t>
            </w:r>
            <w:r w:rsidR="00390F5A">
              <w:rPr>
                <w:rFonts w:cs="Times New Roman"/>
                <w:sz w:val="24"/>
                <w:szCs w:val="24"/>
                <w:lang w:val="lv-LV" w:eastAsia="lv-LV" w:bidi="ar-SA"/>
              </w:rPr>
              <w:t>NBS</w:t>
            </w:r>
            <w:r w:rsidRPr="00A43363">
              <w:rPr>
                <w:rFonts w:cs="Times New Roman"/>
                <w:sz w:val="24"/>
                <w:szCs w:val="24"/>
                <w:lang w:val="lv-LV" w:eastAsia="lv-LV" w:bidi="ar-SA"/>
              </w:rPr>
              <w:t xml:space="preserve"> profesionālā dienesta karavīriem un civilajiem darbiniekiem ir atļauts savienot valsts amatpersonas amatu ar citu amatu, uzņēmuma līgumu,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NBS komandiera vai viņa pilnvarotas amatpersonas rakstveida atļauja. NBS komandierim vai viņa pilnvarotai personai likumā ir noteikts uzdevums nodrošināt un kontrolēt situāciju NBS saistībā ar karavīru amatu savienošanu ar citiem amatiem, kas savukārt nodrošina uzticības vairošanu valsts pārvaldei.</w:t>
            </w:r>
            <w:r w:rsidR="00390F5A">
              <w:rPr>
                <w:rFonts w:cs="Times New Roman"/>
                <w:sz w:val="24"/>
                <w:szCs w:val="24"/>
                <w:lang w:val="lv-LV" w:eastAsia="lv-LV" w:bidi="ar-SA"/>
              </w:rPr>
              <w:t xml:space="preserve"> Tādējādi </w:t>
            </w:r>
            <w:r w:rsidR="00390F5A" w:rsidRPr="00390F5A">
              <w:rPr>
                <w:sz w:val="24"/>
                <w:szCs w:val="24"/>
                <w:lang w:val="lv-LV" w:eastAsia="lv-LV"/>
              </w:rPr>
              <w:t xml:space="preserve">uz zemessargu, kuram uzdots pildīt karavīra amata pienākumus, būtu attiecināmi tie paši likumā „Par interešu konflikta novēršanu valsts amatpersonu darbībā” noteiktie </w:t>
            </w:r>
            <w:r w:rsidR="00390F5A" w:rsidRPr="00390F5A">
              <w:rPr>
                <w:sz w:val="24"/>
                <w:szCs w:val="24"/>
                <w:lang w:val="lv-LV" w:eastAsia="lv-LV"/>
              </w:rPr>
              <w:lastRenderedPageBreak/>
              <w:t>ierobežojumi un nosacījumi, kas ir noteikti profesionālā dienesta karavīram.</w:t>
            </w:r>
          </w:p>
          <w:p w:rsidR="0099301D" w:rsidRPr="0099301D" w:rsidRDefault="007D57F5" w:rsidP="0099301D">
            <w:pPr>
              <w:widowControl w:val="0"/>
              <w:ind w:firstLine="500"/>
              <w:jc w:val="both"/>
              <w:rPr>
                <w:rFonts w:cs="Times New Roman"/>
                <w:sz w:val="24"/>
                <w:szCs w:val="24"/>
                <w:lang w:val="lv-LV" w:eastAsia="lv-LV" w:bidi="ar-SA"/>
              </w:rPr>
            </w:pPr>
            <w:r>
              <w:rPr>
                <w:rFonts w:cs="Times New Roman"/>
                <w:sz w:val="24"/>
                <w:szCs w:val="24"/>
                <w:lang w:val="lv-LV" w:eastAsia="lv-LV" w:bidi="ar-SA"/>
              </w:rPr>
              <w:t xml:space="preserve">Pēc </w:t>
            </w:r>
            <w:r w:rsidR="0099301D" w:rsidRPr="0099301D">
              <w:rPr>
                <w:rFonts w:cs="Times New Roman"/>
                <w:sz w:val="24"/>
                <w:szCs w:val="24"/>
                <w:lang w:val="lv-LV" w:eastAsia="lv-LV" w:bidi="ar-SA"/>
              </w:rPr>
              <w:t xml:space="preserve">2010.gada 11.marta grozījumiem Nacionālo bruņoto spēku likumā, kas stājās spēkā 2010.gada 1.aprīlī, </w:t>
            </w:r>
          </w:p>
          <w:p w:rsidR="001915AF" w:rsidRPr="0075272E" w:rsidRDefault="00632D21" w:rsidP="0075272E">
            <w:pPr>
              <w:widowControl w:val="0"/>
              <w:jc w:val="both"/>
              <w:rPr>
                <w:rFonts w:cs="Times New Roman"/>
                <w:sz w:val="24"/>
                <w:szCs w:val="24"/>
                <w:lang w:val="lv-LV" w:eastAsia="lv-LV" w:bidi="ar-SA"/>
              </w:rPr>
            </w:pPr>
            <w:proofErr w:type="spellStart"/>
            <w:r w:rsidRPr="0075272E">
              <w:rPr>
                <w:sz w:val="24"/>
                <w:szCs w:val="24"/>
              </w:rPr>
              <w:t>Nacionālo</w:t>
            </w:r>
            <w:proofErr w:type="spellEnd"/>
            <w:r w:rsidRPr="0075272E">
              <w:rPr>
                <w:sz w:val="24"/>
                <w:szCs w:val="24"/>
              </w:rPr>
              <w:t xml:space="preserve"> </w:t>
            </w:r>
            <w:proofErr w:type="spellStart"/>
            <w:r w:rsidRPr="0075272E">
              <w:rPr>
                <w:sz w:val="24"/>
                <w:szCs w:val="24"/>
              </w:rPr>
              <w:t>bruņoto</w:t>
            </w:r>
            <w:proofErr w:type="spellEnd"/>
            <w:r w:rsidRPr="0075272E">
              <w:rPr>
                <w:sz w:val="24"/>
                <w:szCs w:val="24"/>
              </w:rPr>
              <w:t xml:space="preserve"> </w:t>
            </w:r>
            <w:proofErr w:type="spellStart"/>
            <w:r w:rsidRPr="0075272E">
              <w:rPr>
                <w:sz w:val="24"/>
                <w:szCs w:val="24"/>
              </w:rPr>
              <w:t>spēku</w:t>
            </w:r>
            <w:proofErr w:type="spellEnd"/>
            <w:r w:rsidRPr="0075272E">
              <w:rPr>
                <w:sz w:val="24"/>
                <w:szCs w:val="24"/>
              </w:rPr>
              <w:t xml:space="preserve"> </w:t>
            </w:r>
            <w:proofErr w:type="spellStart"/>
            <w:r w:rsidRPr="0075272E">
              <w:rPr>
                <w:sz w:val="24"/>
                <w:szCs w:val="24"/>
              </w:rPr>
              <w:t>veidu</w:t>
            </w:r>
            <w:proofErr w:type="spellEnd"/>
            <w:r w:rsidRPr="0075272E">
              <w:rPr>
                <w:sz w:val="24"/>
                <w:szCs w:val="24"/>
              </w:rPr>
              <w:t xml:space="preserve"> </w:t>
            </w:r>
            <w:proofErr w:type="spellStart"/>
            <w:r w:rsidRPr="0075272E">
              <w:rPr>
                <w:sz w:val="24"/>
                <w:szCs w:val="24"/>
              </w:rPr>
              <w:t>komandie</w:t>
            </w:r>
            <w:r w:rsidRPr="0075272E">
              <w:rPr>
                <w:sz w:val="24"/>
                <w:szCs w:val="24"/>
              </w:rPr>
              <w:t>ru</w:t>
            </w:r>
            <w:proofErr w:type="spellEnd"/>
            <w:r w:rsidRPr="0075272E">
              <w:rPr>
                <w:rFonts w:cs="Times New Roman"/>
                <w:sz w:val="24"/>
                <w:szCs w:val="24"/>
                <w:lang w:val="lv-LV" w:eastAsia="lv-LV" w:bidi="ar-SA"/>
              </w:rPr>
              <w:t xml:space="preserve"> </w:t>
            </w:r>
            <w:r w:rsidRPr="00632D21">
              <w:rPr>
                <w:rFonts w:cs="Times New Roman"/>
                <w:sz w:val="24"/>
                <w:szCs w:val="24"/>
                <w:lang w:val="lv-LV" w:eastAsia="lv-LV" w:bidi="ar-SA"/>
              </w:rPr>
              <w:t>amat</w:t>
            </w:r>
            <w:r w:rsidRPr="0075272E">
              <w:rPr>
                <w:rFonts w:cs="Times New Roman"/>
                <w:sz w:val="24"/>
                <w:szCs w:val="24"/>
                <w:lang w:val="lv-LV" w:eastAsia="lv-LV" w:bidi="ar-SA"/>
              </w:rPr>
              <w:t>i</w:t>
            </w:r>
            <w:r w:rsidRPr="00632D21">
              <w:rPr>
                <w:rFonts w:cs="Times New Roman"/>
                <w:sz w:val="24"/>
                <w:szCs w:val="24"/>
                <w:lang w:val="lv-LV" w:eastAsia="lv-LV" w:bidi="ar-SA"/>
              </w:rPr>
              <w:t xml:space="preserve"> </w:t>
            </w:r>
            <w:r w:rsidR="00B0614E" w:rsidRPr="0075272E">
              <w:rPr>
                <w:rFonts w:cs="Times New Roman"/>
                <w:sz w:val="24"/>
                <w:szCs w:val="24"/>
                <w:lang w:val="lv-LV" w:eastAsia="lv-LV" w:bidi="ar-SA"/>
              </w:rPr>
              <w:t xml:space="preserve">vairs </w:t>
            </w:r>
            <w:r w:rsidRPr="0075272E">
              <w:rPr>
                <w:rFonts w:cs="Times New Roman"/>
                <w:sz w:val="24"/>
                <w:szCs w:val="24"/>
                <w:lang w:val="lv-LV" w:eastAsia="lv-LV" w:bidi="ar-SA"/>
              </w:rPr>
              <w:t>nepastāv</w:t>
            </w:r>
            <w:r w:rsidRPr="00632D21">
              <w:rPr>
                <w:rFonts w:cs="Times New Roman"/>
                <w:sz w:val="24"/>
                <w:szCs w:val="24"/>
                <w:lang w:val="lv-LV" w:eastAsia="lv-LV" w:bidi="ar-SA"/>
              </w:rPr>
              <w:t>.</w:t>
            </w:r>
            <w:r w:rsidR="0075272E" w:rsidRPr="0075272E">
              <w:rPr>
                <w:rFonts w:cs="Times New Roman"/>
                <w:sz w:val="24"/>
                <w:szCs w:val="24"/>
                <w:lang w:val="lv-LV" w:eastAsia="lv-LV" w:bidi="ar-SA"/>
              </w:rPr>
              <w:t xml:space="preserve"> </w:t>
            </w:r>
            <w:r w:rsidR="0075272E" w:rsidRPr="0075272E">
              <w:rPr>
                <w:sz w:val="24"/>
                <w:szCs w:val="24"/>
                <w:lang w:val="lv-LV"/>
              </w:rPr>
              <w:t xml:space="preserve">Tā kā atbilstoši Nacionālo bruņoto spēku likuma 3.panta pirmajai daļai Nacionālo bruņoto spēku sastāvā ietilpst regulārie spēki un Zemessardze, </w:t>
            </w:r>
            <w:r w:rsidR="00AD6F71">
              <w:rPr>
                <w:sz w:val="24"/>
                <w:szCs w:val="24"/>
                <w:lang w:val="lv-LV"/>
              </w:rPr>
              <w:t xml:space="preserve">7.panta septītajā daļā </w:t>
            </w:r>
            <w:r w:rsidR="0075272E" w:rsidRPr="0075272E">
              <w:rPr>
                <w:sz w:val="24"/>
                <w:szCs w:val="24"/>
                <w:lang w:val="lv-LV"/>
              </w:rPr>
              <w:t>vārdi „Nacionālo bruņoto spēku veidu komandieriem” aizstāti ar vārdiem „Nacionālo bruņoto spēku regulāro spēku vienību un Zemessardzes komandieriem”.</w:t>
            </w:r>
          </w:p>
          <w:p w:rsidR="00065F37" w:rsidRPr="00E65F9E" w:rsidRDefault="008C64BD" w:rsidP="0056212D">
            <w:pPr>
              <w:ind w:firstLine="500"/>
              <w:jc w:val="both"/>
              <w:rPr>
                <w:rFonts w:cs="Times New Roman"/>
                <w:sz w:val="24"/>
                <w:szCs w:val="24"/>
                <w:lang w:val="lv-LV" w:eastAsia="lv-LV" w:bidi="ar-SA"/>
              </w:rPr>
            </w:pPr>
            <w:r w:rsidRPr="0075272E">
              <w:rPr>
                <w:rFonts w:cs="Times New Roman"/>
                <w:sz w:val="24"/>
                <w:szCs w:val="24"/>
                <w:lang w:val="lv-LV" w:eastAsia="lv-LV" w:bidi="ar-SA"/>
              </w:rPr>
              <w:t>Atbilstoši</w:t>
            </w:r>
            <w:r w:rsidR="003904DC" w:rsidRPr="0075272E">
              <w:rPr>
                <w:rFonts w:cs="Times New Roman"/>
                <w:sz w:val="24"/>
                <w:szCs w:val="24"/>
                <w:lang w:val="lv-LV" w:eastAsia="lv-LV" w:bidi="ar-SA"/>
              </w:rPr>
              <w:t xml:space="preserve"> likuma „Par interešu konflikta novēršanu valsts </w:t>
            </w:r>
            <w:r w:rsidRPr="0075272E">
              <w:rPr>
                <w:rFonts w:cs="Times New Roman"/>
                <w:sz w:val="24"/>
                <w:szCs w:val="24"/>
                <w:lang w:val="lv-LV" w:eastAsia="lv-LV" w:bidi="ar-SA"/>
              </w:rPr>
              <w:t>amatpersonu darbībā” 13.panta trešās daļas</w:t>
            </w:r>
            <w:r>
              <w:rPr>
                <w:rFonts w:cs="Times New Roman"/>
                <w:sz w:val="24"/>
                <w:szCs w:val="24"/>
                <w:lang w:val="lv-LV" w:eastAsia="lv-LV" w:bidi="ar-SA"/>
              </w:rPr>
              <w:t xml:space="preserve"> 6.punktam par dāvanu šā likuma izpratn</w:t>
            </w:r>
            <w:r w:rsidR="001C4F7F">
              <w:rPr>
                <w:rFonts w:cs="Times New Roman"/>
                <w:sz w:val="24"/>
                <w:szCs w:val="24"/>
                <w:lang w:val="lv-LV" w:eastAsia="lv-LV" w:bidi="ar-SA"/>
              </w:rPr>
              <w:t xml:space="preserve">ē </w:t>
            </w:r>
            <w:r>
              <w:rPr>
                <w:rFonts w:cs="Times New Roman"/>
                <w:sz w:val="24"/>
                <w:szCs w:val="24"/>
                <w:lang w:val="lv-LV" w:eastAsia="lv-LV" w:bidi="ar-SA"/>
              </w:rPr>
              <w:t>nav uzskatām</w:t>
            </w:r>
            <w:r w:rsidR="001D617B">
              <w:rPr>
                <w:rFonts w:cs="Times New Roman"/>
                <w:sz w:val="24"/>
                <w:szCs w:val="24"/>
                <w:lang w:val="lv-LV" w:eastAsia="lv-LV" w:bidi="ar-SA"/>
              </w:rPr>
              <w:t xml:space="preserve">i pakalpojumi un atlaides, ko </w:t>
            </w:r>
            <w:r w:rsidR="0056212D">
              <w:rPr>
                <w:rFonts w:cs="Times New Roman"/>
                <w:sz w:val="24"/>
                <w:szCs w:val="24"/>
                <w:lang w:val="lv-LV" w:eastAsia="lv-LV" w:bidi="ar-SA"/>
              </w:rPr>
              <w:t>NBS</w:t>
            </w:r>
            <w:r w:rsidR="003F6A17">
              <w:rPr>
                <w:rFonts w:cs="Times New Roman"/>
                <w:sz w:val="24"/>
                <w:szCs w:val="24"/>
                <w:lang w:val="lv-LV" w:eastAsia="lv-LV" w:bidi="ar-SA"/>
              </w:rPr>
              <w:t xml:space="preserve"> profesionālā dienesta karavīriem, kuri bijuši starptautisko operāciju dalībnieki, </w:t>
            </w:r>
            <w:r w:rsidR="001D617B">
              <w:rPr>
                <w:rFonts w:cs="Times New Roman"/>
                <w:sz w:val="24"/>
                <w:szCs w:val="24"/>
                <w:lang w:val="lv-LV" w:eastAsia="lv-LV" w:bidi="ar-SA"/>
              </w:rPr>
              <w:t xml:space="preserve">piedāvā komercsabiedrības, individuālie komersanti, kā arī zemnieku un zvejnieku saimniecības. </w:t>
            </w:r>
            <w:r>
              <w:rPr>
                <w:rFonts w:cs="Times New Roman"/>
                <w:sz w:val="24"/>
                <w:szCs w:val="24"/>
                <w:lang w:val="lv-LV" w:eastAsia="lv-LV" w:bidi="ar-SA"/>
              </w:rPr>
              <w:t>Saskaņā ar Latvijas Republikas Zemessardzes likuma 32.pant</w:t>
            </w:r>
            <w:r w:rsidR="00014F41">
              <w:rPr>
                <w:rFonts w:cs="Times New Roman"/>
                <w:sz w:val="24"/>
                <w:szCs w:val="24"/>
                <w:lang w:val="lv-LV" w:eastAsia="lv-LV" w:bidi="ar-SA"/>
              </w:rPr>
              <w:t>u</w:t>
            </w:r>
            <w:r>
              <w:rPr>
                <w:rFonts w:cs="Times New Roman"/>
                <w:sz w:val="24"/>
                <w:szCs w:val="24"/>
                <w:lang w:val="lv-LV" w:eastAsia="lv-LV" w:bidi="ar-SA"/>
              </w:rPr>
              <w:t xml:space="preserve"> zemessarg</w:t>
            </w:r>
            <w:r w:rsidR="001D617B">
              <w:rPr>
                <w:rFonts w:cs="Times New Roman"/>
                <w:sz w:val="24"/>
                <w:szCs w:val="24"/>
                <w:lang w:val="lv-LV" w:eastAsia="lv-LV" w:bidi="ar-SA"/>
              </w:rPr>
              <w:t>i</w:t>
            </w:r>
            <w:r>
              <w:rPr>
                <w:rFonts w:cs="Times New Roman"/>
                <w:sz w:val="24"/>
                <w:szCs w:val="24"/>
                <w:lang w:val="lv-LV" w:eastAsia="lv-LV" w:bidi="ar-SA"/>
              </w:rPr>
              <w:t xml:space="preserve"> var piedalīties starptautiskajās operācijās.</w:t>
            </w:r>
            <w:r w:rsidR="001D617B">
              <w:rPr>
                <w:rFonts w:cs="Times New Roman"/>
                <w:sz w:val="24"/>
                <w:szCs w:val="24"/>
                <w:lang w:val="lv-LV" w:eastAsia="lv-LV" w:bidi="ar-SA"/>
              </w:rPr>
              <w:t xml:space="preserve"> Tādēļ likumā „Par interešu konflikta novēršanu valsts amatpersonu darbībā” karavīriem noteikt</w:t>
            </w:r>
            <w:r w:rsidR="007B281C">
              <w:rPr>
                <w:rFonts w:cs="Times New Roman"/>
                <w:sz w:val="24"/>
                <w:szCs w:val="24"/>
                <w:lang w:val="lv-LV" w:eastAsia="lv-LV" w:bidi="ar-SA"/>
              </w:rPr>
              <w:t>os</w:t>
            </w:r>
            <w:r w:rsidR="001D617B">
              <w:rPr>
                <w:rFonts w:cs="Times New Roman"/>
                <w:sz w:val="24"/>
                <w:szCs w:val="24"/>
                <w:lang w:val="lv-LV" w:eastAsia="lv-LV" w:bidi="ar-SA"/>
              </w:rPr>
              <w:t xml:space="preserve"> pakalpojumu un atlaižu saņemšanas nosacījumus nepieciešams attiecināt arī uz zemessargiem, kuri bijuši starptautisko operāciju dalībnieki.</w:t>
            </w:r>
          </w:p>
        </w:tc>
      </w:tr>
      <w:tr w:rsidR="00065F37" w:rsidRPr="00E65F9E" w:rsidTr="00793251">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1D617B">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Aizsardzības ministrija</w:t>
            </w:r>
          </w:p>
        </w:tc>
      </w:tr>
      <w:tr w:rsidR="00065F37" w:rsidRPr="00E65F9E" w:rsidTr="00793251">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0637B5">
            <w:pPr>
              <w:rPr>
                <w:rFonts w:cs="Times New Roman"/>
                <w:sz w:val="24"/>
                <w:szCs w:val="24"/>
                <w:lang w:val="lv-LV" w:eastAsia="lv-LV" w:bidi="ar-SA"/>
              </w:rPr>
            </w:pPr>
            <w:r w:rsidRPr="00E65F9E">
              <w:rPr>
                <w:rFonts w:cs="Times New Roman"/>
                <w:sz w:val="24"/>
                <w:szCs w:val="24"/>
                <w:lang w:val="lv-LV" w:eastAsia="lv-LV" w:bidi="ar-SA"/>
              </w:rPr>
              <w:t>Na</w:t>
            </w:r>
            <w:r w:rsidR="000637B5" w:rsidRPr="00E65F9E">
              <w:rPr>
                <w:rFonts w:cs="Times New Roman"/>
                <w:sz w:val="24"/>
                <w:szCs w:val="24"/>
                <w:lang w:val="lv-LV" w:eastAsia="lv-LV" w:bidi="ar-SA"/>
              </w:rPr>
              <w:t>v.</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1915AF"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FB3103" w:rsidP="00DA55F2">
            <w:pPr>
              <w:rPr>
                <w:rFonts w:cs="Times New Roman"/>
                <w:sz w:val="24"/>
                <w:szCs w:val="24"/>
                <w:lang w:val="lv-LV" w:eastAsia="lv-LV" w:bidi="ar-SA"/>
              </w:rPr>
            </w:pPr>
            <w:r>
              <w:rPr>
                <w:rFonts w:cs="Times New Roman"/>
                <w:sz w:val="24"/>
                <w:szCs w:val="24"/>
                <w:lang w:val="lv-LV" w:eastAsia="lv-LV" w:bidi="ar-SA"/>
              </w:rPr>
              <w:t>Zemessargi</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3"/>
      </w:tblGrid>
      <w:tr w:rsidR="00065F37" w:rsidRPr="001915AF" w:rsidTr="00807EF3">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III. Tiesību akta projekta ietekme uz valsts budžetu un pašvaldību budžetiem</w:t>
            </w:r>
          </w:p>
        </w:tc>
      </w:tr>
      <w:tr w:rsidR="00807EF3" w:rsidRPr="00714A16" w:rsidTr="00807EF3">
        <w:trPr>
          <w:trHeight w:val="444"/>
          <w:jc w:val="center"/>
        </w:trPr>
        <w:tc>
          <w:tcPr>
            <w:tcW w:w="4984" w:type="pct"/>
            <w:tcBorders>
              <w:top w:val="outset" w:sz="6" w:space="0" w:color="414142"/>
              <w:left w:val="outset" w:sz="6" w:space="0" w:color="414142"/>
              <w:bottom w:val="outset" w:sz="6" w:space="0" w:color="414142"/>
              <w:right w:val="outset" w:sz="6" w:space="0" w:color="414142"/>
            </w:tcBorders>
          </w:tcPr>
          <w:p w:rsidR="00807EF3" w:rsidRPr="00E65F9E" w:rsidRDefault="00AF62DC" w:rsidP="00AF62DC">
            <w:pPr>
              <w:ind w:firstLine="567"/>
              <w:jc w:val="center"/>
              <w:rPr>
                <w:rFonts w:cs="Times New Roman"/>
                <w:sz w:val="24"/>
                <w:szCs w:val="24"/>
                <w:lang w:val="lv-LV"/>
              </w:rPr>
            </w:pPr>
            <w:r w:rsidRPr="00E65F9E">
              <w:rPr>
                <w:rFonts w:cs="Times New Roman"/>
                <w:bCs/>
                <w:sz w:val="24"/>
                <w:szCs w:val="24"/>
                <w:lang w:val="lv-LV" w:eastAsia="lv-LV" w:bidi="ar-SA"/>
              </w:rPr>
              <w:t>Projekts šo jomu neskar.</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065F37" w:rsidRPr="001915AF"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714A16"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963455" w:rsidRPr="00E65F9E" w:rsidRDefault="00617745" w:rsidP="00E2536F">
            <w:pPr>
              <w:tabs>
                <w:tab w:val="left" w:pos="268"/>
              </w:tabs>
              <w:ind w:hanging="5"/>
              <w:jc w:val="both"/>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r w:rsidR="00ED019F">
              <w:rPr>
                <w:rFonts w:cs="Times New Roman"/>
                <w:sz w:val="24"/>
                <w:szCs w:val="24"/>
                <w:lang w:val="lv-LV" w:eastAsia="lv-LV" w:bidi="ar-SA"/>
              </w:rPr>
              <w:t>, Nacionālie bruņotie spēki</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 Tiesību akta projekta atbilstība Latvijas Republikas starptautiskajām saistībām</w:t>
            </w:r>
          </w:p>
        </w:tc>
      </w:tr>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DD0703">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1915AF"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 Sabiedrības līdzdalība un komunikācijas aktivitātes</w:t>
            </w:r>
          </w:p>
        </w:tc>
      </w:tr>
      <w:tr w:rsidR="00065F37" w:rsidRPr="00E65F9E"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1915AF"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714A16"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10692E">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w:t>
            </w:r>
          </w:p>
        </w:tc>
      </w:tr>
      <w:tr w:rsidR="00065F37" w:rsidRPr="00714A16"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E65F9E" w:rsidRDefault="00226E54" w:rsidP="009213E1">
            <w:pPr>
              <w:jc w:val="both"/>
              <w:rPr>
                <w:rFonts w:cs="Times New Roman"/>
                <w:sz w:val="24"/>
                <w:szCs w:val="24"/>
                <w:lang w:val="lv-LV" w:eastAsia="lv-LV" w:bidi="ar-SA"/>
              </w:rPr>
            </w:pPr>
            <w:r w:rsidRPr="00E65F9E">
              <w:rPr>
                <w:rFonts w:cs="Times New Roman"/>
                <w:bCs/>
                <w:sz w:val="24"/>
                <w:szCs w:val="24"/>
                <w:lang w:val="lv-LV" w:eastAsia="lv-LV" w:bidi="ar-SA"/>
              </w:rPr>
              <w:t>Projekts šo jomu neskar.</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4600D1" w:rsidRPr="00E65F9E" w:rsidRDefault="004600D1" w:rsidP="00DD0703">
      <w:pPr>
        <w:tabs>
          <w:tab w:val="right" w:pos="9074"/>
        </w:tabs>
        <w:rPr>
          <w:rFonts w:cs="Times New Roman"/>
          <w:sz w:val="24"/>
          <w:szCs w:val="24"/>
          <w:lang w:val="lv-LV"/>
        </w:rPr>
      </w:pPr>
    </w:p>
    <w:p w:rsidR="005777B9" w:rsidRDefault="005777B9" w:rsidP="00DD0703">
      <w:pPr>
        <w:tabs>
          <w:tab w:val="right" w:pos="9074"/>
        </w:tabs>
        <w:rPr>
          <w:rFonts w:cs="Times New Roman"/>
          <w:sz w:val="24"/>
          <w:szCs w:val="24"/>
          <w:lang w:val="lv-LV"/>
        </w:rPr>
      </w:pPr>
    </w:p>
    <w:p w:rsidR="005777B9" w:rsidRPr="00E65F9E" w:rsidRDefault="005777B9" w:rsidP="00DD0703">
      <w:pPr>
        <w:tabs>
          <w:tab w:val="right" w:pos="9074"/>
        </w:tabs>
        <w:rPr>
          <w:rFonts w:cs="Times New Roman"/>
          <w:sz w:val="24"/>
          <w:szCs w:val="24"/>
          <w:lang w:val="lv-LV"/>
        </w:rPr>
      </w:pPr>
    </w:p>
    <w:p w:rsidR="004600D1" w:rsidRPr="00E65F9E" w:rsidRDefault="005777B9" w:rsidP="00DD0703">
      <w:pPr>
        <w:tabs>
          <w:tab w:val="right" w:pos="9000"/>
        </w:tabs>
        <w:jc w:val="both"/>
        <w:rPr>
          <w:rFonts w:cs="Times New Roman"/>
          <w:sz w:val="24"/>
          <w:szCs w:val="24"/>
          <w:lang w:val="lv-LV"/>
        </w:rPr>
      </w:pPr>
      <w:r>
        <w:rPr>
          <w:rFonts w:cs="Times New Roman"/>
          <w:sz w:val="24"/>
          <w:szCs w:val="24"/>
          <w:lang w:val="lv-LV"/>
        </w:rPr>
        <w:t>Aizsardzības ministrs</w:t>
      </w:r>
      <w:proofErr w:type="gramStart"/>
      <w:r>
        <w:rPr>
          <w:rFonts w:cs="Times New Roman"/>
          <w:sz w:val="24"/>
          <w:szCs w:val="24"/>
          <w:lang w:val="lv-LV"/>
        </w:rPr>
        <w:t xml:space="preserve">                                                                                                </w:t>
      </w:r>
      <w:proofErr w:type="spellStart"/>
      <w:proofErr w:type="gramEnd"/>
      <w:r>
        <w:rPr>
          <w:rFonts w:cs="Times New Roman"/>
          <w:sz w:val="24"/>
          <w:szCs w:val="24"/>
          <w:lang w:val="lv-LV"/>
        </w:rPr>
        <w:t>R.Vējonis</w:t>
      </w:r>
      <w:proofErr w:type="spellEnd"/>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J.Sārts</w:t>
      </w:r>
    </w:p>
    <w:p w:rsidR="00DD0703" w:rsidRDefault="00DD0703" w:rsidP="00DD0703">
      <w:pPr>
        <w:tabs>
          <w:tab w:val="left" w:pos="1560"/>
        </w:tabs>
        <w:rPr>
          <w:rFonts w:cs="Times New Roman"/>
          <w:lang w:val="lv-LV"/>
        </w:rPr>
      </w:pPr>
    </w:p>
    <w:p w:rsidR="006971B2" w:rsidRDefault="006971B2" w:rsidP="00DD0703">
      <w:pPr>
        <w:tabs>
          <w:tab w:val="left" w:pos="1560"/>
        </w:tabs>
        <w:rPr>
          <w:rFonts w:cs="Times New Roman"/>
          <w:lang w:val="lv-LV"/>
        </w:rPr>
      </w:pPr>
    </w:p>
    <w:p w:rsidR="004600D1" w:rsidRPr="006971B2" w:rsidRDefault="006971B2" w:rsidP="004600D1">
      <w:pPr>
        <w:tabs>
          <w:tab w:val="left" w:pos="1560"/>
        </w:tabs>
        <w:rPr>
          <w:sz w:val="16"/>
          <w:szCs w:val="16"/>
        </w:rPr>
      </w:pPr>
      <w:r>
        <w:rPr>
          <w:sz w:val="16"/>
          <w:szCs w:val="16"/>
        </w:rPr>
        <w:t>22</w:t>
      </w:r>
      <w:r w:rsidR="00FF435B" w:rsidRPr="006971B2">
        <w:rPr>
          <w:sz w:val="16"/>
          <w:szCs w:val="16"/>
        </w:rPr>
        <w:t>.0</w:t>
      </w:r>
      <w:r>
        <w:rPr>
          <w:sz w:val="16"/>
          <w:szCs w:val="16"/>
        </w:rPr>
        <w:t>5</w:t>
      </w:r>
      <w:r w:rsidR="00FF435B" w:rsidRPr="006971B2">
        <w:rPr>
          <w:sz w:val="16"/>
          <w:szCs w:val="16"/>
        </w:rPr>
        <w:t>.</w:t>
      </w:r>
      <w:r w:rsidR="00787F48" w:rsidRPr="006971B2">
        <w:rPr>
          <w:sz w:val="16"/>
          <w:szCs w:val="16"/>
        </w:rPr>
        <w:t>2015</w:t>
      </w:r>
      <w:r w:rsidR="004600D1" w:rsidRPr="006971B2">
        <w:rPr>
          <w:sz w:val="16"/>
          <w:szCs w:val="16"/>
        </w:rPr>
        <w:t xml:space="preserve">.   </w:t>
      </w:r>
      <w:r w:rsidR="00787F48" w:rsidRPr="006971B2">
        <w:rPr>
          <w:sz w:val="16"/>
          <w:szCs w:val="16"/>
        </w:rPr>
        <w:t>1</w:t>
      </w:r>
      <w:r w:rsidR="00CA358A" w:rsidRPr="006971B2">
        <w:rPr>
          <w:sz w:val="16"/>
          <w:szCs w:val="16"/>
        </w:rPr>
        <w:t>3</w:t>
      </w:r>
      <w:r w:rsidR="00787F48" w:rsidRPr="006971B2">
        <w:rPr>
          <w:sz w:val="16"/>
          <w:szCs w:val="16"/>
        </w:rPr>
        <w:t>:</w:t>
      </w:r>
      <w:r w:rsidR="003D2C67">
        <w:rPr>
          <w:sz w:val="16"/>
          <w:szCs w:val="16"/>
        </w:rPr>
        <w:t>55</w:t>
      </w:r>
      <w:bookmarkStart w:id="0" w:name="_GoBack"/>
      <w:bookmarkEnd w:id="0"/>
    </w:p>
    <w:p w:rsidR="004600D1" w:rsidRPr="006971B2" w:rsidRDefault="00CA358A" w:rsidP="004600D1">
      <w:pPr>
        <w:pStyle w:val="Header"/>
        <w:rPr>
          <w:sz w:val="16"/>
          <w:szCs w:val="16"/>
        </w:rPr>
      </w:pPr>
      <w:r w:rsidRPr="006971B2">
        <w:rPr>
          <w:sz w:val="16"/>
          <w:szCs w:val="16"/>
        </w:rPr>
        <w:t>6</w:t>
      </w:r>
      <w:r w:rsidR="003D2C67">
        <w:rPr>
          <w:sz w:val="16"/>
          <w:szCs w:val="16"/>
        </w:rPr>
        <w:t>77</w:t>
      </w:r>
    </w:p>
    <w:p w:rsidR="00D544B0" w:rsidRPr="006971B2" w:rsidRDefault="000D4687" w:rsidP="004600D1">
      <w:pPr>
        <w:pStyle w:val="Header"/>
        <w:rPr>
          <w:sz w:val="16"/>
          <w:szCs w:val="16"/>
        </w:rPr>
      </w:pPr>
      <w:r w:rsidRPr="006971B2">
        <w:rPr>
          <w:sz w:val="16"/>
          <w:szCs w:val="16"/>
        </w:rPr>
        <w:t>V</w:t>
      </w:r>
      <w:r w:rsidR="00E37DBA" w:rsidRPr="006971B2">
        <w:rPr>
          <w:sz w:val="16"/>
          <w:szCs w:val="16"/>
        </w:rPr>
        <w:t>.</w:t>
      </w:r>
      <w:r w:rsidRPr="006971B2">
        <w:rPr>
          <w:sz w:val="16"/>
          <w:szCs w:val="16"/>
        </w:rPr>
        <w:t>Upeniece</w:t>
      </w:r>
    </w:p>
    <w:p w:rsidR="000D4687" w:rsidRPr="006971B2" w:rsidRDefault="003D2C67" w:rsidP="004600D1">
      <w:pPr>
        <w:pStyle w:val="Header"/>
        <w:rPr>
          <w:sz w:val="16"/>
          <w:szCs w:val="16"/>
        </w:rPr>
      </w:pPr>
      <w:hyperlink r:id="rId9" w:history="1">
        <w:r w:rsidR="000D4687" w:rsidRPr="006971B2">
          <w:rPr>
            <w:rStyle w:val="Hyperlink"/>
            <w:sz w:val="16"/>
            <w:szCs w:val="16"/>
          </w:rPr>
          <w:t>Vita.Upeniece@mod.gov.lv</w:t>
        </w:r>
      </w:hyperlink>
      <w:r w:rsidR="000D4687" w:rsidRPr="006971B2">
        <w:rPr>
          <w:sz w:val="16"/>
          <w:szCs w:val="16"/>
        </w:rPr>
        <w:t>, 67335077</w:t>
      </w:r>
    </w:p>
    <w:sectPr w:rsidR="000D4687" w:rsidRPr="006971B2" w:rsidSect="009B7F13">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51" w:rsidRDefault="00793251" w:rsidP="00793251">
      <w:r>
        <w:separator/>
      </w:r>
    </w:p>
  </w:endnote>
  <w:endnote w:type="continuationSeparator" w:id="0">
    <w:p w:rsidR="00793251" w:rsidRDefault="0079325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Pr="00793251" w:rsidRDefault="00793251" w:rsidP="000D7221">
    <w:pPr>
      <w:pStyle w:val="Footer"/>
      <w:jc w:val="both"/>
      <w:rPr>
        <w:lang w:val="lv-LV"/>
      </w:rPr>
    </w:pPr>
    <w:r>
      <w:rPr>
        <w:lang w:val="lv-LV"/>
      </w:rPr>
      <w:t>AIMAnot_</w:t>
    </w:r>
    <w:r w:rsidR="0038789A">
      <w:rPr>
        <w:lang w:val="lv-LV"/>
      </w:rPr>
      <w:t>22</w:t>
    </w:r>
    <w:r w:rsidR="00CA7509">
      <w:rPr>
        <w:lang w:val="lv-LV"/>
      </w:rPr>
      <w:t>0</w:t>
    </w:r>
    <w:r w:rsidR="0038789A">
      <w:rPr>
        <w:lang w:val="lv-LV"/>
      </w:rPr>
      <w:t>5</w:t>
    </w:r>
    <w:r w:rsidR="000D7221">
      <w:rPr>
        <w:lang w:val="lv-LV"/>
      </w:rPr>
      <w:t>15</w:t>
    </w:r>
    <w:r>
      <w:rPr>
        <w:lang w:val="lv-LV"/>
      </w:rPr>
      <w:t>_</w:t>
    </w:r>
    <w:r w:rsidR="000D7221">
      <w:rPr>
        <w:lang w:val="lv-LV"/>
      </w:rPr>
      <w:t>IK</w:t>
    </w:r>
    <w:r>
      <w:rPr>
        <w:lang w:val="lv-LV"/>
      </w:rPr>
      <w:t>;</w:t>
    </w:r>
    <w:r w:rsidR="000D7221">
      <w:rPr>
        <w:lang w:val="lv-LV"/>
      </w:rPr>
      <w:t xml:space="preserve"> </w:t>
    </w:r>
    <w:r w:rsidR="000D7221" w:rsidRPr="000D7221">
      <w:rPr>
        <w:lang w:val="lv-LV"/>
      </w:rPr>
      <w:t>Likumprojekta</w:t>
    </w:r>
    <w:r w:rsidRPr="000D7221">
      <w:rPr>
        <w:lang w:val="lv-LV"/>
      </w:rPr>
      <w:t xml:space="preserve"> </w:t>
    </w:r>
    <w:r w:rsidR="000D7221" w:rsidRPr="000D7221">
      <w:rPr>
        <w:rFonts w:cs="Times New Roman"/>
        <w:bCs/>
        <w:lang w:val="lv-LV" w:eastAsia="lv-LV" w:bidi="ar-SA"/>
      </w:rPr>
      <w:t>„</w:t>
    </w:r>
    <w:r w:rsidR="000D7221" w:rsidRPr="000D7221">
      <w:rPr>
        <w:bCs/>
        <w:lang w:val="lv-LV"/>
      </w:rPr>
      <w:t>Grozījumi likumā „Par interešu konflikta novēršanu valsts amatpersonu darbībā”</w:t>
    </w:r>
    <w:r w:rsidR="000D7221" w:rsidRPr="000D7221">
      <w:rPr>
        <w:rFonts w:cs="Times New Roman"/>
        <w:bCs/>
        <w:lang w:val="lv-LV" w:eastAsia="lv-LV" w:bidi="ar-SA"/>
      </w:rPr>
      <w:t>”</w:t>
    </w:r>
    <w:r w:rsidRPr="000D7221">
      <w:rPr>
        <w:lang w:val="lv-LV"/>
      </w:rPr>
      <w:t xml:space="preserve"> sākotnējās</w:t>
    </w:r>
    <w:r>
      <w:rPr>
        <w:lang w:val="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51" w:rsidRDefault="00793251" w:rsidP="00793251">
      <w:r>
        <w:separator/>
      </w:r>
    </w:p>
  </w:footnote>
  <w:footnote w:type="continuationSeparator" w:id="0">
    <w:p w:rsidR="00793251" w:rsidRDefault="0079325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793251" w:rsidRDefault="00793251">
        <w:pPr>
          <w:pStyle w:val="Header"/>
          <w:jc w:val="center"/>
        </w:pPr>
        <w:r>
          <w:fldChar w:fldCharType="begin"/>
        </w:r>
        <w:r>
          <w:instrText xml:space="preserve"> PAGE   \* MERGEFORMAT </w:instrText>
        </w:r>
        <w:r>
          <w:fldChar w:fldCharType="separate"/>
        </w:r>
        <w:r w:rsidR="003D2C67">
          <w:rPr>
            <w:noProof/>
          </w:rPr>
          <w:t>3</w:t>
        </w:r>
        <w:r>
          <w:rPr>
            <w:noProof/>
          </w:rPr>
          <w:fldChar w:fldCharType="end"/>
        </w:r>
      </w:p>
    </w:sdtContent>
  </w:sdt>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14F41"/>
    <w:rsid w:val="00030C42"/>
    <w:rsid w:val="00040BA5"/>
    <w:rsid w:val="00042947"/>
    <w:rsid w:val="000637B5"/>
    <w:rsid w:val="00065F37"/>
    <w:rsid w:val="00076558"/>
    <w:rsid w:val="00086FA2"/>
    <w:rsid w:val="000874A0"/>
    <w:rsid w:val="00090C83"/>
    <w:rsid w:val="000A1D45"/>
    <w:rsid w:val="000C5C9C"/>
    <w:rsid w:val="000D4687"/>
    <w:rsid w:val="000D7221"/>
    <w:rsid w:val="000F0597"/>
    <w:rsid w:val="000F24DA"/>
    <w:rsid w:val="000F5E0C"/>
    <w:rsid w:val="00103E34"/>
    <w:rsid w:val="0010692E"/>
    <w:rsid w:val="00114579"/>
    <w:rsid w:val="00126877"/>
    <w:rsid w:val="001701FF"/>
    <w:rsid w:val="001915AF"/>
    <w:rsid w:val="001919C8"/>
    <w:rsid w:val="001925E4"/>
    <w:rsid w:val="00193650"/>
    <w:rsid w:val="0019390A"/>
    <w:rsid w:val="00194D40"/>
    <w:rsid w:val="001A42A1"/>
    <w:rsid w:val="001B77B1"/>
    <w:rsid w:val="001C12F3"/>
    <w:rsid w:val="001C25DB"/>
    <w:rsid w:val="001C4F7F"/>
    <w:rsid w:val="001D617B"/>
    <w:rsid w:val="001E4F19"/>
    <w:rsid w:val="001F2472"/>
    <w:rsid w:val="0022395F"/>
    <w:rsid w:val="00224D82"/>
    <w:rsid w:val="00226E54"/>
    <w:rsid w:val="00237EC9"/>
    <w:rsid w:val="002430B0"/>
    <w:rsid w:val="00254A93"/>
    <w:rsid w:val="0026236D"/>
    <w:rsid w:val="00275105"/>
    <w:rsid w:val="002768AB"/>
    <w:rsid w:val="002809EE"/>
    <w:rsid w:val="00284CE1"/>
    <w:rsid w:val="00297668"/>
    <w:rsid w:val="002A24A5"/>
    <w:rsid w:val="002E05ED"/>
    <w:rsid w:val="002E384D"/>
    <w:rsid w:val="00302D0B"/>
    <w:rsid w:val="00304507"/>
    <w:rsid w:val="0038789A"/>
    <w:rsid w:val="003904DC"/>
    <w:rsid w:val="00390F5A"/>
    <w:rsid w:val="003A2021"/>
    <w:rsid w:val="003A30C8"/>
    <w:rsid w:val="003A4807"/>
    <w:rsid w:val="003A4B6F"/>
    <w:rsid w:val="003B1EE2"/>
    <w:rsid w:val="003D1AF7"/>
    <w:rsid w:val="003D2C67"/>
    <w:rsid w:val="003D478E"/>
    <w:rsid w:val="003E2C46"/>
    <w:rsid w:val="003F48C9"/>
    <w:rsid w:val="003F6A17"/>
    <w:rsid w:val="004003B2"/>
    <w:rsid w:val="0041665F"/>
    <w:rsid w:val="004307F9"/>
    <w:rsid w:val="0043361D"/>
    <w:rsid w:val="004336E9"/>
    <w:rsid w:val="004600D1"/>
    <w:rsid w:val="004630A0"/>
    <w:rsid w:val="004831D3"/>
    <w:rsid w:val="004917C2"/>
    <w:rsid w:val="004B4277"/>
    <w:rsid w:val="004D5115"/>
    <w:rsid w:val="004E67D3"/>
    <w:rsid w:val="00504AE1"/>
    <w:rsid w:val="00536B20"/>
    <w:rsid w:val="00551A8D"/>
    <w:rsid w:val="0056212D"/>
    <w:rsid w:val="00573EFC"/>
    <w:rsid w:val="005777B9"/>
    <w:rsid w:val="005E0240"/>
    <w:rsid w:val="005E086C"/>
    <w:rsid w:val="005E2B7A"/>
    <w:rsid w:val="005E5934"/>
    <w:rsid w:val="005F1F40"/>
    <w:rsid w:val="00617745"/>
    <w:rsid w:val="00632D21"/>
    <w:rsid w:val="0063540A"/>
    <w:rsid w:val="00642A4A"/>
    <w:rsid w:val="006502FA"/>
    <w:rsid w:val="00650AAC"/>
    <w:rsid w:val="0066667B"/>
    <w:rsid w:val="00670E2E"/>
    <w:rsid w:val="006956F2"/>
    <w:rsid w:val="006971B2"/>
    <w:rsid w:val="006C0AB6"/>
    <w:rsid w:val="006C36FE"/>
    <w:rsid w:val="006C3A52"/>
    <w:rsid w:val="006D6267"/>
    <w:rsid w:val="006F7C61"/>
    <w:rsid w:val="00702C3D"/>
    <w:rsid w:val="00714A16"/>
    <w:rsid w:val="0072602E"/>
    <w:rsid w:val="007370A5"/>
    <w:rsid w:val="0075272E"/>
    <w:rsid w:val="007635F3"/>
    <w:rsid w:val="007877F6"/>
    <w:rsid w:val="00787F48"/>
    <w:rsid w:val="00793251"/>
    <w:rsid w:val="00797A20"/>
    <w:rsid w:val="007B281C"/>
    <w:rsid w:val="007B4C36"/>
    <w:rsid w:val="007B5EE0"/>
    <w:rsid w:val="007D57F5"/>
    <w:rsid w:val="007F1D73"/>
    <w:rsid w:val="00807EF3"/>
    <w:rsid w:val="008118E4"/>
    <w:rsid w:val="00813D92"/>
    <w:rsid w:val="00823466"/>
    <w:rsid w:val="008804EF"/>
    <w:rsid w:val="00890568"/>
    <w:rsid w:val="008B07CF"/>
    <w:rsid w:val="008C64BD"/>
    <w:rsid w:val="008D4F6E"/>
    <w:rsid w:val="008E0711"/>
    <w:rsid w:val="009213E1"/>
    <w:rsid w:val="0093126B"/>
    <w:rsid w:val="00961EAA"/>
    <w:rsid w:val="00963455"/>
    <w:rsid w:val="00966A51"/>
    <w:rsid w:val="00971470"/>
    <w:rsid w:val="00972D20"/>
    <w:rsid w:val="00976F2C"/>
    <w:rsid w:val="0099301D"/>
    <w:rsid w:val="009A48D6"/>
    <w:rsid w:val="009A61A0"/>
    <w:rsid w:val="009B0629"/>
    <w:rsid w:val="009B32A9"/>
    <w:rsid w:val="009B4565"/>
    <w:rsid w:val="009B7AA7"/>
    <w:rsid w:val="009B7F13"/>
    <w:rsid w:val="009D176E"/>
    <w:rsid w:val="009F1792"/>
    <w:rsid w:val="00A16DD5"/>
    <w:rsid w:val="00A26527"/>
    <w:rsid w:val="00A43363"/>
    <w:rsid w:val="00A44F5A"/>
    <w:rsid w:val="00A50AF5"/>
    <w:rsid w:val="00A50D61"/>
    <w:rsid w:val="00A669D6"/>
    <w:rsid w:val="00A67DD3"/>
    <w:rsid w:val="00A93B9C"/>
    <w:rsid w:val="00AA7611"/>
    <w:rsid w:val="00AB486D"/>
    <w:rsid w:val="00AD6F71"/>
    <w:rsid w:val="00AF3AC3"/>
    <w:rsid w:val="00AF62DC"/>
    <w:rsid w:val="00B03CDB"/>
    <w:rsid w:val="00B0614E"/>
    <w:rsid w:val="00B432E8"/>
    <w:rsid w:val="00B47AF6"/>
    <w:rsid w:val="00B64B56"/>
    <w:rsid w:val="00B80259"/>
    <w:rsid w:val="00B845FA"/>
    <w:rsid w:val="00B91C5E"/>
    <w:rsid w:val="00B924BD"/>
    <w:rsid w:val="00B95FA4"/>
    <w:rsid w:val="00BA3486"/>
    <w:rsid w:val="00BA6DC0"/>
    <w:rsid w:val="00BE44F1"/>
    <w:rsid w:val="00C042E0"/>
    <w:rsid w:val="00C04E7D"/>
    <w:rsid w:val="00C15175"/>
    <w:rsid w:val="00C34BE2"/>
    <w:rsid w:val="00C366C1"/>
    <w:rsid w:val="00C43294"/>
    <w:rsid w:val="00C53718"/>
    <w:rsid w:val="00C6134E"/>
    <w:rsid w:val="00C729FB"/>
    <w:rsid w:val="00C83E8F"/>
    <w:rsid w:val="00CA358A"/>
    <w:rsid w:val="00CA7509"/>
    <w:rsid w:val="00CB7EEF"/>
    <w:rsid w:val="00D30F08"/>
    <w:rsid w:val="00D30F88"/>
    <w:rsid w:val="00D50FA7"/>
    <w:rsid w:val="00D544B0"/>
    <w:rsid w:val="00D57145"/>
    <w:rsid w:val="00DA12B7"/>
    <w:rsid w:val="00DA43BA"/>
    <w:rsid w:val="00DA55F2"/>
    <w:rsid w:val="00DD0703"/>
    <w:rsid w:val="00DD0F37"/>
    <w:rsid w:val="00DF263E"/>
    <w:rsid w:val="00DF2944"/>
    <w:rsid w:val="00DF6769"/>
    <w:rsid w:val="00E14F71"/>
    <w:rsid w:val="00E20B65"/>
    <w:rsid w:val="00E2536F"/>
    <w:rsid w:val="00E37DBA"/>
    <w:rsid w:val="00E57635"/>
    <w:rsid w:val="00E64ADC"/>
    <w:rsid w:val="00E65F9E"/>
    <w:rsid w:val="00EB4C92"/>
    <w:rsid w:val="00EB5489"/>
    <w:rsid w:val="00EC7E8B"/>
    <w:rsid w:val="00ED019F"/>
    <w:rsid w:val="00EF28EA"/>
    <w:rsid w:val="00F16301"/>
    <w:rsid w:val="00F22346"/>
    <w:rsid w:val="00F41B10"/>
    <w:rsid w:val="00F44D94"/>
    <w:rsid w:val="00F52B0B"/>
    <w:rsid w:val="00F64BA7"/>
    <w:rsid w:val="00F64DAF"/>
    <w:rsid w:val="00F70409"/>
    <w:rsid w:val="00F74DE5"/>
    <w:rsid w:val="00F87F12"/>
    <w:rsid w:val="00FA69E4"/>
    <w:rsid w:val="00FB3103"/>
    <w:rsid w:val="00FB485B"/>
    <w:rsid w:val="00FD24CA"/>
    <w:rsid w:val="00FD3BFE"/>
    <w:rsid w:val="00FD5443"/>
    <w:rsid w:val="00FF4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8B2B-811A-47F2-B6A4-60D670E2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5E16630D.dotm</Template>
  <TotalTime>221</TotalTime>
  <Pages>3</Pages>
  <Words>677</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Likumprojekta "Grozījumi likumā "Par interešu konflikta novēršanu valsts amatpersonu darbībā" sākotnējās ietekmes novērtējuma ziņojums (anotācija)</vt:lpstr>
    </vt:vector>
  </TitlesOfParts>
  <Manager>Aizsardzības ministrija</Manager>
  <Company>Aizsardzības ministrija</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 sākotnējās ietekmes novērtējuma ziņojums (anotācija)</dc:title>
  <dc:subject>anotācija</dc:subject>
  <dc:creator>Vita Upeniece</dc:creator>
  <dc:description>Vita.Upeniece@mod.gov.lv, 67335077</dc:description>
  <cp:lastModifiedBy>Vita Upeniece</cp:lastModifiedBy>
  <cp:revision>74</cp:revision>
  <cp:lastPrinted>2014-01-24T08:19:00Z</cp:lastPrinted>
  <dcterms:created xsi:type="dcterms:W3CDTF">2014-08-19T08:23:00Z</dcterms:created>
  <dcterms:modified xsi:type="dcterms:W3CDTF">2015-05-22T10:55:00Z</dcterms:modified>
</cp:coreProperties>
</file>