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6E" w:rsidRPr="004E0D61" w:rsidRDefault="00BB09C5" w:rsidP="00C72E16">
      <w:pPr>
        <w:pStyle w:val="BodyText"/>
        <w:jc w:val="center"/>
        <w:rPr>
          <w:b/>
          <w:sz w:val="24"/>
          <w:szCs w:val="24"/>
        </w:rPr>
        <w:sectPr w:rsidR="00C97F6E" w:rsidRPr="004E0D61" w:rsidSect="00B014C2">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pPr>
      <w:bookmarkStart w:id="3" w:name="OLE_LINK3"/>
      <w:bookmarkStart w:id="4" w:name="OLE_LINK1"/>
      <w:bookmarkStart w:id="5" w:name="OLE_LINK2"/>
      <w:r w:rsidRPr="004E0D61">
        <w:rPr>
          <w:b/>
          <w:sz w:val="24"/>
          <w:szCs w:val="24"/>
        </w:rPr>
        <w:t xml:space="preserve">Ministru kabineta </w:t>
      </w:r>
      <w:r w:rsidR="00C83591" w:rsidRPr="004E0D61">
        <w:rPr>
          <w:b/>
          <w:sz w:val="24"/>
          <w:szCs w:val="24"/>
        </w:rPr>
        <w:t>noteikumu</w:t>
      </w:r>
      <w:r w:rsidR="001764E7" w:rsidRPr="004E0D61">
        <w:rPr>
          <w:b/>
          <w:sz w:val="24"/>
          <w:szCs w:val="24"/>
        </w:rPr>
        <w:t xml:space="preserve"> </w:t>
      </w:r>
      <w:r w:rsidRPr="004E0D61">
        <w:rPr>
          <w:b/>
          <w:sz w:val="24"/>
          <w:szCs w:val="24"/>
        </w:rPr>
        <w:t xml:space="preserve">projekta </w:t>
      </w:r>
      <w:r w:rsidR="00092473" w:rsidRPr="004E0D61">
        <w:rPr>
          <w:b/>
          <w:sz w:val="24"/>
          <w:szCs w:val="24"/>
        </w:rPr>
        <w:t>„</w:t>
      </w:r>
      <w:r w:rsidR="00C72E16" w:rsidRPr="00C72E16">
        <w:rPr>
          <w:b/>
          <w:sz w:val="24"/>
          <w:szCs w:val="24"/>
        </w:rPr>
        <w:t>Grozījumi Ministru kabineta 2008.ga</w:t>
      </w:r>
      <w:r w:rsidR="00C72E16">
        <w:rPr>
          <w:b/>
          <w:sz w:val="24"/>
          <w:szCs w:val="24"/>
        </w:rPr>
        <w:t xml:space="preserve">da 7.oktobra noteikumos Nr.835 </w:t>
      </w:r>
      <w:r w:rsidR="00C72E16" w:rsidRPr="00C72E16">
        <w:rPr>
          <w:b/>
          <w:sz w:val="24"/>
          <w:szCs w:val="24"/>
        </w:rPr>
        <w:t>„Noteikumi par darbības programmas „Uzņēmējdarbība un inovācijas” papildinājuma 2.3.2.1.</w:t>
      </w:r>
      <w:r w:rsidR="00C72E16">
        <w:rPr>
          <w:b/>
          <w:sz w:val="24"/>
          <w:szCs w:val="24"/>
        </w:rPr>
        <w:t>aktivitāti „Biznesa inkubatori”</w:t>
      </w:r>
      <w:r w:rsidR="00760AEB" w:rsidRPr="004E0D61">
        <w:rPr>
          <w:b/>
          <w:sz w:val="24"/>
          <w:szCs w:val="24"/>
        </w:rPr>
        <w:t>”</w:t>
      </w:r>
      <w:r w:rsidR="00092473" w:rsidRPr="004E0D61">
        <w:rPr>
          <w:b/>
          <w:sz w:val="24"/>
          <w:szCs w:val="24"/>
        </w:rPr>
        <w:t xml:space="preserve"> </w:t>
      </w:r>
      <w:r w:rsidR="003000F0" w:rsidRPr="004E0D61">
        <w:rPr>
          <w:b/>
          <w:sz w:val="24"/>
          <w:szCs w:val="24"/>
        </w:rPr>
        <w:t>sākotnējās ietekmes novērtējuma ziņojums</w:t>
      </w:r>
      <w:r w:rsidR="00E73425" w:rsidRPr="004E0D61">
        <w:rPr>
          <w:b/>
          <w:sz w:val="24"/>
          <w:szCs w:val="24"/>
        </w:rPr>
        <w:t xml:space="preserve"> </w:t>
      </w:r>
      <w:r w:rsidR="003000F0" w:rsidRPr="004E0D61">
        <w:rPr>
          <w:b/>
          <w:sz w:val="24"/>
          <w:szCs w:val="24"/>
        </w:rPr>
        <w:t>(</w:t>
      </w:r>
      <w:r w:rsidR="00E73425" w:rsidRPr="004E0D61">
        <w:rPr>
          <w:b/>
          <w:sz w:val="24"/>
          <w:szCs w:val="24"/>
        </w:rPr>
        <w:t>anotācija</w:t>
      </w:r>
      <w:bookmarkEnd w:id="3"/>
      <w:bookmarkEnd w:id="4"/>
      <w:bookmarkEnd w:id="5"/>
      <w:r w:rsidR="00E009B0" w:rsidRPr="004E0D61">
        <w:rPr>
          <w:b/>
          <w:sz w:val="24"/>
          <w:szCs w:val="24"/>
        </w:rPr>
        <w:t>)</w:t>
      </w:r>
    </w:p>
    <w:p w:rsidR="00C97F6E" w:rsidRPr="004E0D61" w:rsidRDefault="00C97F6E" w:rsidP="00F22471">
      <w:pPr>
        <w:jc w:val="both"/>
        <w:rPr>
          <w:rFonts w:eastAsia="Times New Roman"/>
          <w:sz w:val="16"/>
          <w:szCs w:val="16"/>
          <w:lang w:val="lv-LV" w:eastAsia="lv-LV"/>
        </w:rPr>
        <w:sectPr w:rsidR="00C97F6E" w:rsidRPr="004E0D61" w:rsidSect="00C97F6E">
          <w:type w:val="continuous"/>
          <w:pgSz w:w="11906" w:h="16838"/>
          <w:pgMar w:top="1418" w:right="1134" w:bottom="1134" w:left="1701" w:header="709" w:footer="709" w:gutter="0"/>
          <w:cols w:space="708"/>
          <w:titlePg/>
          <w:docGrid w:linePitch="360"/>
        </w:sectPr>
      </w:pPr>
    </w:p>
    <w:tbl>
      <w:tblPr>
        <w:tblW w:w="910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65"/>
      </w:tblGrid>
      <w:tr w:rsidR="00D11308" w:rsidRPr="00057F5C" w:rsidTr="000A15AB">
        <w:trPr>
          <w:trHeight w:val="141"/>
        </w:trPr>
        <w:tc>
          <w:tcPr>
            <w:tcW w:w="910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D11308" w:rsidRPr="004E0D61" w:rsidRDefault="00D11308" w:rsidP="000A15AB">
            <w:pPr>
              <w:ind w:firstLine="720"/>
              <w:jc w:val="both"/>
              <w:rPr>
                <w:rFonts w:eastAsia="Times New Roman"/>
                <w:b/>
                <w:sz w:val="24"/>
                <w:szCs w:val="24"/>
                <w:lang w:val="lv-LV" w:eastAsia="lv-LV"/>
              </w:rPr>
            </w:pPr>
            <w:r w:rsidRPr="004E0D61">
              <w:rPr>
                <w:rFonts w:eastAsia="Times New Roman"/>
                <w:b/>
                <w:sz w:val="24"/>
                <w:szCs w:val="24"/>
                <w:lang w:val="lv-LV" w:eastAsia="lv-LV"/>
              </w:rPr>
              <w:lastRenderedPageBreak/>
              <w:t>I.Tiesību akta projekta izstrādes nepieciešamība</w:t>
            </w:r>
          </w:p>
        </w:tc>
      </w:tr>
      <w:tr w:rsidR="00D11308" w:rsidRPr="00057F5C" w:rsidTr="000A15AB">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4E0D61" w:rsidRDefault="00D11308" w:rsidP="000A15AB">
            <w:pPr>
              <w:jc w:val="both"/>
              <w:rPr>
                <w:rFonts w:eastAsia="Times New Roman"/>
                <w:sz w:val="24"/>
                <w:szCs w:val="24"/>
                <w:lang w:val="lv-LV" w:eastAsia="lv-LV"/>
              </w:rPr>
            </w:pPr>
            <w:r w:rsidRPr="004E0D61">
              <w:rPr>
                <w:rFonts w:eastAsia="Times New Roman"/>
                <w:sz w:val="24"/>
                <w:szCs w:val="24"/>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4E0D61" w:rsidRDefault="00D11308" w:rsidP="000A15AB">
            <w:pPr>
              <w:jc w:val="both"/>
              <w:rPr>
                <w:rFonts w:eastAsia="Times New Roman"/>
                <w:sz w:val="24"/>
                <w:szCs w:val="24"/>
                <w:lang w:val="lv-LV" w:eastAsia="lv-LV"/>
              </w:rPr>
            </w:pPr>
            <w:r w:rsidRPr="004E0D61">
              <w:rPr>
                <w:rFonts w:eastAsia="Times New Roman"/>
                <w:sz w:val="24"/>
                <w:szCs w:val="24"/>
                <w:lang w:val="lv-LV" w:eastAsia="lv-LV"/>
              </w:rPr>
              <w:t>Pamatojums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4E0D61" w:rsidRDefault="00D11308" w:rsidP="00C72E16">
            <w:pPr>
              <w:jc w:val="both"/>
              <w:rPr>
                <w:sz w:val="24"/>
                <w:szCs w:val="24"/>
                <w:lang w:val="lv-LV"/>
              </w:rPr>
            </w:pPr>
            <w:r w:rsidRPr="004E0D61">
              <w:rPr>
                <w:sz w:val="24"/>
                <w:szCs w:val="24"/>
                <w:lang w:val="lv-LV"/>
              </w:rPr>
              <w:t xml:space="preserve">Noteikumu projekts sagatavots pamatojoties uz </w:t>
            </w:r>
            <w:r w:rsidR="00C72E16" w:rsidRPr="00C72E16">
              <w:rPr>
                <w:sz w:val="24"/>
                <w:szCs w:val="24"/>
                <w:lang w:val="lv-LV"/>
              </w:rPr>
              <w:t>Ei</w:t>
            </w:r>
            <w:r w:rsidR="00C72E16">
              <w:rPr>
                <w:sz w:val="24"/>
                <w:szCs w:val="24"/>
                <w:lang w:val="lv-LV"/>
              </w:rPr>
              <w:t xml:space="preserve">ropas Savienības struktūrfondu </w:t>
            </w:r>
            <w:r w:rsidR="00C72E16" w:rsidRPr="00C72E16">
              <w:rPr>
                <w:sz w:val="24"/>
                <w:szCs w:val="24"/>
                <w:lang w:val="lv-LV"/>
              </w:rPr>
              <w:t xml:space="preserve">un </w:t>
            </w:r>
            <w:r w:rsidR="00C72E16">
              <w:rPr>
                <w:sz w:val="24"/>
                <w:szCs w:val="24"/>
                <w:lang w:val="lv-LV"/>
              </w:rPr>
              <w:t xml:space="preserve">Kohēzijas fonda vadības likuma </w:t>
            </w:r>
            <w:r w:rsidR="00C72E16" w:rsidRPr="00C72E16">
              <w:rPr>
                <w:sz w:val="24"/>
                <w:szCs w:val="24"/>
                <w:lang w:val="lv-LV"/>
              </w:rPr>
              <w:t>18.panta 10.punktu</w:t>
            </w:r>
          </w:p>
        </w:tc>
      </w:tr>
      <w:tr w:rsidR="00D11308" w:rsidRPr="00AB0084" w:rsidTr="000A15AB">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AB0084" w:rsidRDefault="00D11308" w:rsidP="000A15AB">
            <w:pPr>
              <w:jc w:val="both"/>
              <w:rPr>
                <w:rFonts w:eastAsia="Times New Roman"/>
                <w:sz w:val="24"/>
                <w:szCs w:val="24"/>
                <w:lang w:val="lv-LV" w:eastAsia="lv-LV"/>
              </w:rPr>
            </w:pPr>
            <w:r w:rsidRPr="00AB0084">
              <w:rPr>
                <w:rFonts w:eastAsia="Times New Roman"/>
                <w:sz w:val="24"/>
                <w:szCs w:val="24"/>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AB0084" w:rsidRDefault="00D11308" w:rsidP="000A15AB">
            <w:pPr>
              <w:jc w:val="both"/>
              <w:rPr>
                <w:rFonts w:eastAsia="Times New Roman"/>
                <w:sz w:val="24"/>
                <w:szCs w:val="24"/>
                <w:lang w:val="lv-LV" w:eastAsia="lv-LV"/>
              </w:rPr>
            </w:pPr>
            <w:r w:rsidRPr="00AB0084">
              <w:rPr>
                <w:rFonts w:eastAsia="Times New Roman"/>
                <w:sz w:val="24"/>
                <w:szCs w:val="24"/>
                <w:lang w:val="lv-LV" w:eastAsia="lv-LV"/>
              </w:rPr>
              <w:t>Pašreizējā situācija un problēmas, kuru risināšanai tiesību akta projekts izstrādāts, tiesiskā regulējuma mērķis un būtība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B72542" w:rsidRPr="00AB0084" w:rsidRDefault="00B72542" w:rsidP="000C24DD">
            <w:pPr>
              <w:ind w:firstLine="567"/>
              <w:jc w:val="both"/>
              <w:rPr>
                <w:rFonts w:eastAsia="Times New Roman"/>
                <w:bCs/>
                <w:sz w:val="24"/>
                <w:szCs w:val="24"/>
                <w:lang w:val="lv-LV"/>
              </w:rPr>
            </w:pPr>
            <w:r w:rsidRPr="00AB0084">
              <w:rPr>
                <w:rFonts w:eastAsia="Times New Roman"/>
                <w:bCs/>
                <w:sz w:val="24"/>
                <w:szCs w:val="24"/>
                <w:lang w:val="lv-LV"/>
              </w:rPr>
              <w:t xml:space="preserve">Saskaņā ar </w:t>
            </w:r>
            <w:r w:rsidRPr="00AB0084">
              <w:rPr>
                <w:sz w:val="24"/>
                <w:szCs w:val="24"/>
                <w:lang w:val="lv-LV"/>
              </w:rPr>
              <w:t xml:space="preserve">Ministru kabineta 2008.gada 7.oktobra noteikumiem Nr.835 „Noteikumi par darbības programmas „Uzņēmējdarbība un inovācijas” papildinājuma 2.3.2.1.aktivitāti „Biznesa inkubatori”” (turpmāk – MK noteikumi Nr.835) atbalsts tiek sniegts </w:t>
            </w:r>
            <w:r w:rsidR="000B38B3" w:rsidRPr="00AB0084">
              <w:rPr>
                <w:sz w:val="24"/>
                <w:szCs w:val="24"/>
                <w:lang w:val="lv-LV"/>
              </w:rPr>
              <w:t>biznesa inkubatorā iekļautajiem komersantiem. Šīs aktivitātes ietvaros sadarbības iestādes funkcijas veic Latvijas Investīciju un attīstības aģentūra (turpmāk – LIAA).</w:t>
            </w:r>
          </w:p>
          <w:p w:rsidR="005600B1" w:rsidRPr="00AB0084" w:rsidRDefault="00D970AB" w:rsidP="000C24DD">
            <w:pPr>
              <w:ind w:firstLine="567"/>
              <w:jc w:val="both"/>
              <w:rPr>
                <w:sz w:val="24"/>
                <w:szCs w:val="24"/>
                <w:lang w:val="lv-LV"/>
              </w:rPr>
            </w:pPr>
            <w:r w:rsidRPr="00AB0084">
              <w:rPr>
                <w:rFonts w:eastAsia="Times New Roman"/>
                <w:bCs/>
                <w:sz w:val="24"/>
                <w:szCs w:val="24"/>
                <w:lang w:val="lv-LV"/>
              </w:rPr>
              <w:t xml:space="preserve">2014.gada 16.decembrī Ministru Kabinets apstiprināja grozījumus  Ministru kabineta 2009.gada 17.februāra noteikumos Nr.164 "Noteikumi par aizdevumiem </w:t>
            </w:r>
            <w:r w:rsidR="00F66DE4" w:rsidRPr="00AB0084">
              <w:rPr>
                <w:rFonts w:eastAsia="Times New Roman"/>
                <w:bCs/>
                <w:sz w:val="24"/>
                <w:szCs w:val="24"/>
                <w:lang w:val="lv-LV"/>
              </w:rPr>
              <w:t xml:space="preserve">saimnieciskās darbības uzsācējiem un </w:t>
            </w:r>
            <w:r w:rsidRPr="00AB0084">
              <w:rPr>
                <w:rFonts w:eastAsia="Times New Roman"/>
                <w:bCs/>
                <w:sz w:val="24"/>
                <w:szCs w:val="24"/>
                <w:lang w:val="lv-LV"/>
              </w:rPr>
              <w:t>komersant</w:t>
            </w:r>
            <w:r w:rsidR="00F66DE4" w:rsidRPr="00AB0084">
              <w:rPr>
                <w:rFonts w:eastAsia="Times New Roman"/>
                <w:bCs/>
                <w:sz w:val="24"/>
                <w:szCs w:val="24"/>
                <w:lang w:val="lv-LV"/>
              </w:rPr>
              <w:t>iem</w:t>
            </w:r>
            <w:r w:rsidRPr="00AB0084">
              <w:rPr>
                <w:rFonts w:eastAsia="Times New Roman"/>
                <w:bCs/>
                <w:sz w:val="24"/>
                <w:szCs w:val="24"/>
                <w:lang w:val="lv-LV"/>
              </w:rPr>
              <w:t xml:space="preserve"> konkurētspējas uzlabošanai"</w:t>
            </w:r>
            <w:r w:rsidR="005600B1" w:rsidRPr="00AB0084">
              <w:rPr>
                <w:rFonts w:eastAsia="Times New Roman"/>
                <w:bCs/>
                <w:sz w:val="24"/>
                <w:szCs w:val="24"/>
                <w:lang w:val="lv-LV"/>
              </w:rPr>
              <w:t xml:space="preserve"> (turpmāk – MK noteikumi Nr.164)</w:t>
            </w:r>
            <w:r w:rsidRPr="00AB0084">
              <w:rPr>
                <w:rFonts w:eastAsia="Times New Roman"/>
                <w:bCs/>
                <w:sz w:val="24"/>
                <w:szCs w:val="24"/>
                <w:lang w:val="lv-LV"/>
              </w:rPr>
              <w:t xml:space="preserve">, novirzot 2 000 000 </w:t>
            </w:r>
            <w:proofErr w:type="spellStart"/>
            <w:r w:rsidRPr="00AB0084">
              <w:rPr>
                <w:rFonts w:eastAsia="Times New Roman"/>
                <w:bCs/>
                <w:i/>
                <w:sz w:val="24"/>
                <w:szCs w:val="24"/>
                <w:lang w:val="lv-LV"/>
              </w:rPr>
              <w:t>euro</w:t>
            </w:r>
            <w:proofErr w:type="spellEnd"/>
            <w:r w:rsidRPr="00AB0084">
              <w:rPr>
                <w:rFonts w:eastAsia="Times New Roman"/>
                <w:bCs/>
                <w:i/>
                <w:sz w:val="24"/>
                <w:szCs w:val="24"/>
                <w:lang w:val="lv-LV"/>
              </w:rPr>
              <w:t xml:space="preserve"> </w:t>
            </w:r>
            <w:r w:rsidRPr="00AB0084">
              <w:rPr>
                <w:sz w:val="24"/>
                <w:szCs w:val="24"/>
                <w:lang w:val="lv-LV"/>
              </w:rPr>
              <w:t xml:space="preserve">no 2007.-2013.gada Eiropas Savienības fondu plānošanas perioda </w:t>
            </w:r>
            <w:r w:rsidRPr="00AB0084">
              <w:rPr>
                <w:rFonts w:eastAsia="Times New Roman"/>
                <w:sz w:val="24"/>
                <w:szCs w:val="24"/>
                <w:lang w:val="lv-LV" w:eastAsia="lv-LV"/>
              </w:rPr>
              <w:t>1.3.1.2. aktivitātes atmaksu publiskās finansējuma daļas</w:t>
            </w:r>
            <w:r w:rsidR="005600B1" w:rsidRPr="00AB0084">
              <w:rPr>
                <w:rFonts w:eastAsia="Times New Roman"/>
                <w:sz w:val="24"/>
                <w:szCs w:val="24"/>
                <w:lang w:val="lv-LV" w:eastAsia="lv-LV"/>
              </w:rPr>
              <w:t xml:space="preserve"> (turpmāk – </w:t>
            </w:r>
            <w:proofErr w:type="spellStart"/>
            <w:r w:rsidR="005600B1" w:rsidRPr="00AB0084">
              <w:rPr>
                <w:rFonts w:eastAsia="Times New Roman"/>
                <w:sz w:val="24"/>
                <w:szCs w:val="24"/>
                <w:lang w:val="lv-LV" w:eastAsia="lv-LV"/>
              </w:rPr>
              <w:t>reciklētais</w:t>
            </w:r>
            <w:proofErr w:type="spellEnd"/>
            <w:r w:rsidR="005600B1" w:rsidRPr="00AB0084">
              <w:rPr>
                <w:rFonts w:eastAsia="Times New Roman"/>
                <w:sz w:val="24"/>
                <w:szCs w:val="24"/>
                <w:lang w:val="lv-LV" w:eastAsia="lv-LV"/>
              </w:rPr>
              <w:t xml:space="preserve"> finansējums)</w:t>
            </w:r>
            <w:r w:rsidRPr="00AB0084">
              <w:rPr>
                <w:rFonts w:eastAsia="Times New Roman"/>
                <w:sz w:val="24"/>
                <w:szCs w:val="24"/>
                <w:lang w:val="lv-LV" w:eastAsia="lv-LV"/>
              </w:rPr>
              <w:t xml:space="preserve"> biznesa inkubatorā iekļautajiem saimnieciskās darbības uzsācējiem, kas </w:t>
            </w:r>
            <w:r w:rsidRPr="00AB0084">
              <w:rPr>
                <w:sz w:val="24"/>
                <w:szCs w:val="24"/>
                <w:lang w:val="lv-LV"/>
              </w:rPr>
              <w:t xml:space="preserve">tiek finansēti darbības programmas “Uzņēmējdarbība un inovācijas” papildinājuma 2.3.2.1.aktivitātes  “Biznesa inkubatori” (turpmāk – 2.3.2.1.aktivitāte) ietvaros. </w:t>
            </w:r>
            <w:r w:rsidR="005600B1" w:rsidRPr="00AB0084">
              <w:rPr>
                <w:sz w:val="24"/>
                <w:szCs w:val="24"/>
                <w:lang w:val="lv-LV"/>
              </w:rPr>
              <w:t>Šis nosacījums ir spēkā, ja biznesa inkubatorā iekļautie saimnieciskās darbības uzsācēji atbilst MK noteikumu Nr.164  III</w:t>
            </w:r>
            <w:r w:rsidR="005600B1" w:rsidRPr="00AB0084">
              <w:rPr>
                <w:sz w:val="24"/>
                <w:szCs w:val="24"/>
                <w:vertAlign w:val="superscript"/>
                <w:lang w:val="lv-LV"/>
              </w:rPr>
              <w:t>2</w:t>
            </w:r>
            <w:r w:rsidR="005600B1" w:rsidRPr="00AB0084">
              <w:rPr>
                <w:sz w:val="24"/>
                <w:szCs w:val="24"/>
                <w:lang w:val="lv-LV"/>
              </w:rPr>
              <w:t xml:space="preserve"> nodaļā minētajām prasībām.</w:t>
            </w:r>
          </w:p>
          <w:p w:rsidR="005600B1" w:rsidRPr="00AB0084" w:rsidRDefault="00D970AB" w:rsidP="000C24DD">
            <w:pPr>
              <w:ind w:firstLine="567"/>
              <w:jc w:val="both"/>
              <w:rPr>
                <w:sz w:val="24"/>
                <w:szCs w:val="24"/>
                <w:lang w:val="lv-LV"/>
              </w:rPr>
            </w:pPr>
            <w:r w:rsidRPr="00AB0084">
              <w:rPr>
                <w:sz w:val="24"/>
                <w:szCs w:val="24"/>
                <w:lang w:val="lv-LV"/>
              </w:rPr>
              <w:t xml:space="preserve"> </w:t>
            </w:r>
            <w:r w:rsidR="005600B1" w:rsidRPr="00AB0084">
              <w:rPr>
                <w:sz w:val="24"/>
                <w:szCs w:val="24"/>
                <w:lang w:val="lv-LV"/>
              </w:rPr>
              <w:t xml:space="preserve">Pamatojums </w:t>
            </w:r>
            <w:proofErr w:type="spellStart"/>
            <w:r w:rsidR="005600B1" w:rsidRPr="00AB0084">
              <w:rPr>
                <w:sz w:val="24"/>
                <w:szCs w:val="24"/>
                <w:lang w:val="lv-LV"/>
              </w:rPr>
              <w:t>reciklētā</w:t>
            </w:r>
            <w:proofErr w:type="spellEnd"/>
            <w:r w:rsidR="005600B1" w:rsidRPr="00AB0084">
              <w:rPr>
                <w:sz w:val="24"/>
                <w:szCs w:val="24"/>
                <w:lang w:val="lv-LV"/>
              </w:rPr>
              <w:t xml:space="preserve"> finansējuma novirzīšanai biznesa inkubatorā esošo saimnieciskās darbības veicēju finansēšanai ir veiktā tirgus nepilnību analīze, kas nosaka, ka komercbankas nereti nevēlas sniegt atbalstu saimnieciskās darbības uzsācējam. Papildus norādāms, ka </w:t>
            </w:r>
            <w:proofErr w:type="spellStart"/>
            <w:r w:rsidR="005600B1" w:rsidRPr="00AB0084">
              <w:rPr>
                <w:sz w:val="24"/>
                <w:szCs w:val="24"/>
                <w:lang w:val="lv-LV"/>
              </w:rPr>
              <w:t>reciklētā</w:t>
            </w:r>
            <w:proofErr w:type="spellEnd"/>
            <w:r w:rsidR="005600B1" w:rsidRPr="00AB0084">
              <w:rPr>
                <w:sz w:val="24"/>
                <w:szCs w:val="24"/>
                <w:lang w:val="lv-LV"/>
              </w:rPr>
              <w:t xml:space="preserve"> finansējuma novirzīšana biznesa inkubatorā esošo saimnieciskās darbības veicēju finansēšanai saistīta arī ar dubultā finansējuma riska novēršanu, ņemot vērā Eiropas Komisijas norādījumus</w:t>
            </w:r>
            <w:r w:rsidR="00ED6E18" w:rsidRPr="00AB0084">
              <w:rPr>
                <w:rStyle w:val="FootnoteReference"/>
                <w:sz w:val="24"/>
                <w:szCs w:val="24"/>
                <w:lang w:val="lv-LV"/>
              </w:rPr>
              <w:footnoteReference w:id="1"/>
            </w:r>
            <w:r w:rsidR="005600B1" w:rsidRPr="00AB0084">
              <w:rPr>
                <w:sz w:val="24"/>
                <w:szCs w:val="24"/>
                <w:lang w:val="lv-LV"/>
              </w:rPr>
              <w:t xml:space="preserve">, kas nosaka, ka </w:t>
            </w:r>
            <w:r w:rsidR="005600B1" w:rsidRPr="00AB0084">
              <w:rPr>
                <w:sz w:val="24"/>
                <w:szCs w:val="24"/>
                <w:u w:val="single"/>
                <w:lang w:val="lv-LV"/>
              </w:rPr>
              <w:t>nevar kombinēt divas Eiropas Savienības fondu programmas par tām pašām attiecināmajām izmaksām</w:t>
            </w:r>
            <w:r w:rsidR="005600B1" w:rsidRPr="00AB0084">
              <w:rPr>
                <w:sz w:val="24"/>
                <w:szCs w:val="24"/>
                <w:lang w:val="lv-LV"/>
              </w:rPr>
              <w:t>.</w:t>
            </w:r>
          </w:p>
          <w:p w:rsidR="00ED6E18" w:rsidRPr="00AB0084" w:rsidRDefault="00ED6E18" w:rsidP="00ED6E18">
            <w:pPr>
              <w:pStyle w:val="NoSpacing"/>
              <w:ind w:firstLine="720"/>
              <w:jc w:val="both"/>
              <w:rPr>
                <w:rFonts w:ascii="Times New Roman" w:hAnsi="Times New Roman" w:cs="Times New Roman"/>
                <w:sz w:val="24"/>
                <w:szCs w:val="24"/>
                <w:u w:val="single"/>
              </w:rPr>
            </w:pPr>
            <w:proofErr w:type="spellStart"/>
            <w:r w:rsidRPr="00AB0084">
              <w:rPr>
                <w:rFonts w:ascii="Times New Roman" w:hAnsi="Times New Roman" w:cs="Times New Roman"/>
                <w:sz w:val="24"/>
                <w:szCs w:val="24"/>
              </w:rPr>
              <w:t>Reciklētā</w:t>
            </w:r>
            <w:proofErr w:type="spellEnd"/>
            <w:r w:rsidRPr="00AB0084">
              <w:rPr>
                <w:rFonts w:ascii="Times New Roman" w:hAnsi="Times New Roman" w:cs="Times New Roman"/>
                <w:sz w:val="24"/>
                <w:szCs w:val="24"/>
              </w:rPr>
              <w:t xml:space="preserve"> finansējuma atkārtotu izmantošanu nosaka Padomes 2006.gada 11.jūlija Regulas (EK) Nr. 1083/2006, ar ko paredz vispārīgus noteikumus par Eiropas Reģionālās attīstības fondu, Eiropas Sociālo fondu un Kohēzijas fondu un atceļ Regulu (EK) Nr. 1260/1999 78.panta 7.punkts, kas nosaka, ka </w:t>
            </w:r>
            <w:r w:rsidRPr="00AB0084">
              <w:rPr>
                <w:rFonts w:ascii="Times New Roman" w:hAnsi="Times New Roman" w:cs="Times New Roman"/>
                <w:sz w:val="24"/>
                <w:szCs w:val="24"/>
                <w:u w:val="single"/>
              </w:rPr>
              <w:t>resursus,</w:t>
            </w:r>
            <w:r w:rsidRPr="00AB0084">
              <w:rPr>
                <w:rFonts w:ascii="Times New Roman" w:hAnsi="Times New Roman" w:cs="Times New Roman"/>
                <w:sz w:val="24"/>
                <w:szCs w:val="24"/>
              </w:rPr>
              <w:t xml:space="preserve"> kurus fondi guvuši no ieguldījumiem un kuri palikuši pāri pēc visu saistību segšanas, atbildīgo dalībvalstu kompetentās iestādes </w:t>
            </w:r>
            <w:r w:rsidRPr="00AB0084">
              <w:rPr>
                <w:rFonts w:ascii="Times New Roman" w:hAnsi="Times New Roman" w:cs="Times New Roman"/>
                <w:sz w:val="24"/>
                <w:szCs w:val="24"/>
                <w:u w:val="single"/>
              </w:rPr>
              <w:t>atkārtoti izmanto</w:t>
            </w:r>
            <w:r w:rsidRPr="00AB0084">
              <w:rPr>
                <w:rFonts w:ascii="Times New Roman" w:hAnsi="Times New Roman" w:cs="Times New Roman"/>
                <w:sz w:val="24"/>
                <w:szCs w:val="24"/>
              </w:rPr>
              <w:t xml:space="preserve"> pilsētu attīstības projektiem vai </w:t>
            </w:r>
            <w:r w:rsidRPr="00AB0084">
              <w:rPr>
                <w:rFonts w:ascii="Times New Roman" w:hAnsi="Times New Roman" w:cs="Times New Roman"/>
                <w:sz w:val="24"/>
                <w:szCs w:val="24"/>
                <w:u w:val="single"/>
              </w:rPr>
              <w:t xml:space="preserve">maziem un vidējiem uzņēmumiem. </w:t>
            </w:r>
          </w:p>
          <w:p w:rsidR="00E45771" w:rsidRPr="00AB0084" w:rsidRDefault="005600B1" w:rsidP="000C24DD">
            <w:pPr>
              <w:ind w:firstLine="567"/>
              <w:jc w:val="both"/>
              <w:rPr>
                <w:sz w:val="24"/>
                <w:szCs w:val="24"/>
                <w:lang w:val="lv-LV"/>
              </w:rPr>
            </w:pPr>
            <w:r w:rsidRPr="00AB0084">
              <w:rPr>
                <w:sz w:val="24"/>
                <w:szCs w:val="24"/>
                <w:lang w:val="lv-LV"/>
              </w:rPr>
              <w:t xml:space="preserve">Iepriekš minētā aizdevuma sniegšana biznesa inkubatorā esošiem komersantiem tika saskaņota arī Valsts atbalsta koordinācijas </w:t>
            </w:r>
            <w:r w:rsidRPr="00AB0084">
              <w:rPr>
                <w:sz w:val="24"/>
                <w:szCs w:val="24"/>
                <w:lang w:val="lv-LV"/>
              </w:rPr>
              <w:lastRenderedPageBreak/>
              <w:t>konsultatīvās padomes sēdes rakstiskajā procedūrā (2014.gada 27.oktobra Valsts atbalsta koordinācijas konsultatīvās padomes sēdes protokols Nr.14).</w:t>
            </w:r>
          </w:p>
          <w:p w:rsidR="00D970AB" w:rsidRPr="00AB0084" w:rsidRDefault="00D970AB" w:rsidP="000C24DD">
            <w:pPr>
              <w:ind w:firstLine="567"/>
              <w:jc w:val="both"/>
              <w:rPr>
                <w:sz w:val="24"/>
                <w:szCs w:val="24"/>
                <w:lang w:val="lv-LV"/>
              </w:rPr>
            </w:pPr>
            <w:r w:rsidRPr="00AB0084">
              <w:rPr>
                <w:sz w:val="24"/>
                <w:szCs w:val="24"/>
                <w:lang w:val="lv-LV"/>
              </w:rPr>
              <w:t xml:space="preserve">2015.gada 5.maijā </w:t>
            </w:r>
            <w:r w:rsidRPr="00AB0084">
              <w:rPr>
                <w:rFonts w:eastAsia="Times New Roman"/>
                <w:bCs/>
                <w:sz w:val="24"/>
                <w:szCs w:val="24"/>
                <w:lang w:val="lv-LV"/>
              </w:rPr>
              <w:t xml:space="preserve">Ekonomikas ministrija noslēdza  līgumu ar akciju sabiedrību „Attīstības finanšu institūcija </w:t>
            </w:r>
            <w:proofErr w:type="spellStart"/>
            <w:r w:rsidRPr="00AB0084">
              <w:rPr>
                <w:rFonts w:eastAsia="Times New Roman"/>
                <w:bCs/>
                <w:sz w:val="24"/>
                <w:szCs w:val="24"/>
                <w:lang w:val="lv-LV"/>
              </w:rPr>
              <w:t>Altum</w:t>
            </w:r>
            <w:proofErr w:type="spellEnd"/>
            <w:r w:rsidRPr="00AB0084">
              <w:rPr>
                <w:rFonts w:eastAsia="Times New Roman"/>
                <w:bCs/>
                <w:sz w:val="24"/>
                <w:szCs w:val="24"/>
                <w:lang w:val="lv-LV"/>
              </w:rPr>
              <w:t xml:space="preserve">” (turpmāk - sabiedrība </w:t>
            </w:r>
            <w:proofErr w:type="spellStart"/>
            <w:r w:rsidRPr="00AB0084">
              <w:rPr>
                <w:rFonts w:eastAsia="Times New Roman"/>
                <w:bCs/>
                <w:sz w:val="24"/>
                <w:szCs w:val="24"/>
                <w:lang w:val="lv-LV"/>
              </w:rPr>
              <w:t>Altum</w:t>
            </w:r>
            <w:proofErr w:type="spellEnd"/>
            <w:r w:rsidRPr="00AB0084">
              <w:rPr>
                <w:rFonts w:eastAsia="Times New Roman"/>
                <w:bCs/>
                <w:sz w:val="24"/>
                <w:szCs w:val="24"/>
                <w:lang w:val="lv-LV"/>
              </w:rPr>
              <w:t xml:space="preserve">) par šo atmaksu </w:t>
            </w:r>
            <w:r w:rsidRPr="00AB0084">
              <w:rPr>
                <w:sz w:val="24"/>
                <w:szCs w:val="24"/>
                <w:lang w:val="lv-LV"/>
              </w:rPr>
              <w:t>finansējuma izlietošanas, uzraudzības un piešķiršanas kārtību.</w:t>
            </w:r>
            <w:r w:rsidR="00D92386" w:rsidRPr="00AB0084">
              <w:rPr>
                <w:sz w:val="24"/>
                <w:szCs w:val="24"/>
                <w:lang w:val="lv-LV"/>
              </w:rPr>
              <w:t xml:space="preserve"> Ar 2015.gada 5</w:t>
            </w:r>
            <w:r w:rsidRPr="00AB0084">
              <w:rPr>
                <w:sz w:val="24"/>
                <w:szCs w:val="24"/>
                <w:lang w:val="lv-LV"/>
              </w:rPr>
              <w:t xml:space="preserve">.maiju tika uzsākta šīs </w:t>
            </w:r>
            <w:r w:rsidR="005600B1" w:rsidRPr="00AB0084">
              <w:rPr>
                <w:sz w:val="24"/>
                <w:szCs w:val="24"/>
                <w:lang w:val="lv-LV"/>
              </w:rPr>
              <w:t xml:space="preserve">aizdevumu </w:t>
            </w:r>
            <w:r w:rsidRPr="00AB0084">
              <w:rPr>
                <w:sz w:val="24"/>
                <w:szCs w:val="24"/>
                <w:lang w:val="lv-LV"/>
              </w:rPr>
              <w:t>valsts atbalsta programmas</w:t>
            </w:r>
            <w:r w:rsidR="005600B1" w:rsidRPr="00AB0084">
              <w:rPr>
                <w:sz w:val="24"/>
                <w:szCs w:val="24"/>
                <w:lang w:val="lv-LV"/>
              </w:rPr>
              <w:t xml:space="preserve"> (turpmāk – valsts atbalsta programma)</w:t>
            </w:r>
            <w:r w:rsidRPr="00AB0084">
              <w:rPr>
                <w:sz w:val="24"/>
                <w:szCs w:val="24"/>
                <w:lang w:val="lv-LV"/>
              </w:rPr>
              <w:t xml:space="preserve"> īstenošana sabiedrībā </w:t>
            </w:r>
            <w:proofErr w:type="spellStart"/>
            <w:r w:rsidRPr="00AB0084">
              <w:rPr>
                <w:sz w:val="24"/>
                <w:szCs w:val="24"/>
                <w:lang w:val="lv-LV"/>
              </w:rPr>
              <w:t>Altum</w:t>
            </w:r>
            <w:proofErr w:type="spellEnd"/>
            <w:r w:rsidRPr="00AB0084">
              <w:rPr>
                <w:sz w:val="24"/>
                <w:szCs w:val="24"/>
                <w:lang w:val="lv-LV"/>
              </w:rPr>
              <w:t>.</w:t>
            </w:r>
          </w:p>
          <w:p w:rsidR="005600B1" w:rsidRPr="00AB0084" w:rsidRDefault="005600B1" w:rsidP="000C24DD">
            <w:pPr>
              <w:ind w:firstLine="567"/>
              <w:jc w:val="both"/>
              <w:rPr>
                <w:sz w:val="24"/>
                <w:szCs w:val="24"/>
                <w:lang w:val="lv-LV"/>
              </w:rPr>
            </w:pPr>
            <w:r w:rsidRPr="00AB0084">
              <w:rPr>
                <w:sz w:val="24"/>
                <w:szCs w:val="24"/>
                <w:lang w:val="lv-LV"/>
              </w:rPr>
              <w:t>Šīs valsts atbalsta programmas termiņš ir saskaņā ar 2.3.2.1.aktivitātes īstenošanas termiņu – 2015.gada 31.oktobris.</w:t>
            </w:r>
          </w:p>
          <w:p w:rsidR="005600B1" w:rsidRPr="00AB0084" w:rsidRDefault="00ED6E18" w:rsidP="000C24DD">
            <w:pPr>
              <w:ind w:firstLine="567"/>
              <w:jc w:val="both"/>
              <w:rPr>
                <w:sz w:val="24"/>
                <w:szCs w:val="24"/>
                <w:u w:val="single"/>
                <w:lang w:val="lv-LV"/>
              </w:rPr>
            </w:pPr>
            <w:r w:rsidRPr="00AB0084">
              <w:rPr>
                <w:sz w:val="24"/>
                <w:szCs w:val="24"/>
                <w:lang w:val="lv-LV"/>
              </w:rPr>
              <w:t xml:space="preserve">MK </w:t>
            </w:r>
            <w:r w:rsidR="000B38B3" w:rsidRPr="00AB0084">
              <w:rPr>
                <w:sz w:val="24"/>
                <w:szCs w:val="24"/>
                <w:lang w:val="lv-LV"/>
              </w:rPr>
              <w:t>noteikumu Nr.835 61.5.punkts nosaka</w:t>
            </w:r>
            <w:r w:rsidRPr="00AB0084">
              <w:rPr>
                <w:sz w:val="24"/>
                <w:szCs w:val="24"/>
                <w:lang w:val="lv-LV"/>
              </w:rPr>
              <w:t>, ka komersants 2.3.2.1.aktivitātes ietvaros nevar saņemt biznesa inkubatora pakalpojumus, ja tas saņēmis vai paredz saņemt finansējumu par tām pašām attiecināmajām izmaksām citu aktivitāšu ietvaros no vietējiem, reģionālajiem, valsts vai Eiropas Savienības līdzekļiem. Ņemot vērā</w:t>
            </w:r>
            <w:r w:rsidR="000B38B3" w:rsidRPr="00AB0084">
              <w:rPr>
                <w:sz w:val="24"/>
                <w:szCs w:val="24"/>
                <w:lang w:val="lv-LV"/>
              </w:rPr>
              <w:t xml:space="preserve"> </w:t>
            </w:r>
            <w:proofErr w:type="spellStart"/>
            <w:r w:rsidR="000B38B3" w:rsidRPr="00AB0084">
              <w:rPr>
                <w:sz w:val="24"/>
                <w:szCs w:val="24"/>
                <w:lang w:val="lv-LV"/>
              </w:rPr>
              <w:t>augtsākminēto</w:t>
            </w:r>
            <w:proofErr w:type="spellEnd"/>
            <w:r w:rsidRPr="00AB0084">
              <w:rPr>
                <w:sz w:val="24"/>
                <w:szCs w:val="24"/>
                <w:lang w:val="lv-LV"/>
              </w:rPr>
              <w:t>,</w:t>
            </w:r>
            <w:r w:rsidR="000B38B3" w:rsidRPr="00AB0084">
              <w:rPr>
                <w:sz w:val="24"/>
                <w:szCs w:val="24"/>
                <w:lang w:val="lv-LV"/>
              </w:rPr>
              <w:t xml:space="preserve"> kā arī to, </w:t>
            </w:r>
            <w:r w:rsidRPr="00AB0084">
              <w:rPr>
                <w:sz w:val="24"/>
                <w:szCs w:val="24"/>
                <w:lang w:val="lv-LV"/>
              </w:rPr>
              <w:t xml:space="preserve"> ka </w:t>
            </w:r>
            <w:proofErr w:type="spellStart"/>
            <w:r w:rsidRPr="00AB0084">
              <w:rPr>
                <w:sz w:val="24"/>
                <w:szCs w:val="24"/>
                <w:lang w:val="lv-LV"/>
              </w:rPr>
              <w:t>reciklētais</w:t>
            </w:r>
            <w:proofErr w:type="spellEnd"/>
            <w:r w:rsidRPr="00AB0084">
              <w:rPr>
                <w:sz w:val="24"/>
                <w:szCs w:val="24"/>
                <w:lang w:val="lv-LV"/>
              </w:rPr>
              <w:t xml:space="preserve"> finansējums ir uzskatāms par publiskajiem resursiem (valsts līdzekļiem)</w:t>
            </w:r>
            <w:r w:rsidR="000B38B3" w:rsidRPr="00AB0084">
              <w:rPr>
                <w:sz w:val="24"/>
                <w:szCs w:val="24"/>
                <w:lang w:val="lv-LV"/>
              </w:rPr>
              <w:t>,</w:t>
            </w:r>
            <w:r w:rsidRPr="00AB0084">
              <w:rPr>
                <w:sz w:val="24"/>
                <w:szCs w:val="24"/>
                <w:lang w:val="lv-LV"/>
              </w:rPr>
              <w:t xml:space="preserve"> nepieciešams veikt grozījumus MK noteikumu Nr.835 61.5.punktā, nosakot, ka </w:t>
            </w:r>
            <w:r w:rsidRPr="00AB0084">
              <w:rPr>
                <w:sz w:val="24"/>
                <w:szCs w:val="24"/>
                <w:u w:val="single"/>
                <w:lang w:val="lv-LV"/>
              </w:rPr>
              <w:t>komersants 2.3.2.1.aktivitātes ietvaros nevar saņemt biznesa inkubatora pakalpojumus, ja tas saņēmis vai paredz saņemt finansējumu par tām pašām attiecināmajām izmaksām citu aktivitāšu ietvaros no Eiropas Savienības līdzekļiem</w:t>
            </w:r>
            <w:r w:rsidRPr="00AB0084">
              <w:rPr>
                <w:sz w:val="24"/>
                <w:szCs w:val="24"/>
                <w:lang w:val="lv-LV"/>
              </w:rPr>
              <w:t>,</w:t>
            </w:r>
            <w:r w:rsidR="00E45771" w:rsidRPr="00AB0084">
              <w:rPr>
                <w:sz w:val="24"/>
                <w:szCs w:val="24"/>
                <w:lang w:val="lv-LV"/>
              </w:rPr>
              <w:t xml:space="preserve"> ievērojot 64.</w:t>
            </w:r>
            <w:r w:rsidR="00E45771" w:rsidRPr="00AB0084">
              <w:rPr>
                <w:sz w:val="24"/>
                <w:szCs w:val="24"/>
                <w:vertAlign w:val="superscript"/>
                <w:lang w:val="lv-LV"/>
              </w:rPr>
              <w:t>3</w:t>
            </w:r>
            <w:r w:rsidR="00E45771" w:rsidRPr="00AB0084">
              <w:rPr>
                <w:sz w:val="24"/>
                <w:szCs w:val="24"/>
                <w:lang w:val="lv-LV"/>
              </w:rPr>
              <w:t>punktā minēto nosacījumu,</w:t>
            </w:r>
            <w:r w:rsidRPr="00AB0084">
              <w:rPr>
                <w:sz w:val="24"/>
                <w:szCs w:val="24"/>
                <w:lang w:val="lv-LV"/>
              </w:rPr>
              <w:t xml:space="preserve"> tādējādi svītrojot vārdus „vietējiem, reģionālajiem, valsts”. Šāda pieeja nav pretrunā ar Eiropas Komisijas norādījumiem, kas nosaka, ka </w:t>
            </w:r>
            <w:r w:rsidRPr="00AB0084">
              <w:rPr>
                <w:sz w:val="24"/>
                <w:szCs w:val="24"/>
                <w:u w:val="single"/>
                <w:lang w:val="lv-LV"/>
              </w:rPr>
              <w:t>nevar kombinēt divas Eiropas Savienības fondu programmas par tām pašām attiecināmajām izmaksām.</w:t>
            </w:r>
          </w:p>
          <w:p w:rsidR="00ED6E18" w:rsidRPr="00AB0084" w:rsidRDefault="00ED6E18" w:rsidP="00E45771">
            <w:pPr>
              <w:ind w:firstLine="567"/>
              <w:jc w:val="both"/>
              <w:rPr>
                <w:sz w:val="24"/>
                <w:szCs w:val="24"/>
                <w:lang w:val="lv-LV"/>
              </w:rPr>
            </w:pPr>
            <w:r w:rsidRPr="00AB0084">
              <w:rPr>
                <w:sz w:val="24"/>
                <w:szCs w:val="24"/>
                <w:lang w:val="lv-LV"/>
              </w:rPr>
              <w:t>Papildus šie grozījumi atrunā</w:t>
            </w:r>
            <w:r w:rsidR="00DD12E8" w:rsidRPr="00AB0084">
              <w:rPr>
                <w:sz w:val="24"/>
                <w:szCs w:val="24"/>
                <w:lang w:val="lv-LV"/>
              </w:rPr>
              <w:t xml:space="preserve"> kumulācijas nosacījumu, nosakot, ka 2.3.2.1.aktivitātes ietvaros</w:t>
            </w:r>
            <w:r w:rsidR="00D92386" w:rsidRPr="00AB0084">
              <w:rPr>
                <w:sz w:val="24"/>
                <w:szCs w:val="24"/>
                <w:lang w:val="lv-LV"/>
              </w:rPr>
              <w:t xml:space="preserve"> atbalstu</w:t>
            </w:r>
            <w:r w:rsidR="00DD12E8" w:rsidRPr="00AB0084">
              <w:rPr>
                <w:sz w:val="24"/>
                <w:szCs w:val="24"/>
                <w:lang w:val="lv-LV"/>
              </w:rPr>
              <w:t xml:space="preserve"> komersants var apvienot ar</w:t>
            </w:r>
            <w:r w:rsidR="00E45771" w:rsidRPr="00AB0084">
              <w:rPr>
                <w:sz w:val="24"/>
                <w:szCs w:val="24"/>
                <w:lang w:val="lv-LV"/>
              </w:rPr>
              <w:t xml:space="preserve"> citu </w:t>
            </w:r>
            <w:proofErr w:type="spellStart"/>
            <w:r w:rsidR="00E45771" w:rsidRPr="00AB0084">
              <w:rPr>
                <w:i/>
                <w:sz w:val="24"/>
                <w:szCs w:val="24"/>
                <w:lang w:val="lv-LV"/>
              </w:rPr>
              <w:t>de</w:t>
            </w:r>
            <w:proofErr w:type="spellEnd"/>
            <w:r w:rsidR="00E45771" w:rsidRPr="00AB0084">
              <w:rPr>
                <w:i/>
                <w:sz w:val="24"/>
                <w:szCs w:val="24"/>
                <w:lang w:val="lv-LV"/>
              </w:rPr>
              <w:t xml:space="preserve"> </w:t>
            </w:r>
            <w:proofErr w:type="spellStart"/>
            <w:r w:rsidR="00E45771" w:rsidRPr="00AB0084">
              <w:rPr>
                <w:i/>
                <w:sz w:val="24"/>
                <w:szCs w:val="24"/>
                <w:lang w:val="lv-LV"/>
              </w:rPr>
              <w:t>minimis</w:t>
            </w:r>
            <w:proofErr w:type="spellEnd"/>
            <w:proofErr w:type="gramStart"/>
            <w:r w:rsidR="00E45771" w:rsidRPr="00AB0084">
              <w:rPr>
                <w:sz w:val="24"/>
                <w:szCs w:val="24"/>
                <w:lang w:val="lv-LV"/>
              </w:rPr>
              <w:t xml:space="preserve"> </w:t>
            </w:r>
            <w:r w:rsidR="00DD12E8" w:rsidRPr="00AB0084">
              <w:rPr>
                <w:sz w:val="24"/>
                <w:szCs w:val="24"/>
                <w:lang w:val="lv-LV"/>
              </w:rPr>
              <w:t xml:space="preserve"> </w:t>
            </w:r>
            <w:proofErr w:type="gramEnd"/>
            <w:r w:rsidR="00DD12E8" w:rsidRPr="00AB0084">
              <w:rPr>
                <w:sz w:val="24"/>
                <w:szCs w:val="24"/>
                <w:lang w:val="lv-LV"/>
              </w:rPr>
              <w:t xml:space="preserve">atbalstu saimnieciskās darbības </w:t>
            </w:r>
            <w:r w:rsidR="00E45771" w:rsidRPr="00AB0084">
              <w:rPr>
                <w:sz w:val="24"/>
                <w:szCs w:val="24"/>
                <w:lang w:val="lv-LV"/>
              </w:rPr>
              <w:t xml:space="preserve">uzsākšana par vienām un tām pašām attiecināmajām izmaksām, ja </w:t>
            </w:r>
            <w:r w:rsidR="00E45771" w:rsidRPr="00057F5C">
              <w:rPr>
                <w:sz w:val="24"/>
                <w:szCs w:val="24"/>
                <w:lang w:val="lv-LV"/>
              </w:rPr>
              <w:t>atbalsta apvienošanas rezultātā atbalsta vienībai/izmaksu pozīcijai  attiecīgā maksimālā atbalsta intensitāte  nep</w:t>
            </w:r>
            <w:r w:rsidR="00D95246" w:rsidRPr="00057F5C">
              <w:rPr>
                <w:sz w:val="24"/>
                <w:szCs w:val="24"/>
                <w:lang w:val="lv-LV"/>
              </w:rPr>
              <w:t>ārsniedz 100%.</w:t>
            </w:r>
            <w:r w:rsidRPr="00AB0084">
              <w:rPr>
                <w:sz w:val="24"/>
                <w:szCs w:val="24"/>
                <w:lang w:val="lv-LV"/>
              </w:rPr>
              <w:t xml:space="preserve"> </w:t>
            </w:r>
            <w:r w:rsidR="001D1419" w:rsidRPr="00AB0084">
              <w:rPr>
                <w:sz w:val="24"/>
                <w:szCs w:val="24"/>
                <w:lang w:val="lv-LV"/>
              </w:rPr>
              <w:t xml:space="preserve">Gan LIAA, gan sabiedrība </w:t>
            </w:r>
            <w:proofErr w:type="spellStart"/>
            <w:r w:rsidR="001D1419" w:rsidRPr="00AB0084">
              <w:rPr>
                <w:sz w:val="24"/>
                <w:szCs w:val="24"/>
                <w:lang w:val="lv-LV"/>
              </w:rPr>
              <w:t>Altum</w:t>
            </w:r>
            <w:proofErr w:type="spellEnd"/>
            <w:r w:rsidR="001D1419" w:rsidRPr="00AB0084">
              <w:rPr>
                <w:sz w:val="24"/>
                <w:szCs w:val="24"/>
                <w:lang w:val="lv-LV"/>
              </w:rPr>
              <w:t xml:space="preserve"> uzraudzīs </w:t>
            </w:r>
            <w:proofErr w:type="spellStart"/>
            <w:r w:rsidR="001D1419" w:rsidRPr="00AB0084">
              <w:rPr>
                <w:i/>
                <w:sz w:val="24"/>
                <w:szCs w:val="24"/>
                <w:lang w:val="lv-LV"/>
              </w:rPr>
              <w:t>de</w:t>
            </w:r>
            <w:proofErr w:type="spellEnd"/>
            <w:r w:rsidR="001D1419" w:rsidRPr="00AB0084">
              <w:rPr>
                <w:i/>
                <w:sz w:val="24"/>
                <w:szCs w:val="24"/>
                <w:lang w:val="lv-LV"/>
              </w:rPr>
              <w:t xml:space="preserve"> </w:t>
            </w:r>
            <w:proofErr w:type="spellStart"/>
            <w:r w:rsidR="001D1419" w:rsidRPr="00AB0084">
              <w:rPr>
                <w:i/>
                <w:sz w:val="24"/>
                <w:szCs w:val="24"/>
                <w:lang w:val="lv-LV"/>
              </w:rPr>
              <w:t>minimis</w:t>
            </w:r>
            <w:proofErr w:type="spellEnd"/>
            <w:r w:rsidR="001D1419" w:rsidRPr="00AB0084">
              <w:rPr>
                <w:sz w:val="24"/>
                <w:szCs w:val="24"/>
                <w:lang w:val="lv-LV"/>
              </w:rPr>
              <w:t xml:space="preserve"> atbalsta kumulāciju valsts atbalsta programmas un 2.3.2.1.aktivitātes ietvaros.</w:t>
            </w:r>
          </w:p>
          <w:p w:rsidR="00F77B8A" w:rsidRPr="00AB0084" w:rsidRDefault="00F77B8A" w:rsidP="00F77B8A">
            <w:pPr>
              <w:ind w:firstLine="567"/>
              <w:jc w:val="both"/>
              <w:rPr>
                <w:sz w:val="24"/>
                <w:szCs w:val="24"/>
                <w:lang w:val="lv-LV"/>
              </w:rPr>
            </w:pPr>
            <w:r w:rsidRPr="00AB0084">
              <w:rPr>
                <w:sz w:val="24"/>
                <w:szCs w:val="24"/>
                <w:lang w:val="lv-LV"/>
              </w:rPr>
              <w:t xml:space="preserve">Noteikumu projektā minēto grozījumu nepieciešamība ir saistīta ar inkubējamam komersantam ierobežoti pieejamiem finanšu resursiem saņemto inkubācijas  pakalpojumu apmaksai. </w:t>
            </w:r>
            <w:r w:rsidR="00D95246" w:rsidRPr="00AB0084">
              <w:rPr>
                <w:sz w:val="24"/>
                <w:szCs w:val="24"/>
                <w:lang w:val="lv-LV"/>
              </w:rPr>
              <w:t>Ekonomikas m</w:t>
            </w:r>
            <w:r w:rsidRPr="00AB0084">
              <w:rPr>
                <w:sz w:val="24"/>
                <w:szCs w:val="24"/>
                <w:lang w:val="lv-LV"/>
              </w:rPr>
              <w:t>inistrija skaidro, ka biznesa inkubatorā esošais komersants var saņemt MK noteikumu Nr.835 62.punktā noteiktos inkubācijas pakalpojumus gan no paša biznesa inkubatora operatora, gan arī no trešajām personām, ko piesaistījis biznesa inkubatora operators inkubācijas pakalpojumu sniegšanai. Inkubējamais komersants Eiropas Savienības fondu finansējumu par konkrēt</w:t>
            </w:r>
            <w:r w:rsidR="0094537B" w:rsidRPr="00AB0084">
              <w:rPr>
                <w:sz w:val="24"/>
                <w:szCs w:val="24"/>
                <w:lang w:val="lv-LV"/>
              </w:rPr>
              <w:t>o inkubācijas pakalpojumu saņem</w:t>
            </w:r>
            <w:r w:rsidRPr="00AB0084">
              <w:rPr>
                <w:sz w:val="24"/>
                <w:szCs w:val="24"/>
                <w:lang w:val="lv-LV"/>
              </w:rPr>
              <w:t xml:space="preserve"> pēc pakalpojuma sniegšanas un apmaksas. Tādējādi pašam inkubējamam komersantam ir jāveic inkubācijas pakalpojuma priekšfinansēšana pilnā apmērā un tikai pēc lēmuma pieņemšanas par izmaksu attiecināmību, </w:t>
            </w:r>
            <w:r w:rsidR="0094537B" w:rsidRPr="00AB0084">
              <w:rPr>
                <w:sz w:val="24"/>
                <w:szCs w:val="24"/>
                <w:lang w:val="lv-LV"/>
              </w:rPr>
              <w:t>inkubējamais komersants saņem</w:t>
            </w:r>
            <w:r w:rsidRPr="00AB0084">
              <w:rPr>
                <w:sz w:val="24"/>
                <w:szCs w:val="24"/>
                <w:lang w:val="lv-LV"/>
              </w:rPr>
              <w:t xml:space="preserve"> Eiropas Savienības fondu finansējumu. Ņemot vērā faktu, ka inkubējamie komersanti ir </w:t>
            </w:r>
            <w:r w:rsidRPr="00AB0084">
              <w:rPr>
                <w:sz w:val="24"/>
                <w:szCs w:val="24"/>
                <w:lang w:val="lv-LV"/>
              </w:rPr>
              <w:lastRenderedPageBreak/>
              <w:t xml:space="preserve">jaundibināti uzņēmumi, kuriem nav brīvi pieejami resursi, lai veiktu iepriekš minēto inkubācijas pakalpojumu priekšfinansēšana, Ekonomikas ministrija rosina veikt grozījumu MK noteikumos </w:t>
            </w:r>
            <w:r w:rsidR="00D95246" w:rsidRPr="00AB0084">
              <w:rPr>
                <w:sz w:val="24"/>
                <w:szCs w:val="24"/>
                <w:lang w:val="lv-LV"/>
              </w:rPr>
              <w:t>N</w:t>
            </w:r>
            <w:r w:rsidRPr="00AB0084">
              <w:rPr>
                <w:sz w:val="24"/>
                <w:szCs w:val="24"/>
                <w:lang w:val="lv-LV"/>
              </w:rPr>
              <w:t>r.8</w:t>
            </w:r>
            <w:r w:rsidR="00DB2A01" w:rsidRPr="00AB0084">
              <w:rPr>
                <w:sz w:val="24"/>
                <w:szCs w:val="24"/>
                <w:lang w:val="lv-LV"/>
              </w:rPr>
              <w:t>35</w:t>
            </w:r>
            <w:r w:rsidRPr="00AB0084">
              <w:rPr>
                <w:sz w:val="24"/>
                <w:szCs w:val="24"/>
                <w:lang w:val="lv-LV"/>
              </w:rPr>
              <w:t>. Ar minēto grozījumu spēkā stāšanos inkubējamam komersantam būs iespēja saņemt aizdevumu</w:t>
            </w:r>
            <w:r w:rsidR="00DB2A01" w:rsidRPr="00AB0084">
              <w:rPr>
                <w:sz w:val="24"/>
                <w:szCs w:val="24"/>
                <w:lang w:val="lv-LV"/>
              </w:rPr>
              <w:t xml:space="preserve">  no </w:t>
            </w:r>
            <w:r w:rsidR="00D95246" w:rsidRPr="00AB0084">
              <w:rPr>
                <w:sz w:val="24"/>
                <w:szCs w:val="24"/>
                <w:lang w:val="lv-LV"/>
              </w:rPr>
              <w:t xml:space="preserve">sabiedrības </w:t>
            </w:r>
            <w:proofErr w:type="spellStart"/>
            <w:r w:rsidR="00D95246" w:rsidRPr="00AB0084">
              <w:rPr>
                <w:sz w:val="24"/>
                <w:szCs w:val="24"/>
                <w:lang w:val="lv-LV"/>
              </w:rPr>
              <w:t>Altum</w:t>
            </w:r>
            <w:proofErr w:type="spellEnd"/>
            <w:r w:rsidRPr="00AB0084">
              <w:rPr>
                <w:sz w:val="24"/>
                <w:szCs w:val="24"/>
                <w:lang w:val="lv-LV"/>
              </w:rPr>
              <w:t>, kas varētu tikt izmantots arī inkubācijas pakalpojumu priekšfinansēšanai.</w:t>
            </w:r>
          </w:p>
          <w:p w:rsidR="00F77B8A" w:rsidRPr="00AB0084" w:rsidRDefault="00F77B8A" w:rsidP="00F77B8A">
            <w:pPr>
              <w:ind w:firstLine="567"/>
              <w:jc w:val="both"/>
              <w:rPr>
                <w:sz w:val="24"/>
                <w:szCs w:val="24"/>
                <w:lang w:val="lv-LV"/>
              </w:rPr>
            </w:pPr>
            <w:r w:rsidRPr="00AB0084">
              <w:rPr>
                <w:sz w:val="24"/>
                <w:szCs w:val="24"/>
                <w:lang w:val="lv-LV"/>
              </w:rPr>
              <w:t xml:space="preserve">Ekonomikas ministrija norāda, ka šādā veidā tiks kombinēts </w:t>
            </w:r>
            <w:proofErr w:type="spellStart"/>
            <w:r w:rsidRPr="00AB0084">
              <w:rPr>
                <w:i/>
                <w:sz w:val="24"/>
                <w:szCs w:val="24"/>
                <w:lang w:val="lv-LV"/>
              </w:rPr>
              <w:t>de</w:t>
            </w:r>
            <w:proofErr w:type="spellEnd"/>
            <w:r w:rsidRPr="00AB0084">
              <w:rPr>
                <w:i/>
                <w:sz w:val="24"/>
                <w:szCs w:val="24"/>
                <w:lang w:val="lv-LV"/>
              </w:rPr>
              <w:t xml:space="preserve"> </w:t>
            </w:r>
            <w:proofErr w:type="spellStart"/>
            <w:r w:rsidRPr="00AB0084">
              <w:rPr>
                <w:i/>
                <w:sz w:val="24"/>
                <w:szCs w:val="24"/>
                <w:lang w:val="lv-LV"/>
              </w:rPr>
              <w:t>minimis</w:t>
            </w:r>
            <w:proofErr w:type="spellEnd"/>
            <w:r w:rsidRPr="00AB0084">
              <w:rPr>
                <w:sz w:val="24"/>
                <w:szCs w:val="24"/>
                <w:lang w:val="lv-LV"/>
              </w:rPr>
              <w:t xml:space="preserve"> atbalsta uz vienām un tām pašām attiecināmām izmaksām, taču vienlaikus norāda, ka gan LIAA, gan sabiedrība </w:t>
            </w:r>
            <w:proofErr w:type="spellStart"/>
            <w:r w:rsidRPr="00AB0084">
              <w:rPr>
                <w:sz w:val="24"/>
                <w:szCs w:val="24"/>
                <w:lang w:val="lv-LV"/>
              </w:rPr>
              <w:t>Al</w:t>
            </w:r>
            <w:r w:rsidR="0094537B" w:rsidRPr="00AB0084">
              <w:rPr>
                <w:sz w:val="24"/>
                <w:szCs w:val="24"/>
                <w:lang w:val="lv-LV"/>
              </w:rPr>
              <w:t>tum</w:t>
            </w:r>
            <w:proofErr w:type="spellEnd"/>
            <w:r w:rsidR="0094537B" w:rsidRPr="00AB0084">
              <w:rPr>
                <w:sz w:val="24"/>
                <w:szCs w:val="24"/>
                <w:lang w:val="lv-LV"/>
              </w:rPr>
              <w:t xml:space="preserve">, veicot finansējuma izmaksu, </w:t>
            </w:r>
            <w:r w:rsidRPr="00AB0084">
              <w:rPr>
                <w:sz w:val="24"/>
                <w:szCs w:val="24"/>
                <w:lang w:val="lv-LV"/>
              </w:rPr>
              <w:t>pārbaudīs vai katra atsevišķā izmaksu pozīcija nepārsniedz 100% izmaksu intensitāti.</w:t>
            </w:r>
          </w:p>
          <w:p w:rsidR="00D970AB" w:rsidRDefault="00DB2A01" w:rsidP="000C24DD">
            <w:pPr>
              <w:ind w:firstLine="567"/>
              <w:jc w:val="both"/>
              <w:rPr>
                <w:sz w:val="24"/>
                <w:szCs w:val="24"/>
                <w:lang w:val="lv-LV"/>
              </w:rPr>
            </w:pPr>
            <w:r w:rsidRPr="00AB0084">
              <w:rPr>
                <w:sz w:val="24"/>
                <w:szCs w:val="24"/>
                <w:lang w:val="lv-LV"/>
              </w:rPr>
              <w:t xml:space="preserve">Informējam, ka biznesa inkubatora operatori </w:t>
            </w:r>
            <w:proofErr w:type="spellStart"/>
            <w:r w:rsidRPr="00AB0084">
              <w:rPr>
                <w:sz w:val="24"/>
                <w:szCs w:val="24"/>
                <w:lang w:val="lv-LV"/>
              </w:rPr>
              <w:t>nepriekšfinansē</w:t>
            </w:r>
            <w:proofErr w:type="spellEnd"/>
            <w:r w:rsidRPr="00AB0084">
              <w:rPr>
                <w:sz w:val="24"/>
                <w:szCs w:val="24"/>
                <w:lang w:val="lv-LV"/>
              </w:rPr>
              <w:t xml:space="preserve"> inkubējamos pakalpojumus.</w:t>
            </w:r>
            <w:r w:rsidR="00FA2A75">
              <w:rPr>
                <w:sz w:val="24"/>
                <w:szCs w:val="24"/>
                <w:lang w:val="lv-LV"/>
              </w:rPr>
              <w:t xml:space="preserve"> </w:t>
            </w:r>
            <w:r w:rsidR="00E714C4" w:rsidRPr="00AB0084">
              <w:rPr>
                <w:sz w:val="24"/>
                <w:szCs w:val="24"/>
                <w:lang w:val="lv-LV"/>
              </w:rPr>
              <w:t xml:space="preserve">Lai nodrošinātu biznesa inkubatorā esošo komersantu informēšanu par iespējām saņemt aizdevumu sabiedrībā </w:t>
            </w:r>
            <w:proofErr w:type="spellStart"/>
            <w:r w:rsidR="00E714C4" w:rsidRPr="00AB0084">
              <w:rPr>
                <w:sz w:val="24"/>
                <w:szCs w:val="24"/>
                <w:lang w:val="lv-LV"/>
              </w:rPr>
              <w:t>Altu</w:t>
            </w:r>
            <w:r w:rsidR="00D95246" w:rsidRPr="00AB0084">
              <w:rPr>
                <w:sz w:val="24"/>
                <w:szCs w:val="24"/>
                <w:lang w:val="lv-LV"/>
              </w:rPr>
              <w:t>m</w:t>
            </w:r>
            <w:proofErr w:type="spellEnd"/>
            <w:r w:rsidR="00E714C4" w:rsidRPr="00AB0084">
              <w:rPr>
                <w:sz w:val="24"/>
                <w:szCs w:val="24"/>
                <w:lang w:val="lv-LV"/>
              </w:rPr>
              <w:t xml:space="preserve">, Ekonomikas ministrija aicinās </w:t>
            </w:r>
            <w:r w:rsidR="00D95246" w:rsidRPr="00AB0084">
              <w:rPr>
                <w:sz w:val="24"/>
                <w:szCs w:val="24"/>
                <w:lang w:val="lv-LV"/>
              </w:rPr>
              <w:t xml:space="preserve">LIAA </w:t>
            </w:r>
            <w:r w:rsidR="00E714C4" w:rsidRPr="00AB0084">
              <w:rPr>
                <w:sz w:val="24"/>
                <w:szCs w:val="24"/>
                <w:lang w:val="lv-LV"/>
              </w:rPr>
              <w:t>veikt aktīvu komunikāciju ar biznesa inkubatoru operatoriem un biznesa inkubatorā esošiem komersantiem, norādot uz radīto iespēju saņemt aizdevumu.</w:t>
            </w:r>
          </w:p>
          <w:p w:rsidR="00292268" w:rsidRPr="00057F5C" w:rsidRDefault="00292268" w:rsidP="000C24DD">
            <w:pPr>
              <w:ind w:firstLine="567"/>
              <w:jc w:val="both"/>
              <w:rPr>
                <w:sz w:val="24"/>
                <w:szCs w:val="24"/>
                <w:lang w:val="lv-LV"/>
              </w:rPr>
            </w:pPr>
            <w:r w:rsidRPr="00057F5C">
              <w:rPr>
                <w:sz w:val="24"/>
                <w:szCs w:val="24"/>
                <w:lang w:val="lv-LV"/>
              </w:rPr>
              <w:t>Ņemot vērā, ka 2015.gada 1.martā stājās spēkā Attīstības finanšu institūcijas likums,</w:t>
            </w:r>
            <w:r w:rsidR="007D14EE" w:rsidRPr="00057F5C">
              <w:rPr>
                <w:sz w:val="24"/>
                <w:szCs w:val="24"/>
                <w:lang w:val="lv-LV"/>
              </w:rPr>
              <w:t xml:space="preserve"> lai izvērtētu aizdevumu programmas ietekmi, riskus un sagaidāmos rezultātus, </w:t>
            </w:r>
            <w:r w:rsidR="00464DC5" w:rsidRPr="00057F5C">
              <w:rPr>
                <w:sz w:val="24"/>
                <w:szCs w:val="24"/>
                <w:lang w:val="lv-LV"/>
              </w:rPr>
              <w:t>pēc</w:t>
            </w:r>
            <w:r w:rsidR="007D14EE" w:rsidRPr="00057F5C">
              <w:rPr>
                <w:sz w:val="24"/>
                <w:szCs w:val="24"/>
                <w:lang w:val="lv-LV"/>
              </w:rPr>
              <w:t xml:space="preserve"> Finan</w:t>
            </w:r>
            <w:r w:rsidR="00464DC5" w:rsidRPr="00057F5C">
              <w:rPr>
                <w:sz w:val="24"/>
                <w:szCs w:val="24"/>
                <w:lang w:val="lv-LV"/>
              </w:rPr>
              <w:t>šu ministrijas iebilduma</w:t>
            </w:r>
            <w:proofErr w:type="gramStart"/>
            <w:r w:rsidR="007D14EE" w:rsidRPr="00057F5C">
              <w:rPr>
                <w:sz w:val="24"/>
                <w:szCs w:val="24"/>
                <w:lang w:val="lv-LV"/>
              </w:rPr>
              <w:t xml:space="preserve"> </w:t>
            </w:r>
            <w:r w:rsidRPr="00057F5C">
              <w:rPr>
                <w:sz w:val="24"/>
                <w:szCs w:val="24"/>
                <w:lang w:val="lv-LV"/>
              </w:rPr>
              <w:t xml:space="preserve"> </w:t>
            </w:r>
            <w:proofErr w:type="gramEnd"/>
            <w:r w:rsidRPr="00057F5C">
              <w:rPr>
                <w:sz w:val="24"/>
                <w:szCs w:val="24"/>
                <w:lang w:val="lv-LV"/>
              </w:rPr>
              <w:t>MK noteikum</w:t>
            </w:r>
            <w:r w:rsidR="007D14EE" w:rsidRPr="00057F5C">
              <w:rPr>
                <w:sz w:val="24"/>
                <w:szCs w:val="24"/>
                <w:lang w:val="lv-LV"/>
              </w:rPr>
              <w:t>u</w:t>
            </w:r>
            <w:r w:rsidRPr="00057F5C">
              <w:rPr>
                <w:sz w:val="24"/>
                <w:szCs w:val="24"/>
                <w:lang w:val="lv-LV"/>
              </w:rPr>
              <w:t xml:space="preserve"> Nr.835 projektam ir pievienots MK </w:t>
            </w:r>
            <w:proofErr w:type="spellStart"/>
            <w:r w:rsidRPr="00057F5C">
              <w:rPr>
                <w:sz w:val="24"/>
                <w:szCs w:val="24"/>
                <w:lang w:val="lv-LV"/>
              </w:rPr>
              <w:t>protokollēmums</w:t>
            </w:r>
            <w:proofErr w:type="spellEnd"/>
            <w:r w:rsidRPr="00057F5C">
              <w:rPr>
                <w:sz w:val="24"/>
                <w:szCs w:val="24"/>
                <w:lang w:val="lv-LV"/>
              </w:rPr>
              <w:t xml:space="preserve">, kurā Ekonomikas ministrijai sadarbībā ar sabiedrību </w:t>
            </w:r>
            <w:proofErr w:type="spellStart"/>
            <w:r w:rsidRPr="00057F5C">
              <w:rPr>
                <w:sz w:val="24"/>
                <w:szCs w:val="24"/>
                <w:lang w:val="lv-LV"/>
              </w:rPr>
              <w:t>Altum</w:t>
            </w:r>
            <w:proofErr w:type="spellEnd"/>
            <w:r w:rsidRPr="00057F5C">
              <w:rPr>
                <w:sz w:val="24"/>
                <w:szCs w:val="24"/>
                <w:lang w:val="lv-LV"/>
              </w:rPr>
              <w:t xml:space="preserve"> uzdots veikt  savstarpēji 2015.gada 5.maijā noslēgtā līguma Nr. L-2015/5 izvērtējumu  saskaņā Attīstības finanšu institūcijas likuma 12.panta trešajā daļā noteikto un veikt grozījumus tajā, paredzot  sagaidāmos zaudējumus  un resursus zaudējumu segšanai.</w:t>
            </w:r>
          </w:p>
          <w:p w:rsidR="00D95246" w:rsidRPr="00AB0084" w:rsidRDefault="00D95246" w:rsidP="000C24DD">
            <w:pPr>
              <w:ind w:firstLine="567"/>
              <w:jc w:val="both"/>
              <w:rPr>
                <w:rFonts w:eastAsia="Times New Roman"/>
                <w:bCs/>
                <w:sz w:val="24"/>
                <w:szCs w:val="24"/>
                <w:lang w:val="lv-LV"/>
              </w:rPr>
            </w:pPr>
            <w:bookmarkStart w:id="6" w:name="_GoBack"/>
            <w:bookmarkEnd w:id="6"/>
          </w:p>
          <w:p w:rsidR="00373D91" w:rsidRPr="00AB0084" w:rsidRDefault="00373D91" w:rsidP="00373D91">
            <w:pPr>
              <w:jc w:val="both"/>
              <w:rPr>
                <w:rFonts w:eastAsia="Times New Roman"/>
                <w:bCs/>
                <w:sz w:val="24"/>
                <w:szCs w:val="24"/>
                <w:lang w:val="lv-LV"/>
              </w:rPr>
            </w:pPr>
            <w:r w:rsidRPr="00AB0084">
              <w:rPr>
                <w:rFonts w:eastAsia="Times New Roman"/>
                <w:bCs/>
                <w:sz w:val="24"/>
                <w:szCs w:val="24"/>
                <w:lang w:val="lv-LV"/>
              </w:rPr>
              <w:t>Ņemot vērā augstākminēto, noteikumu projekts paredz:</w:t>
            </w:r>
          </w:p>
          <w:p w:rsidR="00373D91" w:rsidRPr="00AB0084" w:rsidRDefault="00D45F7D" w:rsidP="00D92386">
            <w:pPr>
              <w:pStyle w:val="ListParagraph"/>
              <w:numPr>
                <w:ilvl w:val="0"/>
                <w:numId w:val="18"/>
              </w:numPr>
              <w:ind w:left="283" w:hanging="142"/>
              <w:jc w:val="both"/>
              <w:rPr>
                <w:rFonts w:eastAsia="Times New Roman"/>
                <w:bCs/>
                <w:sz w:val="24"/>
                <w:szCs w:val="24"/>
                <w:lang w:val="lv-LV"/>
              </w:rPr>
            </w:pPr>
            <w:r w:rsidRPr="00AB0084">
              <w:rPr>
                <w:sz w:val="24"/>
                <w:szCs w:val="24"/>
                <w:lang w:val="lv-LV"/>
              </w:rPr>
              <w:t xml:space="preserve"> </w:t>
            </w:r>
            <w:r w:rsidR="00D92386" w:rsidRPr="00AB0084">
              <w:rPr>
                <w:sz w:val="24"/>
                <w:szCs w:val="24"/>
                <w:lang w:val="lv-LV"/>
              </w:rPr>
              <w:t xml:space="preserve">noteikt, ka komersants 2.3.2.1.aktivitātes ietvaros nevar saņemt biznesa inkubatora pakalpojumus, ja tas saņēmis vai paredz saņemt finansējumu par tām pašām attiecināmajām izmaksām citu aktivitāšu ietvaros no Eiropas Savienības līdzekļiem, </w:t>
            </w:r>
            <w:r w:rsidR="00D95246" w:rsidRPr="00AB0084">
              <w:rPr>
                <w:sz w:val="24"/>
                <w:szCs w:val="24"/>
                <w:lang w:val="lv-LV"/>
              </w:rPr>
              <w:t xml:space="preserve">ievērojot </w:t>
            </w:r>
            <w:r w:rsidR="00FA2A75">
              <w:rPr>
                <w:sz w:val="24"/>
                <w:szCs w:val="24"/>
                <w:lang w:val="lv-LV"/>
              </w:rPr>
              <w:t xml:space="preserve">MK noteikumu Nr.835 </w:t>
            </w:r>
            <w:r w:rsidR="00D95246" w:rsidRPr="00AB0084">
              <w:rPr>
                <w:sz w:val="24"/>
                <w:szCs w:val="24"/>
                <w:lang w:val="lv-LV"/>
              </w:rPr>
              <w:t>64.</w:t>
            </w:r>
            <w:r w:rsidR="00D95246" w:rsidRPr="00AB0084">
              <w:rPr>
                <w:sz w:val="24"/>
                <w:szCs w:val="24"/>
                <w:vertAlign w:val="superscript"/>
                <w:lang w:val="lv-LV"/>
              </w:rPr>
              <w:t>3</w:t>
            </w:r>
            <w:r w:rsidR="00410F9E">
              <w:rPr>
                <w:sz w:val="24"/>
                <w:szCs w:val="24"/>
                <w:lang w:val="lv-LV"/>
              </w:rPr>
              <w:t>.</w:t>
            </w:r>
            <w:r w:rsidR="00D95246" w:rsidRPr="00AB0084">
              <w:rPr>
                <w:sz w:val="24"/>
                <w:szCs w:val="24"/>
                <w:lang w:val="lv-LV"/>
              </w:rPr>
              <w:t>punktā minēto nosacījumu;</w:t>
            </w:r>
          </w:p>
          <w:p w:rsidR="00D95246" w:rsidRPr="00AB0084" w:rsidRDefault="00B47DBF" w:rsidP="00263D2C">
            <w:pPr>
              <w:pStyle w:val="ListParagraph"/>
              <w:numPr>
                <w:ilvl w:val="0"/>
                <w:numId w:val="18"/>
              </w:numPr>
              <w:ind w:left="283" w:hanging="142"/>
              <w:jc w:val="both"/>
              <w:rPr>
                <w:rFonts w:eastAsia="Times New Roman"/>
                <w:bCs/>
                <w:sz w:val="24"/>
                <w:szCs w:val="24"/>
                <w:lang w:val="lv-LV"/>
              </w:rPr>
            </w:pPr>
            <w:r w:rsidRPr="00AB0084">
              <w:rPr>
                <w:sz w:val="24"/>
                <w:szCs w:val="24"/>
                <w:lang w:val="lv-LV"/>
              </w:rPr>
              <w:t>n</w:t>
            </w:r>
            <w:r w:rsidR="00D92386" w:rsidRPr="00AB0084">
              <w:rPr>
                <w:sz w:val="24"/>
                <w:szCs w:val="24"/>
                <w:lang w:val="lv-LV"/>
              </w:rPr>
              <w:t xml:space="preserve">oteikt, ka 2.3.2.1.aktivitātes ietvaros atbalstu komersants var apvienot ar </w:t>
            </w:r>
            <w:r w:rsidR="00D95246" w:rsidRPr="00AB0084">
              <w:rPr>
                <w:sz w:val="24"/>
                <w:szCs w:val="24"/>
                <w:lang w:val="lv-LV"/>
              </w:rPr>
              <w:t xml:space="preserve">citu </w:t>
            </w:r>
            <w:proofErr w:type="spellStart"/>
            <w:r w:rsidR="00D95246" w:rsidRPr="00AB0084">
              <w:rPr>
                <w:i/>
                <w:sz w:val="24"/>
                <w:szCs w:val="24"/>
                <w:lang w:val="lv-LV"/>
              </w:rPr>
              <w:t>de</w:t>
            </w:r>
            <w:proofErr w:type="spellEnd"/>
            <w:r w:rsidR="00D95246" w:rsidRPr="00AB0084">
              <w:rPr>
                <w:i/>
                <w:sz w:val="24"/>
                <w:szCs w:val="24"/>
                <w:lang w:val="lv-LV"/>
              </w:rPr>
              <w:t xml:space="preserve"> </w:t>
            </w:r>
            <w:proofErr w:type="spellStart"/>
            <w:r w:rsidR="00D95246" w:rsidRPr="00AB0084">
              <w:rPr>
                <w:i/>
                <w:sz w:val="24"/>
                <w:szCs w:val="24"/>
                <w:lang w:val="lv-LV"/>
              </w:rPr>
              <w:t>minimis</w:t>
            </w:r>
            <w:proofErr w:type="spellEnd"/>
            <w:r w:rsidR="00D95246" w:rsidRPr="00AB0084">
              <w:rPr>
                <w:sz w:val="24"/>
                <w:szCs w:val="24"/>
                <w:lang w:val="lv-LV"/>
              </w:rPr>
              <w:t xml:space="preserve"> atbalstu </w:t>
            </w:r>
            <w:r w:rsidR="00D92386" w:rsidRPr="00AB0084">
              <w:rPr>
                <w:sz w:val="24"/>
                <w:szCs w:val="24"/>
                <w:lang w:val="lv-LV"/>
              </w:rPr>
              <w:t xml:space="preserve">saimnieciskās darbības uzsākšanai, t.i. MK noteikumu Nr.164 ietvaros, </w:t>
            </w:r>
            <w:r w:rsidR="00D95246" w:rsidRPr="00057F5C">
              <w:rPr>
                <w:sz w:val="24"/>
                <w:szCs w:val="24"/>
                <w:lang w:val="lv-LV"/>
              </w:rPr>
              <w:t>ja atbalsta apvienošanas rezultātā atbalsta vienībai/izmaksu pozīcijai</w:t>
            </w:r>
            <w:proofErr w:type="gramStart"/>
            <w:r w:rsidR="00D95246" w:rsidRPr="00057F5C">
              <w:rPr>
                <w:sz w:val="24"/>
                <w:szCs w:val="24"/>
                <w:lang w:val="lv-LV"/>
              </w:rPr>
              <w:t xml:space="preserve">  </w:t>
            </w:r>
            <w:proofErr w:type="gramEnd"/>
            <w:r w:rsidR="00D95246" w:rsidRPr="00057F5C">
              <w:rPr>
                <w:sz w:val="24"/>
                <w:szCs w:val="24"/>
                <w:lang w:val="lv-LV"/>
              </w:rPr>
              <w:t>attiecīgā</w:t>
            </w:r>
            <w:r w:rsidR="0029068E" w:rsidRPr="00057F5C">
              <w:rPr>
                <w:sz w:val="24"/>
                <w:szCs w:val="24"/>
                <w:lang w:val="lv-LV"/>
              </w:rPr>
              <w:t xml:space="preserve"> maksimālā atbalsta intensitāte</w:t>
            </w:r>
            <w:r w:rsidR="00D95246" w:rsidRPr="00057F5C">
              <w:rPr>
                <w:sz w:val="24"/>
                <w:szCs w:val="24"/>
                <w:lang w:val="lv-LV"/>
              </w:rPr>
              <w:t xml:space="preserve"> nepārsniedz 100%, ievērojot </w:t>
            </w:r>
            <w:proofErr w:type="spellStart"/>
            <w:r w:rsidR="00FA2A75" w:rsidRPr="00AB0084">
              <w:rPr>
                <w:sz w:val="24"/>
                <w:szCs w:val="24"/>
                <w:lang w:val="lv-LV"/>
              </w:rPr>
              <w:t>ievērojot</w:t>
            </w:r>
            <w:proofErr w:type="spellEnd"/>
            <w:r w:rsidR="00FA2A75" w:rsidRPr="00AB0084">
              <w:rPr>
                <w:sz w:val="24"/>
                <w:szCs w:val="24"/>
                <w:lang w:val="lv-LV"/>
              </w:rPr>
              <w:t xml:space="preserve"> </w:t>
            </w:r>
            <w:r w:rsidR="00FA2A75">
              <w:rPr>
                <w:sz w:val="24"/>
                <w:szCs w:val="24"/>
                <w:lang w:val="lv-LV"/>
              </w:rPr>
              <w:t xml:space="preserve">MK noteikumu Nr.835 </w:t>
            </w:r>
            <w:r w:rsidR="00D95246" w:rsidRPr="00057F5C">
              <w:rPr>
                <w:sz w:val="24"/>
                <w:szCs w:val="24"/>
                <w:lang w:val="lv-LV"/>
              </w:rPr>
              <w:t>61.5.apakšpunktā minēto nosacījumu;</w:t>
            </w:r>
          </w:p>
          <w:p w:rsidR="00E35C08" w:rsidRPr="00AB0084" w:rsidRDefault="00D95246" w:rsidP="0029068E">
            <w:pPr>
              <w:pStyle w:val="ListParagraph"/>
              <w:numPr>
                <w:ilvl w:val="0"/>
                <w:numId w:val="18"/>
              </w:numPr>
              <w:ind w:left="283" w:hanging="142"/>
              <w:jc w:val="both"/>
              <w:rPr>
                <w:rFonts w:eastAsia="Times New Roman"/>
                <w:bCs/>
                <w:sz w:val="24"/>
                <w:szCs w:val="24"/>
                <w:lang w:val="lv-LV"/>
              </w:rPr>
            </w:pPr>
            <w:r w:rsidRPr="00057F5C">
              <w:rPr>
                <w:sz w:val="24"/>
                <w:szCs w:val="24"/>
                <w:lang w:val="lv-LV"/>
              </w:rPr>
              <w:t xml:space="preserve">uzdots atbalsta sniedzējam </w:t>
            </w:r>
            <w:r w:rsidR="00FA2A75" w:rsidRPr="00057F5C">
              <w:rPr>
                <w:sz w:val="24"/>
                <w:szCs w:val="24"/>
                <w:lang w:val="lv-LV"/>
              </w:rPr>
              <w:t>par pienākumu</w:t>
            </w:r>
            <w:r w:rsidRPr="00057F5C">
              <w:rPr>
                <w:sz w:val="24"/>
                <w:szCs w:val="24"/>
                <w:lang w:val="lv-LV"/>
              </w:rPr>
              <w:t xml:space="preserve"> uzglabāt informāciju par sniegto </w:t>
            </w:r>
            <w:proofErr w:type="spellStart"/>
            <w:r w:rsidRPr="00057F5C">
              <w:rPr>
                <w:i/>
                <w:sz w:val="24"/>
                <w:szCs w:val="24"/>
                <w:lang w:val="lv-LV"/>
              </w:rPr>
              <w:t>de</w:t>
            </w:r>
            <w:proofErr w:type="spellEnd"/>
            <w:r w:rsidRPr="00057F5C">
              <w:rPr>
                <w:i/>
                <w:sz w:val="24"/>
                <w:szCs w:val="24"/>
                <w:lang w:val="lv-LV"/>
              </w:rPr>
              <w:t xml:space="preserve"> </w:t>
            </w:r>
            <w:proofErr w:type="spellStart"/>
            <w:r w:rsidRPr="00057F5C">
              <w:rPr>
                <w:i/>
                <w:sz w:val="24"/>
                <w:szCs w:val="24"/>
                <w:lang w:val="lv-LV"/>
              </w:rPr>
              <w:t>minimis</w:t>
            </w:r>
            <w:proofErr w:type="spellEnd"/>
            <w:r w:rsidRPr="00057F5C">
              <w:rPr>
                <w:i/>
                <w:sz w:val="24"/>
                <w:szCs w:val="24"/>
                <w:lang w:val="lv-LV"/>
              </w:rPr>
              <w:t xml:space="preserve"> </w:t>
            </w:r>
            <w:r w:rsidR="00E51857" w:rsidRPr="00057F5C">
              <w:rPr>
                <w:sz w:val="24"/>
                <w:szCs w:val="24"/>
                <w:lang w:val="lv-LV"/>
              </w:rPr>
              <w:t xml:space="preserve">atbalstu saskaņā ar </w:t>
            </w:r>
            <w:r w:rsidR="00E51857" w:rsidRPr="00AB0084">
              <w:rPr>
                <w:sz w:val="24"/>
                <w:szCs w:val="24"/>
                <w:lang w:val="lv-LV"/>
              </w:rPr>
              <w:t>Komisijas</w:t>
            </w:r>
            <w:r w:rsidR="00E51857" w:rsidRPr="00AB0084">
              <w:rPr>
                <w:rFonts w:eastAsia="Times New Roman"/>
                <w:sz w:val="24"/>
                <w:szCs w:val="24"/>
                <w:lang w:val="lv-LV" w:eastAsia="lv-LV"/>
              </w:rPr>
              <w:t xml:space="preserve"> </w:t>
            </w:r>
            <w:r w:rsidR="00E51857" w:rsidRPr="00AB0084">
              <w:rPr>
                <w:sz w:val="24"/>
                <w:szCs w:val="24"/>
                <w:lang w:val="lv-LV"/>
              </w:rPr>
              <w:t xml:space="preserve">2013.gada 18.decembra Regulas (ES) Nr. 1407/2013 par Līguma par Eiropas Savienības darbību 107. un 108.panta piemērošanu </w:t>
            </w:r>
            <w:proofErr w:type="spellStart"/>
            <w:r w:rsidR="00E51857" w:rsidRPr="00AB0084">
              <w:rPr>
                <w:i/>
                <w:sz w:val="24"/>
                <w:szCs w:val="24"/>
                <w:lang w:val="lv-LV"/>
              </w:rPr>
              <w:t>de</w:t>
            </w:r>
            <w:proofErr w:type="spellEnd"/>
            <w:r w:rsidR="00E51857" w:rsidRPr="00AB0084">
              <w:rPr>
                <w:i/>
                <w:sz w:val="24"/>
                <w:szCs w:val="24"/>
                <w:lang w:val="lv-LV"/>
              </w:rPr>
              <w:t xml:space="preserve"> </w:t>
            </w:r>
            <w:proofErr w:type="spellStart"/>
            <w:r w:rsidR="00E51857" w:rsidRPr="00AB0084">
              <w:rPr>
                <w:i/>
                <w:sz w:val="24"/>
                <w:szCs w:val="24"/>
                <w:lang w:val="lv-LV"/>
              </w:rPr>
              <w:t>minimis</w:t>
            </w:r>
            <w:proofErr w:type="spellEnd"/>
            <w:r w:rsidR="00E51857" w:rsidRPr="00AB0084">
              <w:rPr>
                <w:sz w:val="24"/>
                <w:szCs w:val="24"/>
                <w:lang w:val="lv-LV"/>
              </w:rPr>
              <w:t xml:space="preserve"> atbalstam (Eiropas Savienības Oficiālais Vēstnesis, 2013.gada 24.decembris, Nr. L 352)</w:t>
            </w:r>
            <w:r w:rsidRPr="00AB0084">
              <w:rPr>
                <w:sz w:val="24"/>
                <w:szCs w:val="24"/>
              </w:rPr>
              <w:t xml:space="preserve"> 6.panta 4.punktā </w:t>
            </w:r>
            <w:proofErr w:type="spellStart"/>
            <w:r w:rsidRPr="00AB0084">
              <w:rPr>
                <w:sz w:val="24"/>
                <w:szCs w:val="24"/>
              </w:rPr>
              <w:t>noteikt</w:t>
            </w:r>
            <w:r w:rsidR="00FA2A75">
              <w:rPr>
                <w:sz w:val="24"/>
                <w:szCs w:val="24"/>
              </w:rPr>
              <w:t>aj</w:t>
            </w:r>
            <w:r w:rsidRPr="00AB0084">
              <w:rPr>
                <w:sz w:val="24"/>
                <w:szCs w:val="24"/>
              </w:rPr>
              <w:t>ām</w:t>
            </w:r>
            <w:proofErr w:type="spellEnd"/>
            <w:r w:rsidRPr="00AB0084">
              <w:rPr>
                <w:sz w:val="24"/>
                <w:szCs w:val="24"/>
              </w:rPr>
              <w:t xml:space="preserve"> </w:t>
            </w:r>
            <w:proofErr w:type="spellStart"/>
            <w:r w:rsidRPr="00AB0084">
              <w:rPr>
                <w:sz w:val="24"/>
                <w:szCs w:val="24"/>
              </w:rPr>
              <w:t>prasībām</w:t>
            </w:r>
            <w:proofErr w:type="spellEnd"/>
            <w:r w:rsidR="00E51857" w:rsidRPr="00AB0084">
              <w:rPr>
                <w:sz w:val="24"/>
                <w:szCs w:val="24"/>
                <w:lang w:val="lv-LV"/>
              </w:rPr>
              <w:t>.</w:t>
            </w:r>
          </w:p>
        </w:tc>
      </w:tr>
      <w:tr w:rsidR="00D11308" w:rsidRPr="00AB0084"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AB0084" w:rsidRDefault="00D11308" w:rsidP="000A15AB">
            <w:pPr>
              <w:jc w:val="both"/>
              <w:rPr>
                <w:rFonts w:eastAsia="Times New Roman"/>
                <w:sz w:val="24"/>
                <w:szCs w:val="24"/>
                <w:lang w:val="lv-LV" w:eastAsia="lv-LV"/>
              </w:rPr>
            </w:pPr>
            <w:r w:rsidRPr="00AB0084">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AB0084" w:rsidRDefault="00D11308" w:rsidP="000A15AB">
            <w:pPr>
              <w:jc w:val="both"/>
              <w:rPr>
                <w:rFonts w:eastAsia="Times New Roman"/>
                <w:sz w:val="24"/>
                <w:szCs w:val="24"/>
                <w:lang w:val="lv-LV" w:eastAsia="lv-LV"/>
              </w:rPr>
            </w:pPr>
            <w:r w:rsidRPr="00AB0084">
              <w:rPr>
                <w:rFonts w:eastAsia="Times New Roman"/>
                <w:sz w:val="24"/>
                <w:szCs w:val="24"/>
                <w:lang w:val="lv-LV" w:eastAsia="lv-LV"/>
              </w:rPr>
              <w:t>Projekta izstrādē iesaistītās institūcijas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AB0084" w:rsidRDefault="00F66DE4" w:rsidP="000A15AB">
            <w:pPr>
              <w:jc w:val="both"/>
              <w:rPr>
                <w:bCs/>
                <w:sz w:val="24"/>
                <w:szCs w:val="24"/>
                <w:lang w:val="lv-LV"/>
              </w:rPr>
            </w:pPr>
            <w:r w:rsidRPr="00AB0084">
              <w:rPr>
                <w:iCs/>
                <w:sz w:val="24"/>
                <w:szCs w:val="24"/>
                <w:lang w:val="lv-LV"/>
              </w:rPr>
              <w:t>Ekonomikas ministrija</w:t>
            </w:r>
          </w:p>
        </w:tc>
      </w:tr>
      <w:tr w:rsidR="00D11308" w:rsidRPr="00AB0084"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AB0084" w:rsidRDefault="00D11308" w:rsidP="000A15AB">
            <w:pPr>
              <w:jc w:val="both"/>
              <w:rPr>
                <w:rFonts w:eastAsia="Times New Roman"/>
                <w:sz w:val="24"/>
                <w:szCs w:val="24"/>
                <w:lang w:val="lv-LV" w:eastAsia="lv-LV"/>
              </w:rPr>
            </w:pPr>
            <w:r w:rsidRPr="00AB0084">
              <w:rPr>
                <w:rFonts w:eastAsia="Times New Roman"/>
                <w:sz w:val="24"/>
                <w:szCs w:val="24"/>
                <w:lang w:val="lv-LV" w:eastAsia="lv-LV"/>
              </w:rPr>
              <w:lastRenderedPageBreak/>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AB0084" w:rsidRDefault="00D11308" w:rsidP="000A15AB">
            <w:pPr>
              <w:jc w:val="both"/>
              <w:rPr>
                <w:rFonts w:eastAsia="Times New Roman"/>
                <w:sz w:val="24"/>
                <w:szCs w:val="24"/>
                <w:lang w:val="lv-LV" w:eastAsia="lv-LV"/>
              </w:rPr>
            </w:pPr>
            <w:r w:rsidRPr="00AB0084">
              <w:rPr>
                <w:rFonts w:eastAsia="Times New Roman"/>
                <w:sz w:val="24"/>
                <w:szCs w:val="24"/>
                <w:lang w:val="lv-LV" w:eastAsia="lv-LV"/>
              </w:rPr>
              <w:t>Cita informācija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AB0084" w:rsidRDefault="00F66DE4" w:rsidP="000A15AB">
            <w:pPr>
              <w:jc w:val="both"/>
              <w:rPr>
                <w:iCs/>
                <w:sz w:val="24"/>
                <w:szCs w:val="24"/>
                <w:lang w:val="lv-LV"/>
              </w:rPr>
            </w:pPr>
            <w:r w:rsidRPr="00AB0084">
              <w:rPr>
                <w:iCs/>
                <w:sz w:val="24"/>
                <w:szCs w:val="24"/>
                <w:lang w:val="lv-LV"/>
              </w:rPr>
              <w:t>Nav.</w:t>
            </w:r>
          </w:p>
        </w:tc>
      </w:tr>
    </w:tbl>
    <w:p w:rsidR="00D11308" w:rsidRPr="00AB0084" w:rsidRDefault="00D11308" w:rsidP="00D11308">
      <w:pPr>
        <w:jc w:val="both"/>
        <w:rPr>
          <w:rFonts w:eastAsia="Times New Roman"/>
          <w:sz w:val="24"/>
          <w:szCs w:val="24"/>
          <w:lang w:val="lv-LV" w:eastAsia="lv-LV"/>
        </w:rPr>
        <w:sectPr w:rsidR="00D11308" w:rsidRPr="00AB0084" w:rsidSect="00D11308">
          <w:headerReference w:type="default" r:id="rId15"/>
          <w:footerReference w:type="default" r:id="rId16"/>
          <w:footerReference w:type="first" r:id="rId17"/>
          <w:type w:val="continuous"/>
          <w:pgSz w:w="11906" w:h="16838"/>
          <w:pgMar w:top="1418" w:right="1134" w:bottom="1134" w:left="1701" w:header="709" w:footer="709" w:gutter="0"/>
          <w:cols w:space="708"/>
          <w:titlePg/>
          <w:docGrid w:linePitch="360"/>
        </w:sect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8D1CA0" w:rsidRPr="00057F5C" w:rsidTr="008D1CA0">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D1CA0" w:rsidRPr="00AB0084" w:rsidRDefault="008D1CA0" w:rsidP="008D1CA0">
            <w:pPr>
              <w:spacing w:before="100" w:beforeAutospacing="1" w:after="100" w:afterAutospacing="1"/>
              <w:jc w:val="center"/>
              <w:rPr>
                <w:rFonts w:eastAsia="Times New Roman"/>
                <w:b/>
                <w:bCs/>
                <w:sz w:val="24"/>
                <w:szCs w:val="24"/>
                <w:lang w:val="lv-LV" w:eastAsia="lv-LV"/>
              </w:rPr>
            </w:pPr>
            <w:r w:rsidRPr="00AB0084">
              <w:rPr>
                <w:rFonts w:eastAsia="Times New Roman"/>
                <w:b/>
                <w:bCs/>
                <w:sz w:val="24"/>
                <w:szCs w:val="24"/>
                <w:lang w:val="lv-LV" w:eastAsia="lv-LV"/>
              </w:rPr>
              <w:lastRenderedPageBreak/>
              <w:t>II. Tiesību akta projekta ietekme uz sabiedrību, tautsaimniecības attīstību un administratīvo slogu</w:t>
            </w:r>
          </w:p>
        </w:tc>
      </w:tr>
      <w:tr w:rsidR="008D1CA0" w:rsidRPr="00AB0084" w:rsidTr="008D1CA0">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D1CA0" w:rsidRPr="00AB0084" w:rsidRDefault="008D1CA0" w:rsidP="008D1CA0">
            <w:pPr>
              <w:rPr>
                <w:rFonts w:eastAsia="Times New Roman"/>
                <w:sz w:val="24"/>
                <w:szCs w:val="24"/>
                <w:lang w:val="lv-LV" w:eastAsia="lv-LV"/>
              </w:rPr>
            </w:pPr>
            <w:r w:rsidRPr="00AB0084">
              <w:rPr>
                <w:rFonts w:eastAsia="Times New Roman"/>
                <w:sz w:val="24"/>
                <w:szCs w:val="24"/>
                <w:lang w:val="lv-LV"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8D1CA0" w:rsidRPr="00AB0084" w:rsidRDefault="008D1CA0" w:rsidP="008D1CA0">
            <w:pPr>
              <w:rPr>
                <w:rFonts w:eastAsia="Times New Roman"/>
                <w:sz w:val="24"/>
                <w:szCs w:val="24"/>
                <w:lang w:val="lv-LV" w:eastAsia="lv-LV"/>
              </w:rPr>
            </w:pPr>
            <w:r w:rsidRPr="00AB0084">
              <w:rPr>
                <w:rFonts w:eastAsia="Times New Roman"/>
                <w:sz w:val="24"/>
                <w:szCs w:val="24"/>
                <w:lang w:val="lv-LV"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8D1CA0" w:rsidRPr="00AB0084" w:rsidRDefault="008D1CA0" w:rsidP="008D1CA0">
            <w:pPr>
              <w:rPr>
                <w:rFonts w:eastAsia="Times New Roman"/>
                <w:sz w:val="24"/>
                <w:szCs w:val="24"/>
                <w:lang w:val="lv-LV" w:eastAsia="lv-LV"/>
              </w:rPr>
            </w:pPr>
            <w:r w:rsidRPr="00AB0084">
              <w:rPr>
                <w:rFonts w:eastAsia="Times New Roman"/>
                <w:sz w:val="24"/>
                <w:szCs w:val="24"/>
                <w:lang w:val="lv-LV" w:eastAsia="lv-LV"/>
              </w:rPr>
              <w:t>Komersanti</w:t>
            </w:r>
          </w:p>
        </w:tc>
      </w:tr>
      <w:tr w:rsidR="008D1CA0" w:rsidRPr="00057F5C" w:rsidTr="008D1CA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D1CA0" w:rsidRPr="00AB0084" w:rsidRDefault="008D1CA0" w:rsidP="008D1CA0">
            <w:pPr>
              <w:rPr>
                <w:rFonts w:eastAsia="Times New Roman"/>
                <w:sz w:val="24"/>
                <w:szCs w:val="24"/>
                <w:lang w:val="lv-LV" w:eastAsia="lv-LV"/>
              </w:rPr>
            </w:pPr>
            <w:r w:rsidRPr="00AB0084">
              <w:rPr>
                <w:rFonts w:eastAsia="Times New Roman"/>
                <w:sz w:val="24"/>
                <w:szCs w:val="24"/>
                <w:lang w:val="lv-LV"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8D1CA0" w:rsidRPr="00AB0084" w:rsidRDefault="008D1CA0" w:rsidP="008D1CA0">
            <w:pPr>
              <w:rPr>
                <w:rFonts w:eastAsia="Times New Roman"/>
                <w:sz w:val="24"/>
                <w:szCs w:val="24"/>
                <w:lang w:val="lv-LV" w:eastAsia="lv-LV"/>
              </w:rPr>
            </w:pPr>
            <w:r w:rsidRPr="00AB0084">
              <w:rPr>
                <w:rFonts w:eastAsia="Times New Roman"/>
                <w:sz w:val="24"/>
                <w:szCs w:val="24"/>
                <w:lang w:val="lv-LV"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8D1CA0" w:rsidRPr="00AB0084" w:rsidRDefault="008D1CA0" w:rsidP="008D1CA0">
            <w:pPr>
              <w:rPr>
                <w:rFonts w:eastAsia="Times New Roman"/>
                <w:sz w:val="24"/>
                <w:szCs w:val="24"/>
                <w:lang w:val="lv-LV" w:eastAsia="lv-LV"/>
              </w:rPr>
            </w:pPr>
            <w:r w:rsidRPr="00AB0084">
              <w:rPr>
                <w:rFonts w:eastAsia="Times New Roman"/>
                <w:sz w:val="24"/>
                <w:szCs w:val="24"/>
                <w:lang w:val="lv-LV" w:eastAsia="lv-LV"/>
              </w:rPr>
              <w:t>Palielinās biznesa inkubatorā esoši komersantu iespējams piesaistīt finansējumu komercdarbības uzsākšanai un veikšanai.</w:t>
            </w:r>
          </w:p>
        </w:tc>
      </w:tr>
      <w:tr w:rsidR="008D1CA0" w:rsidRPr="00AB0084" w:rsidTr="008D1CA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D1CA0" w:rsidRPr="00AB0084" w:rsidRDefault="008D1CA0" w:rsidP="008D1CA0">
            <w:pPr>
              <w:rPr>
                <w:rFonts w:eastAsia="Times New Roman"/>
                <w:sz w:val="24"/>
                <w:szCs w:val="24"/>
                <w:lang w:val="lv-LV" w:eastAsia="lv-LV"/>
              </w:rPr>
            </w:pPr>
            <w:r w:rsidRPr="00AB0084">
              <w:rPr>
                <w:rFonts w:eastAsia="Times New Roman"/>
                <w:sz w:val="24"/>
                <w:szCs w:val="24"/>
                <w:lang w:val="lv-LV"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8D1CA0" w:rsidRPr="00AB0084" w:rsidRDefault="008D1CA0" w:rsidP="008D1CA0">
            <w:pPr>
              <w:rPr>
                <w:rFonts w:eastAsia="Times New Roman"/>
                <w:sz w:val="24"/>
                <w:szCs w:val="24"/>
                <w:lang w:val="lv-LV" w:eastAsia="lv-LV"/>
              </w:rPr>
            </w:pPr>
            <w:r w:rsidRPr="00AB0084">
              <w:rPr>
                <w:rFonts w:eastAsia="Times New Roman"/>
                <w:sz w:val="24"/>
                <w:szCs w:val="24"/>
                <w:lang w:val="lv-LV"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8D1CA0" w:rsidRPr="00AB0084" w:rsidRDefault="008D1CA0" w:rsidP="008D1CA0">
            <w:pPr>
              <w:rPr>
                <w:rFonts w:eastAsia="Times New Roman"/>
                <w:sz w:val="24"/>
                <w:szCs w:val="24"/>
                <w:lang w:val="lv-LV" w:eastAsia="lv-LV"/>
              </w:rPr>
            </w:pPr>
            <w:r w:rsidRPr="00AB0084">
              <w:rPr>
                <w:rFonts w:eastAsia="Times New Roman"/>
                <w:sz w:val="24"/>
                <w:szCs w:val="24"/>
                <w:lang w:val="lv-LV" w:eastAsia="lv-LV"/>
              </w:rPr>
              <w:t>Nav identificēts administratīvā sloga palielinājums.</w:t>
            </w:r>
          </w:p>
        </w:tc>
      </w:tr>
      <w:tr w:rsidR="008D1CA0" w:rsidRPr="00AB0084" w:rsidTr="008D1CA0">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D1CA0" w:rsidRPr="00AB0084" w:rsidRDefault="008D1CA0" w:rsidP="008D1CA0">
            <w:pPr>
              <w:rPr>
                <w:rFonts w:eastAsia="Times New Roman"/>
                <w:sz w:val="24"/>
                <w:szCs w:val="24"/>
                <w:lang w:val="lv-LV" w:eastAsia="lv-LV"/>
              </w:rPr>
            </w:pPr>
            <w:r w:rsidRPr="00AB0084">
              <w:rPr>
                <w:rFonts w:eastAsia="Times New Roman"/>
                <w:sz w:val="24"/>
                <w:szCs w:val="24"/>
                <w:lang w:val="lv-LV"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8D1CA0" w:rsidRPr="00AB0084" w:rsidRDefault="008D1CA0" w:rsidP="008D1CA0">
            <w:pPr>
              <w:rPr>
                <w:rFonts w:eastAsia="Times New Roman"/>
                <w:sz w:val="24"/>
                <w:szCs w:val="24"/>
                <w:lang w:val="lv-LV" w:eastAsia="lv-LV"/>
              </w:rPr>
            </w:pPr>
            <w:r w:rsidRPr="00AB0084">
              <w:rPr>
                <w:rFonts w:eastAsia="Times New Roman"/>
                <w:sz w:val="24"/>
                <w:szCs w:val="24"/>
                <w:lang w:val="lv-LV"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8D1CA0" w:rsidRPr="00AB0084" w:rsidRDefault="008D1CA0" w:rsidP="008D1CA0">
            <w:pPr>
              <w:spacing w:before="100" w:beforeAutospacing="1" w:after="100" w:afterAutospacing="1"/>
              <w:rPr>
                <w:rFonts w:eastAsia="Times New Roman"/>
                <w:sz w:val="24"/>
                <w:szCs w:val="24"/>
                <w:lang w:val="lv-LV" w:eastAsia="lv-LV"/>
              </w:rPr>
            </w:pPr>
            <w:r w:rsidRPr="00AB0084">
              <w:rPr>
                <w:rFonts w:eastAsia="Times New Roman"/>
                <w:sz w:val="24"/>
                <w:szCs w:val="24"/>
                <w:lang w:val="lv-LV" w:eastAsia="lv-LV"/>
              </w:rPr>
              <w:t>Nav</w:t>
            </w:r>
          </w:p>
        </w:tc>
      </w:tr>
    </w:tbl>
    <w:p w:rsidR="00D11308" w:rsidRPr="00AB0084" w:rsidRDefault="00D11308" w:rsidP="00D11308">
      <w:pPr>
        <w:jc w:val="both"/>
        <w:rPr>
          <w:rFonts w:eastAsia="Times New Roman"/>
          <w:sz w:val="16"/>
          <w:szCs w:val="16"/>
          <w:lang w:val="lv-LV" w:eastAsia="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CellMar>
          <w:left w:w="0" w:type="dxa"/>
          <w:right w:w="0" w:type="dxa"/>
        </w:tblCellMar>
        <w:tblLook w:val="04A0" w:firstRow="1" w:lastRow="0" w:firstColumn="1" w:lastColumn="0" w:noHBand="0" w:noVBand="1"/>
      </w:tblPr>
      <w:tblGrid>
        <w:gridCol w:w="400"/>
        <w:gridCol w:w="1645"/>
        <w:gridCol w:w="7146"/>
      </w:tblGrid>
      <w:tr w:rsidR="00D11308" w:rsidRPr="00AB0084" w:rsidTr="000A15AB">
        <w:trPr>
          <w:tblCellSpacing w:w="0" w:type="dxa"/>
        </w:trPr>
        <w:tc>
          <w:tcPr>
            <w:tcW w:w="9191" w:type="dxa"/>
            <w:gridSpan w:val="3"/>
            <w:hideMark/>
          </w:tcPr>
          <w:p w:rsidR="00D11308" w:rsidRPr="00AB0084" w:rsidRDefault="00D11308" w:rsidP="000A15AB">
            <w:pPr>
              <w:ind w:firstLine="709"/>
              <w:jc w:val="both"/>
              <w:rPr>
                <w:rFonts w:eastAsia="Times New Roman"/>
                <w:b/>
                <w:bCs/>
                <w:sz w:val="24"/>
                <w:szCs w:val="24"/>
                <w:lang w:val="lv-LV" w:eastAsia="lv-LV"/>
              </w:rPr>
            </w:pPr>
            <w:r w:rsidRPr="00AB0084">
              <w:rPr>
                <w:rFonts w:eastAsia="Times New Roman"/>
                <w:b/>
                <w:bCs/>
                <w:sz w:val="24"/>
                <w:szCs w:val="24"/>
                <w:lang w:val="lv-LV" w:eastAsia="lv-LV"/>
              </w:rPr>
              <w:t> V. Tiesību akta projekta atbilstība Latvijas Republikas starptautiskajām saistībām</w:t>
            </w:r>
          </w:p>
        </w:tc>
      </w:tr>
      <w:tr w:rsidR="00D11308" w:rsidRPr="00AB0084" w:rsidTr="00D970AB">
        <w:trPr>
          <w:trHeight w:val="1174"/>
          <w:tblCellSpacing w:w="0" w:type="dxa"/>
        </w:trPr>
        <w:tc>
          <w:tcPr>
            <w:tcW w:w="400" w:type="dxa"/>
            <w:hideMark/>
          </w:tcPr>
          <w:p w:rsidR="00D11308" w:rsidRPr="00AB0084" w:rsidRDefault="00D11308" w:rsidP="000A15AB">
            <w:pPr>
              <w:rPr>
                <w:rFonts w:eastAsia="Times New Roman"/>
                <w:sz w:val="24"/>
                <w:szCs w:val="24"/>
                <w:lang w:val="lv-LV" w:eastAsia="lv-LV"/>
              </w:rPr>
            </w:pPr>
            <w:r w:rsidRPr="00AB0084">
              <w:rPr>
                <w:rFonts w:eastAsia="Times New Roman"/>
                <w:sz w:val="24"/>
                <w:szCs w:val="24"/>
                <w:lang w:val="lv-LV" w:eastAsia="lv-LV"/>
              </w:rPr>
              <w:t> 1.</w:t>
            </w:r>
          </w:p>
        </w:tc>
        <w:tc>
          <w:tcPr>
            <w:tcW w:w="1645" w:type="dxa"/>
            <w:hideMark/>
          </w:tcPr>
          <w:p w:rsidR="00D11308" w:rsidRPr="00AB0084" w:rsidRDefault="00D11308" w:rsidP="000A15AB">
            <w:pPr>
              <w:rPr>
                <w:rFonts w:eastAsia="Times New Roman"/>
                <w:sz w:val="24"/>
                <w:szCs w:val="24"/>
                <w:lang w:val="lv-LV" w:eastAsia="lv-LV"/>
              </w:rPr>
            </w:pPr>
            <w:r w:rsidRPr="00AB0084">
              <w:rPr>
                <w:rFonts w:eastAsia="Times New Roman"/>
                <w:sz w:val="24"/>
                <w:szCs w:val="24"/>
                <w:lang w:val="lv-LV" w:eastAsia="lv-LV"/>
              </w:rPr>
              <w:t> Saistības pret Eiropas Savienību</w:t>
            </w:r>
          </w:p>
        </w:tc>
        <w:tc>
          <w:tcPr>
            <w:tcW w:w="7146" w:type="dxa"/>
            <w:hideMark/>
          </w:tcPr>
          <w:p w:rsidR="00E35C08" w:rsidRPr="00AB0084" w:rsidRDefault="00D11308" w:rsidP="00D970AB">
            <w:pPr>
              <w:jc w:val="both"/>
              <w:rPr>
                <w:rFonts w:eastAsia="Times New Roman"/>
                <w:sz w:val="24"/>
                <w:szCs w:val="24"/>
                <w:lang w:val="lv-LV" w:eastAsia="lv-LV"/>
              </w:rPr>
            </w:pPr>
            <w:r w:rsidRPr="00AB0084">
              <w:rPr>
                <w:rFonts w:eastAsia="Times New Roman"/>
                <w:sz w:val="24"/>
                <w:szCs w:val="24"/>
                <w:lang w:val="lv-LV" w:eastAsia="lv-LV"/>
              </w:rPr>
              <w:t>Ar tiesību akta projektu tiek ieviesta</w:t>
            </w:r>
            <w:r w:rsidR="00D970AB" w:rsidRPr="00AB0084">
              <w:rPr>
                <w:rFonts w:eastAsia="Times New Roman"/>
                <w:sz w:val="24"/>
                <w:szCs w:val="24"/>
                <w:lang w:val="lv-LV" w:eastAsia="lv-LV"/>
              </w:rPr>
              <w:t xml:space="preserve"> </w:t>
            </w:r>
            <w:r w:rsidR="0078720B" w:rsidRPr="00AB0084">
              <w:rPr>
                <w:sz w:val="24"/>
                <w:szCs w:val="24"/>
                <w:lang w:val="lv-LV"/>
              </w:rPr>
              <w:t>Komisijas</w:t>
            </w:r>
            <w:r w:rsidRPr="00AB0084">
              <w:rPr>
                <w:rFonts w:eastAsia="Times New Roman"/>
                <w:sz w:val="24"/>
                <w:szCs w:val="24"/>
                <w:lang w:val="lv-LV" w:eastAsia="lv-LV"/>
              </w:rPr>
              <w:t xml:space="preserve"> </w:t>
            </w:r>
            <w:r w:rsidRPr="00AB0084">
              <w:rPr>
                <w:sz w:val="24"/>
                <w:szCs w:val="24"/>
                <w:lang w:val="lv-LV"/>
              </w:rPr>
              <w:t xml:space="preserve">2013.gada </w:t>
            </w:r>
            <w:r w:rsidR="00E35C08" w:rsidRPr="00AB0084">
              <w:rPr>
                <w:sz w:val="24"/>
                <w:szCs w:val="24"/>
                <w:lang w:val="lv-LV"/>
              </w:rPr>
              <w:t>18.decembra Regula (ES</w:t>
            </w:r>
            <w:r w:rsidRPr="00AB0084">
              <w:rPr>
                <w:sz w:val="24"/>
                <w:szCs w:val="24"/>
                <w:lang w:val="lv-LV"/>
              </w:rPr>
              <w:t xml:space="preserve">) Nr. 1407/2013 par Līguma par Eiropas Savienības darbību 107. un 108.panta piemērošanu </w:t>
            </w:r>
            <w:proofErr w:type="spellStart"/>
            <w:r w:rsidRPr="00AB0084">
              <w:rPr>
                <w:i/>
                <w:sz w:val="24"/>
                <w:szCs w:val="24"/>
                <w:lang w:val="lv-LV"/>
              </w:rPr>
              <w:t>de</w:t>
            </w:r>
            <w:proofErr w:type="spellEnd"/>
            <w:r w:rsidRPr="00AB0084">
              <w:rPr>
                <w:i/>
                <w:sz w:val="24"/>
                <w:szCs w:val="24"/>
                <w:lang w:val="lv-LV"/>
              </w:rPr>
              <w:t xml:space="preserve"> </w:t>
            </w:r>
            <w:proofErr w:type="spellStart"/>
            <w:r w:rsidRPr="00AB0084">
              <w:rPr>
                <w:i/>
                <w:sz w:val="24"/>
                <w:szCs w:val="24"/>
                <w:lang w:val="lv-LV"/>
              </w:rPr>
              <w:t>minimis</w:t>
            </w:r>
            <w:proofErr w:type="spellEnd"/>
            <w:r w:rsidRPr="00AB0084">
              <w:rPr>
                <w:sz w:val="24"/>
                <w:szCs w:val="24"/>
                <w:lang w:val="lv-LV"/>
              </w:rPr>
              <w:t xml:space="preserve"> atbalstam (Eiropas Savienības Oficiālais Vēstnesis, 2013.gada 24.decembris, Nr. L 352)</w:t>
            </w:r>
            <w:r w:rsidR="00505336" w:rsidRPr="00AB0084">
              <w:rPr>
                <w:sz w:val="24"/>
                <w:szCs w:val="24"/>
                <w:lang w:val="lv-LV"/>
              </w:rPr>
              <w:t>.</w:t>
            </w:r>
          </w:p>
        </w:tc>
      </w:tr>
      <w:tr w:rsidR="00D11308" w:rsidRPr="004E0D61" w:rsidTr="000A15AB">
        <w:trPr>
          <w:tblCellSpacing w:w="0" w:type="dxa"/>
        </w:trPr>
        <w:tc>
          <w:tcPr>
            <w:tcW w:w="400" w:type="dxa"/>
            <w:hideMark/>
          </w:tcPr>
          <w:p w:rsidR="00D11308" w:rsidRPr="00AB0084" w:rsidRDefault="00D11308" w:rsidP="000A15AB">
            <w:pPr>
              <w:rPr>
                <w:rFonts w:eastAsia="Times New Roman"/>
                <w:sz w:val="24"/>
                <w:szCs w:val="24"/>
                <w:lang w:val="lv-LV" w:eastAsia="lv-LV"/>
              </w:rPr>
            </w:pPr>
            <w:r w:rsidRPr="00AB0084">
              <w:rPr>
                <w:rFonts w:eastAsia="Times New Roman"/>
                <w:sz w:val="24"/>
                <w:szCs w:val="24"/>
                <w:lang w:val="lv-LV" w:eastAsia="lv-LV"/>
              </w:rPr>
              <w:t> 2.</w:t>
            </w:r>
          </w:p>
        </w:tc>
        <w:tc>
          <w:tcPr>
            <w:tcW w:w="1645" w:type="dxa"/>
            <w:hideMark/>
          </w:tcPr>
          <w:p w:rsidR="00D11308" w:rsidRPr="00AB0084" w:rsidRDefault="00D11308" w:rsidP="000A15AB">
            <w:pPr>
              <w:rPr>
                <w:rFonts w:eastAsia="Times New Roman"/>
                <w:sz w:val="24"/>
                <w:szCs w:val="24"/>
                <w:lang w:val="lv-LV" w:eastAsia="lv-LV"/>
              </w:rPr>
            </w:pPr>
            <w:r w:rsidRPr="00AB0084">
              <w:rPr>
                <w:rFonts w:eastAsia="Times New Roman"/>
                <w:sz w:val="24"/>
                <w:szCs w:val="24"/>
                <w:lang w:val="lv-LV" w:eastAsia="lv-LV"/>
              </w:rPr>
              <w:t> Citas starptautiskās saistības</w:t>
            </w:r>
          </w:p>
        </w:tc>
        <w:tc>
          <w:tcPr>
            <w:tcW w:w="7146" w:type="dxa"/>
            <w:hideMark/>
          </w:tcPr>
          <w:p w:rsidR="00D11308" w:rsidRPr="0051659E" w:rsidRDefault="00AB0084" w:rsidP="000A15AB">
            <w:pPr>
              <w:rPr>
                <w:rFonts w:eastAsia="Times New Roman"/>
                <w:sz w:val="24"/>
                <w:szCs w:val="24"/>
                <w:lang w:val="lv-LV" w:eastAsia="lv-LV"/>
              </w:rPr>
            </w:pPr>
            <w:r w:rsidRPr="00AB0084">
              <w:rPr>
                <w:sz w:val="24"/>
                <w:szCs w:val="24"/>
                <w:lang w:val="lv-LV"/>
              </w:rPr>
              <w:t>Projekts šo jomu neskar.</w:t>
            </w:r>
          </w:p>
        </w:tc>
      </w:tr>
      <w:tr w:rsidR="00D11308" w:rsidRPr="004E0D61" w:rsidTr="000A15AB">
        <w:trPr>
          <w:tblCellSpacing w:w="0" w:type="dxa"/>
        </w:trPr>
        <w:tc>
          <w:tcPr>
            <w:tcW w:w="400" w:type="dxa"/>
            <w:hideMark/>
          </w:tcPr>
          <w:p w:rsidR="00D11308" w:rsidRPr="007043EB" w:rsidRDefault="00D11308" w:rsidP="000A15AB">
            <w:pPr>
              <w:rPr>
                <w:rFonts w:eastAsia="Times New Roman"/>
                <w:sz w:val="24"/>
                <w:szCs w:val="24"/>
                <w:lang w:val="lv-LV" w:eastAsia="lv-LV"/>
              </w:rPr>
            </w:pPr>
            <w:r w:rsidRPr="004E0D61">
              <w:rPr>
                <w:rFonts w:eastAsia="Times New Roman"/>
                <w:sz w:val="24"/>
                <w:szCs w:val="24"/>
                <w:lang w:val="lv-LV" w:eastAsia="lv-LV"/>
              </w:rPr>
              <w:t> 3.</w:t>
            </w:r>
          </w:p>
        </w:tc>
        <w:tc>
          <w:tcPr>
            <w:tcW w:w="1645" w:type="dxa"/>
            <w:hideMark/>
          </w:tcPr>
          <w:p w:rsidR="00D11308" w:rsidRPr="00193049" w:rsidRDefault="00D11308" w:rsidP="000A15AB">
            <w:pPr>
              <w:rPr>
                <w:sz w:val="24"/>
                <w:szCs w:val="24"/>
                <w:lang w:val="lv-LV"/>
              </w:rPr>
            </w:pPr>
            <w:r w:rsidRPr="007043EB">
              <w:rPr>
                <w:sz w:val="24"/>
                <w:szCs w:val="24"/>
                <w:lang w:val="lv-LV"/>
              </w:rPr>
              <w:t> Cita informācija</w:t>
            </w:r>
          </w:p>
        </w:tc>
        <w:tc>
          <w:tcPr>
            <w:tcW w:w="7146" w:type="dxa"/>
            <w:hideMark/>
          </w:tcPr>
          <w:p w:rsidR="00D11308" w:rsidRPr="0051659E" w:rsidRDefault="00F66DE4" w:rsidP="000A15AB">
            <w:pPr>
              <w:jc w:val="both"/>
              <w:rPr>
                <w:rFonts w:eastAsia="Times New Roman"/>
                <w:sz w:val="24"/>
                <w:szCs w:val="24"/>
                <w:lang w:val="lv-LV" w:eastAsia="lv-LV"/>
              </w:rPr>
            </w:pPr>
            <w:r>
              <w:rPr>
                <w:rFonts w:eastAsia="Times New Roman"/>
                <w:sz w:val="24"/>
                <w:szCs w:val="24"/>
                <w:lang w:val="lv-LV" w:eastAsia="lv-LV"/>
              </w:rPr>
              <w:t>Nav</w:t>
            </w:r>
          </w:p>
          <w:p w:rsidR="00D11308" w:rsidRPr="004E0D61" w:rsidRDefault="00D11308" w:rsidP="000A15AB">
            <w:pPr>
              <w:jc w:val="both"/>
              <w:rPr>
                <w:rFonts w:eastAsia="Times New Roman"/>
                <w:sz w:val="24"/>
                <w:szCs w:val="24"/>
                <w:lang w:val="lv-LV" w:eastAsia="lv-LV"/>
              </w:rPr>
            </w:pPr>
          </w:p>
        </w:tc>
      </w:tr>
    </w:tbl>
    <w:p w:rsidR="00D11308" w:rsidRPr="007043EB" w:rsidRDefault="00D11308" w:rsidP="00D11308">
      <w:pPr>
        <w:ind w:firstLine="468"/>
        <w:jc w:val="both"/>
        <w:rPr>
          <w:rFonts w:eastAsia="Times New Roman"/>
          <w:sz w:val="16"/>
          <w:szCs w:val="16"/>
          <w:lang w:val="lv-LV" w:eastAsia="lv-LV"/>
        </w:rPr>
      </w:pPr>
      <w:r w:rsidRPr="004E0D61">
        <w:rPr>
          <w:rFonts w:eastAsia="Times New Roman"/>
          <w:sz w:val="24"/>
          <w:szCs w:val="24"/>
          <w:lang w:val="lv-LV" w:eastAsia="lv-LV"/>
        </w:rPr>
        <w:t> </w:t>
      </w: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Layout w:type="fixed"/>
        <w:tblCellMar>
          <w:left w:w="0" w:type="dxa"/>
          <w:right w:w="0" w:type="dxa"/>
        </w:tblCellMar>
        <w:tblLook w:val="04A0" w:firstRow="1" w:lastRow="0" w:firstColumn="1" w:lastColumn="0" w:noHBand="0" w:noVBand="1"/>
      </w:tblPr>
      <w:tblGrid>
        <w:gridCol w:w="2003"/>
        <w:gridCol w:w="2452"/>
        <w:gridCol w:w="2703"/>
        <w:gridCol w:w="2033"/>
      </w:tblGrid>
      <w:tr w:rsidR="00D11308" w:rsidRPr="00057F5C" w:rsidTr="000A15AB">
        <w:trPr>
          <w:trHeight w:val="525"/>
          <w:tblCellSpacing w:w="0" w:type="dxa"/>
        </w:trPr>
        <w:tc>
          <w:tcPr>
            <w:tcW w:w="9191" w:type="dxa"/>
            <w:gridSpan w:val="4"/>
            <w:vAlign w:val="center"/>
            <w:hideMark/>
          </w:tcPr>
          <w:p w:rsidR="00D11308" w:rsidRPr="00193049" w:rsidRDefault="00D11308" w:rsidP="000A15AB">
            <w:pPr>
              <w:jc w:val="center"/>
              <w:rPr>
                <w:rFonts w:eastAsia="Times New Roman"/>
                <w:b/>
                <w:bCs/>
                <w:sz w:val="24"/>
                <w:szCs w:val="24"/>
                <w:lang w:val="lv-LV" w:eastAsia="lv-LV"/>
              </w:rPr>
            </w:pPr>
            <w:r w:rsidRPr="007043EB">
              <w:rPr>
                <w:rFonts w:eastAsia="Times New Roman"/>
                <w:b/>
                <w:bCs/>
                <w:sz w:val="24"/>
                <w:szCs w:val="24"/>
                <w:lang w:val="lv-LV" w:eastAsia="lv-LV"/>
              </w:rPr>
              <w:t> 1.tabula</w:t>
            </w:r>
          </w:p>
          <w:p w:rsidR="00D11308" w:rsidRPr="0051659E" w:rsidRDefault="00D11308" w:rsidP="000A15AB">
            <w:pPr>
              <w:jc w:val="center"/>
              <w:rPr>
                <w:rFonts w:eastAsia="Times New Roman"/>
                <w:b/>
                <w:bCs/>
                <w:sz w:val="24"/>
                <w:szCs w:val="24"/>
                <w:lang w:val="lv-LV" w:eastAsia="lv-LV"/>
              </w:rPr>
            </w:pPr>
            <w:r w:rsidRPr="00150E3E">
              <w:rPr>
                <w:rFonts w:eastAsia="Times New Roman"/>
                <w:b/>
                <w:bCs/>
                <w:sz w:val="24"/>
                <w:szCs w:val="24"/>
                <w:lang w:val="lv-LV" w:eastAsia="lv-LV"/>
              </w:rPr>
              <w:t>Tiesību akta projekta atbilstība ES tiesību aktiem</w:t>
            </w:r>
          </w:p>
        </w:tc>
      </w:tr>
      <w:tr w:rsidR="00D11308" w:rsidRPr="004E0D61" w:rsidTr="00D970AB">
        <w:trPr>
          <w:trHeight w:val="1174"/>
          <w:tblCellSpacing w:w="0" w:type="dxa"/>
        </w:trPr>
        <w:tc>
          <w:tcPr>
            <w:tcW w:w="2003" w:type="dxa"/>
            <w:vAlign w:val="center"/>
            <w:hideMark/>
          </w:tcPr>
          <w:p w:rsidR="00D11308" w:rsidRPr="007043EB" w:rsidRDefault="00D11308" w:rsidP="000A15AB">
            <w:pPr>
              <w:jc w:val="center"/>
              <w:rPr>
                <w:rFonts w:eastAsia="Times New Roman"/>
                <w:sz w:val="24"/>
                <w:szCs w:val="24"/>
                <w:lang w:val="lv-LV" w:eastAsia="lv-LV"/>
              </w:rPr>
            </w:pPr>
            <w:r w:rsidRPr="004E0D61">
              <w:rPr>
                <w:rFonts w:eastAsia="Times New Roman"/>
                <w:sz w:val="24"/>
                <w:szCs w:val="24"/>
                <w:lang w:val="lv-LV" w:eastAsia="lv-LV"/>
              </w:rPr>
              <w:t> Attiecīgā ES tiesību akta datums, numurs un nosaukums</w:t>
            </w:r>
          </w:p>
        </w:tc>
        <w:tc>
          <w:tcPr>
            <w:tcW w:w="7188" w:type="dxa"/>
            <w:gridSpan w:val="3"/>
            <w:vAlign w:val="center"/>
            <w:hideMark/>
          </w:tcPr>
          <w:p w:rsidR="00DE2DA4" w:rsidRPr="0051659E" w:rsidRDefault="00D11308" w:rsidP="000A15AB">
            <w:pPr>
              <w:jc w:val="both"/>
              <w:rPr>
                <w:rFonts w:eastAsia="Times New Roman"/>
                <w:sz w:val="24"/>
                <w:szCs w:val="24"/>
                <w:lang w:val="lv-LV" w:eastAsia="lv-LV"/>
              </w:rPr>
            </w:pPr>
            <w:r w:rsidRPr="00193049">
              <w:rPr>
                <w:rFonts w:eastAsia="Times New Roman"/>
                <w:sz w:val="24"/>
                <w:szCs w:val="24"/>
                <w:lang w:val="lv-LV" w:eastAsia="lv-LV"/>
              </w:rPr>
              <w:t> Ar</w:t>
            </w:r>
            <w:r w:rsidRPr="00150E3E">
              <w:rPr>
                <w:rFonts w:eastAsia="Times New Roman"/>
                <w:sz w:val="24"/>
                <w:szCs w:val="24"/>
                <w:lang w:val="lv-LV" w:eastAsia="lv-LV"/>
              </w:rPr>
              <w:t xml:space="preserve"> normatīvo aktu tiek ieviestas Eiropas Savienības tiesību akta prasības</w:t>
            </w:r>
            <w:r w:rsidR="00DE2DA4" w:rsidRPr="00150E3E">
              <w:rPr>
                <w:rFonts w:eastAsia="Times New Roman"/>
                <w:sz w:val="24"/>
                <w:szCs w:val="24"/>
                <w:lang w:val="lv-LV" w:eastAsia="lv-LV"/>
              </w:rPr>
              <w:t>:</w:t>
            </w:r>
          </w:p>
          <w:p w:rsidR="00E35C08" w:rsidRPr="004E0D61" w:rsidRDefault="00D11308" w:rsidP="00505336">
            <w:pPr>
              <w:jc w:val="both"/>
              <w:rPr>
                <w:sz w:val="24"/>
                <w:szCs w:val="24"/>
                <w:lang w:val="lv-LV"/>
              </w:rPr>
            </w:pPr>
            <w:r w:rsidRPr="004E0D61">
              <w:rPr>
                <w:rFonts w:eastAsia="Times New Roman"/>
                <w:sz w:val="24"/>
                <w:szCs w:val="24"/>
                <w:lang w:val="lv-LV" w:eastAsia="lv-LV"/>
              </w:rPr>
              <w:t xml:space="preserve">- </w:t>
            </w:r>
            <w:r w:rsidRPr="004E0D61">
              <w:rPr>
                <w:sz w:val="24"/>
                <w:szCs w:val="24"/>
                <w:lang w:val="lv-LV"/>
              </w:rPr>
              <w:t>Komisijas Regula Nr.1407/2013</w:t>
            </w:r>
          </w:p>
        </w:tc>
      </w:tr>
      <w:tr w:rsidR="00D11308" w:rsidRPr="004E0D61" w:rsidTr="000A15AB">
        <w:trPr>
          <w:trHeight w:val="166"/>
          <w:tblCellSpacing w:w="0" w:type="dxa"/>
        </w:trPr>
        <w:tc>
          <w:tcPr>
            <w:tcW w:w="2003" w:type="dxa"/>
            <w:vAlign w:val="center"/>
            <w:hideMark/>
          </w:tcPr>
          <w:p w:rsidR="00D11308" w:rsidRPr="007043EB" w:rsidRDefault="00D11308" w:rsidP="000A15AB">
            <w:pPr>
              <w:jc w:val="center"/>
              <w:rPr>
                <w:rFonts w:eastAsia="Times New Roman"/>
                <w:sz w:val="24"/>
                <w:szCs w:val="24"/>
                <w:lang w:val="lv-LV" w:eastAsia="lv-LV"/>
              </w:rPr>
            </w:pPr>
            <w:r w:rsidRPr="004E0D61">
              <w:rPr>
                <w:rFonts w:eastAsia="Times New Roman"/>
                <w:sz w:val="24"/>
                <w:szCs w:val="24"/>
                <w:lang w:val="lv-LV" w:eastAsia="lv-LV"/>
              </w:rPr>
              <w:t> A</w:t>
            </w:r>
          </w:p>
        </w:tc>
        <w:tc>
          <w:tcPr>
            <w:tcW w:w="2452" w:type="dxa"/>
            <w:vAlign w:val="center"/>
            <w:hideMark/>
          </w:tcPr>
          <w:p w:rsidR="00D11308" w:rsidRPr="00193049" w:rsidRDefault="00D11308" w:rsidP="000A15AB">
            <w:pPr>
              <w:jc w:val="center"/>
              <w:rPr>
                <w:rFonts w:eastAsia="Times New Roman"/>
                <w:sz w:val="24"/>
                <w:szCs w:val="24"/>
                <w:lang w:val="lv-LV" w:eastAsia="lv-LV"/>
              </w:rPr>
            </w:pPr>
            <w:r w:rsidRPr="007043EB">
              <w:rPr>
                <w:rFonts w:eastAsia="Times New Roman"/>
                <w:sz w:val="24"/>
                <w:szCs w:val="24"/>
                <w:lang w:val="lv-LV" w:eastAsia="lv-LV"/>
              </w:rPr>
              <w:t> B</w:t>
            </w:r>
          </w:p>
        </w:tc>
        <w:tc>
          <w:tcPr>
            <w:tcW w:w="2703" w:type="dxa"/>
            <w:vAlign w:val="center"/>
            <w:hideMark/>
          </w:tcPr>
          <w:p w:rsidR="00D11308" w:rsidRPr="0051659E" w:rsidRDefault="00D11308" w:rsidP="000A15AB">
            <w:pPr>
              <w:jc w:val="center"/>
              <w:rPr>
                <w:rFonts w:eastAsia="Times New Roman"/>
                <w:sz w:val="24"/>
                <w:szCs w:val="24"/>
                <w:lang w:val="lv-LV" w:eastAsia="lv-LV"/>
              </w:rPr>
            </w:pPr>
            <w:r w:rsidRPr="00150E3E">
              <w:rPr>
                <w:rFonts w:eastAsia="Times New Roman"/>
                <w:sz w:val="24"/>
                <w:szCs w:val="24"/>
                <w:lang w:val="lv-LV" w:eastAsia="lv-LV"/>
              </w:rPr>
              <w:t> C</w:t>
            </w:r>
          </w:p>
        </w:tc>
        <w:tc>
          <w:tcPr>
            <w:tcW w:w="2033" w:type="dxa"/>
            <w:vAlign w:val="center"/>
            <w:hideMark/>
          </w:tcPr>
          <w:p w:rsidR="00D11308" w:rsidRPr="004E0D61" w:rsidRDefault="00D11308" w:rsidP="000A15AB">
            <w:pPr>
              <w:jc w:val="center"/>
              <w:rPr>
                <w:rFonts w:eastAsia="Times New Roman"/>
                <w:sz w:val="24"/>
                <w:szCs w:val="24"/>
                <w:lang w:val="lv-LV" w:eastAsia="lv-LV"/>
              </w:rPr>
            </w:pPr>
            <w:r w:rsidRPr="004E0D61">
              <w:rPr>
                <w:rFonts w:eastAsia="Times New Roman"/>
                <w:sz w:val="24"/>
                <w:szCs w:val="24"/>
                <w:lang w:val="lv-LV" w:eastAsia="lv-LV"/>
              </w:rPr>
              <w:t> D</w:t>
            </w:r>
          </w:p>
        </w:tc>
      </w:tr>
      <w:tr w:rsidR="00D11308" w:rsidRPr="00057F5C" w:rsidTr="000A15AB">
        <w:trPr>
          <w:trHeight w:val="2917"/>
          <w:tblCellSpacing w:w="0" w:type="dxa"/>
        </w:trPr>
        <w:tc>
          <w:tcPr>
            <w:tcW w:w="2003" w:type="dxa"/>
            <w:hideMark/>
          </w:tcPr>
          <w:p w:rsidR="00D11308" w:rsidRPr="00193049" w:rsidRDefault="00D11308" w:rsidP="000A15AB">
            <w:pPr>
              <w:rPr>
                <w:rFonts w:eastAsia="Times New Roman"/>
                <w:sz w:val="24"/>
                <w:szCs w:val="24"/>
                <w:lang w:val="lv-LV" w:eastAsia="lv-LV"/>
              </w:rPr>
            </w:pPr>
            <w:r w:rsidRPr="004E0D61">
              <w:rPr>
                <w:rFonts w:eastAsia="Times New Roman"/>
                <w:sz w:val="24"/>
                <w:szCs w:val="24"/>
                <w:lang w:val="lv-LV" w:eastAsia="lv-LV"/>
              </w:rPr>
              <w:lastRenderedPageBreak/>
              <w:t> Attiecīgā ES tiesību akta panta numurs (uzskaitot katru tiesību akta</w:t>
            </w:r>
            <w:r w:rsidRPr="004E0D61">
              <w:rPr>
                <w:rFonts w:eastAsia="Times New Roman"/>
                <w:sz w:val="24"/>
                <w:szCs w:val="24"/>
                <w:lang w:val="lv-LV" w:eastAsia="lv-LV"/>
              </w:rPr>
              <w:br/>
              <w:t xml:space="preserve">vienību – pantu, daļu, punktu, </w:t>
            </w:r>
            <w:r w:rsidRPr="007043EB">
              <w:rPr>
                <w:rFonts w:eastAsia="Times New Roman"/>
                <w:sz w:val="24"/>
                <w:szCs w:val="24"/>
                <w:lang w:val="lv-LV" w:eastAsia="lv-LV"/>
              </w:rPr>
              <w:t>apakšpunktu)</w:t>
            </w:r>
          </w:p>
        </w:tc>
        <w:tc>
          <w:tcPr>
            <w:tcW w:w="2452" w:type="dxa"/>
            <w:hideMark/>
          </w:tcPr>
          <w:p w:rsidR="00D11308" w:rsidRPr="004E0D61" w:rsidRDefault="00D11308" w:rsidP="000A15AB">
            <w:pPr>
              <w:rPr>
                <w:rFonts w:eastAsia="Times New Roman"/>
                <w:sz w:val="24"/>
                <w:szCs w:val="24"/>
                <w:lang w:val="lv-LV" w:eastAsia="lv-LV"/>
              </w:rPr>
            </w:pPr>
            <w:r w:rsidRPr="00150E3E">
              <w:rPr>
                <w:rFonts w:eastAsia="Times New Roman"/>
                <w:sz w:val="24"/>
                <w:szCs w:val="24"/>
                <w:lang w:val="lv-LV" w:eastAsia="lv-LV"/>
              </w:rPr>
              <w:t> Projekta vienība, kas pārņem vai ievieš katru šīs tabulas A ailē minēto ES tiesību akta vienību</w:t>
            </w:r>
          </w:p>
        </w:tc>
        <w:tc>
          <w:tcPr>
            <w:tcW w:w="2703" w:type="dxa"/>
            <w:hideMark/>
          </w:tcPr>
          <w:p w:rsidR="00D11308" w:rsidRPr="004E0D61" w:rsidRDefault="00D11308" w:rsidP="000A15AB">
            <w:pPr>
              <w:rPr>
                <w:rFonts w:eastAsia="Times New Roman"/>
                <w:sz w:val="24"/>
                <w:szCs w:val="24"/>
                <w:lang w:val="lv-LV" w:eastAsia="lv-LV"/>
              </w:rPr>
            </w:pPr>
            <w:r w:rsidRPr="004E0D61">
              <w:rPr>
                <w:rFonts w:eastAsia="Times New Roman"/>
                <w:sz w:val="24"/>
                <w:szCs w:val="24"/>
                <w:lang w:val="lv-LV" w:eastAsia="lv-LV"/>
              </w:rPr>
              <w:t> Informācija par to, vai šīs tabulas A ailē minētās ES tiesību akta vienības tiek pārņemtas vai ieviestas pilnībā vai daļēji.</w:t>
            </w:r>
          </w:p>
          <w:p w:rsidR="00D11308" w:rsidRPr="004E0D61" w:rsidRDefault="00D11308" w:rsidP="000A15AB">
            <w:pPr>
              <w:rPr>
                <w:rFonts w:eastAsia="Times New Roman"/>
                <w:sz w:val="24"/>
                <w:szCs w:val="24"/>
                <w:lang w:val="lv-LV" w:eastAsia="lv-LV"/>
              </w:rPr>
            </w:pPr>
            <w:r w:rsidRPr="004E0D61">
              <w:rPr>
                <w:rFonts w:eastAsia="Times New Roman"/>
                <w:sz w:val="24"/>
                <w:szCs w:val="24"/>
                <w:lang w:val="lv-LV" w:eastAsia="lv-LV"/>
              </w:rPr>
              <w:t> </w:t>
            </w:r>
          </w:p>
          <w:p w:rsidR="00D11308" w:rsidRPr="004E0D61" w:rsidRDefault="00D11308" w:rsidP="000A15AB">
            <w:pPr>
              <w:rPr>
                <w:rFonts w:eastAsia="Times New Roman"/>
                <w:sz w:val="24"/>
                <w:szCs w:val="24"/>
                <w:lang w:val="lv-LV" w:eastAsia="lv-LV"/>
              </w:rPr>
            </w:pPr>
            <w:r w:rsidRPr="004E0D61">
              <w:rPr>
                <w:rFonts w:eastAsia="Times New Roman"/>
                <w:sz w:val="24"/>
                <w:szCs w:val="24"/>
                <w:lang w:val="lv-LV" w:eastAsia="lv-LV"/>
              </w:rPr>
              <w:t>Ja attiecīgā ES tiesību akta vienība tiek pārņemta vai ieviesta daļēji, – sniedz attiecīgu skaidrojumu, kā arī precīzi norāda, kad un kādā veidā ES tiesību akta vienība tiks pārņemta vai ieviesta pilnībā.</w:t>
            </w:r>
          </w:p>
          <w:p w:rsidR="00D11308" w:rsidRPr="004E0D61" w:rsidRDefault="00D11308" w:rsidP="000A15AB">
            <w:pPr>
              <w:rPr>
                <w:rFonts w:eastAsia="Times New Roman"/>
                <w:sz w:val="24"/>
                <w:szCs w:val="24"/>
                <w:lang w:val="lv-LV" w:eastAsia="lv-LV"/>
              </w:rPr>
            </w:pPr>
            <w:r w:rsidRPr="004E0D61">
              <w:rPr>
                <w:rFonts w:eastAsia="Times New Roman"/>
                <w:sz w:val="24"/>
                <w:szCs w:val="24"/>
                <w:lang w:val="lv-LV" w:eastAsia="lv-LV"/>
              </w:rPr>
              <w:t> </w:t>
            </w:r>
          </w:p>
          <w:p w:rsidR="00D11308" w:rsidRPr="004E0D61" w:rsidRDefault="00D11308" w:rsidP="000A15AB">
            <w:pPr>
              <w:rPr>
                <w:rFonts w:eastAsia="Times New Roman"/>
                <w:sz w:val="24"/>
                <w:szCs w:val="24"/>
                <w:lang w:val="lv-LV" w:eastAsia="lv-LV"/>
              </w:rPr>
            </w:pPr>
            <w:r w:rsidRPr="004E0D61">
              <w:rPr>
                <w:rFonts w:eastAsia="Times New Roman"/>
                <w:sz w:val="24"/>
                <w:szCs w:val="24"/>
                <w:lang w:val="lv-LV" w:eastAsia="lv-LV"/>
              </w:rPr>
              <w:t>Norāda institūciju, kas ir atbildīga par šo saistību izpildi pilnībā</w:t>
            </w:r>
          </w:p>
        </w:tc>
        <w:tc>
          <w:tcPr>
            <w:tcW w:w="2033" w:type="dxa"/>
            <w:hideMark/>
          </w:tcPr>
          <w:p w:rsidR="00D11308" w:rsidRPr="004E0D61" w:rsidRDefault="00D11308" w:rsidP="000A15AB">
            <w:pPr>
              <w:rPr>
                <w:rFonts w:eastAsia="Times New Roman"/>
                <w:sz w:val="24"/>
                <w:szCs w:val="24"/>
                <w:lang w:val="lv-LV" w:eastAsia="lv-LV"/>
              </w:rPr>
            </w:pPr>
            <w:r w:rsidRPr="004E0D61">
              <w:rPr>
                <w:rFonts w:eastAsia="Times New Roman"/>
                <w:sz w:val="24"/>
                <w:szCs w:val="24"/>
                <w:lang w:val="lv-LV" w:eastAsia="lv-LV"/>
              </w:rPr>
              <w:t> Informācija par to, vai šīs tabulas B ailē minētās projekta vienības paredz stingrākas prasības nekā šīs tabulas A ailē minētās ES tiesību akta vienības.</w:t>
            </w:r>
          </w:p>
          <w:p w:rsidR="00D11308" w:rsidRPr="004E0D61" w:rsidRDefault="00D11308" w:rsidP="000A15AB">
            <w:pPr>
              <w:rPr>
                <w:rFonts w:eastAsia="Times New Roman"/>
                <w:sz w:val="24"/>
                <w:szCs w:val="24"/>
                <w:lang w:val="lv-LV" w:eastAsia="lv-LV"/>
              </w:rPr>
            </w:pPr>
            <w:r w:rsidRPr="004E0D61">
              <w:rPr>
                <w:rFonts w:eastAsia="Times New Roman"/>
                <w:sz w:val="24"/>
                <w:szCs w:val="24"/>
                <w:lang w:val="lv-LV" w:eastAsia="lv-LV"/>
              </w:rPr>
              <w:t> </w:t>
            </w:r>
          </w:p>
          <w:p w:rsidR="00D11308" w:rsidRPr="004E0D61" w:rsidRDefault="00D11308" w:rsidP="000A15AB">
            <w:pPr>
              <w:rPr>
                <w:rFonts w:eastAsia="Times New Roman"/>
                <w:sz w:val="24"/>
                <w:szCs w:val="24"/>
                <w:lang w:val="lv-LV" w:eastAsia="lv-LV"/>
              </w:rPr>
            </w:pPr>
            <w:r w:rsidRPr="004E0D61">
              <w:rPr>
                <w:rFonts w:eastAsia="Times New Roman"/>
                <w:sz w:val="24"/>
                <w:szCs w:val="24"/>
                <w:lang w:val="lv-LV" w:eastAsia="lv-LV"/>
              </w:rPr>
              <w:t>Ja projekts satur stingrākas prasības nekā attiecīgais ES tiesību akts, – norāda pamatojumu un samērīgumu.</w:t>
            </w:r>
          </w:p>
          <w:p w:rsidR="00D11308" w:rsidRPr="004E0D61" w:rsidRDefault="00D11308" w:rsidP="000A15AB">
            <w:pPr>
              <w:rPr>
                <w:rFonts w:eastAsia="Times New Roman"/>
                <w:sz w:val="24"/>
                <w:szCs w:val="24"/>
                <w:lang w:val="lv-LV" w:eastAsia="lv-LV"/>
              </w:rPr>
            </w:pPr>
            <w:r w:rsidRPr="004E0D61">
              <w:rPr>
                <w:rFonts w:eastAsia="Times New Roman"/>
                <w:sz w:val="24"/>
                <w:szCs w:val="24"/>
                <w:lang w:val="lv-LV" w:eastAsia="lv-LV"/>
              </w:rPr>
              <w:t> </w:t>
            </w:r>
          </w:p>
          <w:p w:rsidR="00D11308" w:rsidRPr="004E0D61" w:rsidRDefault="00D11308" w:rsidP="000A15AB">
            <w:pPr>
              <w:rPr>
                <w:rFonts w:eastAsia="Times New Roman"/>
                <w:sz w:val="24"/>
                <w:szCs w:val="24"/>
                <w:lang w:val="lv-LV" w:eastAsia="lv-LV"/>
              </w:rPr>
            </w:pPr>
            <w:r w:rsidRPr="004E0D61">
              <w:rPr>
                <w:rFonts w:eastAsia="Times New Roman"/>
                <w:sz w:val="24"/>
                <w:szCs w:val="24"/>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E35C08" w:rsidRPr="00AB0084" w:rsidTr="000A15AB">
        <w:trPr>
          <w:trHeight w:val="360"/>
          <w:tblCellSpacing w:w="0" w:type="dxa"/>
        </w:trPr>
        <w:tc>
          <w:tcPr>
            <w:tcW w:w="2003" w:type="dxa"/>
          </w:tcPr>
          <w:p w:rsidR="00E35C08" w:rsidRPr="00AB0084" w:rsidRDefault="00E35C08" w:rsidP="00C03DA3">
            <w:pPr>
              <w:jc w:val="both"/>
              <w:rPr>
                <w:rFonts w:eastAsia="Times New Roman"/>
                <w:i/>
                <w:sz w:val="24"/>
                <w:szCs w:val="24"/>
                <w:lang w:val="lv-LV" w:eastAsia="lv-LV"/>
              </w:rPr>
            </w:pPr>
            <w:r w:rsidRPr="00AB0084">
              <w:rPr>
                <w:rFonts w:eastAsia="Times New Roman"/>
                <w:i/>
                <w:sz w:val="24"/>
                <w:szCs w:val="24"/>
                <w:lang w:val="lv-LV" w:eastAsia="lv-LV"/>
              </w:rPr>
              <w:t>Komisijas regulas Nr.140</w:t>
            </w:r>
            <w:r w:rsidR="00505336" w:rsidRPr="00AB0084">
              <w:rPr>
                <w:rFonts w:eastAsia="Times New Roman"/>
                <w:i/>
                <w:sz w:val="24"/>
                <w:szCs w:val="24"/>
                <w:lang w:val="lv-LV" w:eastAsia="lv-LV"/>
              </w:rPr>
              <w:t>7/2013 5</w:t>
            </w:r>
            <w:r w:rsidRPr="00AB0084">
              <w:rPr>
                <w:rFonts w:eastAsia="Times New Roman"/>
                <w:i/>
                <w:sz w:val="24"/>
                <w:szCs w:val="24"/>
                <w:lang w:val="lv-LV" w:eastAsia="lv-LV"/>
              </w:rPr>
              <w:t>.pants</w:t>
            </w:r>
          </w:p>
        </w:tc>
        <w:tc>
          <w:tcPr>
            <w:tcW w:w="2452" w:type="dxa"/>
          </w:tcPr>
          <w:p w:rsidR="00E35C08" w:rsidRPr="00AB0084" w:rsidRDefault="00E35C08" w:rsidP="00505336">
            <w:pPr>
              <w:jc w:val="both"/>
              <w:rPr>
                <w:rFonts w:eastAsia="Times New Roman"/>
                <w:sz w:val="24"/>
                <w:szCs w:val="24"/>
                <w:lang w:val="lv-LV"/>
              </w:rPr>
            </w:pPr>
            <w:r w:rsidRPr="00AB0084">
              <w:rPr>
                <w:rFonts w:eastAsia="Times New Roman"/>
                <w:i/>
                <w:sz w:val="24"/>
                <w:szCs w:val="24"/>
                <w:lang w:val="lv-LV"/>
              </w:rPr>
              <w:t xml:space="preserve">Noteikumu projekta </w:t>
            </w:r>
            <w:r w:rsidR="00505336" w:rsidRPr="00AB0084">
              <w:rPr>
                <w:rFonts w:eastAsia="Times New Roman"/>
                <w:i/>
                <w:sz w:val="24"/>
                <w:szCs w:val="24"/>
                <w:lang w:val="lv-LV"/>
              </w:rPr>
              <w:t>2</w:t>
            </w:r>
            <w:r w:rsidRPr="00AB0084">
              <w:rPr>
                <w:rFonts w:eastAsia="Times New Roman"/>
                <w:i/>
                <w:sz w:val="24"/>
                <w:szCs w:val="24"/>
                <w:lang w:val="lv-LV"/>
              </w:rPr>
              <w:t xml:space="preserve">.punkts (ar ko </w:t>
            </w:r>
            <w:r w:rsidR="00DF40E8" w:rsidRPr="00AB0084">
              <w:rPr>
                <w:rFonts w:eastAsia="Times New Roman"/>
                <w:i/>
                <w:sz w:val="24"/>
                <w:szCs w:val="24"/>
                <w:lang w:val="lv-LV"/>
              </w:rPr>
              <w:t>papildina</w:t>
            </w:r>
            <w:r w:rsidRPr="00AB0084">
              <w:rPr>
                <w:rFonts w:eastAsia="Times New Roman"/>
                <w:i/>
                <w:sz w:val="24"/>
                <w:szCs w:val="24"/>
                <w:lang w:val="lv-LV"/>
              </w:rPr>
              <w:t xml:space="preserve"> MK noteikumu</w:t>
            </w:r>
            <w:r w:rsidR="00DF40E8" w:rsidRPr="00AB0084">
              <w:rPr>
                <w:rFonts w:eastAsia="Times New Roman"/>
                <w:i/>
                <w:sz w:val="24"/>
                <w:szCs w:val="24"/>
                <w:lang w:val="lv-LV"/>
              </w:rPr>
              <w:t>s</w:t>
            </w:r>
            <w:r w:rsidRPr="00AB0084">
              <w:rPr>
                <w:rFonts w:eastAsia="Times New Roman"/>
                <w:i/>
                <w:sz w:val="24"/>
                <w:szCs w:val="24"/>
                <w:lang w:val="lv-LV"/>
              </w:rPr>
              <w:t xml:space="preserve"> Nr.8</w:t>
            </w:r>
            <w:r w:rsidR="00505336" w:rsidRPr="00AB0084">
              <w:rPr>
                <w:rFonts w:eastAsia="Times New Roman"/>
                <w:i/>
                <w:sz w:val="24"/>
                <w:szCs w:val="24"/>
                <w:lang w:val="lv-LV"/>
              </w:rPr>
              <w:t>35</w:t>
            </w:r>
            <w:r w:rsidRPr="00AB0084">
              <w:rPr>
                <w:rFonts w:eastAsia="Times New Roman"/>
                <w:i/>
                <w:sz w:val="24"/>
                <w:szCs w:val="24"/>
                <w:lang w:val="lv-LV"/>
              </w:rPr>
              <w:t xml:space="preserve"> </w:t>
            </w:r>
            <w:r w:rsidR="00505336" w:rsidRPr="00AB0084">
              <w:rPr>
                <w:rFonts w:eastAsia="Times New Roman"/>
                <w:i/>
                <w:sz w:val="24"/>
                <w:szCs w:val="24"/>
                <w:lang w:val="lv-LV"/>
              </w:rPr>
              <w:t>ar 64.</w:t>
            </w:r>
            <w:r w:rsidR="00505336" w:rsidRPr="00AB0084">
              <w:rPr>
                <w:rFonts w:eastAsia="Times New Roman"/>
                <w:i/>
                <w:sz w:val="24"/>
                <w:szCs w:val="24"/>
                <w:vertAlign w:val="superscript"/>
                <w:lang w:val="lv-LV"/>
              </w:rPr>
              <w:t>3</w:t>
            </w:r>
            <w:r w:rsidRPr="00AB0084">
              <w:rPr>
                <w:i/>
                <w:sz w:val="24"/>
                <w:szCs w:val="24"/>
                <w:lang w:val="lv-LV"/>
              </w:rPr>
              <w:t xml:space="preserve"> </w:t>
            </w:r>
            <w:r w:rsidRPr="00AB0084">
              <w:rPr>
                <w:rFonts w:eastAsia="Times New Roman"/>
                <w:i/>
                <w:sz w:val="24"/>
                <w:szCs w:val="24"/>
                <w:lang w:val="lv-LV"/>
              </w:rPr>
              <w:t>punktu).</w:t>
            </w:r>
          </w:p>
        </w:tc>
        <w:tc>
          <w:tcPr>
            <w:tcW w:w="2703" w:type="dxa"/>
          </w:tcPr>
          <w:p w:rsidR="00E35C08" w:rsidRPr="00AB0084" w:rsidRDefault="00E35C08" w:rsidP="00C03DA3">
            <w:pPr>
              <w:pStyle w:val="naisf"/>
              <w:spacing w:before="0" w:after="0"/>
              <w:rPr>
                <w:i/>
              </w:rPr>
            </w:pPr>
            <w:r w:rsidRPr="00AB0084">
              <w:rPr>
                <w:i/>
              </w:rPr>
              <w:t>ieviesta pilnībā</w:t>
            </w:r>
          </w:p>
        </w:tc>
        <w:tc>
          <w:tcPr>
            <w:tcW w:w="2033" w:type="dxa"/>
          </w:tcPr>
          <w:p w:rsidR="00E35C08" w:rsidRPr="00AB0084" w:rsidRDefault="00E35C08" w:rsidP="00C03DA3">
            <w:pPr>
              <w:pStyle w:val="naisf"/>
              <w:spacing w:before="0" w:after="0"/>
              <w:ind w:firstLine="0"/>
              <w:rPr>
                <w:i/>
              </w:rPr>
            </w:pPr>
            <w:r w:rsidRPr="00AB0084">
              <w:rPr>
                <w:i/>
              </w:rPr>
              <w:t>neparedz stingrākas prasības</w:t>
            </w:r>
          </w:p>
        </w:tc>
      </w:tr>
      <w:tr w:rsidR="00EA3A51" w:rsidRPr="00AB0084" w:rsidTr="000A15AB">
        <w:trPr>
          <w:trHeight w:val="360"/>
          <w:tblCellSpacing w:w="0" w:type="dxa"/>
        </w:trPr>
        <w:tc>
          <w:tcPr>
            <w:tcW w:w="2003" w:type="dxa"/>
          </w:tcPr>
          <w:p w:rsidR="00EA3A51" w:rsidRPr="00AB0084" w:rsidRDefault="00EA3A51" w:rsidP="00C03DA3">
            <w:pPr>
              <w:jc w:val="both"/>
              <w:rPr>
                <w:rFonts w:eastAsia="Times New Roman"/>
                <w:i/>
                <w:sz w:val="24"/>
                <w:szCs w:val="24"/>
                <w:lang w:val="lv-LV" w:eastAsia="lv-LV"/>
              </w:rPr>
            </w:pPr>
            <w:r w:rsidRPr="00AB0084">
              <w:rPr>
                <w:rFonts w:eastAsia="Times New Roman"/>
                <w:i/>
                <w:sz w:val="24"/>
                <w:szCs w:val="24"/>
                <w:lang w:val="lv-LV" w:eastAsia="lv-LV"/>
              </w:rPr>
              <w:t>Komisijas regulas Nr.1407/2013 6.panta 4.punkts</w:t>
            </w:r>
          </w:p>
        </w:tc>
        <w:tc>
          <w:tcPr>
            <w:tcW w:w="2452" w:type="dxa"/>
          </w:tcPr>
          <w:p w:rsidR="00EA3A51" w:rsidRPr="00AB0084" w:rsidRDefault="00FA2A75" w:rsidP="00505336">
            <w:pPr>
              <w:jc w:val="both"/>
              <w:rPr>
                <w:rFonts w:eastAsia="Times New Roman"/>
                <w:i/>
                <w:sz w:val="24"/>
                <w:szCs w:val="24"/>
                <w:lang w:val="lv-LV"/>
              </w:rPr>
            </w:pPr>
            <w:r>
              <w:rPr>
                <w:rFonts w:eastAsia="Times New Roman"/>
                <w:i/>
                <w:sz w:val="24"/>
                <w:szCs w:val="24"/>
                <w:lang w:val="lv-LV"/>
              </w:rPr>
              <w:t>Noteikumu projekta 2</w:t>
            </w:r>
            <w:r w:rsidR="00EA3A51" w:rsidRPr="00AB0084">
              <w:rPr>
                <w:rFonts w:eastAsia="Times New Roman"/>
                <w:i/>
                <w:sz w:val="24"/>
                <w:szCs w:val="24"/>
                <w:lang w:val="lv-LV"/>
              </w:rPr>
              <w:t>.punkts (ar ko papildina MK noteikumu Nr.835 ar 64.</w:t>
            </w:r>
            <w:r w:rsidR="00EA3A51" w:rsidRPr="00AB0084">
              <w:rPr>
                <w:rFonts w:eastAsia="Times New Roman"/>
                <w:i/>
                <w:sz w:val="24"/>
                <w:szCs w:val="24"/>
                <w:vertAlign w:val="superscript"/>
                <w:lang w:val="lv-LV"/>
              </w:rPr>
              <w:t>4</w:t>
            </w:r>
            <w:r w:rsidR="00EA3A51" w:rsidRPr="00AB0084">
              <w:rPr>
                <w:rFonts w:eastAsia="Times New Roman"/>
                <w:i/>
                <w:sz w:val="24"/>
                <w:szCs w:val="24"/>
                <w:lang w:val="lv-LV"/>
              </w:rPr>
              <w:t>punktā noteiktām prasībām)</w:t>
            </w:r>
          </w:p>
        </w:tc>
        <w:tc>
          <w:tcPr>
            <w:tcW w:w="2703" w:type="dxa"/>
          </w:tcPr>
          <w:p w:rsidR="00EA3A51" w:rsidRPr="00AB0084" w:rsidRDefault="00EA3A51" w:rsidP="00C03DA3">
            <w:pPr>
              <w:pStyle w:val="naisf"/>
              <w:spacing w:before="0" w:after="0"/>
              <w:rPr>
                <w:i/>
              </w:rPr>
            </w:pPr>
            <w:r w:rsidRPr="00AB0084">
              <w:rPr>
                <w:i/>
              </w:rPr>
              <w:t xml:space="preserve">ieviests pilnībā </w:t>
            </w:r>
          </w:p>
        </w:tc>
        <w:tc>
          <w:tcPr>
            <w:tcW w:w="2033" w:type="dxa"/>
          </w:tcPr>
          <w:p w:rsidR="00EA3A51" w:rsidRPr="00AB0084" w:rsidRDefault="00EA3A51" w:rsidP="00C03DA3">
            <w:pPr>
              <w:pStyle w:val="naisf"/>
              <w:spacing w:before="0" w:after="0"/>
              <w:ind w:firstLine="0"/>
              <w:rPr>
                <w:i/>
              </w:rPr>
            </w:pPr>
            <w:r w:rsidRPr="00AB0084">
              <w:rPr>
                <w:i/>
              </w:rPr>
              <w:t>neparedz stingrākas prasības</w:t>
            </w:r>
          </w:p>
        </w:tc>
      </w:tr>
      <w:tr w:rsidR="00E35C08" w:rsidRPr="004E0D61" w:rsidTr="000A15AB">
        <w:trPr>
          <w:trHeight w:val="282"/>
          <w:tblCellSpacing w:w="0" w:type="dxa"/>
        </w:trPr>
        <w:tc>
          <w:tcPr>
            <w:tcW w:w="2003" w:type="dxa"/>
            <w:vAlign w:val="center"/>
            <w:hideMark/>
          </w:tcPr>
          <w:p w:rsidR="00E35C08" w:rsidRPr="007043EB" w:rsidRDefault="00E35C08" w:rsidP="000A15AB">
            <w:pPr>
              <w:rPr>
                <w:rFonts w:eastAsia="Times New Roman"/>
                <w:sz w:val="24"/>
                <w:szCs w:val="24"/>
                <w:lang w:val="lv-LV" w:eastAsia="lv-LV"/>
              </w:rPr>
            </w:pPr>
            <w:r w:rsidRPr="004E0D61">
              <w:rPr>
                <w:rFonts w:eastAsia="Times New Roman"/>
                <w:sz w:val="24"/>
                <w:szCs w:val="24"/>
                <w:lang w:val="lv-LV" w:eastAsia="lv-LV"/>
              </w:rPr>
              <w:t xml:space="preserve"> Kā ir izmantota ES tiesību aktā paredzētā rīcības brīvība dalībvalstij pārņemt vai ieviest </w:t>
            </w:r>
            <w:r w:rsidRPr="004E0D61">
              <w:rPr>
                <w:rFonts w:eastAsia="Times New Roman"/>
                <w:sz w:val="24"/>
                <w:szCs w:val="24"/>
                <w:lang w:val="lv-LV" w:eastAsia="lv-LV"/>
              </w:rPr>
              <w:lastRenderedPageBreak/>
              <w:t>noteiktas ES tiesību akta normas.</w:t>
            </w:r>
          </w:p>
          <w:p w:rsidR="00E35C08" w:rsidRPr="00150E3E" w:rsidRDefault="00E35C08" w:rsidP="000A15AB">
            <w:pPr>
              <w:rPr>
                <w:rFonts w:eastAsia="Times New Roman"/>
                <w:sz w:val="24"/>
                <w:szCs w:val="24"/>
                <w:lang w:val="lv-LV" w:eastAsia="lv-LV"/>
              </w:rPr>
            </w:pPr>
            <w:r w:rsidRPr="00193049">
              <w:rPr>
                <w:rFonts w:eastAsia="Times New Roman"/>
                <w:sz w:val="24"/>
                <w:szCs w:val="24"/>
                <w:lang w:val="lv-LV" w:eastAsia="lv-LV"/>
              </w:rPr>
              <w:t>Kādēļ?</w:t>
            </w:r>
          </w:p>
        </w:tc>
        <w:tc>
          <w:tcPr>
            <w:tcW w:w="7188" w:type="dxa"/>
            <w:gridSpan w:val="3"/>
            <w:hideMark/>
          </w:tcPr>
          <w:p w:rsidR="00E35C08" w:rsidRPr="004E0D61" w:rsidRDefault="00E35C08" w:rsidP="000A15AB">
            <w:pPr>
              <w:rPr>
                <w:rFonts w:eastAsia="Times New Roman"/>
                <w:i/>
                <w:sz w:val="24"/>
                <w:szCs w:val="24"/>
                <w:lang w:val="lv-LV" w:eastAsia="lv-LV"/>
              </w:rPr>
            </w:pPr>
            <w:r w:rsidRPr="004E0D61">
              <w:rPr>
                <w:rFonts w:eastAsia="Times New Roman"/>
                <w:sz w:val="24"/>
                <w:szCs w:val="24"/>
                <w:lang w:val="lv-LV" w:eastAsia="lv-LV"/>
              </w:rPr>
              <w:lastRenderedPageBreak/>
              <w:t> </w:t>
            </w:r>
            <w:r w:rsidRPr="004E0D61">
              <w:rPr>
                <w:rFonts w:eastAsia="Times New Roman"/>
                <w:i/>
                <w:sz w:val="24"/>
                <w:szCs w:val="24"/>
                <w:lang w:val="lv-LV" w:eastAsia="lv-LV"/>
              </w:rPr>
              <w:t>Projekts šo jomu neskar.</w:t>
            </w:r>
          </w:p>
        </w:tc>
      </w:tr>
      <w:tr w:rsidR="00E35C08" w:rsidRPr="004E0D61" w:rsidTr="000A15AB">
        <w:trPr>
          <w:trHeight w:val="916"/>
          <w:tblCellSpacing w:w="0" w:type="dxa"/>
        </w:trPr>
        <w:tc>
          <w:tcPr>
            <w:tcW w:w="2003" w:type="dxa"/>
            <w:vAlign w:val="center"/>
            <w:hideMark/>
          </w:tcPr>
          <w:p w:rsidR="00E35C08" w:rsidRPr="00193049" w:rsidRDefault="00E35C08" w:rsidP="000A15AB">
            <w:pPr>
              <w:rPr>
                <w:rFonts w:eastAsia="Times New Roman"/>
                <w:sz w:val="24"/>
                <w:szCs w:val="24"/>
                <w:lang w:val="lv-LV" w:eastAsia="lv-LV"/>
              </w:rPr>
            </w:pPr>
            <w:r w:rsidRPr="004E0D61">
              <w:rPr>
                <w:rFonts w:eastAsia="Times New Roman"/>
                <w:sz w:val="24"/>
                <w:szCs w:val="24"/>
                <w:lang w:val="lv-LV" w:eastAsia="lv-LV"/>
              </w:rPr>
              <w:lastRenderedPageBreak/>
              <w:t xml:space="preserve"> Saistības sniegt paziņojumu ES institūcijām un ES </w:t>
            </w:r>
            <w:r w:rsidRPr="007043EB">
              <w:rPr>
                <w:rFonts w:eastAsia="Times New Roman"/>
                <w:sz w:val="24"/>
                <w:szCs w:val="24"/>
                <w:lang w:val="lv-LV" w:eastAsia="lv-LV"/>
              </w:rPr>
              <w:t>dalībvalstīm atbilstoši normatīvajiem aktiem, kas regulē informācijas sniegšanu par tehnisko noteikumu, valsts atbalsta piešķiršanas un finanšu noteikumu (attiecībā uz monetāro politiku) projektiem</w:t>
            </w:r>
          </w:p>
        </w:tc>
        <w:tc>
          <w:tcPr>
            <w:tcW w:w="7188" w:type="dxa"/>
            <w:gridSpan w:val="3"/>
            <w:hideMark/>
          </w:tcPr>
          <w:p w:rsidR="00E35C08" w:rsidRPr="00150E3E" w:rsidRDefault="00E35C08" w:rsidP="000A15AB">
            <w:pPr>
              <w:jc w:val="both"/>
              <w:rPr>
                <w:rFonts w:eastAsia="Times New Roman"/>
                <w:i/>
                <w:sz w:val="24"/>
                <w:szCs w:val="24"/>
                <w:lang w:val="lv-LV" w:eastAsia="lv-LV"/>
              </w:rPr>
            </w:pPr>
            <w:r w:rsidRPr="00150E3E">
              <w:rPr>
                <w:rFonts w:eastAsia="Times New Roman"/>
                <w:i/>
                <w:sz w:val="24"/>
                <w:szCs w:val="24"/>
                <w:lang w:val="lv-LV" w:eastAsia="lv-LV"/>
              </w:rPr>
              <w:t>Projekts šo jomu neskar.</w:t>
            </w:r>
          </w:p>
        </w:tc>
      </w:tr>
      <w:tr w:rsidR="00E35C08" w:rsidRPr="004E0D61" w:rsidTr="000A15AB">
        <w:trPr>
          <w:trHeight w:val="249"/>
          <w:tblCellSpacing w:w="0" w:type="dxa"/>
        </w:trPr>
        <w:tc>
          <w:tcPr>
            <w:tcW w:w="2003" w:type="dxa"/>
            <w:hideMark/>
          </w:tcPr>
          <w:p w:rsidR="00E35C08" w:rsidRPr="007043EB" w:rsidRDefault="00E35C08" w:rsidP="000A15AB">
            <w:pPr>
              <w:rPr>
                <w:rFonts w:eastAsia="Times New Roman"/>
                <w:sz w:val="24"/>
                <w:szCs w:val="24"/>
                <w:lang w:val="lv-LV" w:eastAsia="lv-LV"/>
              </w:rPr>
            </w:pPr>
            <w:r w:rsidRPr="004E0D61">
              <w:rPr>
                <w:rFonts w:eastAsia="Times New Roman"/>
                <w:sz w:val="24"/>
                <w:szCs w:val="24"/>
                <w:lang w:val="lv-LV" w:eastAsia="lv-LV"/>
              </w:rPr>
              <w:t> Cita informācija</w:t>
            </w:r>
          </w:p>
        </w:tc>
        <w:tc>
          <w:tcPr>
            <w:tcW w:w="7188" w:type="dxa"/>
            <w:gridSpan w:val="3"/>
            <w:hideMark/>
          </w:tcPr>
          <w:p w:rsidR="00E35C08" w:rsidRPr="00150E3E" w:rsidRDefault="00E35C08" w:rsidP="000A15AB">
            <w:pPr>
              <w:rPr>
                <w:rFonts w:eastAsia="Times New Roman"/>
                <w:i/>
                <w:sz w:val="24"/>
                <w:szCs w:val="24"/>
                <w:lang w:val="lv-LV" w:eastAsia="lv-LV"/>
              </w:rPr>
            </w:pPr>
            <w:r w:rsidRPr="007043EB">
              <w:rPr>
                <w:rFonts w:eastAsia="Times New Roman"/>
                <w:sz w:val="24"/>
                <w:szCs w:val="24"/>
                <w:lang w:val="lv-LV" w:eastAsia="lv-LV"/>
              </w:rPr>
              <w:t> </w:t>
            </w:r>
            <w:r w:rsidRPr="00193049">
              <w:rPr>
                <w:i/>
                <w:sz w:val="24"/>
                <w:szCs w:val="24"/>
                <w:lang w:val="lv-LV"/>
              </w:rPr>
              <w:t>Nav.</w:t>
            </w:r>
          </w:p>
        </w:tc>
      </w:tr>
    </w:tbl>
    <w:p w:rsidR="00D11308" w:rsidRPr="007043EB" w:rsidRDefault="00D11308" w:rsidP="00D11308">
      <w:pPr>
        <w:ind w:firstLine="468"/>
        <w:jc w:val="both"/>
        <w:rPr>
          <w:rFonts w:eastAsia="Times New Roman"/>
          <w:sz w:val="24"/>
          <w:szCs w:val="24"/>
          <w:lang w:val="lv-LV" w:eastAsia="lv-LV"/>
        </w:rPr>
      </w:pPr>
      <w:r w:rsidRPr="004E0D61">
        <w:rPr>
          <w:rFonts w:eastAsia="Times New Roman"/>
          <w:sz w:val="24"/>
          <w:szCs w:val="24"/>
          <w:lang w:val="lv-LV" w:eastAsia="lv-LV"/>
        </w:rPr>
        <w:t> </w:t>
      </w:r>
    </w:p>
    <w:tbl>
      <w:tblPr>
        <w:tblW w:w="0" w:type="auto"/>
        <w:tblCellSpacing w:w="0" w:type="dxa"/>
        <w:tblBorders>
          <w:top w:val="thickThinLargeGap" w:sz="2" w:space="0" w:color="C0C0C0"/>
          <w:left w:val="thickThinLargeGap" w:sz="2" w:space="0" w:color="C0C0C0"/>
          <w:bottom w:val="thickThinLargeGap" w:sz="2" w:space="0" w:color="C0C0C0"/>
          <w:right w:val="thickThinLargeGap" w:sz="2" w:space="0" w:color="C0C0C0"/>
          <w:insideH w:val="thickThinLargeGap" w:sz="2" w:space="0" w:color="C0C0C0"/>
          <w:insideV w:val="thickThinLargeGap" w:sz="2" w:space="0" w:color="C0C0C0"/>
        </w:tblBorders>
        <w:tblCellMar>
          <w:left w:w="0" w:type="dxa"/>
          <w:right w:w="0" w:type="dxa"/>
        </w:tblCellMar>
        <w:tblLook w:val="04A0" w:firstRow="1" w:lastRow="0" w:firstColumn="1" w:lastColumn="0" w:noHBand="0" w:noVBand="1"/>
      </w:tblPr>
      <w:tblGrid>
        <w:gridCol w:w="2602"/>
        <w:gridCol w:w="992"/>
        <w:gridCol w:w="1607"/>
        <w:gridCol w:w="3914"/>
      </w:tblGrid>
      <w:tr w:rsidR="00D11308" w:rsidRPr="004E0D61" w:rsidTr="000A15AB">
        <w:trPr>
          <w:trHeight w:val="796"/>
          <w:tblCellSpacing w:w="0" w:type="dxa"/>
        </w:trPr>
        <w:tc>
          <w:tcPr>
            <w:tcW w:w="9115" w:type="dxa"/>
            <w:gridSpan w:val="4"/>
            <w:vAlign w:val="center"/>
            <w:hideMark/>
          </w:tcPr>
          <w:p w:rsidR="00D11308" w:rsidRPr="00193049" w:rsidRDefault="00D11308" w:rsidP="000A15AB">
            <w:pPr>
              <w:jc w:val="center"/>
              <w:rPr>
                <w:rFonts w:eastAsia="Times New Roman"/>
                <w:b/>
                <w:bCs/>
                <w:sz w:val="24"/>
                <w:szCs w:val="24"/>
                <w:lang w:val="lv-LV"/>
              </w:rPr>
            </w:pPr>
            <w:r w:rsidRPr="007043EB">
              <w:rPr>
                <w:rFonts w:eastAsia="Times New Roman"/>
                <w:b/>
                <w:bCs/>
                <w:sz w:val="24"/>
                <w:szCs w:val="24"/>
                <w:lang w:val="lv-LV"/>
              </w:rPr>
              <w:t> 2.tabula</w:t>
            </w:r>
          </w:p>
          <w:p w:rsidR="00D11308" w:rsidRPr="004E0D61" w:rsidRDefault="00D11308" w:rsidP="000A15AB">
            <w:pPr>
              <w:jc w:val="center"/>
              <w:rPr>
                <w:rFonts w:eastAsia="Times New Roman"/>
                <w:b/>
                <w:bCs/>
                <w:sz w:val="24"/>
                <w:szCs w:val="24"/>
                <w:lang w:val="lv-LV"/>
              </w:rPr>
            </w:pPr>
            <w:r w:rsidRPr="00150E3E">
              <w:rPr>
                <w:rFonts w:eastAsia="Times New Roman"/>
                <w:b/>
                <w:bCs/>
                <w:sz w:val="24"/>
                <w:szCs w:val="24"/>
                <w:lang w:val="lv-LV"/>
              </w:rPr>
              <w:t>Ar tiesību akta projektu uzņemtās saistības, kas izriet no starptautiskajiem tiesību aktiem vai starptautiskas institūcijas vai organizācijas dokumentiem</w:t>
            </w:r>
          </w:p>
          <w:p w:rsidR="00D11308" w:rsidRPr="004E0D61" w:rsidRDefault="00D11308" w:rsidP="000A15AB">
            <w:pPr>
              <w:jc w:val="center"/>
              <w:rPr>
                <w:rFonts w:eastAsia="Times New Roman"/>
                <w:b/>
                <w:bCs/>
                <w:sz w:val="24"/>
                <w:szCs w:val="24"/>
                <w:lang w:val="lv-LV"/>
              </w:rPr>
            </w:pPr>
            <w:r w:rsidRPr="004E0D61">
              <w:rPr>
                <w:rFonts w:eastAsia="Times New Roman"/>
                <w:b/>
                <w:bCs/>
                <w:sz w:val="24"/>
                <w:szCs w:val="24"/>
                <w:lang w:val="lv-LV"/>
              </w:rPr>
              <w:t>Pasākumi šo saistību izpildei</w:t>
            </w:r>
          </w:p>
        </w:tc>
      </w:tr>
      <w:tr w:rsidR="00D11308" w:rsidRPr="00057F5C" w:rsidTr="000A15AB">
        <w:trPr>
          <w:trHeight w:val="1393"/>
          <w:tblCellSpacing w:w="0" w:type="dxa"/>
        </w:trPr>
        <w:tc>
          <w:tcPr>
            <w:tcW w:w="3594" w:type="dxa"/>
            <w:gridSpan w:val="2"/>
            <w:vAlign w:val="center"/>
            <w:hideMark/>
          </w:tcPr>
          <w:p w:rsidR="00D11308" w:rsidRPr="00193049" w:rsidRDefault="00D11308" w:rsidP="000A15AB">
            <w:pPr>
              <w:rPr>
                <w:rFonts w:eastAsia="Times New Roman"/>
                <w:sz w:val="24"/>
                <w:szCs w:val="24"/>
                <w:lang w:val="lv-LV"/>
              </w:rPr>
            </w:pPr>
            <w:r w:rsidRPr="004E0D61">
              <w:rPr>
                <w:rFonts w:eastAsia="Times New Roman"/>
                <w:sz w:val="24"/>
                <w:szCs w:val="24"/>
                <w:lang w:val="lv-LV"/>
              </w:rPr>
              <w:t xml:space="preserve"> Attiecīgā starptautiskā tiesību akta vai starptautiskas </w:t>
            </w:r>
            <w:r w:rsidRPr="007043EB">
              <w:rPr>
                <w:rFonts w:eastAsia="Times New Roman"/>
                <w:sz w:val="24"/>
                <w:szCs w:val="24"/>
                <w:lang w:val="lv-LV"/>
              </w:rPr>
              <w:t>institūcijas vai organizācijas dokumenta (turpmāk – starptautiskais dokuments) datums, numurs un nosaukums</w:t>
            </w:r>
          </w:p>
        </w:tc>
        <w:tc>
          <w:tcPr>
            <w:tcW w:w="5521" w:type="dxa"/>
            <w:gridSpan w:val="2"/>
            <w:hideMark/>
          </w:tcPr>
          <w:p w:rsidR="00D11308" w:rsidRPr="004E0D61" w:rsidRDefault="00D11308" w:rsidP="000A15AB">
            <w:pPr>
              <w:rPr>
                <w:rFonts w:eastAsia="Times New Roman"/>
                <w:sz w:val="24"/>
                <w:szCs w:val="24"/>
                <w:lang w:val="lv-LV"/>
              </w:rPr>
            </w:pPr>
            <w:r w:rsidRPr="00150E3E">
              <w:rPr>
                <w:rFonts w:eastAsia="Times New Roman"/>
                <w:sz w:val="24"/>
                <w:szCs w:val="24"/>
                <w:lang w:val="lv-LV"/>
              </w:rPr>
              <w:t> Aizpilda, ja ar projektu izpildītas vai tiek uzņemtas saistības, kas izriet no vairāk nekā viena starptautiskā dokumenta, – jānorāda tā pati informā</w:t>
            </w:r>
            <w:r w:rsidRPr="004E0D61">
              <w:rPr>
                <w:rFonts w:eastAsia="Times New Roman"/>
                <w:sz w:val="24"/>
                <w:szCs w:val="24"/>
                <w:lang w:val="lv-LV"/>
              </w:rPr>
              <w:t>cija, kas prasīta instrukcijas 57.1.apakšpunktā un jau tikusi norādīta arī V sadaļas 2.punkta ietvaros</w:t>
            </w:r>
          </w:p>
        </w:tc>
      </w:tr>
      <w:tr w:rsidR="00D11308" w:rsidRPr="004E0D61" w:rsidTr="000A15AB">
        <w:trPr>
          <w:trHeight w:val="343"/>
          <w:tblCellSpacing w:w="0" w:type="dxa"/>
        </w:trPr>
        <w:tc>
          <w:tcPr>
            <w:tcW w:w="2602" w:type="dxa"/>
            <w:vAlign w:val="center"/>
            <w:hideMark/>
          </w:tcPr>
          <w:p w:rsidR="00D11308" w:rsidRPr="007043EB" w:rsidRDefault="00D11308" w:rsidP="000A15AB">
            <w:pPr>
              <w:jc w:val="center"/>
              <w:rPr>
                <w:rFonts w:eastAsia="Times New Roman"/>
                <w:sz w:val="24"/>
                <w:szCs w:val="24"/>
                <w:lang w:val="lv-LV"/>
              </w:rPr>
            </w:pPr>
            <w:r w:rsidRPr="004E0D61">
              <w:rPr>
                <w:rFonts w:eastAsia="Times New Roman"/>
                <w:sz w:val="24"/>
                <w:szCs w:val="24"/>
                <w:lang w:val="lv-LV"/>
              </w:rPr>
              <w:t> A</w:t>
            </w:r>
          </w:p>
        </w:tc>
        <w:tc>
          <w:tcPr>
            <w:tcW w:w="2599" w:type="dxa"/>
            <w:gridSpan w:val="2"/>
            <w:vAlign w:val="center"/>
            <w:hideMark/>
          </w:tcPr>
          <w:p w:rsidR="00D11308" w:rsidRPr="00193049" w:rsidRDefault="00D11308" w:rsidP="000A15AB">
            <w:pPr>
              <w:jc w:val="center"/>
              <w:rPr>
                <w:rFonts w:eastAsia="Times New Roman"/>
                <w:sz w:val="24"/>
                <w:szCs w:val="24"/>
                <w:lang w:val="lv-LV"/>
              </w:rPr>
            </w:pPr>
            <w:r w:rsidRPr="007043EB">
              <w:rPr>
                <w:rFonts w:eastAsia="Times New Roman"/>
                <w:sz w:val="24"/>
                <w:szCs w:val="24"/>
                <w:lang w:val="lv-LV"/>
              </w:rPr>
              <w:t> B</w:t>
            </w:r>
          </w:p>
        </w:tc>
        <w:tc>
          <w:tcPr>
            <w:tcW w:w="3914" w:type="dxa"/>
            <w:vAlign w:val="center"/>
            <w:hideMark/>
          </w:tcPr>
          <w:p w:rsidR="00D11308" w:rsidRPr="00150E3E" w:rsidRDefault="00D11308" w:rsidP="000A15AB">
            <w:pPr>
              <w:jc w:val="center"/>
              <w:rPr>
                <w:rFonts w:eastAsia="Times New Roman"/>
                <w:sz w:val="24"/>
                <w:szCs w:val="24"/>
                <w:lang w:val="lv-LV"/>
              </w:rPr>
            </w:pPr>
            <w:r w:rsidRPr="00150E3E">
              <w:rPr>
                <w:rFonts w:eastAsia="Times New Roman"/>
                <w:sz w:val="24"/>
                <w:szCs w:val="24"/>
                <w:lang w:val="lv-LV"/>
              </w:rPr>
              <w:t> C</w:t>
            </w:r>
          </w:p>
        </w:tc>
      </w:tr>
      <w:tr w:rsidR="00D11308" w:rsidRPr="00057F5C" w:rsidTr="00184B80">
        <w:trPr>
          <w:trHeight w:val="234"/>
          <w:tblCellSpacing w:w="0" w:type="dxa"/>
        </w:trPr>
        <w:tc>
          <w:tcPr>
            <w:tcW w:w="2602" w:type="dxa"/>
            <w:hideMark/>
          </w:tcPr>
          <w:p w:rsidR="00D11308" w:rsidRPr="007043EB" w:rsidRDefault="00D11308" w:rsidP="000A15AB">
            <w:pPr>
              <w:rPr>
                <w:rFonts w:eastAsia="Times New Roman"/>
                <w:sz w:val="24"/>
                <w:szCs w:val="24"/>
                <w:lang w:val="lv-LV"/>
              </w:rPr>
            </w:pPr>
            <w:r w:rsidRPr="004E0D61">
              <w:rPr>
                <w:rFonts w:eastAsia="Times New Roman"/>
                <w:sz w:val="24"/>
                <w:szCs w:val="24"/>
                <w:lang w:val="lv-LV"/>
              </w:rPr>
              <w:t> Starptautiskās saistības (pēc būtības), kas izriet no norādītā starptautiskā dokumenta.</w:t>
            </w:r>
          </w:p>
          <w:p w:rsidR="00D11308" w:rsidRPr="00150E3E" w:rsidRDefault="00D11308" w:rsidP="000A15AB">
            <w:pPr>
              <w:rPr>
                <w:rFonts w:eastAsia="Times New Roman"/>
                <w:sz w:val="24"/>
                <w:szCs w:val="24"/>
                <w:lang w:val="lv-LV"/>
              </w:rPr>
            </w:pPr>
            <w:r w:rsidRPr="00193049">
              <w:rPr>
                <w:rFonts w:eastAsia="Times New Roman"/>
                <w:sz w:val="24"/>
                <w:szCs w:val="24"/>
                <w:lang w:val="lv-LV"/>
              </w:rPr>
              <w:t> </w:t>
            </w:r>
          </w:p>
          <w:p w:rsidR="00D11308" w:rsidRPr="004E0D61" w:rsidRDefault="00D11308" w:rsidP="000A15AB">
            <w:pPr>
              <w:rPr>
                <w:rFonts w:eastAsia="Times New Roman"/>
                <w:sz w:val="24"/>
                <w:szCs w:val="24"/>
                <w:lang w:val="lv-LV"/>
              </w:rPr>
            </w:pPr>
            <w:r w:rsidRPr="004E0D61">
              <w:rPr>
                <w:rFonts w:eastAsia="Times New Roman"/>
                <w:sz w:val="24"/>
                <w:szCs w:val="24"/>
                <w:lang w:val="lv-LV"/>
              </w:rPr>
              <w:t>Konkrēti veicamie pasākumi vai uzdevumi, kas nepieciešami šo starptautisko saistību izpildei</w:t>
            </w:r>
          </w:p>
        </w:tc>
        <w:tc>
          <w:tcPr>
            <w:tcW w:w="2599" w:type="dxa"/>
            <w:gridSpan w:val="2"/>
            <w:hideMark/>
          </w:tcPr>
          <w:p w:rsidR="00D11308" w:rsidRPr="004E0D61" w:rsidRDefault="00D11308" w:rsidP="000A15AB">
            <w:pPr>
              <w:rPr>
                <w:rFonts w:eastAsia="Times New Roman"/>
                <w:sz w:val="24"/>
                <w:szCs w:val="24"/>
                <w:lang w:val="lv-LV"/>
              </w:rPr>
            </w:pPr>
            <w:r w:rsidRPr="004E0D61">
              <w:rPr>
                <w:rFonts w:eastAsia="Times New Roman"/>
                <w:sz w:val="24"/>
                <w:szCs w:val="24"/>
                <w:lang w:val="lv-LV"/>
              </w:rPr>
              <w:t> Ja pasākumi vai uzdevumi, ar ko tiks izpildītas starptautiskās saistības, tiek noteikti projektā, norāda attiecīgo projekta vienību.</w:t>
            </w:r>
          </w:p>
          <w:p w:rsidR="00D11308" w:rsidRPr="004E0D61" w:rsidRDefault="00D11308" w:rsidP="000A15AB">
            <w:pPr>
              <w:rPr>
                <w:rFonts w:eastAsia="Times New Roman"/>
                <w:sz w:val="24"/>
                <w:szCs w:val="24"/>
                <w:lang w:val="lv-LV"/>
              </w:rPr>
            </w:pPr>
            <w:r w:rsidRPr="004E0D61">
              <w:rPr>
                <w:rFonts w:eastAsia="Times New Roman"/>
                <w:sz w:val="24"/>
                <w:szCs w:val="24"/>
                <w:lang w:val="lv-LV"/>
              </w:rPr>
              <w:t> </w:t>
            </w:r>
          </w:p>
          <w:p w:rsidR="00D11308" w:rsidRPr="004E0D61" w:rsidRDefault="00D11308" w:rsidP="000A15AB">
            <w:pPr>
              <w:rPr>
                <w:rFonts w:eastAsia="Times New Roman"/>
                <w:sz w:val="24"/>
                <w:szCs w:val="24"/>
                <w:lang w:val="lv-LV"/>
              </w:rPr>
            </w:pPr>
            <w:r w:rsidRPr="004E0D61">
              <w:rPr>
                <w:rFonts w:eastAsia="Times New Roman"/>
                <w:sz w:val="24"/>
                <w:szCs w:val="24"/>
                <w:lang w:val="lv-LV"/>
              </w:rPr>
              <w:t>Vai arī norāda dokumentu, kurā sniegts izvērsts skaidrojums, kādā veidā tiks nodrošināta starptautisko saistību izpilde</w:t>
            </w:r>
          </w:p>
        </w:tc>
        <w:tc>
          <w:tcPr>
            <w:tcW w:w="3914" w:type="dxa"/>
            <w:hideMark/>
          </w:tcPr>
          <w:p w:rsidR="00D11308" w:rsidRPr="004E0D61" w:rsidRDefault="00D11308" w:rsidP="000A15AB">
            <w:pPr>
              <w:rPr>
                <w:rFonts w:eastAsia="Times New Roman"/>
                <w:sz w:val="24"/>
                <w:szCs w:val="24"/>
                <w:lang w:val="lv-LV"/>
              </w:rPr>
            </w:pPr>
            <w:r w:rsidRPr="004E0D61">
              <w:rPr>
                <w:rFonts w:eastAsia="Times New Roman"/>
                <w:sz w:val="24"/>
                <w:szCs w:val="24"/>
                <w:lang w:val="lv-LV"/>
              </w:rPr>
              <w:t> Informācija par to, vai starptautiskās saistības, kas minētas šīs tabulas A ailē, tiek izpildītas pilnībā vai daļēji.</w:t>
            </w:r>
          </w:p>
          <w:p w:rsidR="00D11308" w:rsidRPr="004E0D61" w:rsidRDefault="00D11308" w:rsidP="000A15AB">
            <w:pPr>
              <w:rPr>
                <w:rFonts w:eastAsia="Times New Roman"/>
                <w:sz w:val="24"/>
                <w:szCs w:val="24"/>
                <w:lang w:val="lv-LV"/>
              </w:rPr>
            </w:pPr>
            <w:r w:rsidRPr="004E0D61">
              <w:rPr>
                <w:rFonts w:eastAsia="Times New Roman"/>
                <w:sz w:val="24"/>
                <w:szCs w:val="24"/>
                <w:lang w:val="lv-LV"/>
              </w:rPr>
              <w:t> </w:t>
            </w:r>
          </w:p>
          <w:p w:rsidR="00D11308" w:rsidRPr="004E0D61" w:rsidRDefault="00D11308" w:rsidP="000A15AB">
            <w:pPr>
              <w:rPr>
                <w:rFonts w:eastAsia="Times New Roman"/>
                <w:sz w:val="24"/>
                <w:szCs w:val="24"/>
                <w:lang w:val="lv-LV"/>
              </w:rPr>
            </w:pPr>
            <w:r w:rsidRPr="004E0D61">
              <w:rPr>
                <w:rFonts w:eastAsia="Times New Roman"/>
                <w:sz w:val="24"/>
                <w:szCs w:val="24"/>
                <w:lang w:val="lv-LV"/>
              </w:rPr>
              <w:t>Ja attiecīgās starptautiskās saistības tiek izpildītas daļēji, sniedz attiecīgu skaidrojumu, kā arī precīzi norāda, kad un kādā veidā starptautiskās saistības tiks izpildītas pilnībā.</w:t>
            </w:r>
          </w:p>
          <w:p w:rsidR="00D11308" w:rsidRPr="004E0D61" w:rsidRDefault="00D11308" w:rsidP="000A15AB">
            <w:pPr>
              <w:rPr>
                <w:rFonts w:eastAsia="Times New Roman"/>
                <w:sz w:val="24"/>
                <w:szCs w:val="24"/>
                <w:lang w:val="lv-LV"/>
              </w:rPr>
            </w:pPr>
            <w:r w:rsidRPr="004E0D61">
              <w:rPr>
                <w:rFonts w:eastAsia="Times New Roman"/>
                <w:sz w:val="24"/>
                <w:szCs w:val="24"/>
                <w:lang w:val="lv-LV"/>
              </w:rPr>
              <w:t> </w:t>
            </w:r>
          </w:p>
          <w:p w:rsidR="00D11308" w:rsidRPr="004E0D61" w:rsidRDefault="00D11308" w:rsidP="000A15AB">
            <w:pPr>
              <w:rPr>
                <w:rFonts w:eastAsia="Times New Roman"/>
                <w:sz w:val="24"/>
                <w:szCs w:val="24"/>
                <w:lang w:val="lv-LV"/>
              </w:rPr>
            </w:pPr>
            <w:r w:rsidRPr="004E0D61">
              <w:rPr>
                <w:rFonts w:eastAsia="Times New Roman"/>
                <w:sz w:val="24"/>
                <w:szCs w:val="24"/>
                <w:lang w:val="lv-LV"/>
              </w:rPr>
              <w:t>Norāda institūciju, kas ir atbildīga par šo saistību izpildi pilnībā</w:t>
            </w:r>
          </w:p>
        </w:tc>
      </w:tr>
      <w:tr w:rsidR="00D11308" w:rsidRPr="004E0D61" w:rsidTr="000A15AB">
        <w:trPr>
          <w:trHeight w:val="282"/>
          <w:tblCellSpacing w:w="0" w:type="dxa"/>
        </w:trPr>
        <w:tc>
          <w:tcPr>
            <w:tcW w:w="2602" w:type="dxa"/>
            <w:hideMark/>
          </w:tcPr>
          <w:p w:rsidR="00D11308" w:rsidRPr="007043EB" w:rsidRDefault="00D11308" w:rsidP="000A15AB">
            <w:pPr>
              <w:rPr>
                <w:rFonts w:eastAsia="Times New Roman"/>
                <w:i/>
                <w:sz w:val="24"/>
                <w:szCs w:val="24"/>
                <w:lang w:val="lv-LV"/>
              </w:rPr>
            </w:pPr>
            <w:r w:rsidRPr="004E0D61">
              <w:rPr>
                <w:rFonts w:eastAsia="Times New Roman"/>
                <w:i/>
                <w:sz w:val="24"/>
                <w:szCs w:val="24"/>
                <w:lang w:val="lv-LV"/>
              </w:rPr>
              <w:lastRenderedPageBreak/>
              <w:t xml:space="preserve"> Projekts šo jomu neskar.</w:t>
            </w:r>
          </w:p>
        </w:tc>
        <w:tc>
          <w:tcPr>
            <w:tcW w:w="2599" w:type="dxa"/>
            <w:gridSpan w:val="2"/>
            <w:hideMark/>
          </w:tcPr>
          <w:p w:rsidR="00D11308" w:rsidRPr="00193049" w:rsidRDefault="00D11308" w:rsidP="000A15AB">
            <w:pPr>
              <w:rPr>
                <w:rFonts w:eastAsia="Times New Roman"/>
                <w:i/>
                <w:sz w:val="24"/>
                <w:szCs w:val="24"/>
                <w:lang w:val="lv-LV"/>
              </w:rPr>
            </w:pPr>
            <w:r w:rsidRPr="007043EB">
              <w:rPr>
                <w:rFonts w:eastAsia="Times New Roman"/>
                <w:i/>
                <w:sz w:val="24"/>
                <w:szCs w:val="24"/>
                <w:lang w:val="lv-LV"/>
              </w:rPr>
              <w:t xml:space="preserve"> Projekts šo jomu neskar.</w:t>
            </w:r>
          </w:p>
        </w:tc>
        <w:tc>
          <w:tcPr>
            <w:tcW w:w="3914" w:type="dxa"/>
            <w:hideMark/>
          </w:tcPr>
          <w:p w:rsidR="00D11308" w:rsidRPr="00150E3E" w:rsidRDefault="00D11308" w:rsidP="000A15AB">
            <w:pPr>
              <w:rPr>
                <w:rFonts w:eastAsia="Times New Roman"/>
                <w:i/>
                <w:sz w:val="24"/>
                <w:szCs w:val="24"/>
                <w:lang w:val="lv-LV"/>
              </w:rPr>
            </w:pPr>
            <w:r w:rsidRPr="00150E3E">
              <w:rPr>
                <w:rFonts w:eastAsia="Times New Roman"/>
                <w:i/>
                <w:sz w:val="24"/>
                <w:szCs w:val="24"/>
                <w:lang w:val="lv-LV"/>
              </w:rPr>
              <w:t xml:space="preserve"> Projekts šo jomu neskar.</w:t>
            </w:r>
          </w:p>
        </w:tc>
      </w:tr>
      <w:tr w:rsidR="00D11308" w:rsidRPr="004E0D61" w:rsidTr="000A15AB">
        <w:trPr>
          <w:trHeight w:val="653"/>
          <w:tblCellSpacing w:w="0" w:type="dxa"/>
        </w:trPr>
        <w:tc>
          <w:tcPr>
            <w:tcW w:w="2602" w:type="dxa"/>
            <w:vAlign w:val="center"/>
            <w:hideMark/>
          </w:tcPr>
          <w:p w:rsidR="00D11308" w:rsidRPr="007043EB" w:rsidRDefault="00D11308" w:rsidP="000A15AB">
            <w:pPr>
              <w:rPr>
                <w:rFonts w:eastAsia="Times New Roman"/>
                <w:sz w:val="24"/>
                <w:szCs w:val="24"/>
                <w:lang w:val="lv-LV"/>
              </w:rPr>
            </w:pPr>
            <w:r w:rsidRPr="004E0D61">
              <w:rPr>
                <w:rFonts w:eastAsia="Times New Roman"/>
                <w:sz w:val="24"/>
                <w:szCs w:val="24"/>
                <w:lang w:val="lv-LV"/>
              </w:rPr>
              <w:t xml:space="preserve"> Vai </w:t>
            </w:r>
            <w:r w:rsidRPr="007043EB">
              <w:rPr>
                <w:rFonts w:eastAsia="Times New Roman"/>
                <w:sz w:val="24"/>
                <w:szCs w:val="24"/>
                <w:lang w:val="lv-LV"/>
              </w:rPr>
              <w:t>starptautiskajā dokumentā paredzētās saistības nav pretrunā ar jau esošajām Latvijas Republikas starptautiskajām saistībām</w:t>
            </w:r>
          </w:p>
        </w:tc>
        <w:tc>
          <w:tcPr>
            <w:tcW w:w="6513" w:type="dxa"/>
            <w:gridSpan w:val="3"/>
            <w:hideMark/>
          </w:tcPr>
          <w:p w:rsidR="00D11308" w:rsidRPr="00150E3E" w:rsidRDefault="00D11308" w:rsidP="000A15AB">
            <w:pPr>
              <w:rPr>
                <w:rFonts w:eastAsia="Times New Roman"/>
                <w:i/>
                <w:sz w:val="24"/>
                <w:szCs w:val="24"/>
                <w:lang w:val="lv-LV"/>
              </w:rPr>
            </w:pPr>
            <w:r w:rsidRPr="00193049">
              <w:rPr>
                <w:rFonts w:eastAsia="Times New Roman"/>
                <w:sz w:val="24"/>
                <w:szCs w:val="24"/>
                <w:lang w:val="lv-LV"/>
              </w:rPr>
              <w:t> </w:t>
            </w:r>
            <w:r w:rsidRPr="00150E3E">
              <w:rPr>
                <w:rFonts w:eastAsia="Times New Roman"/>
                <w:i/>
                <w:sz w:val="24"/>
                <w:szCs w:val="24"/>
                <w:lang w:val="lv-LV"/>
              </w:rPr>
              <w:t>Projekts šo jomu neskar.</w:t>
            </w:r>
          </w:p>
        </w:tc>
      </w:tr>
      <w:tr w:rsidR="00D11308" w:rsidRPr="004E0D61" w:rsidTr="000A15AB">
        <w:trPr>
          <w:trHeight w:val="337"/>
          <w:tblCellSpacing w:w="0" w:type="dxa"/>
        </w:trPr>
        <w:tc>
          <w:tcPr>
            <w:tcW w:w="2602" w:type="dxa"/>
            <w:hideMark/>
          </w:tcPr>
          <w:p w:rsidR="00D11308" w:rsidRPr="007043EB" w:rsidRDefault="00D11308" w:rsidP="000A15AB">
            <w:pPr>
              <w:rPr>
                <w:rFonts w:eastAsia="Times New Roman"/>
                <w:sz w:val="24"/>
                <w:szCs w:val="24"/>
                <w:lang w:val="lv-LV"/>
              </w:rPr>
            </w:pPr>
            <w:r w:rsidRPr="004E0D61">
              <w:rPr>
                <w:rFonts w:eastAsia="Times New Roman"/>
                <w:sz w:val="24"/>
                <w:szCs w:val="24"/>
                <w:lang w:val="lv-LV"/>
              </w:rPr>
              <w:t> Cita informācija</w:t>
            </w:r>
          </w:p>
        </w:tc>
        <w:tc>
          <w:tcPr>
            <w:tcW w:w="6513" w:type="dxa"/>
            <w:gridSpan w:val="3"/>
            <w:hideMark/>
          </w:tcPr>
          <w:p w:rsidR="00D11308" w:rsidRPr="00150E3E" w:rsidRDefault="00D11308" w:rsidP="000A15AB">
            <w:pPr>
              <w:rPr>
                <w:rFonts w:eastAsia="Times New Roman"/>
                <w:i/>
                <w:sz w:val="24"/>
                <w:szCs w:val="24"/>
                <w:lang w:val="lv-LV"/>
              </w:rPr>
            </w:pPr>
            <w:r w:rsidRPr="007043EB">
              <w:rPr>
                <w:rFonts w:eastAsia="Times New Roman"/>
                <w:sz w:val="24"/>
                <w:szCs w:val="24"/>
                <w:lang w:val="lv-LV"/>
              </w:rPr>
              <w:t xml:space="preserve"> </w:t>
            </w:r>
            <w:r w:rsidRPr="00193049">
              <w:rPr>
                <w:rFonts w:eastAsia="Times New Roman"/>
                <w:i/>
                <w:sz w:val="24"/>
                <w:szCs w:val="24"/>
                <w:lang w:val="lv-LV"/>
              </w:rPr>
              <w:t>Nav.</w:t>
            </w:r>
          </w:p>
        </w:tc>
      </w:tr>
    </w:tbl>
    <w:p w:rsidR="00C9779A" w:rsidRPr="004E0D61" w:rsidRDefault="00C9779A" w:rsidP="00C9779A">
      <w:pPr>
        <w:rPr>
          <w:sz w:val="16"/>
          <w:szCs w:val="16"/>
          <w:lang w:val="lv-LV"/>
        </w:rPr>
      </w:pPr>
    </w:p>
    <w:p w:rsidR="008930F7" w:rsidRDefault="008930F7" w:rsidP="00C9779A">
      <w:pPr>
        <w:rPr>
          <w:sz w:val="16"/>
          <w:szCs w:val="16"/>
          <w:lang w:val="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54"/>
        <w:gridCol w:w="6193"/>
        <w:gridCol w:w="40"/>
      </w:tblGrid>
      <w:tr w:rsidR="00505336" w:rsidRPr="00057F5C" w:rsidTr="00505336">
        <w:trPr>
          <w:gridAfter w:val="1"/>
          <w:wAfter w:w="40" w:type="dxa"/>
          <w:trHeight w:val="304"/>
        </w:trPr>
        <w:tc>
          <w:tcPr>
            <w:tcW w:w="9047"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505336" w:rsidRPr="00150E3E" w:rsidRDefault="00505336" w:rsidP="003B236F">
            <w:pPr>
              <w:ind w:firstLine="720"/>
              <w:jc w:val="both"/>
              <w:rPr>
                <w:rFonts w:eastAsia="Times New Roman"/>
                <w:b/>
                <w:sz w:val="24"/>
                <w:szCs w:val="24"/>
                <w:lang w:val="lv-LV" w:eastAsia="lv-LV"/>
              </w:rPr>
            </w:pPr>
            <w:r w:rsidRPr="00193049">
              <w:rPr>
                <w:rFonts w:eastAsia="Times New Roman"/>
                <w:b/>
                <w:sz w:val="24"/>
                <w:szCs w:val="24"/>
                <w:lang w:val="lv-LV" w:eastAsia="lv-LV"/>
              </w:rPr>
              <w:t xml:space="preserve">VII. Tiesību akta projekta izpildes nodrošināšana un tās ietekme uz </w:t>
            </w:r>
            <w:r w:rsidRPr="00150E3E">
              <w:rPr>
                <w:rFonts w:eastAsia="Times New Roman"/>
                <w:b/>
                <w:sz w:val="24"/>
                <w:szCs w:val="24"/>
                <w:lang w:val="lv-LV" w:eastAsia="lv-LV"/>
              </w:rPr>
              <w:t>institūcijām</w:t>
            </w:r>
          </w:p>
        </w:tc>
      </w:tr>
      <w:tr w:rsidR="00505336" w:rsidRPr="00057F5C" w:rsidTr="00505336">
        <w:trPr>
          <w:trHeight w:val="347"/>
        </w:trPr>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505336" w:rsidRPr="00193049" w:rsidRDefault="00505336" w:rsidP="003B236F">
            <w:pPr>
              <w:jc w:val="both"/>
              <w:rPr>
                <w:rFonts w:eastAsia="Times New Roman"/>
                <w:sz w:val="24"/>
                <w:szCs w:val="24"/>
                <w:lang w:val="lv-LV" w:eastAsia="lv-LV"/>
              </w:rPr>
            </w:pPr>
            <w:r w:rsidRPr="007043EB">
              <w:rPr>
                <w:rFonts w:eastAsia="Times New Roman"/>
                <w:sz w:val="24"/>
                <w:szCs w:val="24"/>
                <w:lang w:val="lv-LV" w:eastAsia="lv-LV"/>
              </w:rPr>
              <w:t>Projekta izpildē iesaistītās institūcijas</w:t>
            </w:r>
          </w:p>
        </w:tc>
        <w:tc>
          <w:tcPr>
            <w:tcW w:w="6233"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505336" w:rsidRPr="004E0D61" w:rsidRDefault="00505336" w:rsidP="003B236F">
            <w:pPr>
              <w:jc w:val="both"/>
              <w:rPr>
                <w:rFonts w:eastAsia="Times New Roman"/>
                <w:sz w:val="24"/>
                <w:szCs w:val="24"/>
                <w:lang w:val="lv-LV" w:eastAsia="lv-LV"/>
              </w:rPr>
            </w:pPr>
            <w:r w:rsidRPr="00150E3E">
              <w:rPr>
                <w:rFonts w:eastAsia="Times New Roman"/>
                <w:sz w:val="24"/>
                <w:szCs w:val="24"/>
                <w:lang w:val="lv-LV" w:eastAsia="lv-LV"/>
              </w:rPr>
              <w:t xml:space="preserve">MK </w:t>
            </w:r>
            <w:r w:rsidRPr="0051659E">
              <w:rPr>
                <w:sz w:val="24"/>
                <w:szCs w:val="24"/>
                <w:lang w:val="lv-LV"/>
              </w:rPr>
              <w:t>noteikumu</w:t>
            </w:r>
            <w:r>
              <w:rPr>
                <w:rFonts w:eastAsia="Times New Roman"/>
                <w:sz w:val="24"/>
                <w:szCs w:val="24"/>
                <w:lang w:val="lv-LV" w:eastAsia="lv-LV"/>
              </w:rPr>
              <w:t xml:space="preserve"> projekta izpildi nodrošinās</w:t>
            </w:r>
            <w:r w:rsidR="00B72542">
              <w:rPr>
                <w:rFonts w:eastAsia="Times New Roman"/>
                <w:sz w:val="24"/>
                <w:szCs w:val="24"/>
                <w:lang w:val="lv-LV" w:eastAsia="lv-LV"/>
              </w:rPr>
              <w:t xml:space="preserve"> LIAA</w:t>
            </w:r>
            <w:r>
              <w:rPr>
                <w:rFonts w:eastAsia="Times New Roman"/>
                <w:sz w:val="24"/>
                <w:szCs w:val="24"/>
                <w:lang w:val="lv-LV" w:eastAsia="lv-LV"/>
              </w:rPr>
              <w:t xml:space="preserve"> un  </w:t>
            </w:r>
            <w:r w:rsidRPr="004E0D61">
              <w:rPr>
                <w:rFonts w:eastAsia="Times New Roman"/>
                <w:sz w:val="24"/>
                <w:szCs w:val="24"/>
                <w:lang w:val="lv-LV" w:eastAsia="lv-LV"/>
              </w:rPr>
              <w:t xml:space="preserve">sabiedrība </w:t>
            </w:r>
            <w:proofErr w:type="spellStart"/>
            <w:r w:rsidRPr="004E0D61">
              <w:rPr>
                <w:rFonts w:eastAsia="Times New Roman"/>
                <w:sz w:val="24"/>
                <w:szCs w:val="24"/>
                <w:lang w:val="lv-LV" w:eastAsia="lv-LV"/>
              </w:rPr>
              <w:t>Altum</w:t>
            </w:r>
            <w:proofErr w:type="spellEnd"/>
            <w:r w:rsidRPr="004E0D61">
              <w:rPr>
                <w:rFonts w:eastAsia="Times New Roman"/>
                <w:sz w:val="24"/>
                <w:szCs w:val="24"/>
                <w:lang w:val="lv-LV" w:eastAsia="lv-LV"/>
              </w:rPr>
              <w:t>.</w:t>
            </w:r>
          </w:p>
        </w:tc>
      </w:tr>
      <w:tr w:rsidR="00505336" w:rsidRPr="00057F5C" w:rsidTr="00505336">
        <w:trPr>
          <w:trHeight w:val="224"/>
        </w:trPr>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505336" w:rsidRPr="00193049" w:rsidRDefault="00505336" w:rsidP="003B236F">
            <w:pPr>
              <w:jc w:val="both"/>
              <w:rPr>
                <w:rFonts w:eastAsia="Times New Roman"/>
                <w:sz w:val="24"/>
                <w:szCs w:val="24"/>
                <w:lang w:val="lv-LV" w:eastAsia="lv-LV"/>
              </w:rPr>
            </w:pPr>
            <w:r w:rsidRPr="007043EB">
              <w:rPr>
                <w:rFonts w:eastAsia="Times New Roman"/>
                <w:sz w:val="24"/>
                <w:szCs w:val="24"/>
                <w:lang w:val="lv-LV" w:eastAsia="lv-LV"/>
              </w:rPr>
              <w:t>Projekta izpildes ietekme uz pārvaldes</w:t>
            </w:r>
            <w:r>
              <w:rPr>
                <w:rFonts w:eastAsia="Times New Roman"/>
                <w:sz w:val="24"/>
                <w:szCs w:val="24"/>
                <w:lang w:val="lv-LV" w:eastAsia="lv-LV"/>
              </w:rPr>
              <w:t xml:space="preserve"> funkcijām</w:t>
            </w:r>
            <w:r w:rsidRPr="007043EB">
              <w:rPr>
                <w:rFonts w:eastAsia="Times New Roman"/>
                <w:sz w:val="24"/>
                <w:szCs w:val="24"/>
                <w:lang w:val="lv-LV" w:eastAsia="lv-LV"/>
              </w:rPr>
              <w:t xml:space="preserve"> institucionālo struktūru. Jaunu institūciju izveide</w:t>
            </w:r>
            <w:r>
              <w:rPr>
                <w:rFonts w:eastAsia="Times New Roman"/>
                <w:sz w:val="24"/>
                <w:szCs w:val="24"/>
                <w:lang w:val="lv-LV" w:eastAsia="lv-LV"/>
              </w:rPr>
              <w:t>, esošu institūciju likvidācija vai reorganizācija, to ietekme uz institūcijas cilvēkresursiem</w:t>
            </w:r>
          </w:p>
        </w:tc>
        <w:tc>
          <w:tcPr>
            <w:tcW w:w="6233"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505336" w:rsidRPr="004E0D61" w:rsidRDefault="00505336" w:rsidP="003B236F">
            <w:pPr>
              <w:jc w:val="both"/>
              <w:rPr>
                <w:rFonts w:eastAsia="Times New Roman"/>
                <w:sz w:val="24"/>
                <w:szCs w:val="24"/>
                <w:lang w:val="lv-LV" w:eastAsia="lv-LV"/>
              </w:rPr>
            </w:pPr>
            <w:r w:rsidRPr="00150E3E">
              <w:rPr>
                <w:rFonts w:eastAsia="Times New Roman"/>
                <w:sz w:val="24"/>
                <w:szCs w:val="24"/>
                <w:lang w:val="lv-LV" w:eastAsia="lv-LV"/>
              </w:rPr>
              <w:t xml:space="preserve">MK </w:t>
            </w:r>
            <w:r w:rsidRPr="004E0D61">
              <w:rPr>
                <w:sz w:val="24"/>
                <w:szCs w:val="24"/>
                <w:lang w:val="lv-LV"/>
              </w:rPr>
              <w:t>noteikumu</w:t>
            </w:r>
            <w:r w:rsidRPr="004E0D61">
              <w:rPr>
                <w:rFonts w:eastAsia="Times New Roman"/>
                <w:sz w:val="24"/>
                <w:szCs w:val="24"/>
                <w:lang w:val="lv-LV" w:eastAsia="lv-LV"/>
              </w:rPr>
              <w:t xml:space="preserve"> projekta izpilde tiks nodrošināta</w:t>
            </w:r>
            <w:r>
              <w:rPr>
                <w:rFonts w:eastAsia="Times New Roman"/>
                <w:sz w:val="24"/>
                <w:szCs w:val="24"/>
                <w:lang w:val="lv-LV" w:eastAsia="lv-LV"/>
              </w:rPr>
              <w:t xml:space="preserve"> LIAA un</w:t>
            </w:r>
            <w:proofErr w:type="gramStart"/>
            <w:r>
              <w:rPr>
                <w:rFonts w:eastAsia="Times New Roman"/>
                <w:sz w:val="24"/>
                <w:szCs w:val="24"/>
                <w:lang w:val="lv-LV" w:eastAsia="lv-LV"/>
              </w:rPr>
              <w:t xml:space="preserve"> </w:t>
            </w:r>
            <w:r w:rsidRPr="004E0D61">
              <w:rPr>
                <w:rFonts w:eastAsia="Times New Roman"/>
                <w:sz w:val="24"/>
                <w:szCs w:val="24"/>
                <w:lang w:val="lv-LV" w:eastAsia="lv-LV"/>
              </w:rPr>
              <w:t xml:space="preserve"> </w:t>
            </w:r>
            <w:proofErr w:type="gramEnd"/>
            <w:r w:rsidRPr="004E0D61">
              <w:rPr>
                <w:rFonts w:eastAsia="Times New Roman"/>
                <w:sz w:val="24"/>
                <w:szCs w:val="24"/>
                <w:lang w:val="lv-LV" w:eastAsia="lv-LV"/>
              </w:rPr>
              <w:t xml:space="preserve">sabiedrības </w:t>
            </w:r>
            <w:proofErr w:type="spellStart"/>
            <w:r w:rsidRPr="004E0D61">
              <w:rPr>
                <w:rFonts w:eastAsia="Times New Roman"/>
                <w:sz w:val="24"/>
                <w:szCs w:val="24"/>
                <w:lang w:val="lv-LV" w:eastAsia="lv-LV"/>
              </w:rPr>
              <w:t>Altum</w:t>
            </w:r>
            <w:proofErr w:type="spellEnd"/>
            <w:r w:rsidRPr="004E0D61">
              <w:rPr>
                <w:rFonts w:eastAsia="Times New Roman"/>
                <w:sz w:val="24"/>
                <w:szCs w:val="24"/>
                <w:lang w:val="lv-LV" w:eastAsia="lv-LV"/>
              </w:rPr>
              <w:t xml:space="preserve"> </w:t>
            </w:r>
            <w:r>
              <w:rPr>
                <w:rFonts w:eastAsia="Times New Roman"/>
                <w:sz w:val="24"/>
                <w:szCs w:val="24"/>
                <w:lang w:val="lv-LV" w:eastAsia="lv-LV"/>
              </w:rPr>
              <w:t>esošo funkciju ietvaros</w:t>
            </w:r>
            <w:r>
              <w:rPr>
                <w:sz w:val="24"/>
                <w:szCs w:val="24"/>
                <w:lang w:val="lv-LV"/>
              </w:rPr>
              <w:t>,</w:t>
            </w:r>
            <w:r w:rsidRPr="004E0D61">
              <w:rPr>
                <w:sz w:val="24"/>
                <w:szCs w:val="24"/>
                <w:lang w:val="lv-LV"/>
              </w:rPr>
              <w:t xml:space="preserve"> nav nepieciešams izveidot jaunas institūcijas</w:t>
            </w:r>
            <w:r>
              <w:rPr>
                <w:rFonts w:eastAsia="Times New Roman"/>
                <w:sz w:val="24"/>
                <w:szCs w:val="24"/>
                <w:lang w:val="lv-LV" w:eastAsia="lv-LV"/>
              </w:rPr>
              <w:t xml:space="preserve">, likvidēt </w:t>
            </w:r>
            <w:r w:rsidRPr="00057F5C">
              <w:rPr>
                <w:sz w:val="24"/>
                <w:szCs w:val="24"/>
                <w:lang w:val="lv-LV" w:eastAsia="lv-LV"/>
              </w:rPr>
              <w:t>esošas institūcijas vai veikt reorganizāciju.</w:t>
            </w:r>
          </w:p>
        </w:tc>
      </w:tr>
      <w:tr w:rsidR="00505336" w:rsidRPr="00150E3E" w:rsidTr="00505336">
        <w:trPr>
          <w:trHeight w:val="242"/>
        </w:trPr>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505336" w:rsidRPr="00193049" w:rsidRDefault="00505336" w:rsidP="003B236F">
            <w:pPr>
              <w:jc w:val="both"/>
              <w:rPr>
                <w:rFonts w:eastAsia="Times New Roman"/>
                <w:sz w:val="24"/>
                <w:szCs w:val="24"/>
                <w:lang w:val="lv-LV" w:eastAsia="lv-LV"/>
              </w:rPr>
            </w:pPr>
            <w:r w:rsidRPr="007043EB">
              <w:rPr>
                <w:rFonts w:eastAsia="Times New Roman"/>
                <w:sz w:val="24"/>
                <w:szCs w:val="24"/>
                <w:lang w:val="lv-LV" w:eastAsia="lv-LV"/>
              </w:rPr>
              <w:t>Cita informācija</w:t>
            </w:r>
          </w:p>
        </w:tc>
        <w:tc>
          <w:tcPr>
            <w:tcW w:w="6233"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505336" w:rsidRPr="00150E3E" w:rsidRDefault="00505336" w:rsidP="003B236F">
            <w:pPr>
              <w:jc w:val="both"/>
              <w:rPr>
                <w:rFonts w:eastAsia="Times New Roman"/>
                <w:sz w:val="24"/>
                <w:szCs w:val="24"/>
                <w:lang w:val="lv-LV" w:eastAsia="lv-LV"/>
              </w:rPr>
            </w:pPr>
            <w:r w:rsidRPr="00150E3E">
              <w:rPr>
                <w:rFonts w:eastAsia="Times New Roman"/>
                <w:sz w:val="24"/>
                <w:szCs w:val="24"/>
                <w:lang w:val="lv-LV" w:eastAsia="lv-LV"/>
              </w:rPr>
              <w:t>Nav.</w:t>
            </w:r>
          </w:p>
        </w:tc>
      </w:tr>
    </w:tbl>
    <w:p w:rsidR="00505336" w:rsidRDefault="00505336" w:rsidP="00C9779A">
      <w:pPr>
        <w:rPr>
          <w:sz w:val="16"/>
          <w:szCs w:val="16"/>
          <w:lang w:val="lv-LV"/>
        </w:rPr>
      </w:pPr>
    </w:p>
    <w:p w:rsidR="00505336" w:rsidRPr="007043EB" w:rsidRDefault="00505336" w:rsidP="00C9779A">
      <w:pPr>
        <w:rPr>
          <w:sz w:val="16"/>
          <w:szCs w:val="16"/>
          <w:lang w:val="lv-LV"/>
        </w:rPr>
      </w:pPr>
    </w:p>
    <w:p w:rsidR="00A9443F" w:rsidRPr="004E0D61" w:rsidRDefault="00A9443F" w:rsidP="00E009B0">
      <w:pPr>
        <w:rPr>
          <w:rFonts w:eastAsia="Times New Roman"/>
          <w:b/>
          <w:sz w:val="24"/>
          <w:szCs w:val="24"/>
          <w:lang w:val="lv-LV" w:eastAsia="lv-LV"/>
        </w:rPr>
      </w:pPr>
    </w:p>
    <w:p w:rsidR="00E009B0" w:rsidRPr="004E0D61" w:rsidRDefault="00E009B0" w:rsidP="00E009B0">
      <w:pPr>
        <w:rPr>
          <w:rFonts w:eastAsia="Times New Roman"/>
          <w:b/>
          <w:sz w:val="24"/>
          <w:szCs w:val="24"/>
          <w:lang w:val="lv-LV" w:eastAsia="lv-LV"/>
        </w:rPr>
        <w:sectPr w:rsidR="00E009B0" w:rsidRPr="004E0D61" w:rsidSect="00C97F6E">
          <w:type w:val="continuous"/>
          <w:pgSz w:w="11906" w:h="16838"/>
          <w:pgMar w:top="1418" w:right="1134" w:bottom="1134" w:left="1701" w:header="709" w:footer="709" w:gutter="0"/>
          <w:cols w:space="708"/>
          <w:titlePg/>
          <w:docGrid w:linePitch="360"/>
        </w:sectPr>
      </w:pPr>
      <w:r w:rsidRPr="007043EB">
        <w:rPr>
          <w:rFonts w:eastAsia="Times New Roman"/>
          <w:b/>
          <w:sz w:val="24"/>
          <w:szCs w:val="24"/>
          <w:lang w:val="lv-LV" w:eastAsia="lv-LV"/>
        </w:rPr>
        <w:t xml:space="preserve">Anotācijas III, IV, VI </w:t>
      </w:r>
      <w:r w:rsidR="006A640D" w:rsidRPr="00193049">
        <w:rPr>
          <w:rFonts w:eastAsia="Times New Roman"/>
          <w:b/>
          <w:sz w:val="24"/>
          <w:szCs w:val="24"/>
          <w:lang w:val="lv-LV" w:eastAsia="lv-LV"/>
        </w:rPr>
        <w:t>sadaļa – projekts šo jomu neskar.</w:t>
      </w:r>
    </w:p>
    <w:p w:rsidR="008930F7" w:rsidRPr="004E0D61" w:rsidRDefault="008930F7" w:rsidP="00F22471">
      <w:pPr>
        <w:tabs>
          <w:tab w:val="left" w:pos="7655"/>
        </w:tabs>
        <w:rPr>
          <w:sz w:val="24"/>
          <w:szCs w:val="24"/>
          <w:lang w:val="lv-LV"/>
        </w:rPr>
      </w:pPr>
    </w:p>
    <w:p w:rsidR="00373D91" w:rsidRPr="004E0D61" w:rsidRDefault="00373D91" w:rsidP="00F22471">
      <w:pPr>
        <w:tabs>
          <w:tab w:val="left" w:pos="7655"/>
        </w:tabs>
        <w:rPr>
          <w:sz w:val="24"/>
          <w:szCs w:val="24"/>
          <w:lang w:val="lv-LV"/>
        </w:rPr>
      </w:pPr>
    </w:p>
    <w:p w:rsidR="00BE6E9C" w:rsidRPr="004E0D61" w:rsidRDefault="00BE6E9C" w:rsidP="00A43665">
      <w:pPr>
        <w:tabs>
          <w:tab w:val="right" w:pos="9072"/>
        </w:tabs>
        <w:rPr>
          <w:sz w:val="24"/>
          <w:szCs w:val="24"/>
          <w:lang w:val="lv-LV"/>
        </w:rPr>
      </w:pPr>
    </w:p>
    <w:p w:rsidR="00B87CB1" w:rsidRPr="004E0D61" w:rsidRDefault="00AD4F58" w:rsidP="00B87CB1">
      <w:pPr>
        <w:rPr>
          <w:sz w:val="24"/>
          <w:szCs w:val="24"/>
          <w:lang w:val="lv-LV"/>
        </w:rPr>
      </w:pPr>
      <w:r w:rsidRPr="004E0D61">
        <w:rPr>
          <w:sz w:val="24"/>
          <w:szCs w:val="24"/>
          <w:lang w:val="lv-LV"/>
        </w:rPr>
        <w:t>Ekonomikas ministre</w:t>
      </w:r>
      <w:r w:rsidR="00B87CB1" w:rsidRPr="004E0D61">
        <w:rPr>
          <w:sz w:val="24"/>
          <w:szCs w:val="24"/>
          <w:lang w:val="lv-LV"/>
        </w:rPr>
        <w:tab/>
      </w:r>
      <w:r w:rsidR="00B87CB1" w:rsidRPr="004E0D61">
        <w:rPr>
          <w:sz w:val="24"/>
          <w:szCs w:val="24"/>
          <w:lang w:val="lv-LV"/>
        </w:rPr>
        <w:tab/>
      </w:r>
      <w:r w:rsidR="00B87CB1" w:rsidRPr="004E0D61">
        <w:rPr>
          <w:sz w:val="24"/>
          <w:szCs w:val="24"/>
          <w:lang w:val="lv-LV"/>
        </w:rPr>
        <w:tab/>
      </w:r>
      <w:r w:rsidR="00B87CB1" w:rsidRPr="004E0D61">
        <w:rPr>
          <w:sz w:val="24"/>
          <w:szCs w:val="24"/>
          <w:lang w:val="lv-LV"/>
        </w:rPr>
        <w:tab/>
      </w:r>
      <w:r w:rsidR="00B87CB1" w:rsidRPr="004E0D61">
        <w:rPr>
          <w:sz w:val="24"/>
          <w:szCs w:val="24"/>
          <w:lang w:val="lv-LV"/>
        </w:rPr>
        <w:tab/>
      </w:r>
      <w:r w:rsidR="00B87CB1" w:rsidRPr="004E0D61">
        <w:rPr>
          <w:sz w:val="24"/>
          <w:szCs w:val="24"/>
          <w:lang w:val="lv-LV"/>
        </w:rPr>
        <w:tab/>
      </w:r>
      <w:r w:rsidR="00B87CB1" w:rsidRPr="004E0D61">
        <w:rPr>
          <w:sz w:val="24"/>
          <w:szCs w:val="24"/>
          <w:lang w:val="lv-LV"/>
        </w:rPr>
        <w:tab/>
      </w:r>
      <w:r w:rsidRPr="004E0D61">
        <w:rPr>
          <w:sz w:val="24"/>
          <w:szCs w:val="24"/>
          <w:lang w:val="lv-LV"/>
        </w:rPr>
        <w:t xml:space="preserve">           </w:t>
      </w:r>
      <w:r w:rsidR="00B87CB1" w:rsidRPr="004E0D61">
        <w:rPr>
          <w:sz w:val="24"/>
          <w:szCs w:val="24"/>
          <w:lang w:val="lv-LV"/>
        </w:rPr>
        <w:t xml:space="preserve"> </w:t>
      </w:r>
      <w:r w:rsidRPr="004E0D61">
        <w:rPr>
          <w:sz w:val="24"/>
          <w:szCs w:val="24"/>
          <w:lang w:val="lv-LV"/>
        </w:rPr>
        <w:t>D.Reizniece-Ozola</w:t>
      </w:r>
    </w:p>
    <w:p w:rsidR="00BE6E9C" w:rsidRPr="004E0D61" w:rsidRDefault="00A43665" w:rsidP="008E5F7D">
      <w:pPr>
        <w:tabs>
          <w:tab w:val="right" w:pos="9072"/>
        </w:tabs>
        <w:rPr>
          <w:sz w:val="24"/>
          <w:szCs w:val="24"/>
          <w:lang w:val="lv-LV"/>
        </w:rPr>
      </w:pPr>
      <w:r w:rsidRPr="004E0D61">
        <w:rPr>
          <w:sz w:val="24"/>
          <w:szCs w:val="24"/>
          <w:lang w:val="lv-LV"/>
        </w:rPr>
        <w:tab/>
      </w:r>
      <w:r w:rsidRPr="004E0D61">
        <w:rPr>
          <w:sz w:val="24"/>
          <w:szCs w:val="24"/>
          <w:lang w:val="lv-LV"/>
        </w:rPr>
        <w:tab/>
      </w:r>
      <w:r w:rsidRPr="004E0D61">
        <w:rPr>
          <w:sz w:val="24"/>
          <w:szCs w:val="24"/>
          <w:lang w:val="lv-LV"/>
        </w:rPr>
        <w:tab/>
      </w:r>
      <w:r w:rsidRPr="004E0D61">
        <w:rPr>
          <w:sz w:val="24"/>
          <w:szCs w:val="24"/>
          <w:lang w:val="lv-LV"/>
        </w:rPr>
        <w:tab/>
      </w:r>
    </w:p>
    <w:p w:rsidR="007715A2" w:rsidRPr="004E0D61" w:rsidRDefault="00B74BCA" w:rsidP="00D95246">
      <w:pPr>
        <w:tabs>
          <w:tab w:val="right" w:pos="9072"/>
        </w:tabs>
        <w:rPr>
          <w:sz w:val="24"/>
          <w:szCs w:val="24"/>
          <w:lang w:val="lv-LV"/>
        </w:rPr>
      </w:pPr>
      <w:r w:rsidRPr="004E0D61">
        <w:rPr>
          <w:sz w:val="24"/>
          <w:szCs w:val="24"/>
          <w:lang w:val="lv-LV"/>
        </w:rPr>
        <w:t>Vīza: valsts sekretār</w:t>
      </w:r>
      <w:r w:rsidR="00D95246">
        <w:rPr>
          <w:sz w:val="24"/>
          <w:szCs w:val="24"/>
          <w:lang w:val="lv-LV"/>
        </w:rPr>
        <w:t>s</w:t>
      </w:r>
      <w:r w:rsidR="00D95246">
        <w:rPr>
          <w:sz w:val="24"/>
          <w:szCs w:val="24"/>
          <w:lang w:val="lv-LV"/>
        </w:rPr>
        <w:tab/>
        <w:t>R.Beinarovičs</w:t>
      </w:r>
      <w:r w:rsidR="00D95246">
        <w:rPr>
          <w:sz w:val="24"/>
          <w:szCs w:val="24"/>
          <w:lang w:val="lv-LV"/>
        </w:rPr>
        <w:tab/>
      </w:r>
      <w:r w:rsidR="00D95246">
        <w:rPr>
          <w:sz w:val="24"/>
          <w:szCs w:val="24"/>
          <w:lang w:val="lv-LV"/>
        </w:rPr>
        <w:tab/>
      </w:r>
      <w:r w:rsidR="00D95246">
        <w:rPr>
          <w:sz w:val="24"/>
          <w:szCs w:val="24"/>
          <w:lang w:val="lv-LV"/>
        </w:rPr>
        <w:tab/>
      </w:r>
      <w:r w:rsidR="00D95246">
        <w:rPr>
          <w:sz w:val="24"/>
          <w:szCs w:val="24"/>
          <w:lang w:val="lv-LV"/>
        </w:rPr>
        <w:tab/>
      </w:r>
      <w:r w:rsidR="00D95246">
        <w:rPr>
          <w:sz w:val="24"/>
          <w:szCs w:val="24"/>
          <w:lang w:val="lv-LV"/>
        </w:rPr>
        <w:tab/>
      </w:r>
      <w:r w:rsidR="00D95246">
        <w:rPr>
          <w:sz w:val="24"/>
          <w:szCs w:val="24"/>
          <w:lang w:val="lv-LV"/>
        </w:rPr>
        <w:tab/>
      </w:r>
      <w:r w:rsidR="00DD3D24" w:rsidRPr="004E0D61">
        <w:rPr>
          <w:sz w:val="24"/>
          <w:szCs w:val="24"/>
          <w:lang w:val="lv-LV"/>
        </w:rPr>
        <w:tab/>
      </w:r>
    </w:p>
    <w:p w:rsidR="00A9443F" w:rsidRPr="004E0D61" w:rsidRDefault="00A9443F" w:rsidP="00F22471">
      <w:pPr>
        <w:jc w:val="both"/>
        <w:rPr>
          <w:color w:val="000000"/>
          <w:sz w:val="28"/>
          <w:szCs w:val="28"/>
          <w:lang w:val="lv-LV"/>
        </w:rPr>
      </w:pPr>
    </w:p>
    <w:p w:rsidR="00A9443F" w:rsidRDefault="00A9443F" w:rsidP="00F22471">
      <w:pPr>
        <w:jc w:val="both"/>
        <w:rPr>
          <w:color w:val="000000"/>
          <w:sz w:val="28"/>
          <w:szCs w:val="28"/>
          <w:lang w:val="lv-LV"/>
        </w:rPr>
      </w:pPr>
    </w:p>
    <w:p w:rsidR="00D970AB" w:rsidRPr="004E0D61" w:rsidRDefault="00D970AB" w:rsidP="00F22471">
      <w:pPr>
        <w:jc w:val="both"/>
        <w:rPr>
          <w:color w:val="000000"/>
          <w:sz w:val="28"/>
          <w:szCs w:val="28"/>
          <w:lang w:val="lv-LV"/>
        </w:rPr>
      </w:pPr>
    </w:p>
    <w:p w:rsidR="00BF2F17" w:rsidRPr="00973A24" w:rsidRDefault="00F91217" w:rsidP="00F22471">
      <w:pPr>
        <w:jc w:val="both"/>
        <w:rPr>
          <w:lang w:val="lv-LV"/>
        </w:rPr>
      </w:pPr>
      <w:r w:rsidRPr="00973A24">
        <w:rPr>
          <w:lang w:val="lv-LV"/>
        </w:rPr>
        <w:fldChar w:fldCharType="begin"/>
      </w:r>
      <w:r w:rsidR="00BF2F17" w:rsidRPr="004E0D61">
        <w:rPr>
          <w:lang w:val="lv-LV"/>
        </w:rPr>
        <w:instrText xml:space="preserve"> TIME \@ "dd.MM.yyyy. H:mm" </w:instrText>
      </w:r>
      <w:r w:rsidRPr="00973A24">
        <w:rPr>
          <w:lang w:val="lv-LV"/>
        </w:rPr>
        <w:fldChar w:fldCharType="separate"/>
      </w:r>
      <w:r w:rsidR="00057F5C">
        <w:rPr>
          <w:noProof/>
          <w:lang w:val="lv-LV"/>
        </w:rPr>
        <w:t>27.07.2015. 12:11</w:t>
      </w:r>
      <w:r w:rsidRPr="00973A24">
        <w:rPr>
          <w:lang w:val="lv-LV"/>
        </w:rPr>
        <w:fldChar w:fldCharType="end"/>
      </w:r>
    </w:p>
    <w:p w:rsidR="00BF2F17" w:rsidRPr="00973A24" w:rsidRDefault="00B412B8" w:rsidP="00F22471">
      <w:pPr>
        <w:jc w:val="both"/>
        <w:rPr>
          <w:lang w:val="lv-LV"/>
        </w:rPr>
      </w:pPr>
      <w:r w:rsidRPr="00973A24">
        <w:rPr>
          <w:lang w:val="lv-LV"/>
        </w:rPr>
        <w:fldChar w:fldCharType="begin"/>
      </w:r>
      <w:r w:rsidRPr="00973A24">
        <w:rPr>
          <w:lang w:val="lv-LV"/>
        </w:rPr>
        <w:instrText xml:space="preserve"> NUMWORDS   \* MERGEFORMAT </w:instrText>
      </w:r>
      <w:r w:rsidRPr="00973A24">
        <w:rPr>
          <w:lang w:val="lv-LV"/>
        </w:rPr>
        <w:fldChar w:fldCharType="separate"/>
      </w:r>
      <w:r w:rsidR="007D14EE">
        <w:rPr>
          <w:noProof/>
          <w:lang w:val="lv-LV"/>
        </w:rPr>
        <w:t>1758</w:t>
      </w:r>
      <w:r w:rsidRPr="00973A24">
        <w:rPr>
          <w:noProof/>
          <w:lang w:val="lv-LV"/>
        </w:rPr>
        <w:fldChar w:fldCharType="end"/>
      </w:r>
    </w:p>
    <w:p w:rsidR="00643B54" w:rsidRPr="007043EB" w:rsidRDefault="00634095" w:rsidP="00F22471">
      <w:pPr>
        <w:jc w:val="both"/>
        <w:rPr>
          <w:color w:val="000000"/>
          <w:lang w:val="lv-LV"/>
        </w:rPr>
      </w:pPr>
      <w:r w:rsidRPr="004E0D61">
        <w:rPr>
          <w:color w:val="000000"/>
          <w:lang w:val="lv-LV"/>
        </w:rPr>
        <w:t>E.Dlohi</w:t>
      </w:r>
    </w:p>
    <w:p w:rsidR="00097583" w:rsidRPr="004E0D61" w:rsidRDefault="00B74BCA" w:rsidP="00F22471">
      <w:pPr>
        <w:jc w:val="both"/>
        <w:rPr>
          <w:color w:val="000000"/>
          <w:lang w:val="lv-LV"/>
        </w:rPr>
      </w:pPr>
      <w:r w:rsidRPr="007043EB">
        <w:rPr>
          <w:lang w:val="lv-LV"/>
        </w:rPr>
        <w:t>67013</w:t>
      </w:r>
      <w:r w:rsidR="00634095" w:rsidRPr="00193049">
        <w:rPr>
          <w:lang w:val="lv-LV"/>
        </w:rPr>
        <w:t>082</w:t>
      </w:r>
      <w:r w:rsidR="00386053" w:rsidRPr="00150E3E">
        <w:rPr>
          <w:lang w:val="lv-LV"/>
        </w:rPr>
        <w:t>,</w:t>
      </w:r>
      <w:r w:rsidRPr="00150E3E">
        <w:rPr>
          <w:lang w:val="lv-LV"/>
        </w:rPr>
        <w:t xml:space="preserve"> </w:t>
      </w:r>
      <w:hyperlink r:id="rId18" w:history="1">
        <w:r w:rsidR="00634095" w:rsidRPr="004E0D61">
          <w:rPr>
            <w:rStyle w:val="Hyperlink"/>
            <w:lang w:val="lv-LV"/>
          </w:rPr>
          <w:t>Elina.Dlohi@em.gov.lv</w:t>
        </w:r>
      </w:hyperlink>
    </w:p>
    <w:sectPr w:rsidR="00097583" w:rsidRPr="004E0D61"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AF" w:rsidRDefault="00672AAF" w:rsidP="00B014C2">
      <w:r>
        <w:separator/>
      </w:r>
    </w:p>
  </w:endnote>
  <w:endnote w:type="continuationSeparator" w:id="0">
    <w:p w:rsidR="00672AAF" w:rsidRDefault="00672AAF"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84" w:rsidRDefault="00AB00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634095" w:rsidRDefault="006817FB" w:rsidP="0094634F">
    <w:pPr>
      <w:pStyle w:val="BodyText"/>
    </w:pPr>
    <w:r>
      <w:rPr>
        <w:sz w:val="24"/>
        <w:szCs w:val="24"/>
      </w:rPr>
      <w:t>EMAnot_</w:t>
    </w:r>
    <w:r w:rsidR="00D11308">
      <w:rPr>
        <w:sz w:val="24"/>
        <w:szCs w:val="24"/>
      </w:rPr>
      <w:t>070414</w:t>
    </w:r>
    <w:r w:rsidR="00511C7D">
      <w:rPr>
        <w:sz w:val="24"/>
        <w:szCs w:val="24"/>
      </w:rPr>
      <w:t>_groz698</w:t>
    </w:r>
    <w:r w:rsidR="00511C7D" w:rsidRPr="00634095">
      <w:rPr>
        <w:sz w:val="24"/>
        <w:szCs w:val="24"/>
      </w:rPr>
      <w:t>; Ministru kabineta noteikumu projekta „</w:t>
    </w:r>
    <w:r w:rsidR="00511C7D" w:rsidRPr="00092473">
      <w:rPr>
        <w:sz w:val="24"/>
        <w:szCs w:val="24"/>
      </w:rPr>
      <w:t xml:space="preserve">Grozījumi Ministru kabineta 2011.gada 6.septembra noteikumos Nr.698 „Noteikumi par </w:t>
    </w:r>
    <w:proofErr w:type="spellStart"/>
    <w:r w:rsidR="00511C7D" w:rsidRPr="00092473">
      <w:rPr>
        <w:sz w:val="24"/>
        <w:szCs w:val="24"/>
      </w:rPr>
      <w:t>mikroaizdevumiem</w:t>
    </w:r>
    <w:proofErr w:type="spellEnd"/>
    <w:r w:rsidR="00511C7D" w:rsidRPr="00092473">
      <w:rPr>
        <w:sz w:val="24"/>
        <w:szCs w:val="24"/>
      </w:rPr>
      <w:t xml:space="preserve"> un </w:t>
    </w:r>
    <w:proofErr w:type="spellStart"/>
    <w:r w:rsidR="00511C7D" w:rsidRPr="00092473">
      <w:rPr>
        <w:sz w:val="24"/>
        <w:szCs w:val="24"/>
      </w:rPr>
      <w:t>grantiem</w:t>
    </w:r>
    <w:proofErr w:type="spellEnd"/>
    <w:r w:rsidR="00511C7D" w:rsidRPr="00092473">
      <w:rPr>
        <w:sz w:val="24"/>
        <w:szCs w:val="24"/>
      </w:rPr>
      <w:t xml:space="preserve"> Latvijas un Šveices sadarbības programmas individuālā projekta </w:t>
    </w:r>
    <w:r w:rsidR="00182AB8">
      <w:rPr>
        <w:sz w:val="24"/>
        <w:szCs w:val="24"/>
      </w:rPr>
      <w:t>„</w:t>
    </w:r>
    <w:proofErr w:type="spellStart"/>
    <w:r w:rsidR="00511C7D" w:rsidRPr="00092473">
      <w:rPr>
        <w:sz w:val="24"/>
        <w:szCs w:val="24"/>
      </w:rPr>
      <w:t>Mikrokreditēšanas</w:t>
    </w:r>
    <w:proofErr w:type="spellEnd"/>
    <w:r w:rsidR="00511C7D" w:rsidRPr="00092473">
      <w:rPr>
        <w:sz w:val="24"/>
        <w:szCs w:val="24"/>
      </w:rPr>
      <w:t xml:space="preserve"> programma</w:t>
    </w:r>
    <w:r w:rsidR="00182AB8">
      <w:rPr>
        <w:sz w:val="24"/>
        <w:szCs w:val="24"/>
      </w:rPr>
      <w:t>”</w:t>
    </w:r>
    <w:r w:rsidR="00511C7D" w:rsidRPr="00092473">
      <w:rPr>
        <w:sz w:val="24"/>
        <w:szCs w:val="24"/>
      </w:rPr>
      <w:t xml:space="preserve"> ietvaros</w:t>
    </w:r>
    <w:r w:rsidR="00511C7D">
      <w:rPr>
        <w:sz w:val="24"/>
        <w:szCs w:val="24"/>
      </w:rPr>
      <w:t xml:space="preserve">” </w:t>
    </w:r>
    <w:r w:rsidR="00511C7D" w:rsidRPr="00C33F2C">
      <w:rPr>
        <w:sz w:val="24"/>
        <w:szCs w:val="24"/>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184B80" w:rsidRDefault="00C72E16" w:rsidP="00D7256E">
    <w:pPr>
      <w:pStyle w:val="BodyText"/>
      <w:rPr>
        <w:sz w:val="20"/>
      </w:rPr>
    </w:pPr>
    <w:r>
      <w:rPr>
        <w:sz w:val="20"/>
      </w:rPr>
      <w:t>EMAnot_2</w:t>
    </w:r>
    <w:r w:rsidR="00AB0084">
      <w:rPr>
        <w:sz w:val="20"/>
      </w:rPr>
      <w:t>3</w:t>
    </w:r>
    <w:r>
      <w:rPr>
        <w:sz w:val="20"/>
      </w:rPr>
      <w:t>0</w:t>
    </w:r>
    <w:r w:rsidR="00E45771">
      <w:rPr>
        <w:sz w:val="20"/>
      </w:rPr>
      <w:t>7</w:t>
    </w:r>
    <w:r w:rsidR="00AD4F58">
      <w:rPr>
        <w:sz w:val="20"/>
      </w:rPr>
      <w:t>15</w:t>
    </w:r>
    <w:r>
      <w:rPr>
        <w:sz w:val="20"/>
      </w:rPr>
      <w:t>_groz</w:t>
    </w:r>
    <w:r w:rsidR="00511C7D" w:rsidRPr="00184B80">
      <w:rPr>
        <w:sz w:val="20"/>
      </w:rPr>
      <w:t>8</w:t>
    </w:r>
    <w:r>
      <w:rPr>
        <w:sz w:val="20"/>
      </w:rPr>
      <w:t>35</w:t>
    </w:r>
    <w:r w:rsidR="00511C7D" w:rsidRPr="00184B80">
      <w:rPr>
        <w:sz w:val="20"/>
      </w:rPr>
      <w:t xml:space="preserve">; </w:t>
    </w:r>
    <w:bookmarkStart w:id="0" w:name="OLE_LINK12"/>
    <w:bookmarkStart w:id="1" w:name="OLE_LINK13"/>
    <w:bookmarkStart w:id="2" w:name="_Hlk259447629"/>
    <w:r w:rsidR="00511C7D" w:rsidRPr="00184B80">
      <w:rPr>
        <w:sz w:val="20"/>
      </w:rPr>
      <w:t xml:space="preserve">Ministru kabineta noteikumu projekta </w:t>
    </w:r>
    <w:r w:rsidRPr="00C72E16">
      <w:rPr>
        <w:sz w:val="20"/>
      </w:rPr>
      <w:t xml:space="preserve">„Grozījumi Ministru kabineta 2008.gada 7.oktobra noteikumos Nr.835 „Noteikumi par darbības programmas „Uzņēmējdarbība un inovācijas” papildinājuma 2.3.2.1.aktivitāti „Biznesa inkubatori”” </w:t>
    </w:r>
    <w:r w:rsidR="00511C7D" w:rsidRPr="00184B80">
      <w:rPr>
        <w:sz w:val="20"/>
      </w:rPr>
      <w:t>sākotnējās ietekmes novērtējuma ziņojums (anotācija)</w:t>
    </w:r>
    <w:bookmarkEnd w:id="0"/>
    <w:bookmarkEnd w:id="1"/>
    <w:bookmarkEnd w:id="2"/>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16" w:rsidRPr="00184B80" w:rsidRDefault="00C72E16" w:rsidP="00C72E16">
    <w:pPr>
      <w:pStyle w:val="BodyText"/>
      <w:rPr>
        <w:sz w:val="20"/>
      </w:rPr>
    </w:pPr>
    <w:r>
      <w:rPr>
        <w:sz w:val="20"/>
      </w:rPr>
      <w:t>EMAnot_2</w:t>
    </w:r>
    <w:r w:rsidR="00AB0084">
      <w:rPr>
        <w:sz w:val="20"/>
      </w:rPr>
      <w:t>3</w:t>
    </w:r>
    <w:r>
      <w:rPr>
        <w:sz w:val="20"/>
      </w:rPr>
      <w:t>0</w:t>
    </w:r>
    <w:r w:rsidR="00E45771">
      <w:rPr>
        <w:sz w:val="20"/>
      </w:rPr>
      <w:t>7</w:t>
    </w:r>
    <w:r>
      <w:rPr>
        <w:sz w:val="20"/>
      </w:rPr>
      <w:t>15_groz</w:t>
    </w:r>
    <w:r w:rsidRPr="00184B80">
      <w:rPr>
        <w:sz w:val="20"/>
      </w:rPr>
      <w:t>8</w:t>
    </w:r>
    <w:r>
      <w:rPr>
        <w:sz w:val="20"/>
      </w:rPr>
      <w:t>35</w:t>
    </w:r>
    <w:r w:rsidRPr="00184B80">
      <w:rPr>
        <w:sz w:val="20"/>
      </w:rPr>
      <w:t xml:space="preserve">; Ministru kabineta noteikumu projekta </w:t>
    </w:r>
    <w:r w:rsidRPr="00C72E16">
      <w:rPr>
        <w:sz w:val="20"/>
      </w:rPr>
      <w:t xml:space="preserve">„Grozījumi Ministru kabineta 2008.gada 7.oktobra noteikumos Nr.835 „Noteikumi par darbības programmas „Uzņēmējdarbība un inovācijas” papildinājuma 2.3.2.1.aktivitāti „Biznesa inkubatori”” </w:t>
    </w:r>
    <w:r w:rsidRPr="00184B80">
      <w:rPr>
        <w:sz w:val="20"/>
      </w:rPr>
      <w:t>sākotnējās ietekmes novērtējuma ziņojums (anotācija)</w:t>
    </w:r>
  </w:p>
  <w:p w:rsidR="00D11308" w:rsidRPr="0067603D" w:rsidRDefault="00D11308" w:rsidP="0067603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08" w:rsidRPr="00C33F2C" w:rsidRDefault="00D11308" w:rsidP="00D7256E">
    <w:pPr>
      <w:pStyle w:val="BodyText"/>
      <w:rPr>
        <w:sz w:val="24"/>
        <w:szCs w:val="24"/>
      </w:rPr>
    </w:pPr>
    <w:r>
      <w:rPr>
        <w:sz w:val="24"/>
        <w:szCs w:val="24"/>
      </w:rPr>
      <w:t>EMAnot_010414_groz898</w:t>
    </w:r>
    <w:r w:rsidRPr="00634095">
      <w:rPr>
        <w:sz w:val="24"/>
        <w:szCs w:val="24"/>
      </w:rPr>
      <w:t>; Ministru kabineta noteikumu projekta „</w:t>
    </w:r>
    <w:r w:rsidRPr="0067603D">
      <w:rPr>
        <w:sz w:val="24"/>
        <w:szCs w:val="24"/>
      </w:rPr>
      <w:t xml:space="preserve">Grozījumi Ministru kabineta 2013.gada 24.septembra noteikumos Nr.898 „Noteikumi par apmācību nodrošināšanu saimnieciskās darbības uzsācējiem un personām, kas vēlas uzsākt saimniecisko darbību”” </w:t>
    </w:r>
    <w:r>
      <w:rPr>
        <w:sz w:val="24"/>
        <w:szCs w:val="24"/>
      </w:rPr>
      <w:t xml:space="preserve"> </w:t>
    </w:r>
    <w:r w:rsidRPr="00C33F2C">
      <w:rPr>
        <w:sz w:val="24"/>
        <w:szCs w:val="24"/>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AF" w:rsidRDefault="00672AAF" w:rsidP="00B014C2">
      <w:r>
        <w:separator/>
      </w:r>
    </w:p>
  </w:footnote>
  <w:footnote w:type="continuationSeparator" w:id="0">
    <w:p w:rsidR="00672AAF" w:rsidRDefault="00672AAF" w:rsidP="00B014C2">
      <w:r>
        <w:continuationSeparator/>
      </w:r>
    </w:p>
  </w:footnote>
  <w:footnote w:id="1">
    <w:p w:rsidR="00ED6E18" w:rsidRPr="00286A2A" w:rsidRDefault="00ED6E18" w:rsidP="00ED6E18">
      <w:pPr>
        <w:pStyle w:val="FootnoteText"/>
        <w:rPr>
          <w:sz w:val="16"/>
          <w:szCs w:val="16"/>
        </w:rPr>
      </w:pPr>
      <w:r>
        <w:rPr>
          <w:rStyle w:val="FootnoteReference"/>
        </w:rPr>
        <w:footnoteRef/>
      </w:r>
      <w:r>
        <w:t xml:space="preserve"> </w:t>
      </w:r>
      <w:proofErr w:type="spellStart"/>
      <w:r w:rsidRPr="00286A2A">
        <w:rPr>
          <w:sz w:val="16"/>
          <w:szCs w:val="16"/>
        </w:rPr>
        <w:t>Eiropas</w:t>
      </w:r>
      <w:proofErr w:type="spellEnd"/>
      <w:r w:rsidRPr="00286A2A">
        <w:rPr>
          <w:sz w:val="16"/>
          <w:szCs w:val="16"/>
        </w:rPr>
        <w:t xml:space="preserve"> </w:t>
      </w:r>
      <w:proofErr w:type="spellStart"/>
      <w:r w:rsidRPr="00286A2A">
        <w:rPr>
          <w:sz w:val="16"/>
          <w:szCs w:val="16"/>
        </w:rPr>
        <w:t>Komisijas</w:t>
      </w:r>
      <w:proofErr w:type="spellEnd"/>
      <w:r w:rsidRPr="00286A2A">
        <w:rPr>
          <w:sz w:val="16"/>
          <w:szCs w:val="16"/>
        </w:rPr>
        <w:t xml:space="preserve"> </w:t>
      </w:r>
      <w:proofErr w:type="spellStart"/>
      <w:r w:rsidRPr="00286A2A">
        <w:rPr>
          <w:sz w:val="16"/>
          <w:szCs w:val="16"/>
        </w:rPr>
        <w:t>Reģionālās</w:t>
      </w:r>
      <w:proofErr w:type="spellEnd"/>
      <w:r w:rsidRPr="00286A2A">
        <w:rPr>
          <w:sz w:val="16"/>
          <w:szCs w:val="16"/>
        </w:rPr>
        <w:t xml:space="preserve"> </w:t>
      </w:r>
      <w:proofErr w:type="spellStart"/>
      <w:r w:rsidRPr="00286A2A">
        <w:rPr>
          <w:sz w:val="16"/>
          <w:szCs w:val="16"/>
        </w:rPr>
        <w:t>politikas</w:t>
      </w:r>
      <w:proofErr w:type="spellEnd"/>
      <w:r w:rsidRPr="00286A2A">
        <w:rPr>
          <w:sz w:val="16"/>
          <w:szCs w:val="16"/>
        </w:rPr>
        <w:t xml:space="preserve"> </w:t>
      </w:r>
      <w:proofErr w:type="spellStart"/>
      <w:r w:rsidRPr="00286A2A">
        <w:rPr>
          <w:sz w:val="16"/>
          <w:szCs w:val="16"/>
        </w:rPr>
        <w:t>ģenerāldirektorāta</w:t>
      </w:r>
      <w:proofErr w:type="spellEnd"/>
      <w:r w:rsidRPr="00286A2A">
        <w:rPr>
          <w:sz w:val="16"/>
          <w:szCs w:val="16"/>
        </w:rPr>
        <w:t xml:space="preserve"> </w:t>
      </w:r>
      <w:proofErr w:type="spellStart"/>
      <w:r w:rsidRPr="00286A2A">
        <w:rPr>
          <w:sz w:val="16"/>
          <w:szCs w:val="16"/>
        </w:rPr>
        <w:t>veiktā</w:t>
      </w:r>
      <w:proofErr w:type="spellEnd"/>
      <w:r w:rsidRPr="00286A2A">
        <w:rPr>
          <w:sz w:val="16"/>
          <w:szCs w:val="16"/>
        </w:rPr>
        <w:t xml:space="preserve"> </w:t>
      </w:r>
      <w:proofErr w:type="spellStart"/>
      <w:r w:rsidRPr="00286A2A">
        <w:rPr>
          <w:sz w:val="16"/>
          <w:szCs w:val="16"/>
        </w:rPr>
        <w:t>audita</w:t>
      </w:r>
      <w:proofErr w:type="spellEnd"/>
      <w:r w:rsidRPr="00286A2A">
        <w:rPr>
          <w:sz w:val="16"/>
          <w:szCs w:val="16"/>
        </w:rPr>
        <w:t xml:space="preserve"> par </w:t>
      </w:r>
      <w:proofErr w:type="spellStart"/>
      <w:r w:rsidRPr="00286A2A">
        <w:rPr>
          <w:sz w:val="16"/>
          <w:szCs w:val="16"/>
        </w:rPr>
        <w:t>Eiropas</w:t>
      </w:r>
      <w:proofErr w:type="spellEnd"/>
      <w:r w:rsidRPr="00286A2A">
        <w:rPr>
          <w:sz w:val="16"/>
          <w:szCs w:val="16"/>
        </w:rPr>
        <w:t xml:space="preserve"> </w:t>
      </w:r>
      <w:proofErr w:type="spellStart"/>
      <w:r w:rsidRPr="00286A2A">
        <w:rPr>
          <w:sz w:val="16"/>
          <w:szCs w:val="16"/>
        </w:rPr>
        <w:t>Reģionālās</w:t>
      </w:r>
      <w:proofErr w:type="spellEnd"/>
      <w:r w:rsidRPr="00286A2A">
        <w:rPr>
          <w:sz w:val="16"/>
          <w:szCs w:val="16"/>
        </w:rPr>
        <w:t xml:space="preserve"> </w:t>
      </w:r>
      <w:proofErr w:type="spellStart"/>
      <w:r w:rsidRPr="00286A2A">
        <w:rPr>
          <w:sz w:val="16"/>
          <w:szCs w:val="16"/>
        </w:rPr>
        <w:t>attīstības</w:t>
      </w:r>
      <w:proofErr w:type="spellEnd"/>
      <w:r w:rsidRPr="00286A2A">
        <w:rPr>
          <w:sz w:val="16"/>
          <w:szCs w:val="16"/>
        </w:rPr>
        <w:t xml:space="preserve"> </w:t>
      </w:r>
      <w:proofErr w:type="spellStart"/>
      <w:proofErr w:type="gramStart"/>
      <w:r w:rsidRPr="00286A2A">
        <w:rPr>
          <w:sz w:val="16"/>
          <w:szCs w:val="16"/>
        </w:rPr>
        <w:t>fonda</w:t>
      </w:r>
      <w:proofErr w:type="spellEnd"/>
      <w:proofErr w:type="gramEnd"/>
      <w:r w:rsidRPr="00286A2A">
        <w:rPr>
          <w:sz w:val="16"/>
          <w:szCs w:val="16"/>
        </w:rPr>
        <w:t xml:space="preserve"> </w:t>
      </w:r>
      <w:proofErr w:type="spellStart"/>
      <w:r w:rsidRPr="00286A2A">
        <w:rPr>
          <w:sz w:val="16"/>
          <w:szCs w:val="16"/>
        </w:rPr>
        <w:t>līdzfinansēto</w:t>
      </w:r>
      <w:proofErr w:type="spellEnd"/>
      <w:r w:rsidRPr="00286A2A">
        <w:rPr>
          <w:sz w:val="16"/>
          <w:szCs w:val="16"/>
        </w:rPr>
        <w:t xml:space="preserve"> </w:t>
      </w:r>
      <w:proofErr w:type="spellStart"/>
      <w:r w:rsidRPr="00286A2A">
        <w:rPr>
          <w:sz w:val="16"/>
          <w:szCs w:val="16"/>
        </w:rPr>
        <w:t>finanšu</w:t>
      </w:r>
      <w:proofErr w:type="spellEnd"/>
      <w:r w:rsidRPr="00286A2A">
        <w:rPr>
          <w:sz w:val="16"/>
          <w:szCs w:val="16"/>
        </w:rPr>
        <w:t xml:space="preserve"> </w:t>
      </w:r>
      <w:proofErr w:type="spellStart"/>
      <w:r w:rsidRPr="00286A2A">
        <w:rPr>
          <w:sz w:val="16"/>
          <w:szCs w:val="16"/>
        </w:rPr>
        <w:t>vadības</w:t>
      </w:r>
      <w:proofErr w:type="spellEnd"/>
      <w:r w:rsidRPr="00286A2A">
        <w:rPr>
          <w:sz w:val="16"/>
          <w:szCs w:val="16"/>
        </w:rPr>
        <w:t xml:space="preserve"> </w:t>
      </w:r>
      <w:proofErr w:type="spellStart"/>
      <w:r w:rsidRPr="00286A2A">
        <w:rPr>
          <w:sz w:val="16"/>
          <w:szCs w:val="16"/>
        </w:rPr>
        <w:t>instrumentu</w:t>
      </w:r>
      <w:proofErr w:type="spellEnd"/>
      <w:r w:rsidRPr="00286A2A">
        <w:rPr>
          <w:sz w:val="16"/>
          <w:szCs w:val="16"/>
        </w:rPr>
        <w:t xml:space="preserve"> </w:t>
      </w:r>
      <w:proofErr w:type="spellStart"/>
      <w:r w:rsidRPr="00286A2A">
        <w:rPr>
          <w:sz w:val="16"/>
          <w:szCs w:val="16"/>
        </w:rPr>
        <w:t>aktivitāšu</w:t>
      </w:r>
      <w:proofErr w:type="spellEnd"/>
      <w:r w:rsidRPr="00286A2A">
        <w:rPr>
          <w:sz w:val="16"/>
          <w:szCs w:val="16"/>
        </w:rPr>
        <w:t xml:space="preserve"> </w:t>
      </w:r>
      <w:proofErr w:type="spellStart"/>
      <w:r w:rsidRPr="00286A2A">
        <w:rPr>
          <w:sz w:val="16"/>
          <w:szCs w:val="16"/>
        </w:rPr>
        <w:t>īstenošanu</w:t>
      </w:r>
      <w:proofErr w:type="spellEnd"/>
      <w:r w:rsidRPr="00286A2A">
        <w:rPr>
          <w:sz w:val="16"/>
          <w:szCs w:val="16"/>
        </w:rPr>
        <w:t xml:space="preserve"> </w:t>
      </w:r>
      <w:proofErr w:type="spellStart"/>
      <w:r w:rsidRPr="00286A2A">
        <w:rPr>
          <w:sz w:val="16"/>
          <w:szCs w:val="16"/>
        </w:rPr>
        <w:t>Latvijā</w:t>
      </w:r>
      <w:proofErr w:type="spellEnd"/>
      <w:r w:rsidRPr="00286A2A">
        <w:rPr>
          <w:sz w:val="16"/>
          <w:szCs w:val="16"/>
        </w:rPr>
        <w:t xml:space="preserve"> un </w:t>
      </w:r>
      <w:proofErr w:type="spellStart"/>
      <w:r w:rsidRPr="00286A2A">
        <w:rPr>
          <w:sz w:val="16"/>
          <w:szCs w:val="16"/>
        </w:rPr>
        <w:t>audita</w:t>
      </w:r>
      <w:proofErr w:type="spellEnd"/>
      <w:r w:rsidRPr="00286A2A">
        <w:rPr>
          <w:sz w:val="16"/>
          <w:szCs w:val="16"/>
        </w:rPr>
        <w:t xml:space="preserve"> </w:t>
      </w:r>
      <w:proofErr w:type="spellStart"/>
      <w:r w:rsidRPr="00286A2A">
        <w:rPr>
          <w:sz w:val="16"/>
          <w:szCs w:val="16"/>
        </w:rPr>
        <w:t>rezultātiem</w:t>
      </w:r>
      <w:proofErr w:type="spellEnd"/>
      <w:r w:rsidRPr="00286A2A">
        <w:rPr>
          <w:sz w:val="16"/>
          <w:szCs w:val="16"/>
        </w:rPr>
        <w:t xml:space="preserve"> gala </w:t>
      </w:r>
      <w:proofErr w:type="spellStart"/>
      <w:r w:rsidRPr="00286A2A">
        <w:rPr>
          <w:sz w:val="16"/>
          <w:szCs w:val="16"/>
        </w:rPr>
        <w:t>ziņojums</w:t>
      </w:r>
      <w:proofErr w:type="spellEnd"/>
      <w:r w:rsidRPr="00286A2A">
        <w:rPr>
          <w:sz w:val="16"/>
          <w:szCs w:val="16"/>
        </w:rPr>
        <w:t xml:space="preserve"> 15.03</w:t>
      </w:r>
      <w:r>
        <w:rPr>
          <w:sz w:val="16"/>
          <w:szCs w:val="16"/>
        </w:rPr>
        <w:t>.2013. Nr. ARES (2013) 3475452)</w:t>
      </w:r>
    </w:p>
    <w:p w:rsidR="00ED6E18" w:rsidRPr="00ED6E18" w:rsidRDefault="00ED6E18">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84" w:rsidRDefault="00AB00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511C7D" w:rsidRPr="00B014C2" w:rsidRDefault="00F91217">
        <w:pPr>
          <w:pStyle w:val="Header"/>
          <w:jc w:val="center"/>
          <w:rPr>
            <w:sz w:val="24"/>
            <w:szCs w:val="24"/>
          </w:rPr>
        </w:pPr>
        <w:r w:rsidRPr="00B014C2">
          <w:rPr>
            <w:sz w:val="24"/>
            <w:szCs w:val="24"/>
          </w:rPr>
          <w:fldChar w:fldCharType="begin"/>
        </w:r>
        <w:r w:rsidR="00511C7D" w:rsidRPr="00B014C2">
          <w:rPr>
            <w:sz w:val="24"/>
            <w:szCs w:val="24"/>
          </w:rPr>
          <w:instrText xml:space="preserve"> PAGE   \* MERGEFORMAT </w:instrText>
        </w:r>
        <w:r w:rsidRPr="00B014C2">
          <w:rPr>
            <w:sz w:val="24"/>
            <w:szCs w:val="24"/>
          </w:rPr>
          <w:fldChar w:fldCharType="separate"/>
        </w:r>
        <w:r w:rsidR="00E009B0">
          <w:rPr>
            <w:noProof/>
            <w:sz w:val="24"/>
            <w:szCs w:val="24"/>
          </w:rPr>
          <w:t>2</w:t>
        </w:r>
        <w:r w:rsidRPr="00B014C2">
          <w:rPr>
            <w:sz w:val="24"/>
            <w:szCs w:val="24"/>
          </w:rPr>
          <w:fldChar w:fldCharType="end"/>
        </w:r>
      </w:p>
    </w:sdtContent>
  </w:sdt>
  <w:p w:rsidR="00511C7D" w:rsidRDefault="00511C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84" w:rsidRDefault="00AB00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32371"/>
      <w:docPartObj>
        <w:docPartGallery w:val="Page Numbers (Top of Page)"/>
        <w:docPartUnique/>
      </w:docPartObj>
    </w:sdtPr>
    <w:sdtEndPr>
      <w:rPr>
        <w:sz w:val="24"/>
        <w:szCs w:val="24"/>
      </w:rPr>
    </w:sdtEndPr>
    <w:sdtContent>
      <w:p w:rsidR="00D11308" w:rsidRPr="00B014C2" w:rsidRDefault="00D11308">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057F5C">
          <w:rPr>
            <w:noProof/>
            <w:sz w:val="24"/>
            <w:szCs w:val="24"/>
          </w:rPr>
          <w:t>3</w:t>
        </w:r>
        <w:r w:rsidRPr="00B014C2">
          <w:rPr>
            <w:sz w:val="24"/>
            <w:szCs w:val="24"/>
          </w:rPr>
          <w:fldChar w:fldCharType="end"/>
        </w:r>
      </w:p>
    </w:sdtContent>
  </w:sdt>
  <w:p w:rsidR="00D11308" w:rsidRDefault="00D11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0F7"/>
    <w:multiLevelType w:val="hybridMultilevel"/>
    <w:tmpl w:val="427E567E"/>
    <w:lvl w:ilvl="0" w:tplc="7DDE18B6">
      <w:start w:val="2"/>
      <w:numFmt w:val="bullet"/>
      <w:lvlText w:val="-"/>
      <w:lvlJc w:val="left"/>
      <w:pPr>
        <w:ind w:left="432" w:hanging="360"/>
      </w:pPr>
      <w:rPr>
        <w:rFonts w:ascii="Times New Roman" w:eastAsia="Times New Roman" w:hAnsi="Times New Roman" w:cs="Times New Roman"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16980861"/>
    <w:multiLevelType w:val="hybridMultilevel"/>
    <w:tmpl w:val="6C2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EA2657C"/>
    <w:multiLevelType w:val="hybridMultilevel"/>
    <w:tmpl w:val="FD66F9EC"/>
    <w:lvl w:ilvl="0" w:tplc="762AB5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62C7345"/>
    <w:multiLevelType w:val="hybridMultilevel"/>
    <w:tmpl w:val="1BEEEE6E"/>
    <w:lvl w:ilvl="0" w:tplc="5A8651A8">
      <w:start w:val="9"/>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1">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6">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7">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5"/>
  </w:num>
  <w:num w:numId="2">
    <w:abstractNumId w:val="8"/>
  </w:num>
  <w:num w:numId="3">
    <w:abstractNumId w:val="13"/>
  </w:num>
  <w:num w:numId="4">
    <w:abstractNumId w:val="2"/>
  </w:num>
  <w:num w:numId="5">
    <w:abstractNumId w:val="1"/>
  </w:num>
  <w:num w:numId="6">
    <w:abstractNumId w:val="11"/>
  </w:num>
  <w:num w:numId="7">
    <w:abstractNumId w:val="17"/>
  </w:num>
  <w:num w:numId="8">
    <w:abstractNumId w:val="7"/>
  </w:num>
  <w:num w:numId="9">
    <w:abstractNumId w:val="12"/>
  </w:num>
  <w:num w:numId="10">
    <w:abstractNumId w:val="14"/>
  </w:num>
  <w:num w:numId="11">
    <w:abstractNumId w:val="4"/>
  </w:num>
  <w:num w:numId="12">
    <w:abstractNumId w:val="9"/>
  </w:num>
  <w:num w:numId="13">
    <w:abstractNumId w:val="16"/>
  </w:num>
  <w:num w:numId="14">
    <w:abstractNumId w:val="3"/>
  </w:num>
  <w:num w:numId="15">
    <w:abstractNumId w:val="6"/>
  </w:num>
  <w:num w:numId="16">
    <w:abstractNumId w:val="10"/>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57B"/>
    <w:rsid w:val="0001186C"/>
    <w:rsid w:val="000120A0"/>
    <w:rsid w:val="00014006"/>
    <w:rsid w:val="0001626D"/>
    <w:rsid w:val="0001764D"/>
    <w:rsid w:val="00020A02"/>
    <w:rsid w:val="000214DF"/>
    <w:rsid w:val="00026BA7"/>
    <w:rsid w:val="00026C03"/>
    <w:rsid w:val="0002711F"/>
    <w:rsid w:val="000275AB"/>
    <w:rsid w:val="0002762A"/>
    <w:rsid w:val="0003026D"/>
    <w:rsid w:val="00031099"/>
    <w:rsid w:val="000320DD"/>
    <w:rsid w:val="0003693D"/>
    <w:rsid w:val="00036DF1"/>
    <w:rsid w:val="00036E03"/>
    <w:rsid w:val="00037BF7"/>
    <w:rsid w:val="0004167C"/>
    <w:rsid w:val="000445F3"/>
    <w:rsid w:val="000467E4"/>
    <w:rsid w:val="00047D03"/>
    <w:rsid w:val="00047EF5"/>
    <w:rsid w:val="00050184"/>
    <w:rsid w:val="00050EA4"/>
    <w:rsid w:val="00052380"/>
    <w:rsid w:val="000564DA"/>
    <w:rsid w:val="00057F5C"/>
    <w:rsid w:val="00060D39"/>
    <w:rsid w:val="000643D5"/>
    <w:rsid w:val="00071114"/>
    <w:rsid w:val="000729ED"/>
    <w:rsid w:val="00072ECD"/>
    <w:rsid w:val="00081C1D"/>
    <w:rsid w:val="00081F44"/>
    <w:rsid w:val="00083704"/>
    <w:rsid w:val="000847AE"/>
    <w:rsid w:val="0008484B"/>
    <w:rsid w:val="0008486C"/>
    <w:rsid w:val="00086412"/>
    <w:rsid w:val="00087524"/>
    <w:rsid w:val="00091DBA"/>
    <w:rsid w:val="00092473"/>
    <w:rsid w:val="00097583"/>
    <w:rsid w:val="000A164A"/>
    <w:rsid w:val="000A2831"/>
    <w:rsid w:val="000A402E"/>
    <w:rsid w:val="000A4AED"/>
    <w:rsid w:val="000A5FB9"/>
    <w:rsid w:val="000B0719"/>
    <w:rsid w:val="000B08FC"/>
    <w:rsid w:val="000B10BD"/>
    <w:rsid w:val="000B2AE3"/>
    <w:rsid w:val="000B38B3"/>
    <w:rsid w:val="000C24DD"/>
    <w:rsid w:val="000C3A0B"/>
    <w:rsid w:val="000D0388"/>
    <w:rsid w:val="000D19C8"/>
    <w:rsid w:val="000D2F05"/>
    <w:rsid w:val="000D4DC9"/>
    <w:rsid w:val="000D6DF2"/>
    <w:rsid w:val="000E2F17"/>
    <w:rsid w:val="000E409F"/>
    <w:rsid w:val="000E4277"/>
    <w:rsid w:val="000E76F0"/>
    <w:rsid w:val="000F0232"/>
    <w:rsid w:val="000F6C72"/>
    <w:rsid w:val="000F6E9E"/>
    <w:rsid w:val="001000B5"/>
    <w:rsid w:val="001002E4"/>
    <w:rsid w:val="0010079A"/>
    <w:rsid w:val="0010385C"/>
    <w:rsid w:val="00103FE1"/>
    <w:rsid w:val="0010410B"/>
    <w:rsid w:val="001047E8"/>
    <w:rsid w:val="00111FD4"/>
    <w:rsid w:val="00115E25"/>
    <w:rsid w:val="0011777C"/>
    <w:rsid w:val="00120651"/>
    <w:rsid w:val="0012067B"/>
    <w:rsid w:val="00120C26"/>
    <w:rsid w:val="001232D1"/>
    <w:rsid w:val="00125151"/>
    <w:rsid w:val="001254CC"/>
    <w:rsid w:val="001267F1"/>
    <w:rsid w:val="001305B3"/>
    <w:rsid w:val="00130D33"/>
    <w:rsid w:val="00131980"/>
    <w:rsid w:val="00131C62"/>
    <w:rsid w:val="00134D57"/>
    <w:rsid w:val="00134E0F"/>
    <w:rsid w:val="00135D52"/>
    <w:rsid w:val="00137110"/>
    <w:rsid w:val="001428EB"/>
    <w:rsid w:val="00142A69"/>
    <w:rsid w:val="00142AC2"/>
    <w:rsid w:val="00142CBB"/>
    <w:rsid w:val="00144D39"/>
    <w:rsid w:val="00150E3E"/>
    <w:rsid w:val="00153C1A"/>
    <w:rsid w:val="00155953"/>
    <w:rsid w:val="001611D0"/>
    <w:rsid w:val="00161A5C"/>
    <w:rsid w:val="0017312C"/>
    <w:rsid w:val="001733BE"/>
    <w:rsid w:val="0017472D"/>
    <w:rsid w:val="001764E7"/>
    <w:rsid w:val="00176C54"/>
    <w:rsid w:val="00182537"/>
    <w:rsid w:val="00182AB8"/>
    <w:rsid w:val="00182CC4"/>
    <w:rsid w:val="001831F7"/>
    <w:rsid w:val="00184308"/>
    <w:rsid w:val="00184B80"/>
    <w:rsid w:val="00184C02"/>
    <w:rsid w:val="00184E37"/>
    <w:rsid w:val="00186895"/>
    <w:rsid w:val="001871BB"/>
    <w:rsid w:val="00190498"/>
    <w:rsid w:val="00191102"/>
    <w:rsid w:val="00191B2C"/>
    <w:rsid w:val="00193049"/>
    <w:rsid w:val="00194800"/>
    <w:rsid w:val="00196D43"/>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979"/>
    <w:rsid w:val="001C6A1F"/>
    <w:rsid w:val="001D02A2"/>
    <w:rsid w:val="001D1419"/>
    <w:rsid w:val="001D2EDB"/>
    <w:rsid w:val="001D39D9"/>
    <w:rsid w:val="001D416F"/>
    <w:rsid w:val="001D46D6"/>
    <w:rsid w:val="001D5E9C"/>
    <w:rsid w:val="001D76FC"/>
    <w:rsid w:val="001E3BD0"/>
    <w:rsid w:val="001E5031"/>
    <w:rsid w:val="001E6651"/>
    <w:rsid w:val="001E7BB7"/>
    <w:rsid w:val="001F02C1"/>
    <w:rsid w:val="001F5894"/>
    <w:rsid w:val="001F6151"/>
    <w:rsid w:val="001F7527"/>
    <w:rsid w:val="00200612"/>
    <w:rsid w:val="00205FEE"/>
    <w:rsid w:val="0021241F"/>
    <w:rsid w:val="00213D6A"/>
    <w:rsid w:val="002149CB"/>
    <w:rsid w:val="00216B96"/>
    <w:rsid w:val="00221058"/>
    <w:rsid w:val="00221205"/>
    <w:rsid w:val="00221561"/>
    <w:rsid w:val="00221CAE"/>
    <w:rsid w:val="00222A92"/>
    <w:rsid w:val="00224C7C"/>
    <w:rsid w:val="0023085A"/>
    <w:rsid w:val="00230FB6"/>
    <w:rsid w:val="00231EB0"/>
    <w:rsid w:val="00233657"/>
    <w:rsid w:val="00233F7A"/>
    <w:rsid w:val="0023462C"/>
    <w:rsid w:val="00234C58"/>
    <w:rsid w:val="00234DDC"/>
    <w:rsid w:val="00235168"/>
    <w:rsid w:val="00236989"/>
    <w:rsid w:val="002428B8"/>
    <w:rsid w:val="00245D09"/>
    <w:rsid w:val="00247529"/>
    <w:rsid w:val="002507A0"/>
    <w:rsid w:val="002523D8"/>
    <w:rsid w:val="002543B5"/>
    <w:rsid w:val="0025484B"/>
    <w:rsid w:val="00257EAE"/>
    <w:rsid w:val="00261B9F"/>
    <w:rsid w:val="00261C80"/>
    <w:rsid w:val="00263D2C"/>
    <w:rsid w:val="0026446F"/>
    <w:rsid w:val="00265C1B"/>
    <w:rsid w:val="002701D0"/>
    <w:rsid w:val="002702EB"/>
    <w:rsid w:val="00271EC3"/>
    <w:rsid w:val="00280A6B"/>
    <w:rsid w:val="00284232"/>
    <w:rsid w:val="00285613"/>
    <w:rsid w:val="00285CAB"/>
    <w:rsid w:val="0028698C"/>
    <w:rsid w:val="00287254"/>
    <w:rsid w:val="00290331"/>
    <w:rsid w:val="0029068E"/>
    <w:rsid w:val="00290B8B"/>
    <w:rsid w:val="00292268"/>
    <w:rsid w:val="0029306A"/>
    <w:rsid w:val="002954D4"/>
    <w:rsid w:val="00295C0F"/>
    <w:rsid w:val="00297E4A"/>
    <w:rsid w:val="002A0052"/>
    <w:rsid w:val="002A0CEE"/>
    <w:rsid w:val="002A1CBE"/>
    <w:rsid w:val="002B30A6"/>
    <w:rsid w:val="002B34B0"/>
    <w:rsid w:val="002B4D01"/>
    <w:rsid w:val="002B667D"/>
    <w:rsid w:val="002B768A"/>
    <w:rsid w:val="002C0E0E"/>
    <w:rsid w:val="002C20C8"/>
    <w:rsid w:val="002C4039"/>
    <w:rsid w:val="002D259E"/>
    <w:rsid w:val="002D3E95"/>
    <w:rsid w:val="002D4137"/>
    <w:rsid w:val="002D43D4"/>
    <w:rsid w:val="002D7C26"/>
    <w:rsid w:val="002E1D56"/>
    <w:rsid w:val="002E3CFA"/>
    <w:rsid w:val="002E6122"/>
    <w:rsid w:val="002E6EB6"/>
    <w:rsid w:val="002E7059"/>
    <w:rsid w:val="002E7530"/>
    <w:rsid w:val="002E7962"/>
    <w:rsid w:val="002E7BEF"/>
    <w:rsid w:val="002F063C"/>
    <w:rsid w:val="002F423D"/>
    <w:rsid w:val="002F4553"/>
    <w:rsid w:val="002F6D2C"/>
    <w:rsid w:val="003000F0"/>
    <w:rsid w:val="0030208D"/>
    <w:rsid w:val="003124BE"/>
    <w:rsid w:val="00314594"/>
    <w:rsid w:val="00314A13"/>
    <w:rsid w:val="00315BB0"/>
    <w:rsid w:val="00320EB0"/>
    <w:rsid w:val="00321E80"/>
    <w:rsid w:val="00322A15"/>
    <w:rsid w:val="00324F11"/>
    <w:rsid w:val="00330AF0"/>
    <w:rsid w:val="003312F2"/>
    <w:rsid w:val="00335837"/>
    <w:rsid w:val="00335C2E"/>
    <w:rsid w:val="003365BB"/>
    <w:rsid w:val="003369C8"/>
    <w:rsid w:val="003372CD"/>
    <w:rsid w:val="00340E1F"/>
    <w:rsid w:val="00341D01"/>
    <w:rsid w:val="0034284E"/>
    <w:rsid w:val="00344B27"/>
    <w:rsid w:val="0034724B"/>
    <w:rsid w:val="0034794E"/>
    <w:rsid w:val="003479DF"/>
    <w:rsid w:val="003539C1"/>
    <w:rsid w:val="00356364"/>
    <w:rsid w:val="0035647E"/>
    <w:rsid w:val="00356CDF"/>
    <w:rsid w:val="00357B86"/>
    <w:rsid w:val="00360437"/>
    <w:rsid w:val="00360962"/>
    <w:rsid w:val="003611ED"/>
    <w:rsid w:val="00361DA6"/>
    <w:rsid w:val="00362D30"/>
    <w:rsid w:val="003707C8"/>
    <w:rsid w:val="00373D91"/>
    <w:rsid w:val="0037466C"/>
    <w:rsid w:val="00376A40"/>
    <w:rsid w:val="00382BA7"/>
    <w:rsid w:val="00383500"/>
    <w:rsid w:val="00384799"/>
    <w:rsid w:val="00385DB0"/>
    <w:rsid w:val="00386053"/>
    <w:rsid w:val="00391942"/>
    <w:rsid w:val="00393AA0"/>
    <w:rsid w:val="00396D2E"/>
    <w:rsid w:val="003A5545"/>
    <w:rsid w:val="003A56E6"/>
    <w:rsid w:val="003A5F98"/>
    <w:rsid w:val="003A7D89"/>
    <w:rsid w:val="003B04FD"/>
    <w:rsid w:val="003B060D"/>
    <w:rsid w:val="003B21C3"/>
    <w:rsid w:val="003B2464"/>
    <w:rsid w:val="003B3003"/>
    <w:rsid w:val="003B3450"/>
    <w:rsid w:val="003B4994"/>
    <w:rsid w:val="003B5399"/>
    <w:rsid w:val="003B590B"/>
    <w:rsid w:val="003C1C94"/>
    <w:rsid w:val="003C406A"/>
    <w:rsid w:val="003C4ADF"/>
    <w:rsid w:val="003C5329"/>
    <w:rsid w:val="003D342E"/>
    <w:rsid w:val="003D3A14"/>
    <w:rsid w:val="003E0167"/>
    <w:rsid w:val="003E0BD3"/>
    <w:rsid w:val="003E284A"/>
    <w:rsid w:val="003E2968"/>
    <w:rsid w:val="003E3604"/>
    <w:rsid w:val="003E6CB3"/>
    <w:rsid w:val="003F0C4F"/>
    <w:rsid w:val="003F17ED"/>
    <w:rsid w:val="003F4E09"/>
    <w:rsid w:val="00401C5F"/>
    <w:rsid w:val="00402B2B"/>
    <w:rsid w:val="00404C10"/>
    <w:rsid w:val="00404D4B"/>
    <w:rsid w:val="00406C83"/>
    <w:rsid w:val="004074FD"/>
    <w:rsid w:val="00410EC7"/>
    <w:rsid w:val="00410F9E"/>
    <w:rsid w:val="00410FEE"/>
    <w:rsid w:val="00414CC7"/>
    <w:rsid w:val="00415C03"/>
    <w:rsid w:val="00416C3A"/>
    <w:rsid w:val="00420FC8"/>
    <w:rsid w:val="0042129F"/>
    <w:rsid w:val="004232D7"/>
    <w:rsid w:val="0042395B"/>
    <w:rsid w:val="0042472B"/>
    <w:rsid w:val="00431CB5"/>
    <w:rsid w:val="00434ACC"/>
    <w:rsid w:val="00435CDA"/>
    <w:rsid w:val="00436083"/>
    <w:rsid w:val="00436E46"/>
    <w:rsid w:val="00436E6A"/>
    <w:rsid w:val="0043732A"/>
    <w:rsid w:val="004413C4"/>
    <w:rsid w:val="00441C3F"/>
    <w:rsid w:val="004426FC"/>
    <w:rsid w:val="00442884"/>
    <w:rsid w:val="00443B04"/>
    <w:rsid w:val="0044567A"/>
    <w:rsid w:val="004465FC"/>
    <w:rsid w:val="00447613"/>
    <w:rsid w:val="004522D7"/>
    <w:rsid w:val="004527EA"/>
    <w:rsid w:val="00455309"/>
    <w:rsid w:val="00457B62"/>
    <w:rsid w:val="00457CC8"/>
    <w:rsid w:val="00460A29"/>
    <w:rsid w:val="00464DC5"/>
    <w:rsid w:val="00471BC1"/>
    <w:rsid w:val="00472EF3"/>
    <w:rsid w:val="00475A76"/>
    <w:rsid w:val="004775F4"/>
    <w:rsid w:val="00484C10"/>
    <w:rsid w:val="00485E0B"/>
    <w:rsid w:val="00486BD6"/>
    <w:rsid w:val="00487753"/>
    <w:rsid w:val="0049013B"/>
    <w:rsid w:val="00491F0A"/>
    <w:rsid w:val="004960FB"/>
    <w:rsid w:val="0049625F"/>
    <w:rsid w:val="00497086"/>
    <w:rsid w:val="004A22E5"/>
    <w:rsid w:val="004A554F"/>
    <w:rsid w:val="004B18A4"/>
    <w:rsid w:val="004B1FE7"/>
    <w:rsid w:val="004B3D19"/>
    <w:rsid w:val="004B77C0"/>
    <w:rsid w:val="004C1463"/>
    <w:rsid w:val="004D4997"/>
    <w:rsid w:val="004D54CD"/>
    <w:rsid w:val="004D6EF0"/>
    <w:rsid w:val="004D74C3"/>
    <w:rsid w:val="004D790D"/>
    <w:rsid w:val="004E01F5"/>
    <w:rsid w:val="004E0D61"/>
    <w:rsid w:val="004E3075"/>
    <w:rsid w:val="004E7B96"/>
    <w:rsid w:val="004F0E94"/>
    <w:rsid w:val="004F178A"/>
    <w:rsid w:val="004F2331"/>
    <w:rsid w:val="004F2B79"/>
    <w:rsid w:val="00501F08"/>
    <w:rsid w:val="00502247"/>
    <w:rsid w:val="00503D5C"/>
    <w:rsid w:val="00505336"/>
    <w:rsid w:val="00505A0D"/>
    <w:rsid w:val="00505B7D"/>
    <w:rsid w:val="00506DDA"/>
    <w:rsid w:val="00510235"/>
    <w:rsid w:val="00511ADB"/>
    <w:rsid w:val="00511C7D"/>
    <w:rsid w:val="0051358D"/>
    <w:rsid w:val="00513AF6"/>
    <w:rsid w:val="0051659E"/>
    <w:rsid w:val="00517C20"/>
    <w:rsid w:val="00522B62"/>
    <w:rsid w:val="00524D01"/>
    <w:rsid w:val="005254AB"/>
    <w:rsid w:val="00526A50"/>
    <w:rsid w:val="00530059"/>
    <w:rsid w:val="00530C47"/>
    <w:rsid w:val="00531687"/>
    <w:rsid w:val="00532532"/>
    <w:rsid w:val="00532EE4"/>
    <w:rsid w:val="00532FEB"/>
    <w:rsid w:val="00537A29"/>
    <w:rsid w:val="005422C3"/>
    <w:rsid w:val="00542739"/>
    <w:rsid w:val="00542F49"/>
    <w:rsid w:val="00543052"/>
    <w:rsid w:val="00546599"/>
    <w:rsid w:val="00546E77"/>
    <w:rsid w:val="00554A7A"/>
    <w:rsid w:val="005600B1"/>
    <w:rsid w:val="005631C8"/>
    <w:rsid w:val="0056506A"/>
    <w:rsid w:val="005663B6"/>
    <w:rsid w:val="0056795E"/>
    <w:rsid w:val="00570B3E"/>
    <w:rsid w:val="0057193A"/>
    <w:rsid w:val="005747E7"/>
    <w:rsid w:val="0057501D"/>
    <w:rsid w:val="00576AEE"/>
    <w:rsid w:val="00576D8A"/>
    <w:rsid w:val="00580317"/>
    <w:rsid w:val="0058086F"/>
    <w:rsid w:val="0058249F"/>
    <w:rsid w:val="00583A61"/>
    <w:rsid w:val="0058679B"/>
    <w:rsid w:val="005877DA"/>
    <w:rsid w:val="00592353"/>
    <w:rsid w:val="00593CA6"/>
    <w:rsid w:val="0059687D"/>
    <w:rsid w:val="0059700D"/>
    <w:rsid w:val="00597137"/>
    <w:rsid w:val="00597231"/>
    <w:rsid w:val="005A1D6F"/>
    <w:rsid w:val="005A2A2D"/>
    <w:rsid w:val="005A37FF"/>
    <w:rsid w:val="005A6E2E"/>
    <w:rsid w:val="005B29DE"/>
    <w:rsid w:val="005B4307"/>
    <w:rsid w:val="005C251D"/>
    <w:rsid w:val="005C6DDB"/>
    <w:rsid w:val="005D1164"/>
    <w:rsid w:val="005D1220"/>
    <w:rsid w:val="005D3658"/>
    <w:rsid w:val="005D4522"/>
    <w:rsid w:val="005D6171"/>
    <w:rsid w:val="005D6CB8"/>
    <w:rsid w:val="005E4730"/>
    <w:rsid w:val="005E69D2"/>
    <w:rsid w:val="005E70B9"/>
    <w:rsid w:val="005E713D"/>
    <w:rsid w:val="005F09EC"/>
    <w:rsid w:val="005F3202"/>
    <w:rsid w:val="00607722"/>
    <w:rsid w:val="00610DDF"/>
    <w:rsid w:val="00614602"/>
    <w:rsid w:val="006218A6"/>
    <w:rsid w:val="006249A2"/>
    <w:rsid w:val="00625D54"/>
    <w:rsid w:val="00626F78"/>
    <w:rsid w:val="00630367"/>
    <w:rsid w:val="006309F5"/>
    <w:rsid w:val="00630BAA"/>
    <w:rsid w:val="00631039"/>
    <w:rsid w:val="00634095"/>
    <w:rsid w:val="00636440"/>
    <w:rsid w:val="00641379"/>
    <w:rsid w:val="00643B54"/>
    <w:rsid w:val="006456BB"/>
    <w:rsid w:val="00647402"/>
    <w:rsid w:val="00650716"/>
    <w:rsid w:val="006509AA"/>
    <w:rsid w:val="006512F4"/>
    <w:rsid w:val="00651669"/>
    <w:rsid w:val="006543B3"/>
    <w:rsid w:val="00654C63"/>
    <w:rsid w:val="00663763"/>
    <w:rsid w:val="00664C33"/>
    <w:rsid w:val="00665020"/>
    <w:rsid w:val="0066776B"/>
    <w:rsid w:val="00667BAB"/>
    <w:rsid w:val="006711E1"/>
    <w:rsid w:val="006722B5"/>
    <w:rsid w:val="00672A2F"/>
    <w:rsid w:val="00672AAF"/>
    <w:rsid w:val="00673175"/>
    <w:rsid w:val="00674BA7"/>
    <w:rsid w:val="00676770"/>
    <w:rsid w:val="0068051B"/>
    <w:rsid w:val="00681496"/>
    <w:rsid w:val="006817FB"/>
    <w:rsid w:val="00682B64"/>
    <w:rsid w:val="0068409B"/>
    <w:rsid w:val="00684EA2"/>
    <w:rsid w:val="006910BE"/>
    <w:rsid w:val="00694A56"/>
    <w:rsid w:val="006A3A28"/>
    <w:rsid w:val="006A640D"/>
    <w:rsid w:val="006A668E"/>
    <w:rsid w:val="006A6AD4"/>
    <w:rsid w:val="006A7488"/>
    <w:rsid w:val="006A7638"/>
    <w:rsid w:val="006B0E03"/>
    <w:rsid w:val="006B369E"/>
    <w:rsid w:val="006C114F"/>
    <w:rsid w:val="006C15FA"/>
    <w:rsid w:val="006D0B9B"/>
    <w:rsid w:val="006D1F62"/>
    <w:rsid w:val="006D23AE"/>
    <w:rsid w:val="006D30BF"/>
    <w:rsid w:val="006D662F"/>
    <w:rsid w:val="006D69A4"/>
    <w:rsid w:val="006E07AC"/>
    <w:rsid w:val="006E09B6"/>
    <w:rsid w:val="006E0ECB"/>
    <w:rsid w:val="006E1F97"/>
    <w:rsid w:val="006E3949"/>
    <w:rsid w:val="006E5F71"/>
    <w:rsid w:val="006F02CA"/>
    <w:rsid w:val="006F0C19"/>
    <w:rsid w:val="006F24A8"/>
    <w:rsid w:val="006F56C1"/>
    <w:rsid w:val="007043EB"/>
    <w:rsid w:val="007049BD"/>
    <w:rsid w:val="007058E9"/>
    <w:rsid w:val="0070678E"/>
    <w:rsid w:val="00706EC2"/>
    <w:rsid w:val="00716874"/>
    <w:rsid w:val="00720EE5"/>
    <w:rsid w:val="007217E4"/>
    <w:rsid w:val="00721D6C"/>
    <w:rsid w:val="00721E50"/>
    <w:rsid w:val="00725107"/>
    <w:rsid w:val="00725B16"/>
    <w:rsid w:val="007278CF"/>
    <w:rsid w:val="00732C19"/>
    <w:rsid w:val="00732F77"/>
    <w:rsid w:val="007363F2"/>
    <w:rsid w:val="0073659F"/>
    <w:rsid w:val="00737AB8"/>
    <w:rsid w:val="00742BAF"/>
    <w:rsid w:val="00743E33"/>
    <w:rsid w:val="00744513"/>
    <w:rsid w:val="0075648C"/>
    <w:rsid w:val="00760AEB"/>
    <w:rsid w:val="00763941"/>
    <w:rsid w:val="00767185"/>
    <w:rsid w:val="00767E0F"/>
    <w:rsid w:val="007715A2"/>
    <w:rsid w:val="00771E40"/>
    <w:rsid w:val="0077435A"/>
    <w:rsid w:val="00781C31"/>
    <w:rsid w:val="0078720B"/>
    <w:rsid w:val="00790E90"/>
    <w:rsid w:val="00791433"/>
    <w:rsid w:val="007918C0"/>
    <w:rsid w:val="00793496"/>
    <w:rsid w:val="00793A6B"/>
    <w:rsid w:val="00794B98"/>
    <w:rsid w:val="00797D6F"/>
    <w:rsid w:val="007A0D95"/>
    <w:rsid w:val="007A14D0"/>
    <w:rsid w:val="007A2498"/>
    <w:rsid w:val="007B0767"/>
    <w:rsid w:val="007B461A"/>
    <w:rsid w:val="007C1582"/>
    <w:rsid w:val="007C2960"/>
    <w:rsid w:val="007C2992"/>
    <w:rsid w:val="007C62F5"/>
    <w:rsid w:val="007C7357"/>
    <w:rsid w:val="007C7B92"/>
    <w:rsid w:val="007D054D"/>
    <w:rsid w:val="007D14B7"/>
    <w:rsid w:val="007D14EE"/>
    <w:rsid w:val="007D45FD"/>
    <w:rsid w:val="007D6721"/>
    <w:rsid w:val="007D6900"/>
    <w:rsid w:val="007D7A8A"/>
    <w:rsid w:val="007E0403"/>
    <w:rsid w:val="007E0A01"/>
    <w:rsid w:val="007E1DC0"/>
    <w:rsid w:val="007E63F8"/>
    <w:rsid w:val="007E7623"/>
    <w:rsid w:val="007F0242"/>
    <w:rsid w:val="007F0C15"/>
    <w:rsid w:val="00800623"/>
    <w:rsid w:val="00810BB4"/>
    <w:rsid w:val="00812990"/>
    <w:rsid w:val="00814B24"/>
    <w:rsid w:val="0081539E"/>
    <w:rsid w:val="00815CC0"/>
    <w:rsid w:val="008173C3"/>
    <w:rsid w:val="00817839"/>
    <w:rsid w:val="00823419"/>
    <w:rsid w:val="00823C4F"/>
    <w:rsid w:val="0082492B"/>
    <w:rsid w:val="008253A7"/>
    <w:rsid w:val="008265EF"/>
    <w:rsid w:val="00827407"/>
    <w:rsid w:val="00836318"/>
    <w:rsid w:val="00837E38"/>
    <w:rsid w:val="00840961"/>
    <w:rsid w:val="00841443"/>
    <w:rsid w:val="008444BD"/>
    <w:rsid w:val="00844DC6"/>
    <w:rsid w:val="00851D2A"/>
    <w:rsid w:val="008535B7"/>
    <w:rsid w:val="00855B83"/>
    <w:rsid w:val="00860387"/>
    <w:rsid w:val="00861F33"/>
    <w:rsid w:val="008620C5"/>
    <w:rsid w:val="00864B8D"/>
    <w:rsid w:val="00864EFE"/>
    <w:rsid w:val="008657D2"/>
    <w:rsid w:val="00866076"/>
    <w:rsid w:val="00874C25"/>
    <w:rsid w:val="0087682B"/>
    <w:rsid w:val="00877F72"/>
    <w:rsid w:val="00877FED"/>
    <w:rsid w:val="00880F80"/>
    <w:rsid w:val="008822A5"/>
    <w:rsid w:val="008833AC"/>
    <w:rsid w:val="0088512F"/>
    <w:rsid w:val="00885C85"/>
    <w:rsid w:val="00890CFA"/>
    <w:rsid w:val="00891DAA"/>
    <w:rsid w:val="00891EFC"/>
    <w:rsid w:val="008930F7"/>
    <w:rsid w:val="0089622A"/>
    <w:rsid w:val="00897C16"/>
    <w:rsid w:val="008A4831"/>
    <w:rsid w:val="008A492C"/>
    <w:rsid w:val="008A4C41"/>
    <w:rsid w:val="008A515D"/>
    <w:rsid w:val="008A615D"/>
    <w:rsid w:val="008A6918"/>
    <w:rsid w:val="008A69DC"/>
    <w:rsid w:val="008B3A38"/>
    <w:rsid w:val="008B46BA"/>
    <w:rsid w:val="008B4856"/>
    <w:rsid w:val="008B7C3D"/>
    <w:rsid w:val="008C2886"/>
    <w:rsid w:val="008D1537"/>
    <w:rsid w:val="008D17E5"/>
    <w:rsid w:val="008D1CA0"/>
    <w:rsid w:val="008D6725"/>
    <w:rsid w:val="008D78FF"/>
    <w:rsid w:val="008E476F"/>
    <w:rsid w:val="008E54FE"/>
    <w:rsid w:val="008E5F7D"/>
    <w:rsid w:val="008E6217"/>
    <w:rsid w:val="008F48C1"/>
    <w:rsid w:val="008F4C9D"/>
    <w:rsid w:val="008F5394"/>
    <w:rsid w:val="008F636C"/>
    <w:rsid w:val="008F6397"/>
    <w:rsid w:val="008F6A72"/>
    <w:rsid w:val="0090048A"/>
    <w:rsid w:val="00901246"/>
    <w:rsid w:val="009041C1"/>
    <w:rsid w:val="0090449A"/>
    <w:rsid w:val="00904A06"/>
    <w:rsid w:val="0090536A"/>
    <w:rsid w:val="00911D0C"/>
    <w:rsid w:val="00914CB3"/>
    <w:rsid w:val="00916328"/>
    <w:rsid w:val="00917324"/>
    <w:rsid w:val="00920CC5"/>
    <w:rsid w:val="009223CF"/>
    <w:rsid w:val="009223E3"/>
    <w:rsid w:val="0092468A"/>
    <w:rsid w:val="009260C5"/>
    <w:rsid w:val="00930CFF"/>
    <w:rsid w:val="00932B78"/>
    <w:rsid w:val="00933744"/>
    <w:rsid w:val="009362BD"/>
    <w:rsid w:val="0094012A"/>
    <w:rsid w:val="00940388"/>
    <w:rsid w:val="009429B7"/>
    <w:rsid w:val="0094465D"/>
    <w:rsid w:val="00944903"/>
    <w:rsid w:val="009450CF"/>
    <w:rsid w:val="0094537B"/>
    <w:rsid w:val="00945AEE"/>
    <w:rsid w:val="0094634F"/>
    <w:rsid w:val="0094732D"/>
    <w:rsid w:val="00947CF8"/>
    <w:rsid w:val="009520C3"/>
    <w:rsid w:val="00955C80"/>
    <w:rsid w:val="0095680E"/>
    <w:rsid w:val="0095696B"/>
    <w:rsid w:val="00962693"/>
    <w:rsid w:val="00962CEA"/>
    <w:rsid w:val="00971B45"/>
    <w:rsid w:val="00972275"/>
    <w:rsid w:val="00973A24"/>
    <w:rsid w:val="00977A1D"/>
    <w:rsid w:val="0098472B"/>
    <w:rsid w:val="009906DC"/>
    <w:rsid w:val="00991430"/>
    <w:rsid w:val="0099344A"/>
    <w:rsid w:val="00994A10"/>
    <w:rsid w:val="00995388"/>
    <w:rsid w:val="00996D7F"/>
    <w:rsid w:val="009A164D"/>
    <w:rsid w:val="009A19C7"/>
    <w:rsid w:val="009A38AD"/>
    <w:rsid w:val="009A4558"/>
    <w:rsid w:val="009A4EC5"/>
    <w:rsid w:val="009A6C4D"/>
    <w:rsid w:val="009A712C"/>
    <w:rsid w:val="009B0DB2"/>
    <w:rsid w:val="009B2F66"/>
    <w:rsid w:val="009C1ADF"/>
    <w:rsid w:val="009C284D"/>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15ABE"/>
    <w:rsid w:val="00A246DC"/>
    <w:rsid w:val="00A271B4"/>
    <w:rsid w:val="00A30576"/>
    <w:rsid w:val="00A30F97"/>
    <w:rsid w:val="00A31FDC"/>
    <w:rsid w:val="00A32343"/>
    <w:rsid w:val="00A326B1"/>
    <w:rsid w:val="00A3336D"/>
    <w:rsid w:val="00A34047"/>
    <w:rsid w:val="00A34AC6"/>
    <w:rsid w:val="00A34F24"/>
    <w:rsid w:val="00A37DC3"/>
    <w:rsid w:val="00A425FC"/>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7BE9"/>
    <w:rsid w:val="00A9241A"/>
    <w:rsid w:val="00A9443F"/>
    <w:rsid w:val="00A95893"/>
    <w:rsid w:val="00A963C3"/>
    <w:rsid w:val="00A96F94"/>
    <w:rsid w:val="00AA127F"/>
    <w:rsid w:val="00AA230A"/>
    <w:rsid w:val="00AA52FB"/>
    <w:rsid w:val="00AA5C4F"/>
    <w:rsid w:val="00AA712A"/>
    <w:rsid w:val="00AA7E8A"/>
    <w:rsid w:val="00AB0084"/>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4F58"/>
    <w:rsid w:val="00AD5849"/>
    <w:rsid w:val="00AD7CF0"/>
    <w:rsid w:val="00AE05F1"/>
    <w:rsid w:val="00AE1659"/>
    <w:rsid w:val="00AE3351"/>
    <w:rsid w:val="00AE4EB6"/>
    <w:rsid w:val="00AE51EC"/>
    <w:rsid w:val="00AE6E0C"/>
    <w:rsid w:val="00AF1E99"/>
    <w:rsid w:val="00B014C2"/>
    <w:rsid w:val="00B033B8"/>
    <w:rsid w:val="00B0347F"/>
    <w:rsid w:val="00B04FAA"/>
    <w:rsid w:val="00B121E8"/>
    <w:rsid w:val="00B13499"/>
    <w:rsid w:val="00B148AB"/>
    <w:rsid w:val="00B1662F"/>
    <w:rsid w:val="00B20342"/>
    <w:rsid w:val="00B20D39"/>
    <w:rsid w:val="00B221CA"/>
    <w:rsid w:val="00B271A7"/>
    <w:rsid w:val="00B274BB"/>
    <w:rsid w:val="00B30133"/>
    <w:rsid w:val="00B37577"/>
    <w:rsid w:val="00B412B8"/>
    <w:rsid w:val="00B45711"/>
    <w:rsid w:val="00B46B34"/>
    <w:rsid w:val="00B47DBF"/>
    <w:rsid w:val="00B5655C"/>
    <w:rsid w:val="00B56EB8"/>
    <w:rsid w:val="00B57637"/>
    <w:rsid w:val="00B60083"/>
    <w:rsid w:val="00B60EEC"/>
    <w:rsid w:val="00B6151B"/>
    <w:rsid w:val="00B6155C"/>
    <w:rsid w:val="00B6163A"/>
    <w:rsid w:val="00B62197"/>
    <w:rsid w:val="00B63BE0"/>
    <w:rsid w:val="00B6474E"/>
    <w:rsid w:val="00B65CFA"/>
    <w:rsid w:val="00B70F42"/>
    <w:rsid w:val="00B72542"/>
    <w:rsid w:val="00B74BCA"/>
    <w:rsid w:val="00B756EA"/>
    <w:rsid w:val="00B75B65"/>
    <w:rsid w:val="00B7774A"/>
    <w:rsid w:val="00B80804"/>
    <w:rsid w:val="00B8141A"/>
    <w:rsid w:val="00B81E82"/>
    <w:rsid w:val="00B820E5"/>
    <w:rsid w:val="00B82499"/>
    <w:rsid w:val="00B84C4B"/>
    <w:rsid w:val="00B85C22"/>
    <w:rsid w:val="00B866E5"/>
    <w:rsid w:val="00B87CB1"/>
    <w:rsid w:val="00B91EA5"/>
    <w:rsid w:val="00B931D1"/>
    <w:rsid w:val="00B943B1"/>
    <w:rsid w:val="00BA0A22"/>
    <w:rsid w:val="00BA14F4"/>
    <w:rsid w:val="00BA196D"/>
    <w:rsid w:val="00BA2E9B"/>
    <w:rsid w:val="00BA7189"/>
    <w:rsid w:val="00BB09C5"/>
    <w:rsid w:val="00BB1C9B"/>
    <w:rsid w:val="00BB2330"/>
    <w:rsid w:val="00BB4180"/>
    <w:rsid w:val="00BB6E67"/>
    <w:rsid w:val="00BB7960"/>
    <w:rsid w:val="00BC06E8"/>
    <w:rsid w:val="00BC4144"/>
    <w:rsid w:val="00BC4472"/>
    <w:rsid w:val="00BC4DCE"/>
    <w:rsid w:val="00BC51A3"/>
    <w:rsid w:val="00BC66EB"/>
    <w:rsid w:val="00BD1934"/>
    <w:rsid w:val="00BD1A48"/>
    <w:rsid w:val="00BD4752"/>
    <w:rsid w:val="00BD63E9"/>
    <w:rsid w:val="00BE0EC8"/>
    <w:rsid w:val="00BE4892"/>
    <w:rsid w:val="00BE649D"/>
    <w:rsid w:val="00BE6E9C"/>
    <w:rsid w:val="00BF0B94"/>
    <w:rsid w:val="00BF13E2"/>
    <w:rsid w:val="00BF249C"/>
    <w:rsid w:val="00BF2F17"/>
    <w:rsid w:val="00BF4361"/>
    <w:rsid w:val="00BF5A88"/>
    <w:rsid w:val="00BF6568"/>
    <w:rsid w:val="00C02217"/>
    <w:rsid w:val="00C044F2"/>
    <w:rsid w:val="00C11C6A"/>
    <w:rsid w:val="00C16A63"/>
    <w:rsid w:val="00C16F7D"/>
    <w:rsid w:val="00C1739F"/>
    <w:rsid w:val="00C20A0F"/>
    <w:rsid w:val="00C20EF9"/>
    <w:rsid w:val="00C21A1E"/>
    <w:rsid w:val="00C24F0A"/>
    <w:rsid w:val="00C25337"/>
    <w:rsid w:val="00C307D2"/>
    <w:rsid w:val="00C31A26"/>
    <w:rsid w:val="00C327A5"/>
    <w:rsid w:val="00C32F05"/>
    <w:rsid w:val="00C33F2C"/>
    <w:rsid w:val="00C34377"/>
    <w:rsid w:val="00C34941"/>
    <w:rsid w:val="00C37B14"/>
    <w:rsid w:val="00C40FDA"/>
    <w:rsid w:val="00C44943"/>
    <w:rsid w:val="00C44C95"/>
    <w:rsid w:val="00C4549D"/>
    <w:rsid w:val="00C45AB4"/>
    <w:rsid w:val="00C5082A"/>
    <w:rsid w:val="00C52C5E"/>
    <w:rsid w:val="00C5549D"/>
    <w:rsid w:val="00C61BDC"/>
    <w:rsid w:val="00C61FF9"/>
    <w:rsid w:val="00C627A2"/>
    <w:rsid w:val="00C65525"/>
    <w:rsid w:val="00C6637E"/>
    <w:rsid w:val="00C7152A"/>
    <w:rsid w:val="00C728A7"/>
    <w:rsid w:val="00C72E16"/>
    <w:rsid w:val="00C7500F"/>
    <w:rsid w:val="00C751EA"/>
    <w:rsid w:val="00C75A4F"/>
    <w:rsid w:val="00C772EA"/>
    <w:rsid w:val="00C77A15"/>
    <w:rsid w:val="00C8212B"/>
    <w:rsid w:val="00C83591"/>
    <w:rsid w:val="00C83878"/>
    <w:rsid w:val="00C84027"/>
    <w:rsid w:val="00C85068"/>
    <w:rsid w:val="00C86127"/>
    <w:rsid w:val="00C875D0"/>
    <w:rsid w:val="00C8799F"/>
    <w:rsid w:val="00C87B1B"/>
    <w:rsid w:val="00C906FA"/>
    <w:rsid w:val="00C93C55"/>
    <w:rsid w:val="00C95CFC"/>
    <w:rsid w:val="00C9779A"/>
    <w:rsid w:val="00C97C3E"/>
    <w:rsid w:val="00C97F6E"/>
    <w:rsid w:val="00CA00AC"/>
    <w:rsid w:val="00CA0169"/>
    <w:rsid w:val="00CA0B16"/>
    <w:rsid w:val="00CA0E9F"/>
    <w:rsid w:val="00CA181C"/>
    <w:rsid w:val="00CA34C6"/>
    <w:rsid w:val="00CA4ADF"/>
    <w:rsid w:val="00CA6526"/>
    <w:rsid w:val="00CA7E59"/>
    <w:rsid w:val="00CB1829"/>
    <w:rsid w:val="00CB189E"/>
    <w:rsid w:val="00CB19CB"/>
    <w:rsid w:val="00CB204F"/>
    <w:rsid w:val="00CB45B6"/>
    <w:rsid w:val="00CB4D2A"/>
    <w:rsid w:val="00CB5D7B"/>
    <w:rsid w:val="00CB6882"/>
    <w:rsid w:val="00CB7A76"/>
    <w:rsid w:val="00CC2408"/>
    <w:rsid w:val="00CC4F60"/>
    <w:rsid w:val="00CC76C2"/>
    <w:rsid w:val="00CD1D0E"/>
    <w:rsid w:val="00CD40FD"/>
    <w:rsid w:val="00CD4E1C"/>
    <w:rsid w:val="00CD7D98"/>
    <w:rsid w:val="00CE09F6"/>
    <w:rsid w:val="00CE128B"/>
    <w:rsid w:val="00CE46A5"/>
    <w:rsid w:val="00CF0131"/>
    <w:rsid w:val="00CF05DA"/>
    <w:rsid w:val="00CF370C"/>
    <w:rsid w:val="00CF4D9E"/>
    <w:rsid w:val="00CF50F6"/>
    <w:rsid w:val="00CF5C7C"/>
    <w:rsid w:val="00D0079F"/>
    <w:rsid w:val="00D03BE9"/>
    <w:rsid w:val="00D11308"/>
    <w:rsid w:val="00D11E93"/>
    <w:rsid w:val="00D12D69"/>
    <w:rsid w:val="00D12F6E"/>
    <w:rsid w:val="00D15D86"/>
    <w:rsid w:val="00D215C9"/>
    <w:rsid w:val="00D23D51"/>
    <w:rsid w:val="00D23E53"/>
    <w:rsid w:val="00D24EDC"/>
    <w:rsid w:val="00D277E5"/>
    <w:rsid w:val="00D315BC"/>
    <w:rsid w:val="00D31657"/>
    <w:rsid w:val="00D31FAE"/>
    <w:rsid w:val="00D419F1"/>
    <w:rsid w:val="00D45F7D"/>
    <w:rsid w:val="00D478F2"/>
    <w:rsid w:val="00D50452"/>
    <w:rsid w:val="00D523A7"/>
    <w:rsid w:val="00D56DA8"/>
    <w:rsid w:val="00D62CCB"/>
    <w:rsid w:val="00D71175"/>
    <w:rsid w:val="00D7155A"/>
    <w:rsid w:val="00D71706"/>
    <w:rsid w:val="00D7256E"/>
    <w:rsid w:val="00D72F3D"/>
    <w:rsid w:val="00D74282"/>
    <w:rsid w:val="00D8286C"/>
    <w:rsid w:val="00D83021"/>
    <w:rsid w:val="00D86A5F"/>
    <w:rsid w:val="00D91DDC"/>
    <w:rsid w:val="00D92386"/>
    <w:rsid w:val="00D92BBA"/>
    <w:rsid w:val="00D92F39"/>
    <w:rsid w:val="00D94B9B"/>
    <w:rsid w:val="00D94F4A"/>
    <w:rsid w:val="00D95246"/>
    <w:rsid w:val="00D970AB"/>
    <w:rsid w:val="00DA0A55"/>
    <w:rsid w:val="00DA33A5"/>
    <w:rsid w:val="00DA3D82"/>
    <w:rsid w:val="00DA4F89"/>
    <w:rsid w:val="00DA5256"/>
    <w:rsid w:val="00DA61A3"/>
    <w:rsid w:val="00DA6973"/>
    <w:rsid w:val="00DA775F"/>
    <w:rsid w:val="00DB0477"/>
    <w:rsid w:val="00DB1642"/>
    <w:rsid w:val="00DB28DC"/>
    <w:rsid w:val="00DB2A01"/>
    <w:rsid w:val="00DB35ED"/>
    <w:rsid w:val="00DB7168"/>
    <w:rsid w:val="00DC0A98"/>
    <w:rsid w:val="00DC1068"/>
    <w:rsid w:val="00DC2009"/>
    <w:rsid w:val="00DC27BB"/>
    <w:rsid w:val="00DC2AFF"/>
    <w:rsid w:val="00DC614F"/>
    <w:rsid w:val="00DC7ACA"/>
    <w:rsid w:val="00DD0266"/>
    <w:rsid w:val="00DD12E8"/>
    <w:rsid w:val="00DD21C0"/>
    <w:rsid w:val="00DD3D24"/>
    <w:rsid w:val="00DD42C2"/>
    <w:rsid w:val="00DD5665"/>
    <w:rsid w:val="00DE01CE"/>
    <w:rsid w:val="00DE0762"/>
    <w:rsid w:val="00DE2DA4"/>
    <w:rsid w:val="00DE67FC"/>
    <w:rsid w:val="00DF00C1"/>
    <w:rsid w:val="00DF05BB"/>
    <w:rsid w:val="00DF0637"/>
    <w:rsid w:val="00DF0A7E"/>
    <w:rsid w:val="00DF40E8"/>
    <w:rsid w:val="00DF4BCE"/>
    <w:rsid w:val="00E009B0"/>
    <w:rsid w:val="00E03A78"/>
    <w:rsid w:val="00E07DF2"/>
    <w:rsid w:val="00E147E0"/>
    <w:rsid w:val="00E22906"/>
    <w:rsid w:val="00E22D5A"/>
    <w:rsid w:val="00E22EBE"/>
    <w:rsid w:val="00E237AA"/>
    <w:rsid w:val="00E25884"/>
    <w:rsid w:val="00E26AAA"/>
    <w:rsid w:val="00E3385D"/>
    <w:rsid w:val="00E35C08"/>
    <w:rsid w:val="00E360B7"/>
    <w:rsid w:val="00E43842"/>
    <w:rsid w:val="00E44062"/>
    <w:rsid w:val="00E4416C"/>
    <w:rsid w:val="00E45771"/>
    <w:rsid w:val="00E45FE7"/>
    <w:rsid w:val="00E50D92"/>
    <w:rsid w:val="00E51857"/>
    <w:rsid w:val="00E51BA8"/>
    <w:rsid w:val="00E51BE9"/>
    <w:rsid w:val="00E52FCD"/>
    <w:rsid w:val="00E54741"/>
    <w:rsid w:val="00E56A1F"/>
    <w:rsid w:val="00E5743D"/>
    <w:rsid w:val="00E62150"/>
    <w:rsid w:val="00E6447F"/>
    <w:rsid w:val="00E65F36"/>
    <w:rsid w:val="00E65F64"/>
    <w:rsid w:val="00E671E2"/>
    <w:rsid w:val="00E70B81"/>
    <w:rsid w:val="00E714C4"/>
    <w:rsid w:val="00E73425"/>
    <w:rsid w:val="00E73C02"/>
    <w:rsid w:val="00E75968"/>
    <w:rsid w:val="00E7628E"/>
    <w:rsid w:val="00E77577"/>
    <w:rsid w:val="00E8006C"/>
    <w:rsid w:val="00E90C7E"/>
    <w:rsid w:val="00E921F7"/>
    <w:rsid w:val="00E9274F"/>
    <w:rsid w:val="00E934A3"/>
    <w:rsid w:val="00E96DFB"/>
    <w:rsid w:val="00EA278B"/>
    <w:rsid w:val="00EA2820"/>
    <w:rsid w:val="00EA3A51"/>
    <w:rsid w:val="00EA6137"/>
    <w:rsid w:val="00EB03F5"/>
    <w:rsid w:val="00EB263C"/>
    <w:rsid w:val="00EB4862"/>
    <w:rsid w:val="00EC09FD"/>
    <w:rsid w:val="00EC1C10"/>
    <w:rsid w:val="00EC1CD1"/>
    <w:rsid w:val="00EC4103"/>
    <w:rsid w:val="00ED175B"/>
    <w:rsid w:val="00ED29AD"/>
    <w:rsid w:val="00ED377B"/>
    <w:rsid w:val="00ED49F3"/>
    <w:rsid w:val="00ED6E18"/>
    <w:rsid w:val="00EE35DE"/>
    <w:rsid w:val="00EE4E64"/>
    <w:rsid w:val="00EE4FC3"/>
    <w:rsid w:val="00EF26A5"/>
    <w:rsid w:val="00EF335B"/>
    <w:rsid w:val="00EF4B50"/>
    <w:rsid w:val="00EF662A"/>
    <w:rsid w:val="00EF6CB9"/>
    <w:rsid w:val="00EF6E5B"/>
    <w:rsid w:val="00EF7435"/>
    <w:rsid w:val="00EF7A99"/>
    <w:rsid w:val="00F017F1"/>
    <w:rsid w:val="00F02F53"/>
    <w:rsid w:val="00F03FC4"/>
    <w:rsid w:val="00F10EB1"/>
    <w:rsid w:val="00F12786"/>
    <w:rsid w:val="00F14553"/>
    <w:rsid w:val="00F154DF"/>
    <w:rsid w:val="00F15932"/>
    <w:rsid w:val="00F1704E"/>
    <w:rsid w:val="00F17FB6"/>
    <w:rsid w:val="00F20476"/>
    <w:rsid w:val="00F20A3B"/>
    <w:rsid w:val="00F210C4"/>
    <w:rsid w:val="00F213B5"/>
    <w:rsid w:val="00F2244C"/>
    <w:rsid w:val="00F22471"/>
    <w:rsid w:val="00F23AB0"/>
    <w:rsid w:val="00F24053"/>
    <w:rsid w:val="00F25271"/>
    <w:rsid w:val="00F25DD3"/>
    <w:rsid w:val="00F27161"/>
    <w:rsid w:val="00F33C48"/>
    <w:rsid w:val="00F33E2D"/>
    <w:rsid w:val="00F378DB"/>
    <w:rsid w:val="00F43B62"/>
    <w:rsid w:val="00F45FC6"/>
    <w:rsid w:val="00F47E3B"/>
    <w:rsid w:val="00F52FB8"/>
    <w:rsid w:val="00F543D6"/>
    <w:rsid w:val="00F55D66"/>
    <w:rsid w:val="00F573E5"/>
    <w:rsid w:val="00F60C28"/>
    <w:rsid w:val="00F63189"/>
    <w:rsid w:val="00F64547"/>
    <w:rsid w:val="00F65DC0"/>
    <w:rsid w:val="00F65EC5"/>
    <w:rsid w:val="00F66DE4"/>
    <w:rsid w:val="00F67545"/>
    <w:rsid w:val="00F722C5"/>
    <w:rsid w:val="00F73E4D"/>
    <w:rsid w:val="00F73FBF"/>
    <w:rsid w:val="00F768B2"/>
    <w:rsid w:val="00F77B8A"/>
    <w:rsid w:val="00F80221"/>
    <w:rsid w:val="00F81AF1"/>
    <w:rsid w:val="00F81BA5"/>
    <w:rsid w:val="00F82D25"/>
    <w:rsid w:val="00F86F4B"/>
    <w:rsid w:val="00F90307"/>
    <w:rsid w:val="00F91217"/>
    <w:rsid w:val="00F9294A"/>
    <w:rsid w:val="00F92A3D"/>
    <w:rsid w:val="00F96F60"/>
    <w:rsid w:val="00F97A74"/>
    <w:rsid w:val="00FA2A75"/>
    <w:rsid w:val="00FA2DB4"/>
    <w:rsid w:val="00FA371D"/>
    <w:rsid w:val="00FA6053"/>
    <w:rsid w:val="00FA6507"/>
    <w:rsid w:val="00FA6DB0"/>
    <w:rsid w:val="00FA7C2F"/>
    <w:rsid w:val="00FB0E25"/>
    <w:rsid w:val="00FB4555"/>
    <w:rsid w:val="00FB553F"/>
    <w:rsid w:val="00FC02DA"/>
    <w:rsid w:val="00FC4CC7"/>
    <w:rsid w:val="00FD3BBA"/>
    <w:rsid w:val="00FD4326"/>
    <w:rsid w:val="00FD7D7A"/>
    <w:rsid w:val="00FE2734"/>
    <w:rsid w:val="00FF01CF"/>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paragraph" w:styleId="NoSpacing">
    <w:name w:val="No Spacing"/>
    <w:uiPriority w:val="1"/>
    <w:qFormat/>
    <w:rsid w:val="00ED6E18"/>
    <w:pPr>
      <w:spacing w:after="0" w:line="240" w:lineRule="auto"/>
    </w:pPr>
    <w:rPr>
      <w:rFonts w:asciiTheme="minorHAnsi" w:hAnsiTheme="minorHAnsi"/>
      <w:sz w:val="22"/>
    </w:rPr>
  </w:style>
  <w:style w:type="paragraph" w:styleId="FootnoteText">
    <w:name w:val="footnote text"/>
    <w:basedOn w:val="Normal"/>
    <w:link w:val="FootnoteTextChar"/>
    <w:uiPriority w:val="99"/>
    <w:unhideWhenUsed/>
    <w:rsid w:val="00ED6E18"/>
  </w:style>
  <w:style w:type="character" w:customStyle="1" w:styleId="FootnoteTextChar">
    <w:name w:val="Footnote Text Char"/>
    <w:basedOn w:val="DefaultParagraphFont"/>
    <w:link w:val="FootnoteText"/>
    <w:uiPriority w:val="99"/>
    <w:rsid w:val="00ED6E18"/>
    <w:rPr>
      <w:rFonts w:eastAsia="Calibri" w:cs="Times New Roman"/>
      <w:sz w:val="20"/>
      <w:szCs w:val="20"/>
      <w:lang w:val="en-AU"/>
    </w:rPr>
  </w:style>
  <w:style w:type="character" w:styleId="FootnoteReference">
    <w:name w:val="footnote reference"/>
    <w:basedOn w:val="DefaultParagraphFont"/>
    <w:uiPriority w:val="99"/>
    <w:semiHidden/>
    <w:unhideWhenUsed/>
    <w:rsid w:val="00ED6E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paragraph" w:styleId="NoSpacing">
    <w:name w:val="No Spacing"/>
    <w:uiPriority w:val="1"/>
    <w:qFormat/>
    <w:rsid w:val="00ED6E18"/>
    <w:pPr>
      <w:spacing w:after="0" w:line="240" w:lineRule="auto"/>
    </w:pPr>
    <w:rPr>
      <w:rFonts w:asciiTheme="minorHAnsi" w:hAnsiTheme="minorHAnsi"/>
      <w:sz w:val="22"/>
    </w:rPr>
  </w:style>
  <w:style w:type="paragraph" w:styleId="FootnoteText">
    <w:name w:val="footnote text"/>
    <w:basedOn w:val="Normal"/>
    <w:link w:val="FootnoteTextChar"/>
    <w:uiPriority w:val="99"/>
    <w:unhideWhenUsed/>
    <w:rsid w:val="00ED6E18"/>
  </w:style>
  <w:style w:type="character" w:customStyle="1" w:styleId="FootnoteTextChar">
    <w:name w:val="Footnote Text Char"/>
    <w:basedOn w:val="DefaultParagraphFont"/>
    <w:link w:val="FootnoteText"/>
    <w:uiPriority w:val="99"/>
    <w:rsid w:val="00ED6E18"/>
    <w:rPr>
      <w:rFonts w:eastAsia="Calibri" w:cs="Times New Roman"/>
      <w:sz w:val="20"/>
      <w:szCs w:val="20"/>
      <w:lang w:val="en-AU"/>
    </w:rPr>
  </w:style>
  <w:style w:type="character" w:styleId="FootnoteReference">
    <w:name w:val="footnote reference"/>
    <w:basedOn w:val="DefaultParagraphFont"/>
    <w:uiPriority w:val="99"/>
    <w:semiHidden/>
    <w:unhideWhenUsed/>
    <w:rsid w:val="00ED6E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31576562">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794494360">
      <w:bodyDiv w:val="1"/>
      <w:marLeft w:val="0"/>
      <w:marRight w:val="0"/>
      <w:marTop w:val="0"/>
      <w:marBottom w:val="0"/>
      <w:divBdr>
        <w:top w:val="none" w:sz="0" w:space="0" w:color="auto"/>
        <w:left w:val="none" w:sz="0" w:space="0" w:color="auto"/>
        <w:bottom w:val="none" w:sz="0" w:space="0" w:color="auto"/>
        <w:right w:val="none" w:sz="0" w:space="0" w:color="auto"/>
      </w:divBdr>
    </w:div>
    <w:div w:id="1078939033">
      <w:bodyDiv w:val="1"/>
      <w:marLeft w:val="0"/>
      <w:marRight w:val="0"/>
      <w:marTop w:val="0"/>
      <w:marBottom w:val="0"/>
      <w:divBdr>
        <w:top w:val="none" w:sz="0" w:space="0" w:color="auto"/>
        <w:left w:val="none" w:sz="0" w:space="0" w:color="auto"/>
        <w:bottom w:val="none" w:sz="0" w:space="0" w:color="auto"/>
        <w:right w:val="none" w:sz="0" w:space="0" w:color="auto"/>
      </w:divBdr>
    </w:div>
    <w:div w:id="1093741488">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368143445">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678847344">
      <w:bodyDiv w:val="1"/>
      <w:marLeft w:val="0"/>
      <w:marRight w:val="0"/>
      <w:marTop w:val="0"/>
      <w:marBottom w:val="0"/>
      <w:divBdr>
        <w:top w:val="none" w:sz="0" w:space="0" w:color="auto"/>
        <w:left w:val="none" w:sz="0" w:space="0" w:color="auto"/>
        <w:bottom w:val="none" w:sz="0" w:space="0" w:color="auto"/>
        <w:right w:val="none" w:sz="0" w:space="0" w:color="auto"/>
      </w:divBdr>
    </w:div>
    <w:div w:id="1872454223">
      <w:bodyDiv w:val="1"/>
      <w:marLeft w:val="0"/>
      <w:marRight w:val="0"/>
      <w:marTop w:val="0"/>
      <w:marBottom w:val="0"/>
      <w:divBdr>
        <w:top w:val="none" w:sz="0" w:space="0" w:color="auto"/>
        <w:left w:val="none" w:sz="0" w:space="0" w:color="auto"/>
        <w:bottom w:val="none" w:sz="0" w:space="0" w:color="auto"/>
        <w:right w:val="none" w:sz="0" w:space="0" w:color="auto"/>
      </w:divBdr>
    </w:div>
    <w:div w:id="1923681242">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Elina.Dlohi@em.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54A8-E7FE-4E9A-A6F8-8FBDF6A3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9398</Words>
  <Characters>5357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noteikumu projekta EMAnot_260615_groz835; Ministru kabineta noteikumu projekta „Grozījumi Ministru kabineta 2008.gada 7.oktobra noteikumos Nr.835 „Noteikumi par darbības programmas „Uzņēmējdarbība un inovācijas” papildinājuma 2.3.2.1.akt</vt:lpstr>
    </vt:vector>
  </TitlesOfParts>
  <Company>LR Ekonomikas ministrija</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EMAnot_260615_groz835; Ministru kabineta noteikumu projekta „Grozījumi Ministru kabineta 2008.gada 7.oktobra noteikumos Nr.835 „Noteikumi par darbības programmas „Uzņēmējdarbība un inovācijas” papildinājuma 2.3.2.1.aktivitāti „Biznesa inkubatori”” sākotnējās ietekmes novērtējuma ziņojums (anotācija) sākotnējās ietekmes novērtējuma ziņojums (anotācija)</dc:title>
  <dc:subject>Ministru kabineta noteikumu projekta sākotnējās ietekmes novērtējuma ziņojums (anotācija)</dc:subject>
  <dc:creator>Elīna Dlohi</dc:creator>
  <dc:description>67013082, Elina.Dlohi@em.gov.lv</dc:description>
  <cp:lastModifiedBy>Madars Ūdris</cp:lastModifiedBy>
  <cp:revision>12</cp:revision>
  <cp:lastPrinted>2015-07-23T12:36:00Z</cp:lastPrinted>
  <dcterms:created xsi:type="dcterms:W3CDTF">2015-07-20T13:26:00Z</dcterms:created>
  <dcterms:modified xsi:type="dcterms:W3CDTF">2015-07-27T09:11:00Z</dcterms:modified>
</cp:coreProperties>
</file>