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88" w:rsidRPr="00D63428" w:rsidRDefault="002C4EE1" w:rsidP="00FA0113">
      <w:pPr>
        <w:tabs>
          <w:tab w:val="left" w:pos="2552"/>
        </w:tabs>
        <w:spacing w:after="0" w:line="240" w:lineRule="auto"/>
        <w:rPr>
          <w:rFonts w:ascii="Times New Roman" w:hAnsi="Times New Roman" w:cs="Times New Roman"/>
          <w:sz w:val="24"/>
          <w:szCs w:val="24"/>
        </w:rPr>
      </w:pPr>
      <w:r w:rsidRPr="00D63428">
        <w:rPr>
          <w:rFonts w:ascii="Times New Roman" w:hAnsi="Times New Roman" w:cs="Times New Roman"/>
          <w:sz w:val="24"/>
          <w:szCs w:val="24"/>
        </w:rPr>
        <w:t>201</w:t>
      </w:r>
      <w:r w:rsidR="005678F8" w:rsidRPr="00D63428">
        <w:rPr>
          <w:rFonts w:ascii="Times New Roman" w:hAnsi="Times New Roman" w:cs="Times New Roman"/>
          <w:sz w:val="24"/>
          <w:szCs w:val="24"/>
        </w:rPr>
        <w:t>5</w:t>
      </w:r>
      <w:r w:rsidRPr="00D63428">
        <w:rPr>
          <w:rFonts w:ascii="Times New Roman" w:hAnsi="Times New Roman" w:cs="Times New Roman"/>
          <w:sz w:val="24"/>
          <w:szCs w:val="24"/>
        </w:rPr>
        <w:t>.gada ___.______</w:t>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2C5874" w:rsidRPr="00D63428">
        <w:rPr>
          <w:rFonts w:ascii="Times New Roman" w:hAnsi="Times New Roman" w:cs="Times New Roman"/>
          <w:sz w:val="24"/>
          <w:szCs w:val="24"/>
        </w:rPr>
        <w:t>Noteikumi</w:t>
      </w:r>
      <w:r w:rsidRPr="00D63428">
        <w:rPr>
          <w:rFonts w:ascii="Times New Roman" w:hAnsi="Times New Roman" w:cs="Times New Roman"/>
          <w:sz w:val="24"/>
          <w:szCs w:val="24"/>
        </w:rPr>
        <w:t xml:space="preserve"> Nr.</w:t>
      </w:r>
    </w:p>
    <w:p w:rsidR="00955A84" w:rsidRPr="00D63428" w:rsidRDefault="002C5874" w:rsidP="00FA0113">
      <w:pPr>
        <w:spacing w:after="0" w:line="240" w:lineRule="auto"/>
        <w:rPr>
          <w:rFonts w:ascii="Times New Roman" w:hAnsi="Times New Roman" w:cs="Times New Roman"/>
          <w:sz w:val="24"/>
          <w:szCs w:val="24"/>
        </w:rPr>
      </w:pPr>
      <w:r w:rsidRPr="00D63428">
        <w:rPr>
          <w:rFonts w:ascii="Times New Roman" w:hAnsi="Times New Roman" w:cs="Times New Roman"/>
          <w:sz w:val="24"/>
          <w:szCs w:val="24"/>
        </w:rPr>
        <w:t>Rīgā</w:t>
      </w:r>
      <w:r w:rsidRPr="00D63428">
        <w:rPr>
          <w:rFonts w:ascii="Times New Roman" w:hAnsi="Times New Roman" w:cs="Times New Roman"/>
          <w:sz w:val="24"/>
          <w:szCs w:val="24"/>
        </w:rPr>
        <w:tab/>
      </w:r>
      <w:r w:rsidRPr="00D63428">
        <w:rPr>
          <w:rFonts w:ascii="Times New Roman" w:hAnsi="Times New Roman" w:cs="Times New Roman"/>
          <w:sz w:val="24"/>
          <w:szCs w:val="24"/>
        </w:rPr>
        <w:tab/>
      </w:r>
      <w:r w:rsidRPr="00D63428">
        <w:rPr>
          <w:rFonts w:ascii="Times New Roman" w:hAnsi="Times New Roman" w:cs="Times New Roman"/>
          <w:sz w:val="24"/>
          <w:szCs w:val="24"/>
        </w:rPr>
        <w:tab/>
      </w:r>
      <w:r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2C4EE1" w:rsidRPr="00D63428">
        <w:rPr>
          <w:rFonts w:ascii="Times New Roman" w:hAnsi="Times New Roman" w:cs="Times New Roman"/>
          <w:sz w:val="24"/>
          <w:szCs w:val="24"/>
        </w:rPr>
        <w:t>(prot. Nr.</w:t>
      </w:r>
      <w:r w:rsidRPr="00D63428">
        <w:rPr>
          <w:rFonts w:ascii="Times New Roman" w:hAnsi="Times New Roman" w:cs="Times New Roman"/>
          <w:sz w:val="24"/>
          <w:szCs w:val="24"/>
        </w:rPr>
        <w:t xml:space="preserve"> _______  </w:t>
      </w:r>
      <w:r w:rsidR="002C4EE1" w:rsidRPr="00D63428">
        <w:rPr>
          <w:rFonts w:ascii="Times New Roman" w:hAnsi="Times New Roman" w:cs="Times New Roman"/>
          <w:sz w:val="24"/>
          <w:szCs w:val="24"/>
        </w:rPr>
        <w:t>.§)</w:t>
      </w:r>
    </w:p>
    <w:p w:rsidR="006E1245" w:rsidRPr="00D63428" w:rsidRDefault="006E1245" w:rsidP="00FA0113">
      <w:pPr>
        <w:spacing w:after="0" w:line="240" w:lineRule="auto"/>
        <w:rPr>
          <w:rFonts w:ascii="Times New Roman" w:hAnsi="Times New Roman" w:cs="Times New Roman"/>
          <w:sz w:val="24"/>
          <w:szCs w:val="24"/>
        </w:rPr>
      </w:pPr>
    </w:p>
    <w:p w:rsidR="009C2B23" w:rsidRPr="00D63428" w:rsidRDefault="002E2EBD" w:rsidP="00C35BCF">
      <w:pPr>
        <w:spacing w:after="0" w:line="240" w:lineRule="auto"/>
        <w:jc w:val="center"/>
        <w:rPr>
          <w:rFonts w:ascii="Times New Roman" w:eastAsia="Times New Roman" w:hAnsi="Times New Roman" w:cs="Times New Roman"/>
          <w:b/>
          <w:bCs/>
          <w:sz w:val="24"/>
          <w:szCs w:val="24"/>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D63428">
        <w:rPr>
          <w:rFonts w:ascii="Times New Roman" w:hAnsi="Times New Roman" w:cs="Times New Roman"/>
          <w:b/>
          <w:bCs/>
          <w:sz w:val="24"/>
          <w:szCs w:val="24"/>
        </w:rPr>
        <w:t>Grozījum</w:t>
      </w:r>
      <w:r w:rsidR="00635C90" w:rsidRPr="00D63428">
        <w:rPr>
          <w:rFonts w:ascii="Times New Roman" w:hAnsi="Times New Roman" w:cs="Times New Roman"/>
          <w:b/>
          <w:bCs/>
          <w:sz w:val="24"/>
          <w:szCs w:val="24"/>
        </w:rPr>
        <w:t>i</w:t>
      </w:r>
      <w:r w:rsidRPr="00D63428">
        <w:rPr>
          <w:rFonts w:ascii="Times New Roman" w:hAnsi="Times New Roman" w:cs="Times New Roman"/>
          <w:b/>
          <w:bCs/>
          <w:sz w:val="24"/>
          <w:szCs w:val="24"/>
        </w:rPr>
        <w:t xml:space="preserve"> Ministru kabineta 2009.gada 17.jūnija noteikumos Nr.582 </w:t>
      </w:r>
      <w:r w:rsidRPr="00D63428">
        <w:rPr>
          <w:rFonts w:ascii="Times New Roman" w:hAnsi="Times New Roman" w:cs="Times New Roman"/>
          <w:b/>
          <w:sz w:val="24"/>
          <w:szCs w:val="24"/>
        </w:rPr>
        <w:t xml:space="preserve">„Noteikumi par darbības programmas </w:t>
      </w:r>
      <w:r w:rsidR="00352929" w:rsidRPr="00D63428">
        <w:rPr>
          <w:rFonts w:ascii="Times New Roman" w:hAnsi="Times New Roman" w:cs="Times New Roman"/>
          <w:b/>
          <w:sz w:val="24"/>
          <w:szCs w:val="24"/>
        </w:rPr>
        <w:t>„</w:t>
      </w:r>
      <w:r w:rsidRPr="00D63428">
        <w:rPr>
          <w:rFonts w:ascii="Times New Roman" w:hAnsi="Times New Roman" w:cs="Times New Roman"/>
          <w:b/>
          <w:sz w:val="24"/>
          <w:szCs w:val="24"/>
        </w:rPr>
        <w:t xml:space="preserve">Uzņēmējdarbība un inovācijas” papildinājuma 2.3.1.1.1.apakšaktivitātes </w:t>
      </w:r>
      <w:r w:rsidR="00352929" w:rsidRPr="00D63428">
        <w:rPr>
          <w:rFonts w:ascii="Times New Roman" w:hAnsi="Times New Roman" w:cs="Times New Roman"/>
          <w:b/>
          <w:sz w:val="24"/>
          <w:szCs w:val="24"/>
        </w:rPr>
        <w:t>„</w:t>
      </w:r>
      <w:r w:rsidRPr="00D63428">
        <w:rPr>
          <w:rFonts w:ascii="Times New Roman" w:hAnsi="Times New Roman" w:cs="Times New Roman"/>
          <w:b/>
          <w:sz w:val="24"/>
          <w:szCs w:val="24"/>
        </w:rPr>
        <w:t>Ārējo tirgu apgūšana – ārējais mārketings” sesto un turpmākajām kārtām””</w:t>
      </w:r>
      <w:bookmarkEnd w:id="0"/>
      <w:bookmarkEnd w:id="1"/>
    </w:p>
    <w:bookmarkEnd w:id="2"/>
    <w:bookmarkEnd w:id="3"/>
    <w:bookmarkEnd w:id="4"/>
    <w:bookmarkEnd w:id="5"/>
    <w:bookmarkEnd w:id="6"/>
    <w:bookmarkEnd w:id="7"/>
    <w:p w:rsidR="008E4431" w:rsidRPr="00D63428" w:rsidRDefault="008E4431" w:rsidP="000D1263">
      <w:pPr>
        <w:pStyle w:val="naislab"/>
        <w:spacing w:before="0" w:after="0"/>
        <w:ind w:left="4395" w:firstLine="1417"/>
        <w:rPr>
          <w:iCs/>
        </w:rPr>
      </w:pPr>
    </w:p>
    <w:p w:rsidR="00696D88" w:rsidRPr="00D63428" w:rsidRDefault="00B27E32" w:rsidP="000D1263">
      <w:pPr>
        <w:pStyle w:val="naislab"/>
        <w:spacing w:before="0" w:after="0"/>
        <w:ind w:left="4395" w:firstLine="1417"/>
        <w:rPr>
          <w:iCs/>
        </w:rPr>
      </w:pPr>
      <w:r w:rsidRPr="00D63428">
        <w:rPr>
          <w:iCs/>
        </w:rPr>
        <w:t>Izdoti saskaņā ar</w:t>
      </w:r>
      <w:r w:rsidR="000D1263" w:rsidRPr="00D63428">
        <w:rPr>
          <w:iCs/>
        </w:rPr>
        <w:t xml:space="preserve"> </w:t>
      </w:r>
      <w:r w:rsidR="001C6235" w:rsidRPr="00D63428">
        <w:rPr>
          <w:iCs/>
        </w:rPr>
        <w:t>Eiropas Savienības struktūrfondu un Kohēzijas fonda vadības likuma 18.panta 10.punktu</w:t>
      </w:r>
    </w:p>
    <w:p w:rsidR="00635C90" w:rsidRPr="00D63428" w:rsidRDefault="00D51E6F" w:rsidP="00D63428">
      <w:pPr>
        <w:pStyle w:val="ListParagraph"/>
        <w:numPr>
          <w:ilvl w:val="0"/>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Izdarīt </w:t>
      </w:r>
      <w:r w:rsidR="00BD5835" w:rsidRPr="00D63428">
        <w:rPr>
          <w:rFonts w:ascii="Times New Roman" w:hAnsi="Times New Roman" w:cs="Times New Roman"/>
          <w:sz w:val="24"/>
          <w:szCs w:val="24"/>
        </w:rPr>
        <w:t xml:space="preserve">Ministru kabineta </w:t>
      </w:r>
      <w:r w:rsidR="002E2EBD" w:rsidRPr="00D63428">
        <w:rPr>
          <w:rFonts w:ascii="Times New Roman" w:hAnsi="Times New Roman" w:cs="Times New Roman"/>
          <w:bCs/>
          <w:sz w:val="24"/>
          <w:szCs w:val="24"/>
        </w:rPr>
        <w:t xml:space="preserve">2009.gada 17.jūnija noteikumos Nr.582 </w:t>
      </w:r>
      <w:r w:rsidR="002E2EBD" w:rsidRPr="00D63428">
        <w:rPr>
          <w:rFonts w:ascii="Times New Roman" w:hAnsi="Times New Roman" w:cs="Times New Roman"/>
          <w:sz w:val="24"/>
          <w:szCs w:val="24"/>
        </w:rPr>
        <w:t>„Noteikumi par darbības programmas “Uzņēmējdarbība un inovācijas” papildinājuma 2.3.1.1.1.apakšaktivitātes “Ārējo tirgu apgūšana – ārējais mārketings” sesto un turpmākajām kārtām”””</w:t>
      </w:r>
      <w:r w:rsidR="001D65F4" w:rsidRPr="00D63428">
        <w:rPr>
          <w:rFonts w:ascii="Times New Roman" w:hAnsi="Times New Roman" w:cs="Times New Roman"/>
          <w:sz w:val="24"/>
          <w:szCs w:val="24"/>
        </w:rPr>
        <w:t xml:space="preserve"> </w:t>
      </w:r>
      <w:r w:rsidR="001A2F24" w:rsidRPr="00D63428">
        <w:rPr>
          <w:rFonts w:ascii="Times New Roman" w:hAnsi="Times New Roman" w:cs="Times New Roman"/>
          <w:sz w:val="24"/>
          <w:szCs w:val="24"/>
        </w:rPr>
        <w:t>(</w:t>
      </w:r>
      <w:r w:rsidR="00B4150B" w:rsidRPr="00D63428">
        <w:rPr>
          <w:rFonts w:ascii="Times New Roman" w:hAnsi="Times New Roman" w:cs="Times New Roman"/>
          <w:sz w:val="24"/>
          <w:szCs w:val="24"/>
        </w:rPr>
        <w:t xml:space="preserve">Latvijas </w:t>
      </w:r>
      <w:r w:rsidR="00A553CE" w:rsidRPr="00D63428">
        <w:rPr>
          <w:rFonts w:ascii="Times New Roman" w:hAnsi="Times New Roman" w:cs="Times New Roman"/>
          <w:sz w:val="24"/>
          <w:szCs w:val="24"/>
        </w:rPr>
        <w:t xml:space="preserve">Vēstnesis, </w:t>
      </w:r>
      <w:r w:rsidR="002E2EBD" w:rsidRPr="00D63428">
        <w:rPr>
          <w:rFonts w:ascii="Times New Roman" w:hAnsi="Times New Roman" w:cs="Times New Roman"/>
          <w:sz w:val="24"/>
          <w:szCs w:val="24"/>
        </w:rPr>
        <w:t>2009,</w:t>
      </w:r>
      <w:r w:rsidR="00E112F4" w:rsidRPr="00D63428">
        <w:rPr>
          <w:rFonts w:ascii="Times New Roman" w:hAnsi="Times New Roman" w:cs="Times New Roman"/>
          <w:sz w:val="24"/>
          <w:szCs w:val="24"/>
        </w:rPr>
        <w:t xml:space="preserve"> </w:t>
      </w:r>
      <w:r w:rsidR="00DA17CF" w:rsidRPr="00D63428">
        <w:rPr>
          <w:rFonts w:ascii="Times New Roman" w:hAnsi="Times New Roman" w:cs="Times New Roman"/>
          <w:sz w:val="24"/>
          <w:szCs w:val="24"/>
        </w:rPr>
        <w:t>1</w:t>
      </w:r>
      <w:r w:rsidR="002E2EBD" w:rsidRPr="00D63428">
        <w:rPr>
          <w:rFonts w:ascii="Times New Roman" w:hAnsi="Times New Roman" w:cs="Times New Roman"/>
          <w:sz w:val="24"/>
          <w:szCs w:val="24"/>
        </w:rPr>
        <w:t>02</w:t>
      </w:r>
      <w:r w:rsidR="00E112F4" w:rsidRPr="00D63428">
        <w:rPr>
          <w:rFonts w:ascii="Times New Roman" w:hAnsi="Times New Roman" w:cs="Times New Roman"/>
          <w:sz w:val="24"/>
          <w:szCs w:val="24"/>
        </w:rPr>
        <w:t>.</w:t>
      </w:r>
      <w:r w:rsidR="001D65F4" w:rsidRPr="00D63428">
        <w:rPr>
          <w:rFonts w:ascii="Times New Roman" w:hAnsi="Times New Roman" w:cs="Times New Roman"/>
          <w:sz w:val="24"/>
          <w:szCs w:val="24"/>
        </w:rPr>
        <w:t>, 1</w:t>
      </w:r>
      <w:r w:rsidR="002E2EBD" w:rsidRPr="00D63428">
        <w:rPr>
          <w:rFonts w:ascii="Times New Roman" w:hAnsi="Times New Roman" w:cs="Times New Roman"/>
          <w:sz w:val="24"/>
          <w:szCs w:val="24"/>
        </w:rPr>
        <w:t>98</w:t>
      </w:r>
      <w:r w:rsidR="00DA17CF" w:rsidRPr="00D63428">
        <w:rPr>
          <w:rFonts w:ascii="Times New Roman" w:hAnsi="Times New Roman" w:cs="Times New Roman"/>
          <w:sz w:val="24"/>
          <w:szCs w:val="24"/>
        </w:rPr>
        <w:t xml:space="preserve">.nr., </w:t>
      </w:r>
      <w:r w:rsidR="002E2EBD" w:rsidRPr="00D63428">
        <w:rPr>
          <w:rFonts w:ascii="Times New Roman" w:hAnsi="Times New Roman" w:cs="Times New Roman"/>
          <w:sz w:val="24"/>
          <w:szCs w:val="24"/>
        </w:rPr>
        <w:t>2010, 158., 2012, 32</w:t>
      </w:r>
      <w:r w:rsidR="001D65F4" w:rsidRPr="00D63428">
        <w:rPr>
          <w:rFonts w:ascii="Times New Roman" w:hAnsi="Times New Roman" w:cs="Times New Roman"/>
          <w:sz w:val="24"/>
          <w:szCs w:val="24"/>
        </w:rPr>
        <w:t>.</w:t>
      </w:r>
      <w:r w:rsidR="002E2EBD" w:rsidRPr="00D63428">
        <w:rPr>
          <w:rFonts w:ascii="Times New Roman" w:hAnsi="Times New Roman" w:cs="Times New Roman"/>
          <w:sz w:val="24"/>
          <w:szCs w:val="24"/>
        </w:rPr>
        <w:t>, 194.nr.</w:t>
      </w:r>
      <w:r w:rsidR="00E33E56" w:rsidRPr="00D63428">
        <w:rPr>
          <w:rFonts w:ascii="Times New Roman" w:hAnsi="Times New Roman" w:cs="Times New Roman"/>
          <w:sz w:val="24"/>
          <w:szCs w:val="24"/>
        </w:rPr>
        <w:t xml:space="preserve">, 2014, </w:t>
      </w:r>
      <w:r w:rsidR="0078748E" w:rsidRPr="00D63428">
        <w:rPr>
          <w:rFonts w:ascii="Times New Roman" w:hAnsi="Times New Roman" w:cs="Times New Roman"/>
          <w:sz w:val="24"/>
          <w:szCs w:val="24"/>
        </w:rPr>
        <w:t>92</w:t>
      </w:r>
      <w:r w:rsidR="00E33E56" w:rsidRPr="00D63428">
        <w:rPr>
          <w:rFonts w:ascii="Times New Roman" w:hAnsi="Times New Roman" w:cs="Times New Roman"/>
          <w:sz w:val="24"/>
          <w:szCs w:val="24"/>
        </w:rPr>
        <w:t>.</w:t>
      </w:r>
      <w:r w:rsidR="005678F8" w:rsidRPr="00D63428">
        <w:rPr>
          <w:rFonts w:ascii="Times New Roman" w:hAnsi="Times New Roman" w:cs="Times New Roman"/>
          <w:sz w:val="24"/>
          <w:szCs w:val="24"/>
        </w:rPr>
        <w:t>, 215.</w:t>
      </w:r>
      <w:r w:rsidR="009062C8" w:rsidRPr="00D63428">
        <w:rPr>
          <w:rFonts w:ascii="Times New Roman" w:hAnsi="Times New Roman" w:cs="Times New Roman"/>
          <w:sz w:val="24"/>
          <w:szCs w:val="24"/>
        </w:rPr>
        <w:t>nr.</w:t>
      </w:r>
      <w:r w:rsidR="0038267B" w:rsidRPr="00D63428">
        <w:rPr>
          <w:rFonts w:ascii="Times New Roman" w:hAnsi="Times New Roman" w:cs="Times New Roman"/>
          <w:sz w:val="24"/>
          <w:szCs w:val="24"/>
        </w:rPr>
        <w:t>)</w:t>
      </w:r>
      <w:r w:rsidR="001A7831" w:rsidRPr="00D63428">
        <w:rPr>
          <w:rFonts w:ascii="Times New Roman" w:hAnsi="Times New Roman" w:cs="Times New Roman"/>
          <w:sz w:val="24"/>
          <w:szCs w:val="24"/>
        </w:rPr>
        <w:t xml:space="preserve"> šādu</w:t>
      </w:r>
      <w:r w:rsidR="00635C90" w:rsidRPr="00D63428">
        <w:rPr>
          <w:rFonts w:ascii="Times New Roman" w:hAnsi="Times New Roman" w:cs="Times New Roman"/>
          <w:sz w:val="24"/>
          <w:szCs w:val="24"/>
        </w:rPr>
        <w:t>s</w:t>
      </w:r>
      <w:r w:rsidRPr="00D63428">
        <w:rPr>
          <w:rFonts w:ascii="Times New Roman" w:hAnsi="Times New Roman" w:cs="Times New Roman"/>
          <w:sz w:val="24"/>
          <w:szCs w:val="24"/>
        </w:rPr>
        <w:t xml:space="preserve"> </w:t>
      </w:r>
      <w:r w:rsidR="00613D32" w:rsidRPr="00D63428">
        <w:rPr>
          <w:rFonts w:ascii="Times New Roman" w:hAnsi="Times New Roman" w:cs="Times New Roman"/>
          <w:sz w:val="24"/>
          <w:szCs w:val="24"/>
        </w:rPr>
        <w:t>grozījumu</w:t>
      </w:r>
      <w:r w:rsidR="00635C90" w:rsidRPr="00D63428">
        <w:rPr>
          <w:rFonts w:ascii="Times New Roman" w:hAnsi="Times New Roman" w:cs="Times New Roman"/>
          <w:sz w:val="24"/>
          <w:szCs w:val="24"/>
        </w:rPr>
        <w:t>s:</w:t>
      </w:r>
    </w:p>
    <w:p w:rsidR="00C85054" w:rsidRPr="00D63428" w:rsidRDefault="00C85054" w:rsidP="00C85054">
      <w:pPr>
        <w:spacing w:before="120" w:after="120" w:line="240" w:lineRule="auto"/>
        <w:jc w:val="both"/>
        <w:rPr>
          <w:rFonts w:ascii="Times New Roman" w:hAnsi="Times New Roman" w:cs="Times New Roman"/>
          <w:sz w:val="24"/>
          <w:szCs w:val="24"/>
        </w:rPr>
      </w:pPr>
    </w:p>
    <w:p w:rsidR="001C26AD" w:rsidRPr="00D63428" w:rsidRDefault="001C26AD"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2.punktu šādā redakcijā:</w:t>
      </w:r>
    </w:p>
    <w:p w:rsidR="001C26AD" w:rsidRPr="00D63428" w:rsidRDefault="001C26AD" w:rsidP="001C26AD">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„2. Finansējumu šīs </w:t>
      </w:r>
      <w:proofErr w:type="spellStart"/>
      <w:r w:rsidRPr="00D63428">
        <w:rPr>
          <w:rFonts w:ascii="Times New Roman" w:hAnsi="Times New Roman" w:cs="Times New Roman"/>
          <w:sz w:val="24"/>
          <w:szCs w:val="24"/>
        </w:rPr>
        <w:t>apakšaktivitātes</w:t>
      </w:r>
      <w:proofErr w:type="spellEnd"/>
      <w:r w:rsidRPr="00D63428">
        <w:rPr>
          <w:rFonts w:ascii="Times New Roman" w:hAnsi="Times New Roman" w:cs="Times New Roman"/>
          <w:sz w:val="24"/>
          <w:szCs w:val="24"/>
        </w:rPr>
        <w:t xml:space="preserve"> ietvaros sniedz</w:t>
      </w:r>
      <w:r w:rsidR="00D9406A" w:rsidRPr="00D63428">
        <w:rPr>
          <w:rFonts w:ascii="Times New Roman" w:hAnsi="Times New Roman" w:cs="Times New Roman"/>
          <w:sz w:val="24"/>
          <w:szCs w:val="24"/>
        </w:rPr>
        <w:t xml:space="preserve"> saskaņā ar</w:t>
      </w:r>
      <w:r w:rsidRPr="00D63428">
        <w:rPr>
          <w:rFonts w:ascii="Times New Roman" w:hAnsi="Times New Roman" w:cs="Times New Roman"/>
          <w:sz w:val="24"/>
          <w:szCs w:val="24"/>
        </w:rPr>
        <w:t>:</w:t>
      </w:r>
    </w:p>
    <w:p w:rsidR="001C26AD" w:rsidRPr="00D63428" w:rsidRDefault="001C26AD" w:rsidP="001C26AD">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 Komisijas 2013. gada 18. decembra Regul</w:t>
      </w:r>
      <w:r w:rsidR="0024721E" w:rsidRPr="00D63428">
        <w:rPr>
          <w:rFonts w:ascii="Times New Roman" w:hAnsi="Times New Roman" w:cs="Times New Roman"/>
          <w:sz w:val="24"/>
          <w:szCs w:val="24"/>
        </w:rPr>
        <w:t>u</w:t>
      </w:r>
      <w:r w:rsidRPr="00D63428">
        <w:rPr>
          <w:rFonts w:ascii="Times New Roman" w:hAnsi="Times New Roman" w:cs="Times New Roman"/>
          <w:sz w:val="24"/>
          <w:szCs w:val="24"/>
        </w:rPr>
        <w:t xml:space="preserve"> (ES) Nr. 1407/2013 par Līguma par Eiropas Savienības darbību 107. un 108. panta piemērošanu </w:t>
      </w:r>
      <w:proofErr w:type="spellStart"/>
      <w:r w:rsidRPr="00D63428">
        <w:rPr>
          <w:rFonts w:ascii="Times New Roman" w:hAnsi="Times New Roman" w:cs="Times New Roman"/>
          <w:i/>
          <w:sz w:val="24"/>
          <w:szCs w:val="24"/>
        </w:rPr>
        <w:t>de</w:t>
      </w:r>
      <w:proofErr w:type="spellEnd"/>
      <w:r w:rsidRPr="00D63428">
        <w:rPr>
          <w:rFonts w:ascii="Times New Roman" w:hAnsi="Times New Roman" w:cs="Times New Roman"/>
          <w:i/>
          <w:sz w:val="24"/>
          <w:szCs w:val="24"/>
        </w:rPr>
        <w:t xml:space="preserve"> </w:t>
      </w:r>
      <w:proofErr w:type="spellStart"/>
      <w:r w:rsidRPr="00D63428">
        <w:rPr>
          <w:rFonts w:ascii="Times New Roman" w:hAnsi="Times New Roman" w:cs="Times New Roman"/>
          <w:i/>
          <w:sz w:val="24"/>
          <w:szCs w:val="24"/>
        </w:rPr>
        <w:t>minimis</w:t>
      </w:r>
      <w:proofErr w:type="spellEnd"/>
      <w:r w:rsidRPr="00D63428">
        <w:rPr>
          <w:rFonts w:ascii="Times New Roman" w:hAnsi="Times New Roman" w:cs="Times New Roman"/>
          <w:sz w:val="24"/>
          <w:szCs w:val="24"/>
        </w:rPr>
        <w:t xml:space="preserve"> atbalstam (Eiropas Savienības Oficiālais Vēstnesis, 2013. gada 24. decembris, Nr. L 352) (turpmāk – Regula Nr. 1407/2013)</w:t>
      </w:r>
      <w:r w:rsidR="00780D36" w:rsidRPr="00D63428">
        <w:rPr>
          <w:rFonts w:ascii="Times New Roman" w:hAnsi="Times New Roman" w:cs="Times New Roman"/>
          <w:sz w:val="24"/>
          <w:szCs w:val="24"/>
        </w:rPr>
        <w:t xml:space="preserve"> un</w:t>
      </w:r>
      <w:r w:rsidR="00104070" w:rsidRPr="00D63428">
        <w:rPr>
          <w:rFonts w:ascii="Times New Roman" w:hAnsi="Times New Roman" w:cs="Times New Roman"/>
          <w:sz w:val="24"/>
          <w:szCs w:val="24"/>
        </w:rPr>
        <w:t xml:space="preserve">, ievērojot </w:t>
      </w:r>
      <w:r w:rsidR="00780D36" w:rsidRPr="00D63428">
        <w:rPr>
          <w:rFonts w:ascii="Times New Roman" w:hAnsi="Times New Roman" w:cs="Times New Roman"/>
          <w:sz w:val="24"/>
          <w:szCs w:val="24"/>
        </w:rPr>
        <w:t xml:space="preserve">minētās regulas </w:t>
      </w:r>
      <w:r w:rsidR="00104070" w:rsidRPr="00D63428">
        <w:rPr>
          <w:rFonts w:ascii="Times New Roman" w:hAnsi="Times New Roman" w:cs="Times New Roman"/>
          <w:sz w:val="24"/>
          <w:szCs w:val="24"/>
        </w:rPr>
        <w:t>1.panta 1.punktā iekļautos ierobežojumus</w:t>
      </w:r>
      <w:r w:rsidRPr="00D63428">
        <w:rPr>
          <w:rFonts w:ascii="Times New Roman" w:hAnsi="Times New Roman" w:cs="Times New Roman"/>
          <w:sz w:val="24"/>
          <w:szCs w:val="24"/>
        </w:rPr>
        <w:t>;</w:t>
      </w:r>
    </w:p>
    <w:p w:rsidR="001C26AD" w:rsidRPr="00D63428" w:rsidRDefault="001C26AD" w:rsidP="001C26AD">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w:t>
      </w:r>
      <w:r w:rsidR="00D9406A" w:rsidRPr="00D63428">
        <w:rPr>
          <w:rFonts w:ascii="Times New Roman" w:hAnsi="Times New Roman" w:cs="Times New Roman"/>
          <w:sz w:val="24"/>
          <w:szCs w:val="24"/>
        </w:rPr>
        <w:t>2</w:t>
      </w:r>
      <w:r w:rsidRPr="00D63428">
        <w:rPr>
          <w:rFonts w:ascii="Times New Roman" w:hAnsi="Times New Roman" w:cs="Times New Roman"/>
          <w:sz w:val="24"/>
          <w:szCs w:val="24"/>
        </w:rPr>
        <w:t xml:space="preserve">. </w:t>
      </w:r>
      <w:r w:rsidR="00D9406A" w:rsidRPr="00D63428">
        <w:rPr>
          <w:rFonts w:ascii="Times New Roman" w:hAnsi="Times New Roman" w:cs="Times New Roman"/>
          <w:sz w:val="24"/>
          <w:szCs w:val="24"/>
        </w:rPr>
        <w:t xml:space="preserve">Komisijas 2014. gada 27.jūnija Regulu (ES) Nr. 717/2014 par Līguma par Eiropas Savienības darbību 107. un 108. panta piemērošanu </w:t>
      </w:r>
      <w:proofErr w:type="spellStart"/>
      <w:r w:rsidR="00D9406A" w:rsidRPr="00D63428">
        <w:rPr>
          <w:rFonts w:ascii="Times New Roman" w:hAnsi="Times New Roman" w:cs="Times New Roman"/>
          <w:sz w:val="24"/>
          <w:szCs w:val="24"/>
        </w:rPr>
        <w:t>de</w:t>
      </w:r>
      <w:proofErr w:type="spellEnd"/>
      <w:r w:rsidR="00D9406A" w:rsidRPr="00D63428">
        <w:rPr>
          <w:rFonts w:ascii="Times New Roman" w:hAnsi="Times New Roman" w:cs="Times New Roman"/>
          <w:sz w:val="24"/>
          <w:szCs w:val="24"/>
        </w:rPr>
        <w:t xml:space="preserve"> </w:t>
      </w:r>
      <w:proofErr w:type="spellStart"/>
      <w:r w:rsidR="00D9406A" w:rsidRPr="00D63428">
        <w:rPr>
          <w:rFonts w:ascii="Times New Roman" w:hAnsi="Times New Roman" w:cs="Times New Roman"/>
          <w:sz w:val="24"/>
          <w:szCs w:val="24"/>
        </w:rPr>
        <w:t>minimis</w:t>
      </w:r>
      <w:proofErr w:type="spellEnd"/>
      <w:r w:rsidR="00D9406A" w:rsidRPr="00D63428">
        <w:rPr>
          <w:rFonts w:ascii="Times New Roman" w:hAnsi="Times New Roman" w:cs="Times New Roman"/>
          <w:sz w:val="24"/>
          <w:szCs w:val="24"/>
        </w:rPr>
        <w:t xml:space="preserve"> atbalstam zvejniecības un akvakultūras nozarē (Eiropas Savienības Oficiālais Vēstnesis, 2014. gada 28. jūnijs, Nr. L 190) (turpmāk – Regula Nr. 717/2014) šo noteikumu 10.punktā minētajiem finansējuma saņēmējiem, kas darbojas atbilstoši NACE 2.red. A sadaļas „Lauksaimniecība, mežsaimniecība un zivsaimniecība” 3.nodaļai „Zivsaimniecība”.”.”</w:t>
      </w:r>
      <w:r w:rsidR="00780D36" w:rsidRPr="00D63428">
        <w:rPr>
          <w:rFonts w:ascii="Times New Roman" w:hAnsi="Times New Roman" w:cs="Times New Roman"/>
          <w:sz w:val="24"/>
          <w:szCs w:val="24"/>
        </w:rPr>
        <w:t xml:space="preserve"> un</w:t>
      </w:r>
      <w:r w:rsidR="00104070" w:rsidRPr="00D63428">
        <w:rPr>
          <w:rFonts w:ascii="Times New Roman" w:hAnsi="Times New Roman" w:cs="Times New Roman"/>
          <w:sz w:val="24"/>
          <w:szCs w:val="24"/>
        </w:rPr>
        <w:t xml:space="preserve">, ievērojot </w:t>
      </w:r>
      <w:r w:rsidR="00780D36" w:rsidRPr="00D63428">
        <w:rPr>
          <w:rFonts w:ascii="Times New Roman" w:hAnsi="Times New Roman" w:cs="Times New Roman"/>
          <w:sz w:val="24"/>
          <w:szCs w:val="24"/>
        </w:rPr>
        <w:t>minētās r</w:t>
      </w:r>
      <w:r w:rsidR="00104070" w:rsidRPr="00D63428">
        <w:rPr>
          <w:rFonts w:ascii="Times New Roman" w:hAnsi="Times New Roman" w:cs="Times New Roman"/>
          <w:sz w:val="24"/>
          <w:szCs w:val="24"/>
        </w:rPr>
        <w:t>egulas 1.panta 1.punktā iekļautos ierobežojumus</w:t>
      </w:r>
      <w:r w:rsidR="00272AEB" w:rsidRPr="00D63428">
        <w:rPr>
          <w:rFonts w:ascii="Times New Roman" w:hAnsi="Times New Roman" w:cs="Times New Roman"/>
          <w:sz w:val="24"/>
          <w:szCs w:val="24"/>
        </w:rPr>
        <w:t>”</w:t>
      </w:r>
      <w:r w:rsidRPr="00D63428">
        <w:rPr>
          <w:rFonts w:ascii="Times New Roman" w:hAnsi="Times New Roman" w:cs="Times New Roman"/>
          <w:sz w:val="24"/>
          <w:szCs w:val="24"/>
        </w:rPr>
        <w:t>;</w:t>
      </w:r>
    </w:p>
    <w:p w:rsidR="00366947" w:rsidRPr="00D63428" w:rsidRDefault="00366947"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5.punktu šādā redakcijā:</w:t>
      </w:r>
    </w:p>
    <w:p w:rsidR="00E4306A" w:rsidRPr="00D63428" w:rsidRDefault="00E4306A" w:rsidP="00E4306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“5. Noteikumos lietoti šādi termini:</w:t>
      </w:r>
    </w:p>
    <w:p w:rsidR="00E4306A" w:rsidRPr="00D63428" w:rsidRDefault="00E4306A" w:rsidP="00E4306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5.1. individuālā vizīte – komersanta vai zemnieku vai zvejnieku saimniecības, vai kooperatīvās sabiedrības, tai skaitā lauksaimniecības pakalpojumu kooperatīvās sabiedrības vai atbilstīgās lauksaimniecības pakalpojumu kooperatīvās sabiedrības (turpmāk – kooperatīvā sabiedrība), vizīte ārvalstī ar iepriekš sagatavotu vizītes programmu, lai tiktos ar potenciālajiem ārvalstu sadarbības partneriem, ko organizē Latvijas Investīciju un attīstības aģentūra, biedrība vai nodibinājums, kura Latvijā reģistrēto biedru, dibinātāju vai dibinātāju biedru (komersantu</w:t>
      </w:r>
      <w:r w:rsidR="00EB310F" w:rsidRPr="00D63428">
        <w:rPr>
          <w:rFonts w:ascii="Times New Roman" w:hAnsi="Times New Roman" w:cs="Times New Roman"/>
          <w:sz w:val="24"/>
          <w:szCs w:val="24"/>
        </w:rPr>
        <w:t xml:space="preserve"> un uzņēmumu</w:t>
      </w:r>
      <w:r w:rsidRPr="00D63428">
        <w:rPr>
          <w:rFonts w:ascii="Times New Roman" w:hAnsi="Times New Roman" w:cs="Times New Roman"/>
          <w:sz w:val="24"/>
          <w:szCs w:val="24"/>
        </w:rPr>
        <w:t>) kopējais apgrozījums iepriekšējā gadā ir pārsniedzis 71 143 590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sz w:val="24"/>
          <w:szCs w:val="24"/>
        </w:rPr>
        <w:t xml:space="preserve"> (tiek ņemts vērā arī to komersantu </w:t>
      </w:r>
      <w:r w:rsidR="00EB310F" w:rsidRPr="00D63428">
        <w:rPr>
          <w:rFonts w:ascii="Times New Roman" w:hAnsi="Times New Roman" w:cs="Times New Roman"/>
          <w:sz w:val="24"/>
          <w:szCs w:val="24"/>
        </w:rPr>
        <w:t xml:space="preserve">un uzņēmumu </w:t>
      </w:r>
      <w:r w:rsidRPr="00D63428">
        <w:rPr>
          <w:rFonts w:ascii="Times New Roman" w:hAnsi="Times New Roman" w:cs="Times New Roman"/>
          <w:sz w:val="24"/>
          <w:szCs w:val="24"/>
        </w:rPr>
        <w:t>apgrozījums, kas nav projekta iesniedzēja biedri vai dibinātāji, bet ir biedri vai dibinātāji kādā no organizācijām, kas ir projekta iesniedzēja biedri) un kurš dibināts ne vēlāk kā trīs gadus pirms projekta iesnieguma iesniegšanas;</w:t>
      </w:r>
    </w:p>
    <w:p w:rsidR="00E4306A" w:rsidRPr="00D63428" w:rsidRDefault="00E4306A" w:rsidP="00E4306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5.2. </w:t>
      </w:r>
      <w:proofErr w:type="spellStart"/>
      <w:r w:rsidRPr="00D63428">
        <w:rPr>
          <w:rFonts w:ascii="Times New Roman" w:hAnsi="Times New Roman" w:cs="Times New Roman"/>
          <w:sz w:val="24"/>
          <w:szCs w:val="24"/>
        </w:rPr>
        <w:t>kontaktbirža</w:t>
      </w:r>
      <w:proofErr w:type="spellEnd"/>
      <w:r w:rsidRPr="00D63428">
        <w:rPr>
          <w:rFonts w:ascii="Times New Roman" w:hAnsi="Times New Roman" w:cs="Times New Roman"/>
          <w:sz w:val="24"/>
          <w:szCs w:val="24"/>
        </w:rPr>
        <w:t xml:space="preserve"> – pasākums izstādes vai konferences (semināra) ietvaros, lai komersants, vai zemnieku vai zvejnieku saimniecība, vai kooperatīvā sabiedrība pēc noteikta plāna tiktos ar vairākām (vismaz divām) ārvalstu kompānijām (pasūtītājiem, iepircējiem), ko noteiktā laikā un vietā organizē Latvijas Investīciju un attīstības aģentūra, biedrība vai nodibinājums, kura </w:t>
      </w:r>
      <w:r w:rsidRPr="00D63428">
        <w:rPr>
          <w:rFonts w:ascii="Times New Roman" w:hAnsi="Times New Roman" w:cs="Times New Roman"/>
          <w:sz w:val="24"/>
          <w:szCs w:val="24"/>
        </w:rPr>
        <w:lastRenderedPageBreak/>
        <w:t>Latvijā reģistrēto biedru, dibinātāju vai dibinātāju biedru (komersantu</w:t>
      </w:r>
      <w:r w:rsidR="00EB310F" w:rsidRPr="00D63428">
        <w:rPr>
          <w:rFonts w:ascii="Times New Roman" w:hAnsi="Times New Roman" w:cs="Times New Roman"/>
          <w:sz w:val="24"/>
          <w:szCs w:val="24"/>
        </w:rPr>
        <w:t xml:space="preserve"> un uzņēmumu</w:t>
      </w:r>
      <w:r w:rsidRPr="00D63428">
        <w:rPr>
          <w:rFonts w:ascii="Times New Roman" w:hAnsi="Times New Roman" w:cs="Times New Roman"/>
          <w:sz w:val="24"/>
          <w:szCs w:val="24"/>
        </w:rPr>
        <w:t>) kopējais apgrozījums iepriekšējā gadā ir pārsniedzis 71 143 590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sz w:val="24"/>
          <w:szCs w:val="24"/>
        </w:rPr>
        <w:t xml:space="preserve"> (tiek ņemts vērā arī to komersantu </w:t>
      </w:r>
      <w:r w:rsidR="00EB310F" w:rsidRPr="00D63428">
        <w:rPr>
          <w:rFonts w:ascii="Times New Roman" w:hAnsi="Times New Roman" w:cs="Times New Roman"/>
          <w:sz w:val="24"/>
          <w:szCs w:val="24"/>
        </w:rPr>
        <w:t xml:space="preserve">un uzņēmumu </w:t>
      </w:r>
      <w:r w:rsidRPr="00D63428">
        <w:rPr>
          <w:rFonts w:ascii="Times New Roman" w:hAnsi="Times New Roman" w:cs="Times New Roman"/>
          <w:sz w:val="24"/>
          <w:szCs w:val="24"/>
        </w:rPr>
        <w:t>apgrozījums, kas nav projekta iesniedzēja biedri vai dibinātāji, bet ir biedri vai dibinātāji kādā no organizācijām, kas ir projekta iesniedzēja biedri) un kurš dibināts ne vēlāk kā trīs gadus pirms projekta iesnieguma iesniegšanas;</w:t>
      </w:r>
    </w:p>
    <w:p w:rsidR="00E4306A" w:rsidRPr="00D63428" w:rsidRDefault="00E4306A" w:rsidP="00E4306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5.3. tirdzniecības misija:</w:t>
      </w:r>
    </w:p>
    <w:p w:rsidR="00E4306A" w:rsidRPr="00D63428" w:rsidRDefault="00E4306A" w:rsidP="00E4306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5.3.1. komersantu, vai zemnieku vai zvejnieku saimniecību, vai kooperatīvo sabiedrību grupas (vismaz divu komersantu vai zemnieku vai zvejnieku saimniecību, vai kooperatīvo sabiedrību) vienota vizīte ārvalstī ar iepriekš sagatavotu kopēju un katram komersantam vai zemnieku vai zvejnieku saimniecībai, vai kooperatīvajai sabiedrībai atsevišķi izstrādātu programmu, lai tiktos ar potenciālajiem ārvalstu sadarbības partneriem, ko organizē Latvijas Investīciju un attīstības aģentūra, biedrība vai nodibinājums, kura Latvijā reģistrēto biedru, dibinātāju vai dibinātāju biedru (komersantu</w:t>
      </w:r>
      <w:r w:rsidR="00EB310F" w:rsidRPr="00D63428">
        <w:rPr>
          <w:rFonts w:ascii="Times New Roman" w:hAnsi="Times New Roman" w:cs="Times New Roman"/>
          <w:sz w:val="24"/>
          <w:szCs w:val="24"/>
        </w:rPr>
        <w:t xml:space="preserve"> un uzņēmumu</w:t>
      </w:r>
      <w:r w:rsidRPr="00D63428">
        <w:rPr>
          <w:rFonts w:ascii="Times New Roman" w:hAnsi="Times New Roman" w:cs="Times New Roman"/>
          <w:sz w:val="24"/>
          <w:szCs w:val="24"/>
        </w:rPr>
        <w:t>) kopējais apgrozījums iepriekšējā gadā ir pārsniedzis 71 143 590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sz w:val="24"/>
          <w:szCs w:val="24"/>
        </w:rPr>
        <w:t> (tiek ņemts vērā arī to komersantu</w:t>
      </w:r>
      <w:r w:rsidR="00EB310F" w:rsidRPr="00D63428">
        <w:rPr>
          <w:rFonts w:ascii="Times New Roman" w:hAnsi="Times New Roman" w:cs="Times New Roman"/>
          <w:sz w:val="24"/>
          <w:szCs w:val="24"/>
        </w:rPr>
        <w:t xml:space="preserve"> un uzņēmumu</w:t>
      </w:r>
      <w:r w:rsidRPr="00D63428">
        <w:rPr>
          <w:rFonts w:ascii="Times New Roman" w:hAnsi="Times New Roman" w:cs="Times New Roman"/>
          <w:sz w:val="24"/>
          <w:szCs w:val="24"/>
        </w:rPr>
        <w:t xml:space="preserve"> apgrozījums, kas nav projekta iesniedzēja biedri vai dibinātāji, bet ir biedri vai dibinātāji kādā no organizācijām, kas ir projekta iesniedzēja biedri) un kurš dibināts ne vēlāk kā trīs gadus pirms projekta iesnieguma iesniegšanas. Katra komersanta vai zemnieku vai zvejnieku saimniecības, vai kooperatīvās sabiedrības atsevišķo vizīšu programmas saturiski iekļaujas tirdzniecības misijas organizatora izstrādātajā kopējā grupas vizītes programmā, kurā ir atspoguļotas grupas kopējās un individuālās tikšanās ar potenciālajiem ārvalstu sadarbības partneriem;</w:t>
      </w:r>
    </w:p>
    <w:p w:rsidR="00366947" w:rsidRPr="00D63428" w:rsidRDefault="00E4306A" w:rsidP="00E4306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5.3.2. komersantu, zemnieku vai zvejnieku saimniecību, kooperatīvo sabiedrību, pašvaldību, ostu pārvalžu, publisko personu vai to iestāžu (tai skaitā atvasināto publisko personu, kas darbojas atbilstoši NACE </w:t>
      </w:r>
      <w:hyperlink r:id="rId8" w:anchor="n2" w:tgtFrame="_blank" w:history="1">
        <w:r w:rsidRPr="00D63428">
          <w:rPr>
            <w:rStyle w:val="Hyperlink"/>
            <w:rFonts w:ascii="Times New Roman" w:hAnsi="Times New Roman" w:cs="Times New Roman"/>
            <w:sz w:val="24"/>
            <w:szCs w:val="24"/>
          </w:rPr>
          <w:t>2. </w:t>
        </w:r>
        <w:proofErr w:type="spellStart"/>
      </w:hyperlink>
      <w:r w:rsidRPr="00D63428">
        <w:rPr>
          <w:rFonts w:ascii="Times New Roman" w:hAnsi="Times New Roman" w:cs="Times New Roman"/>
          <w:sz w:val="24"/>
          <w:szCs w:val="24"/>
        </w:rPr>
        <w:t>red</w:t>
      </w:r>
      <w:proofErr w:type="spellEnd"/>
      <w:r w:rsidRPr="00D63428">
        <w:rPr>
          <w:rFonts w:ascii="Times New Roman" w:hAnsi="Times New Roman" w:cs="Times New Roman"/>
          <w:sz w:val="24"/>
          <w:szCs w:val="24"/>
        </w:rPr>
        <w:t>. M sadaļas "Profesionālie, zinātniskie un tehniskie pakalpojumi" 72. nodaļas "Zinātniskās pētniecības darbs" un P sadaļas "Izglītība" 85.4. nodaļas "Augstākā izglītība" nosacījumiem), biedrību vai nodibinājumu dalība augstu Latvijas valsts amatpersonu vizītē ārvalstīs, lai tiktos ar potenciālajiem ārvalstu sadarbības partneriem, ko organizē Latvijas Investīciju un attīstības aģentūra.”</w:t>
      </w:r>
    </w:p>
    <w:p w:rsidR="00ED1FE9" w:rsidRPr="00D63428" w:rsidRDefault="00ED1FE9"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8.2.8.</w:t>
      </w:r>
      <w:r w:rsidR="007D684A" w:rsidRPr="00D63428">
        <w:rPr>
          <w:rFonts w:ascii="Times New Roman" w:hAnsi="Times New Roman" w:cs="Times New Roman"/>
          <w:sz w:val="24"/>
          <w:szCs w:val="24"/>
        </w:rPr>
        <w:t>apakš</w:t>
      </w:r>
      <w:r w:rsidRPr="00D63428">
        <w:rPr>
          <w:rFonts w:ascii="Times New Roman" w:hAnsi="Times New Roman" w:cs="Times New Roman"/>
          <w:sz w:val="24"/>
          <w:szCs w:val="24"/>
        </w:rPr>
        <w:t>punktu šādā redakcijā:</w:t>
      </w:r>
    </w:p>
    <w:p w:rsidR="00ED1FE9" w:rsidRPr="00D63428" w:rsidRDefault="00ED1FE9" w:rsidP="00ED1FE9">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„8.2.8. pirms finansējuma piešķiršanas pārbauda personas vai saistīto personu grupas fiskālajā gadā un iepriekšējos divos fiskālajos gados saņemto </w:t>
      </w:r>
      <w:proofErr w:type="spellStart"/>
      <w:r w:rsidRPr="00D63428">
        <w:rPr>
          <w:rFonts w:ascii="Times New Roman" w:hAnsi="Times New Roman" w:cs="Times New Roman"/>
          <w:i/>
          <w:sz w:val="24"/>
          <w:szCs w:val="24"/>
        </w:rPr>
        <w:t>de</w:t>
      </w:r>
      <w:proofErr w:type="spellEnd"/>
      <w:r w:rsidRPr="00D63428">
        <w:rPr>
          <w:rFonts w:ascii="Times New Roman" w:hAnsi="Times New Roman" w:cs="Times New Roman"/>
          <w:i/>
          <w:sz w:val="24"/>
          <w:szCs w:val="24"/>
        </w:rPr>
        <w:t xml:space="preserve"> </w:t>
      </w:r>
      <w:proofErr w:type="spellStart"/>
      <w:r w:rsidRPr="00D63428">
        <w:rPr>
          <w:rFonts w:ascii="Times New Roman" w:hAnsi="Times New Roman" w:cs="Times New Roman"/>
          <w:i/>
          <w:sz w:val="24"/>
          <w:szCs w:val="24"/>
        </w:rPr>
        <w:t>minimis</w:t>
      </w:r>
      <w:proofErr w:type="spellEnd"/>
      <w:r w:rsidRPr="00D63428">
        <w:rPr>
          <w:rFonts w:ascii="Times New Roman" w:hAnsi="Times New Roman" w:cs="Times New Roman"/>
          <w:sz w:val="24"/>
          <w:szCs w:val="24"/>
        </w:rPr>
        <w:t xml:space="preserve"> atbalsta apjomu saskaņā ar Regulas Nr. 1407/2013 3. panta 2. punktā noteikto maksimālo apmēru</w:t>
      </w:r>
      <w:r w:rsidR="00711F22" w:rsidRPr="00D63428">
        <w:rPr>
          <w:rFonts w:ascii="Times New Roman" w:hAnsi="Times New Roman" w:cs="Times New Roman"/>
          <w:sz w:val="24"/>
          <w:szCs w:val="24"/>
        </w:rPr>
        <w:t>,</w:t>
      </w:r>
      <w:r w:rsidRPr="00D63428">
        <w:rPr>
          <w:rFonts w:ascii="Times New Roman" w:hAnsi="Times New Roman" w:cs="Times New Roman"/>
          <w:sz w:val="24"/>
          <w:szCs w:val="24"/>
        </w:rPr>
        <w:t xml:space="preserve"> </w:t>
      </w:r>
      <w:r w:rsidR="00711F22" w:rsidRPr="00D63428">
        <w:rPr>
          <w:rFonts w:ascii="Times New Roman" w:hAnsi="Times New Roman" w:cs="Times New Roman"/>
          <w:sz w:val="24"/>
          <w:szCs w:val="24"/>
        </w:rPr>
        <w:t xml:space="preserve">izņemot šo noteikumu 10.punktā minētajiem finansējuma saņēmējiem, kas darbojas atbilstoši NACE 2.red. A sadaļas „Lauksaimniecība, mežsaimniecība un zivsaimniecība” 3.nodaļai „Zivsaimniecība”, kuriem saņemto </w:t>
      </w:r>
      <w:proofErr w:type="spellStart"/>
      <w:r w:rsidR="00711F22" w:rsidRPr="00D63428">
        <w:rPr>
          <w:rFonts w:ascii="Times New Roman" w:hAnsi="Times New Roman" w:cs="Times New Roman"/>
          <w:i/>
          <w:sz w:val="24"/>
          <w:szCs w:val="24"/>
        </w:rPr>
        <w:t>de</w:t>
      </w:r>
      <w:proofErr w:type="spellEnd"/>
      <w:r w:rsidR="00711F22" w:rsidRPr="00D63428">
        <w:rPr>
          <w:rFonts w:ascii="Times New Roman" w:hAnsi="Times New Roman" w:cs="Times New Roman"/>
          <w:i/>
          <w:sz w:val="24"/>
          <w:szCs w:val="24"/>
        </w:rPr>
        <w:t xml:space="preserve"> </w:t>
      </w:r>
      <w:proofErr w:type="spellStart"/>
      <w:r w:rsidR="00711F22" w:rsidRPr="00D63428">
        <w:rPr>
          <w:rFonts w:ascii="Times New Roman" w:hAnsi="Times New Roman" w:cs="Times New Roman"/>
          <w:i/>
          <w:sz w:val="24"/>
          <w:szCs w:val="24"/>
        </w:rPr>
        <w:t>minimis</w:t>
      </w:r>
      <w:proofErr w:type="spellEnd"/>
      <w:r w:rsidR="00711F22" w:rsidRPr="00D63428">
        <w:rPr>
          <w:rFonts w:ascii="Times New Roman" w:hAnsi="Times New Roman" w:cs="Times New Roman"/>
          <w:sz w:val="24"/>
          <w:szCs w:val="24"/>
        </w:rPr>
        <w:t xml:space="preserve"> atbalsta apjomu pārbauda saskaņā ar Regulas Nr.717/2014 3. panta 2. punktā noteikto maksimālo apmēru;”</w:t>
      </w:r>
      <w:r w:rsidRPr="00D63428">
        <w:rPr>
          <w:rFonts w:ascii="Times New Roman" w:hAnsi="Times New Roman" w:cs="Times New Roman"/>
          <w:sz w:val="24"/>
          <w:szCs w:val="24"/>
        </w:rPr>
        <w:t>;</w:t>
      </w:r>
    </w:p>
    <w:p w:rsidR="00A543CC" w:rsidRPr="00D63428" w:rsidRDefault="00A543CC"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10.2, 10.3. un 10.4.apakšpunktu šādā redakcijā:</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“10.2. biedrība, kurā apvienojušies vismaz pieci komersanti vai uzņēmumi;</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10.3. nodibinājums, kura dibinātāji vai dibinātāju biedri ir vismaz pieci komersanti vai uzņēmumi;</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10.4. kooperatīvā sabiedrība, kurā apvienojušies vismaz trīs komersanti vai uzņēmumi;”</w:t>
      </w:r>
    </w:p>
    <w:p w:rsidR="001A5C47" w:rsidRPr="00D63428" w:rsidRDefault="007B4DD7"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papildināt</w:t>
      </w:r>
      <w:r w:rsidR="005A6A44" w:rsidRPr="00D63428">
        <w:rPr>
          <w:rFonts w:ascii="Times New Roman" w:hAnsi="Times New Roman" w:cs="Times New Roman"/>
          <w:sz w:val="24"/>
          <w:szCs w:val="24"/>
        </w:rPr>
        <w:t xml:space="preserve"> </w:t>
      </w:r>
      <w:r w:rsidRPr="00D63428">
        <w:rPr>
          <w:rFonts w:ascii="Times New Roman" w:hAnsi="Times New Roman" w:cs="Times New Roman"/>
          <w:sz w:val="24"/>
          <w:szCs w:val="24"/>
        </w:rPr>
        <w:t>10</w:t>
      </w:r>
      <w:r w:rsidR="001A5C47" w:rsidRPr="00D63428">
        <w:rPr>
          <w:rFonts w:ascii="Times New Roman" w:hAnsi="Times New Roman" w:cs="Times New Roman"/>
          <w:sz w:val="24"/>
          <w:szCs w:val="24"/>
        </w:rPr>
        <w:t xml:space="preserve">.punktu </w:t>
      </w:r>
      <w:r w:rsidRPr="00D63428">
        <w:rPr>
          <w:rFonts w:ascii="Times New Roman" w:hAnsi="Times New Roman" w:cs="Times New Roman"/>
          <w:sz w:val="24"/>
          <w:szCs w:val="24"/>
        </w:rPr>
        <w:t xml:space="preserve">ar jaunu 10.8.apakšpunktu </w:t>
      </w:r>
      <w:r w:rsidR="001A5C47" w:rsidRPr="00D63428">
        <w:rPr>
          <w:rFonts w:ascii="Times New Roman" w:hAnsi="Times New Roman" w:cs="Times New Roman"/>
          <w:sz w:val="24"/>
          <w:szCs w:val="24"/>
        </w:rPr>
        <w:t>šādā redakcijā:</w:t>
      </w:r>
    </w:p>
    <w:p w:rsidR="007B4DD7" w:rsidRPr="00D63428" w:rsidRDefault="007B4DD7" w:rsidP="007B4DD7">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„10.8. </w:t>
      </w:r>
      <w:r w:rsidR="00F63105" w:rsidRPr="00D63428">
        <w:rPr>
          <w:rFonts w:ascii="Times New Roman" w:hAnsi="Times New Roman" w:cs="Times New Roman"/>
          <w:sz w:val="24"/>
          <w:szCs w:val="24"/>
        </w:rPr>
        <w:t>zemnieku un zvejnieku saimniecības</w:t>
      </w:r>
      <w:r w:rsidRPr="00D63428">
        <w:rPr>
          <w:rFonts w:ascii="Times New Roman" w:hAnsi="Times New Roman" w:cs="Times New Roman"/>
          <w:sz w:val="24"/>
          <w:szCs w:val="24"/>
        </w:rPr>
        <w:t>.”;</w:t>
      </w:r>
    </w:p>
    <w:p w:rsidR="007D684A" w:rsidRPr="00D63428" w:rsidRDefault="007D684A" w:rsidP="00D63428">
      <w:pPr>
        <w:pStyle w:val="ListParagraph"/>
        <w:numPr>
          <w:ilvl w:val="1"/>
          <w:numId w:val="22"/>
        </w:numPr>
        <w:spacing w:before="120" w:after="120" w:line="240" w:lineRule="auto"/>
        <w:rPr>
          <w:rFonts w:ascii="Times New Roman" w:hAnsi="Times New Roman" w:cs="Times New Roman"/>
          <w:sz w:val="24"/>
          <w:szCs w:val="24"/>
        </w:rPr>
      </w:pPr>
      <w:r w:rsidRPr="00D63428">
        <w:rPr>
          <w:rFonts w:ascii="Times New Roman" w:hAnsi="Times New Roman" w:cs="Times New Roman"/>
          <w:sz w:val="24"/>
          <w:szCs w:val="24"/>
        </w:rPr>
        <w:t>papildināt 11.punktu ar jaunu 11.7.apakšpunktu šādā redakcijā:</w:t>
      </w:r>
    </w:p>
    <w:p w:rsidR="007D684A" w:rsidRPr="00D63428" w:rsidRDefault="007D684A" w:rsidP="007D684A">
      <w:pPr>
        <w:spacing w:before="120" w:after="120" w:line="240" w:lineRule="auto"/>
        <w:rPr>
          <w:rFonts w:ascii="Times New Roman" w:hAnsi="Times New Roman" w:cs="Times New Roman"/>
          <w:sz w:val="24"/>
          <w:szCs w:val="24"/>
        </w:rPr>
      </w:pPr>
      <w:r w:rsidRPr="00D63428">
        <w:rPr>
          <w:rFonts w:ascii="Times New Roman" w:hAnsi="Times New Roman" w:cs="Times New Roman"/>
          <w:sz w:val="24"/>
          <w:szCs w:val="24"/>
        </w:rPr>
        <w:t xml:space="preserve">„11.7. </w:t>
      </w:r>
      <w:r w:rsidR="00F63105" w:rsidRPr="00D63428">
        <w:rPr>
          <w:rFonts w:ascii="Times New Roman" w:hAnsi="Times New Roman" w:cs="Times New Roman"/>
          <w:sz w:val="24"/>
          <w:szCs w:val="24"/>
        </w:rPr>
        <w:t>zemnieku un zvejnieku saimniecības</w:t>
      </w:r>
      <w:r w:rsidR="00930432" w:rsidRPr="00D63428">
        <w:rPr>
          <w:rFonts w:ascii="Times New Roman" w:hAnsi="Times New Roman" w:cs="Times New Roman"/>
          <w:sz w:val="24"/>
          <w:szCs w:val="24"/>
        </w:rPr>
        <w:t>.</w:t>
      </w:r>
      <w:r w:rsidRPr="00D63428">
        <w:rPr>
          <w:rFonts w:ascii="Times New Roman" w:hAnsi="Times New Roman" w:cs="Times New Roman"/>
          <w:sz w:val="24"/>
          <w:szCs w:val="24"/>
        </w:rPr>
        <w:t>”;</w:t>
      </w:r>
    </w:p>
    <w:p w:rsidR="000577F6" w:rsidRPr="00D63428" w:rsidRDefault="000577F6" w:rsidP="00D63428">
      <w:pPr>
        <w:pStyle w:val="ListParagraph"/>
        <w:numPr>
          <w:ilvl w:val="1"/>
          <w:numId w:val="22"/>
        </w:numPr>
        <w:spacing w:before="120" w:after="120" w:line="240" w:lineRule="auto"/>
        <w:rPr>
          <w:rFonts w:ascii="Times New Roman" w:hAnsi="Times New Roman" w:cs="Times New Roman"/>
          <w:sz w:val="24"/>
          <w:szCs w:val="24"/>
        </w:rPr>
      </w:pPr>
      <w:r w:rsidRPr="00D63428">
        <w:rPr>
          <w:rFonts w:ascii="Times New Roman" w:hAnsi="Times New Roman" w:cs="Times New Roman"/>
          <w:sz w:val="24"/>
          <w:szCs w:val="24"/>
        </w:rPr>
        <w:lastRenderedPageBreak/>
        <w:t>izteikt 20.1.apakšpunktu šādā redakcijā:</w:t>
      </w:r>
    </w:p>
    <w:p w:rsidR="000577F6" w:rsidRPr="00D63428" w:rsidRDefault="000577F6" w:rsidP="000577F6">
      <w:pPr>
        <w:spacing w:before="120" w:after="120" w:line="240" w:lineRule="auto"/>
        <w:rPr>
          <w:rFonts w:ascii="Times New Roman" w:hAnsi="Times New Roman" w:cs="Times New Roman"/>
          <w:sz w:val="24"/>
          <w:szCs w:val="24"/>
        </w:rPr>
      </w:pPr>
      <w:r w:rsidRPr="00D63428">
        <w:rPr>
          <w:rFonts w:ascii="Times New Roman" w:hAnsi="Times New Roman" w:cs="Times New Roman"/>
          <w:sz w:val="24"/>
          <w:szCs w:val="24"/>
        </w:rPr>
        <w:t xml:space="preserve">“20.1. projekta iesniedzējam ar tiesas spriedumu nav pasludināts maksātnespējas process vai ar tiesas spriedumu netiek īstenots tiesiskās aizsardzības process, ar tiesas lēmumu netiek īstenots </w:t>
      </w:r>
      <w:proofErr w:type="spellStart"/>
      <w:r w:rsidRPr="00D63428">
        <w:rPr>
          <w:rFonts w:ascii="Times New Roman" w:hAnsi="Times New Roman" w:cs="Times New Roman"/>
          <w:sz w:val="24"/>
          <w:szCs w:val="24"/>
        </w:rPr>
        <w:t>ārpustiesas</w:t>
      </w:r>
      <w:proofErr w:type="spellEnd"/>
      <w:r w:rsidRPr="00D63428">
        <w:rPr>
          <w:rFonts w:ascii="Times New Roman" w:hAnsi="Times New Roman" w:cs="Times New Roman"/>
          <w:sz w:val="24"/>
          <w:szCs w:val="24"/>
        </w:rPr>
        <w:t xml:space="preserve"> tiesiskās aizsardzības process, tam nav uzsākta bankrota procedūra, piemērota sanācija vai mierizlīgums vai tā saimnieciskā darbība nav izbeigta, vai tas neatbilst normatīvajos aktos noteiktiem kritērijiem, lai tam pēc kreditoru pieprasījuma piemērotu maksātnespējas procedūru.”</w:t>
      </w:r>
    </w:p>
    <w:p w:rsidR="007D684A" w:rsidRPr="00D63428" w:rsidRDefault="007D684A" w:rsidP="00D63428">
      <w:pPr>
        <w:pStyle w:val="ListParagraph"/>
        <w:numPr>
          <w:ilvl w:val="1"/>
          <w:numId w:val="22"/>
        </w:numPr>
        <w:spacing w:before="120" w:after="120" w:line="240" w:lineRule="auto"/>
        <w:rPr>
          <w:rFonts w:ascii="Times New Roman" w:hAnsi="Times New Roman" w:cs="Times New Roman"/>
          <w:sz w:val="24"/>
          <w:szCs w:val="24"/>
        </w:rPr>
      </w:pPr>
      <w:r w:rsidRPr="00D63428">
        <w:rPr>
          <w:rFonts w:ascii="Times New Roman" w:hAnsi="Times New Roman" w:cs="Times New Roman"/>
          <w:sz w:val="24"/>
          <w:szCs w:val="24"/>
        </w:rPr>
        <w:t xml:space="preserve">izteikt </w:t>
      </w:r>
      <w:r w:rsidR="00C54D7C" w:rsidRPr="00D63428">
        <w:rPr>
          <w:rFonts w:ascii="Times New Roman" w:hAnsi="Times New Roman" w:cs="Times New Roman"/>
          <w:sz w:val="24"/>
          <w:szCs w:val="24"/>
        </w:rPr>
        <w:t>21.1</w:t>
      </w:r>
      <w:r w:rsidRPr="00D63428">
        <w:rPr>
          <w:rFonts w:ascii="Times New Roman" w:hAnsi="Times New Roman" w:cs="Times New Roman"/>
          <w:sz w:val="24"/>
          <w:szCs w:val="24"/>
        </w:rPr>
        <w:t>.apakšpunktu šādā redakcijā:</w:t>
      </w:r>
    </w:p>
    <w:p w:rsidR="007D684A" w:rsidRPr="00D63428" w:rsidRDefault="00C54D7C" w:rsidP="00C54D7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„21.1. Latvijā reģistrētu komersantu, biedrību, nodibinājumu, kooperatīvo sabiedrību, pašvaldību, publisko personu un to iestāžu (tai skaitā atvasināto publisko personu, kas darbojas atbilstoši NACE 2. </w:t>
      </w:r>
      <w:proofErr w:type="spellStart"/>
      <w:r w:rsidRPr="00D63428">
        <w:rPr>
          <w:rFonts w:ascii="Times New Roman" w:hAnsi="Times New Roman" w:cs="Times New Roman"/>
          <w:sz w:val="24"/>
          <w:szCs w:val="24"/>
        </w:rPr>
        <w:t>red</w:t>
      </w:r>
      <w:proofErr w:type="spellEnd"/>
      <w:r w:rsidRPr="00D63428">
        <w:rPr>
          <w:rFonts w:ascii="Times New Roman" w:hAnsi="Times New Roman" w:cs="Times New Roman"/>
          <w:sz w:val="24"/>
          <w:szCs w:val="24"/>
        </w:rPr>
        <w:t xml:space="preserve">. M sadaļas "Profesionālie, zinātniskie un tehniskie pakalpojumi" 72. nodaļas "Zinātniskās pētniecības darbs" un P sadaļas "Izglītība" 85.4. nodaļas "Augstākā izglītība" nosacījumiem), ostu pārvalžu, kā arī </w:t>
      </w:r>
      <w:r w:rsidR="00F63105" w:rsidRPr="00D63428">
        <w:rPr>
          <w:rFonts w:ascii="Times New Roman" w:hAnsi="Times New Roman" w:cs="Times New Roman"/>
          <w:sz w:val="24"/>
          <w:szCs w:val="24"/>
        </w:rPr>
        <w:t>zemnieku un zvejnieku saimniecību</w:t>
      </w:r>
      <w:r w:rsidRPr="00D63428">
        <w:rPr>
          <w:rFonts w:ascii="Times New Roman" w:hAnsi="Times New Roman" w:cs="Times New Roman"/>
          <w:sz w:val="24"/>
          <w:szCs w:val="24"/>
        </w:rPr>
        <w:t xml:space="preserve"> dalībai starptautiskajās izstādēs un konferencēs (semināros) ārvalstīs, kas ir saistītas ar to saimnieciskās darbības nozari. Pašvaldība finansējumu dalībai starptautiskajās izstādēs un konferencēs (semināros) ārvalstīs var saņemt, ja dalība pasākumos veicina Latvijas kā tūrisma galamērķa starptautisko konkurētspēju;</w:t>
      </w:r>
      <w:r w:rsidR="00930432" w:rsidRPr="00D63428">
        <w:rPr>
          <w:rFonts w:ascii="Times New Roman" w:hAnsi="Times New Roman" w:cs="Times New Roman"/>
          <w:sz w:val="24"/>
          <w:szCs w:val="24"/>
        </w:rPr>
        <w:t>”;</w:t>
      </w:r>
    </w:p>
    <w:p w:rsidR="00A543CC" w:rsidRPr="00D63428" w:rsidRDefault="00A543CC"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21.3.apakšpunktu šādā redakcijā:</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“21.3. konferencēm (semināriem) par eksporta jautājumiem Latvijā, ko organizē biedrība, kuras Latvijā reģistrēto biedru (komersantu un uzņēmumu) kopējais apgrozījums iepriekšējā gadā ir pārsniedzis 71 143 590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i/>
          <w:iCs/>
          <w:sz w:val="24"/>
          <w:szCs w:val="24"/>
        </w:rPr>
        <w:t> </w:t>
      </w:r>
      <w:r w:rsidRPr="00D63428">
        <w:rPr>
          <w:rFonts w:ascii="Times New Roman" w:hAnsi="Times New Roman" w:cs="Times New Roman"/>
          <w:sz w:val="24"/>
          <w:szCs w:val="24"/>
        </w:rPr>
        <w:t>(tiek ņemts vērā arī to komersantu un uzņēmumu apgrozījums, kas nav projekta iesniedzēja biedri, bet ir biedri kādā no organizācijām, kas ir projekta iesniedzēja biedri) un kura ir dibināta ne vēlāk kā trīs gadus pirms projekta iesnieguma iesniegšanas, ja:</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21.3.1. plānotais dalībnieku skaits ir vismaz 15;</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21.3.2. ārvalstu dalībnieku skaits vai lektoru skaits ir vismaz trīs;”</w:t>
      </w:r>
    </w:p>
    <w:p w:rsidR="00E4306A" w:rsidRPr="00D63428" w:rsidRDefault="00E4306A"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21.5.apakšpunktu šādā redakcijā:</w:t>
      </w:r>
    </w:p>
    <w:p w:rsidR="00E4306A" w:rsidRPr="00D63428" w:rsidRDefault="00E4306A" w:rsidP="00E4306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“21.5. Latvijas komersantu</w:t>
      </w:r>
      <w:r w:rsidR="00461C28" w:rsidRPr="00D63428">
        <w:rPr>
          <w:rFonts w:ascii="Times New Roman" w:hAnsi="Times New Roman" w:cs="Times New Roman"/>
          <w:sz w:val="24"/>
          <w:szCs w:val="24"/>
        </w:rPr>
        <w:t>, zemnieku vai zvejnieku saimniecību</w:t>
      </w:r>
      <w:r w:rsidRPr="00D63428">
        <w:rPr>
          <w:rFonts w:ascii="Times New Roman" w:hAnsi="Times New Roman" w:cs="Times New Roman"/>
          <w:sz w:val="24"/>
          <w:szCs w:val="24"/>
        </w:rPr>
        <w:t xml:space="preserve"> un kooperatīvo sabiedrību ražotņu un produktu atbilstības novērtēšanai, lai apliecinātu, ka attiecīgais produkts, process, pakalpojums vai persona atbilst ārvalstu mērķa tirgos noteiktajām prasībām, ja šāda atbilstības novērtēšana ir obligāts priekšnosacījums produktu tirdzniecībai ārvalstu tirgos saskaņā ar ārvalstu normatīvajiem aktiem, kompetento iestāžu vai to sadarbības partneru prasībām, kuru apgrozījums pārsniedz 100 miljonus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i/>
          <w:iCs/>
          <w:sz w:val="24"/>
          <w:szCs w:val="24"/>
        </w:rPr>
        <w:t> </w:t>
      </w:r>
      <w:r w:rsidRPr="00D63428">
        <w:rPr>
          <w:rFonts w:ascii="Times New Roman" w:hAnsi="Times New Roman" w:cs="Times New Roman"/>
          <w:sz w:val="24"/>
          <w:szCs w:val="24"/>
        </w:rPr>
        <w:t>gadā. Finansējumu nevar saņemt par atbilstības novērtēšanu, kura nav obligāts priekšnosacījums produktu tirdzniecībai ārvalstu tirgos;”</w:t>
      </w:r>
    </w:p>
    <w:p w:rsidR="00A543CC" w:rsidRPr="00D63428" w:rsidRDefault="00A543CC"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21.6.apakšpunktu šādā redakcijā:</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“21.6. starptautiskām konferencēm (semināriem, kongresiem, meistarklasēm, forumiem, kopsapulcēm, konkursiem u. c.) Latvijā, ko organizē biedrība, kuras Latvijā reģistrēto biedru (komersantu un uzņēmumu) kopējais apgrozījums iepriekšējā gadā ir pārsniedzis 71 143 590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i/>
          <w:iCs/>
          <w:sz w:val="24"/>
          <w:szCs w:val="24"/>
        </w:rPr>
        <w:t> </w:t>
      </w:r>
      <w:r w:rsidRPr="00D63428">
        <w:rPr>
          <w:rFonts w:ascii="Times New Roman" w:hAnsi="Times New Roman" w:cs="Times New Roman"/>
          <w:sz w:val="24"/>
          <w:szCs w:val="24"/>
        </w:rPr>
        <w:t>(tiek ņemts vērā arī to komersantu un uzņēmumu apgrozījums, kas nav projekta iesniedzēja biedri, bet ir biedri kādā no organizācijām, kas ir projekta iesniedzēja biedri) un kura ir dibināta ne vēlāk kā trīs gadus pirms projekta iesnieguma iesniegšanas, ja:</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21.6.1. konference ilgst ne mazāk kā divas dienas;</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21.6.2. konferencē piedalās vismaz 150 ārvalstu dalībnieki, kas ir ne mazāk kā 60 % no kopējā pasākuma dalībnieku skaita;</w:t>
      </w:r>
    </w:p>
    <w:p w:rsidR="00A543CC" w:rsidRPr="00D63428" w:rsidRDefault="00A543CC" w:rsidP="00A543C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lastRenderedPageBreak/>
        <w:t>21.6.3. vismaz 50 % dalībnieku pārstāv apstrādes rūpniecības, informācijas tehnoloģiju un telekomunikāciju, zinātniskās pētniecības, radošās industrijas un transporta un sakaru nozari.”</w:t>
      </w:r>
    </w:p>
    <w:p w:rsidR="00CC16FA" w:rsidRPr="00D63428" w:rsidRDefault="00CC16FA"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22.punktu šādā redakcijā:</w:t>
      </w:r>
    </w:p>
    <w:p w:rsidR="00CC16FA" w:rsidRPr="00D63428" w:rsidRDefault="00CC16FA" w:rsidP="00CC16FA">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“22. </w:t>
      </w:r>
      <w:proofErr w:type="spellStart"/>
      <w:r w:rsidRPr="00D63428">
        <w:rPr>
          <w:rFonts w:ascii="Times New Roman" w:hAnsi="Times New Roman" w:cs="Times New Roman"/>
          <w:sz w:val="24"/>
          <w:szCs w:val="24"/>
        </w:rPr>
        <w:t>Apakšaktivitātes</w:t>
      </w:r>
      <w:proofErr w:type="spellEnd"/>
      <w:r w:rsidRPr="00D63428">
        <w:rPr>
          <w:rFonts w:ascii="Times New Roman" w:hAnsi="Times New Roman" w:cs="Times New Roman"/>
          <w:sz w:val="24"/>
          <w:szCs w:val="24"/>
        </w:rPr>
        <w:t xml:space="preserve"> ietvaros netiek atbalstītas darbības, kas uzsāktas pirms šo noteikumu stāšanās spēkā un ir saistītas ar komersanta vai uzņēmuma importa apjomu palielināšanu, Latvijas tirgus apgūšanu vai nostiprināšanos tajā, kā arī konkurēt</w:t>
      </w:r>
      <w:r w:rsidRPr="00D63428">
        <w:rPr>
          <w:rFonts w:ascii="Times New Roman" w:hAnsi="Times New Roman" w:cs="Times New Roman"/>
          <w:sz w:val="24"/>
          <w:szCs w:val="24"/>
        </w:rPr>
        <w:softHyphen/>
        <w:t>spējas veicināšanu Latvijas tirgū.”</w:t>
      </w:r>
    </w:p>
    <w:p w:rsidR="007B4DD7" w:rsidRPr="00D63428" w:rsidRDefault="00C54D7C"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23.punktu šādā redakcijā:</w:t>
      </w:r>
    </w:p>
    <w:p w:rsidR="00C54D7C" w:rsidRPr="00D63428" w:rsidRDefault="00C54D7C" w:rsidP="00002BAC">
      <w:pPr>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„23. Maksimāli pieļaujamā finansējuma intensitāte ir:</w:t>
      </w:r>
    </w:p>
    <w:p w:rsidR="00C54D7C" w:rsidRPr="00D63428" w:rsidRDefault="00C54D7C" w:rsidP="00002BAC">
      <w:pPr>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23.1. </w:t>
      </w:r>
      <w:r w:rsidR="00154F66" w:rsidRPr="00D63428">
        <w:rPr>
          <w:rFonts w:ascii="Times New Roman" w:hAnsi="Times New Roman" w:cs="Times New Roman"/>
          <w:bCs/>
          <w:sz w:val="24"/>
          <w:szCs w:val="24"/>
        </w:rPr>
        <w:t>90 % šo noteikumu 10.punktā minētajiem finansējuma saņēmējiem, kas darbojas atbilstoši NACE 2.red. A sadaļas „Lauksaimniecība, mežsaimniecība un zivsaimniecība</w:t>
      </w:r>
      <w:r w:rsidR="00F12823" w:rsidRPr="00D63428">
        <w:rPr>
          <w:rFonts w:ascii="Times New Roman" w:hAnsi="Times New Roman" w:cs="Times New Roman"/>
          <w:bCs/>
          <w:sz w:val="24"/>
          <w:szCs w:val="24"/>
        </w:rPr>
        <w:t>” 3.nodaļai „Zivsaimniecība”,</w:t>
      </w:r>
      <w:r w:rsidR="00154F66" w:rsidRPr="00D63428">
        <w:rPr>
          <w:rFonts w:ascii="Times New Roman" w:hAnsi="Times New Roman" w:cs="Times New Roman"/>
          <w:bCs/>
          <w:sz w:val="24"/>
          <w:szCs w:val="24"/>
        </w:rPr>
        <w:t xml:space="preserve"> C sadaļas „Apstrādes rūpniecība” 10.2.nodaļai „Zivju, vēžveidīgo un mīkstmiešu pārstrāde un konservēšana”, </w:t>
      </w:r>
      <w:bookmarkStart w:id="8" w:name="_Toc193771400"/>
      <w:r w:rsidR="00154F66" w:rsidRPr="00D63428">
        <w:rPr>
          <w:rFonts w:ascii="Times New Roman" w:hAnsi="Times New Roman" w:cs="Times New Roman"/>
          <w:bCs/>
          <w:sz w:val="24"/>
          <w:szCs w:val="24"/>
        </w:rPr>
        <w:t>10.5.nodaļai “Piena produktu ražošana</w:t>
      </w:r>
      <w:bookmarkEnd w:id="8"/>
      <w:r w:rsidR="00F12823" w:rsidRPr="00D63428">
        <w:rPr>
          <w:rFonts w:ascii="Times New Roman" w:hAnsi="Times New Roman" w:cs="Times New Roman"/>
          <w:bCs/>
          <w:sz w:val="24"/>
          <w:szCs w:val="24"/>
        </w:rPr>
        <w:t>” vai</w:t>
      </w:r>
      <w:r w:rsidR="00154F66" w:rsidRPr="00D63428">
        <w:rPr>
          <w:rFonts w:ascii="Times New Roman" w:hAnsi="Times New Roman" w:cs="Times New Roman"/>
          <w:bCs/>
          <w:sz w:val="24"/>
          <w:szCs w:val="24"/>
        </w:rPr>
        <w:t xml:space="preserve"> </w:t>
      </w:r>
      <w:bookmarkStart w:id="9" w:name="a101"/>
      <w:bookmarkStart w:id="10" w:name="_Toc193771387"/>
      <w:r w:rsidR="00154F66" w:rsidRPr="00D63428">
        <w:rPr>
          <w:rFonts w:ascii="Times New Roman" w:hAnsi="Times New Roman" w:cs="Times New Roman"/>
          <w:bCs/>
          <w:sz w:val="24"/>
          <w:szCs w:val="24"/>
        </w:rPr>
        <w:t xml:space="preserve">10.1.nodaļai </w:t>
      </w:r>
      <w:bookmarkEnd w:id="9"/>
      <w:r w:rsidR="00154F66" w:rsidRPr="00D63428">
        <w:rPr>
          <w:rFonts w:ascii="Times New Roman" w:hAnsi="Times New Roman" w:cs="Times New Roman"/>
          <w:bCs/>
          <w:sz w:val="24"/>
          <w:szCs w:val="24"/>
        </w:rPr>
        <w:t>“Gaļas un gaļas produktu ražošana</w:t>
      </w:r>
      <w:r w:rsidR="00154F66" w:rsidRPr="00D63428">
        <w:rPr>
          <w:rFonts w:ascii="Times New Roman" w:hAnsi="Times New Roman" w:cs="Times New Roman"/>
          <w:sz w:val="24"/>
          <w:szCs w:val="24"/>
        </w:rPr>
        <w:t>, pārstrāde un konservēšana</w:t>
      </w:r>
      <w:bookmarkEnd w:id="10"/>
      <w:r w:rsidR="00154F66" w:rsidRPr="00D63428">
        <w:rPr>
          <w:rFonts w:ascii="Times New Roman" w:hAnsi="Times New Roman" w:cs="Times New Roman"/>
          <w:sz w:val="24"/>
          <w:szCs w:val="24"/>
        </w:rPr>
        <w:t xml:space="preserve">” </w:t>
      </w:r>
      <w:r w:rsidR="00154F66" w:rsidRPr="00D63428">
        <w:rPr>
          <w:rFonts w:ascii="Times New Roman" w:hAnsi="Times New Roman" w:cs="Times New Roman"/>
          <w:bCs/>
          <w:sz w:val="24"/>
          <w:szCs w:val="24"/>
        </w:rPr>
        <w:t>no kopējām projekta attiecināmajām izmaksām šo noteikumu 21.1., 21.2. un 21.5. apakšpunktā minētajām darbībām, izņemot šo noteikumu 21.2. apakšpunktā minētajām individuālajām vizītēm – 70%;</w:t>
      </w:r>
      <w:r w:rsidR="009854BA" w:rsidRPr="00D63428">
        <w:rPr>
          <w:rFonts w:ascii="Times New Roman" w:hAnsi="Times New Roman" w:cs="Times New Roman"/>
          <w:sz w:val="24"/>
          <w:szCs w:val="24"/>
        </w:rPr>
        <w:t>;</w:t>
      </w:r>
    </w:p>
    <w:p w:rsidR="00C54D7C" w:rsidRPr="00D63428" w:rsidRDefault="00C54D7C" w:rsidP="00002BAC">
      <w:pPr>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23.2. 70 % </w:t>
      </w:r>
      <w:r w:rsidR="00154F66" w:rsidRPr="00D63428">
        <w:rPr>
          <w:rFonts w:ascii="Times New Roman" w:hAnsi="Times New Roman" w:cs="Times New Roman"/>
          <w:sz w:val="24"/>
          <w:szCs w:val="24"/>
        </w:rPr>
        <w:t xml:space="preserve">pārējiem </w:t>
      </w:r>
      <w:r w:rsidR="00FB0D6B" w:rsidRPr="00D63428">
        <w:rPr>
          <w:rFonts w:ascii="Times New Roman" w:hAnsi="Times New Roman" w:cs="Times New Roman"/>
          <w:sz w:val="24"/>
          <w:szCs w:val="24"/>
        </w:rPr>
        <w:t>šo noteikumu 10</w:t>
      </w:r>
      <w:r w:rsidR="00154F66" w:rsidRPr="00D63428">
        <w:rPr>
          <w:rFonts w:ascii="Times New Roman" w:hAnsi="Times New Roman" w:cs="Times New Roman"/>
          <w:sz w:val="24"/>
          <w:szCs w:val="24"/>
        </w:rPr>
        <w:t>.</w:t>
      </w:r>
      <w:r w:rsidR="00FB0D6B" w:rsidRPr="00D63428">
        <w:rPr>
          <w:rFonts w:ascii="Times New Roman" w:hAnsi="Times New Roman" w:cs="Times New Roman"/>
          <w:sz w:val="24"/>
          <w:szCs w:val="24"/>
        </w:rPr>
        <w:t xml:space="preserve">punktā minētajiem finansējuma saņēmējiem </w:t>
      </w:r>
      <w:r w:rsidRPr="00D63428">
        <w:rPr>
          <w:rFonts w:ascii="Times New Roman" w:hAnsi="Times New Roman" w:cs="Times New Roman"/>
          <w:sz w:val="24"/>
          <w:szCs w:val="24"/>
        </w:rPr>
        <w:t>no kopējām projekta attiecināmajām izmaksām šo noteikumu 21.1., 21.2. un 21.5. apakšpunktā minētajām darbībām;</w:t>
      </w:r>
    </w:p>
    <w:p w:rsidR="00C54D7C" w:rsidRPr="00D63428" w:rsidRDefault="00C54D7C" w:rsidP="00002BAC">
      <w:pPr>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23.3. 75 % no kopējām projekta attiecināmajām izmaksām šo noteikumu 21.3. apakšpunktā minētajām darbībām;</w:t>
      </w:r>
    </w:p>
    <w:p w:rsidR="00C54D7C" w:rsidRPr="00D63428" w:rsidRDefault="00C54D7C" w:rsidP="00002BAC">
      <w:pPr>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23.4. 50 % no kopējām projekta attiecināmajām izmaksām šo noteikumu 21.6. apakšpunktā minētajām darbībām.”;</w:t>
      </w:r>
    </w:p>
    <w:p w:rsidR="00002BAC" w:rsidRPr="00D63428" w:rsidRDefault="00002BAC"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25.5.apakšpunkta šādā redakcijā:</w:t>
      </w:r>
    </w:p>
    <w:p w:rsidR="00002BAC" w:rsidRPr="00D63428" w:rsidRDefault="00002BAC" w:rsidP="00002BAC">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„25.5. starptautiskās izstādes vai konferences (semināra) organizatora noteiktā nomas maksa par stenda konstrukciju un ekspozīcijas laukumu (šo noteikumu 10.1. un 10.8.apakšpunktā minētajam projekta iesniedzējam – ne vairāk kā 9 249 euro vienā izstādē vai konferencē (seminārā); partnerībā, kā arī pārējiem projektu iesnie­dzējiem – ne vairāk kā 18 497 euro vienā izstādē vai konferencē (seminārā)). Šajā apakšpunktā attiecināmi ir tiešie maksājumi starptautiskās izstādes organizatoram;”;</w:t>
      </w:r>
    </w:p>
    <w:p w:rsidR="00A57455" w:rsidRPr="00D63428" w:rsidRDefault="00A57455"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26.punktu šādā redakcijā:</w:t>
      </w:r>
    </w:p>
    <w:p w:rsidR="00A57455" w:rsidRPr="00D63428" w:rsidRDefault="00A57455" w:rsidP="00A57455">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“26. Kopējās projekta attiecināmās izmaksas nedrīkst pārsniegt 30 % no projekta iesniedzēja pēdējā noslēgtā gada konsolidētā apgrozījuma. Ja projekta iesniedzējs ir kooperatīvā sabiedrība, biedrība, nodibinājums, publiskā persona vai tās iestāde (tai skaitā atvasināta publiska persona, kas darbojas atbilstoši NACE </w:t>
      </w:r>
      <w:hyperlink r:id="rId9" w:anchor="n2" w:tgtFrame="_blank" w:history="1">
        <w:r w:rsidRPr="00D63428">
          <w:rPr>
            <w:rStyle w:val="Hyperlink"/>
            <w:rFonts w:ascii="Times New Roman" w:hAnsi="Times New Roman" w:cs="Times New Roman"/>
            <w:sz w:val="24"/>
            <w:szCs w:val="24"/>
          </w:rPr>
          <w:t>2. </w:t>
        </w:r>
        <w:proofErr w:type="spellStart"/>
      </w:hyperlink>
      <w:r w:rsidRPr="00D63428">
        <w:rPr>
          <w:rFonts w:ascii="Times New Roman" w:hAnsi="Times New Roman" w:cs="Times New Roman"/>
          <w:sz w:val="24"/>
          <w:szCs w:val="24"/>
        </w:rPr>
        <w:t>red</w:t>
      </w:r>
      <w:proofErr w:type="spellEnd"/>
      <w:r w:rsidRPr="00D63428">
        <w:rPr>
          <w:rFonts w:ascii="Times New Roman" w:hAnsi="Times New Roman" w:cs="Times New Roman"/>
          <w:sz w:val="24"/>
          <w:szCs w:val="24"/>
        </w:rPr>
        <w:t>. M sadaļas "Profesionālie, zinātniskie un tehniskie pakalpojumi" 72. nodaļas "Zinātniskās pētniecības darbs" un P sadaļas "Izglītība" 85.4. nodaļas "Augstākā izglītība" nosacījumiem), pašvaldība vai ostu pārvalde vai projekta iesniegums iesniegts partnerībā, šo ierobežojumu rēķina no visu projektā iesaistīto kooperatīvo sabiedrību, biedrību, nodibinājumu, publisko personu vai tās iestāžu (tai skaitā atvasinātu publisku personu, kas darbojas NACE </w:t>
      </w:r>
      <w:hyperlink r:id="rId10" w:anchor="n2" w:tgtFrame="_blank" w:history="1">
        <w:r w:rsidRPr="00D63428">
          <w:rPr>
            <w:rStyle w:val="Hyperlink"/>
            <w:rFonts w:ascii="Times New Roman" w:hAnsi="Times New Roman" w:cs="Times New Roman"/>
            <w:sz w:val="24"/>
            <w:szCs w:val="24"/>
          </w:rPr>
          <w:t>2. </w:t>
        </w:r>
        <w:proofErr w:type="spellStart"/>
      </w:hyperlink>
      <w:r w:rsidRPr="00D63428">
        <w:rPr>
          <w:rFonts w:ascii="Times New Roman" w:hAnsi="Times New Roman" w:cs="Times New Roman"/>
          <w:sz w:val="24"/>
          <w:szCs w:val="24"/>
        </w:rPr>
        <w:t>red</w:t>
      </w:r>
      <w:proofErr w:type="spellEnd"/>
      <w:r w:rsidRPr="00D63428">
        <w:rPr>
          <w:rFonts w:ascii="Times New Roman" w:hAnsi="Times New Roman" w:cs="Times New Roman"/>
          <w:sz w:val="24"/>
          <w:szCs w:val="24"/>
        </w:rPr>
        <w:t>. M sadaļas "Profesionālie, zinātniskie un tehniskie pakalpojumi" 72.nodaļas "Zinātniskās pētniecības darbs" un P sadaļas "Izglītība" 85.4. nodaļas "Augstākā izglītība" nosacījumiem), pašvaldību, ostu pārvalžu</w:t>
      </w:r>
      <w:r w:rsidR="003413C4" w:rsidRPr="00D63428">
        <w:rPr>
          <w:rFonts w:ascii="Times New Roman" w:hAnsi="Times New Roman" w:cs="Times New Roman"/>
          <w:sz w:val="24"/>
          <w:szCs w:val="24"/>
        </w:rPr>
        <w:t>, zemnieku vai zvejnieku saimniecību</w:t>
      </w:r>
      <w:r w:rsidRPr="00D63428">
        <w:rPr>
          <w:rFonts w:ascii="Times New Roman" w:hAnsi="Times New Roman" w:cs="Times New Roman"/>
          <w:sz w:val="24"/>
          <w:szCs w:val="24"/>
        </w:rPr>
        <w:t xml:space="preserve"> vai komersantu pēdējā noslēgtā gada konsolidētā apgrozījuma summas. Ja projekta iesniedzējs ir reģistrēts Uzņēmumu reģistrā, biedrību un nodibinājumu reģistrā vai komercreģistrā mazāk nekā trīs gadus, iesniegtā projekta kopējās maksimāli attiecināmās izmaksas ir 5 692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i/>
          <w:iCs/>
          <w:sz w:val="24"/>
          <w:szCs w:val="24"/>
        </w:rPr>
        <w:t> </w:t>
      </w:r>
      <w:r w:rsidRPr="00D63428">
        <w:rPr>
          <w:rFonts w:ascii="Times New Roman" w:hAnsi="Times New Roman" w:cs="Times New Roman"/>
          <w:sz w:val="24"/>
          <w:szCs w:val="24"/>
        </w:rPr>
        <w:t>ar nosacījumu, ka 30 % no projekta iesniedzēja konsolidētā apgrozījuma ir mazāk par 5 692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sz w:val="24"/>
          <w:szCs w:val="24"/>
        </w:rPr>
        <w:t>.”</w:t>
      </w:r>
    </w:p>
    <w:p w:rsidR="008A4D8B" w:rsidRPr="00D63428" w:rsidRDefault="008A4D8B"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lastRenderedPageBreak/>
        <w:t>izteikt 27.</w:t>
      </w:r>
      <w:r w:rsidRPr="00D63428">
        <w:rPr>
          <w:rFonts w:ascii="Times New Roman" w:hAnsi="Times New Roman" w:cs="Times New Roman"/>
          <w:sz w:val="24"/>
          <w:szCs w:val="24"/>
          <w:vertAlign w:val="superscript"/>
        </w:rPr>
        <w:t>1</w:t>
      </w:r>
      <w:r w:rsidRPr="00D63428">
        <w:rPr>
          <w:rFonts w:ascii="Times New Roman" w:hAnsi="Times New Roman" w:cs="Times New Roman"/>
          <w:sz w:val="24"/>
          <w:szCs w:val="24"/>
        </w:rPr>
        <w:t xml:space="preserve"> punktu šādā redakcijā:</w:t>
      </w:r>
    </w:p>
    <w:p w:rsidR="008A4D8B"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“27.</w:t>
      </w:r>
      <w:r w:rsidRPr="00D63428">
        <w:rPr>
          <w:rFonts w:ascii="Times New Roman" w:hAnsi="Times New Roman" w:cs="Times New Roman"/>
          <w:sz w:val="24"/>
          <w:szCs w:val="24"/>
          <w:vertAlign w:val="superscript"/>
        </w:rPr>
        <w:t>1 </w:t>
      </w:r>
      <w:r w:rsidRPr="00D63428">
        <w:rPr>
          <w:rFonts w:ascii="Times New Roman" w:hAnsi="Times New Roman" w:cs="Times New Roman"/>
          <w:sz w:val="24"/>
          <w:szCs w:val="24"/>
        </w:rPr>
        <w:t>Šo noteikumu 21.5. apakšpunktā minētajā atbilstības novērtēšanā attiecināmas ir šādas ārpakalpojumu izmaksas (ne vairāk kā 25 000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i/>
          <w:iCs/>
          <w:sz w:val="24"/>
          <w:szCs w:val="24"/>
        </w:rPr>
        <w:t> </w:t>
      </w:r>
      <w:r w:rsidRPr="00D63428">
        <w:rPr>
          <w:rFonts w:ascii="Times New Roman" w:hAnsi="Times New Roman" w:cs="Times New Roman"/>
          <w:sz w:val="24"/>
          <w:szCs w:val="24"/>
        </w:rPr>
        <w:t>vienam komersantam vai uzņēmumam gadā):</w:t>
      </w:r>
    </w:p>
    <w:p w:rsidR="008A4D8B"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27.</w:t>
      </w:r>
      <w:r w:rsidRPr="00D63428">
        <w:rPr>
          <w:rFonts w:ascii="Times New Roman" w:hAnsi="Times New Roman" w:cs="Times New Roman"/>
          <w:sz w:val="24"/>
          <w:szCs w:val="24"/>
          <w:vertAlign w:val="superscript"/>
        </w:rPr>
        <w:t>1 </w:t>
      </w:r>
      <w:r w:rsidRPr="00D63428">
        <w:rPr>
          <w:rFonts w:ascii="Times New Roman" w:hAnsi="Times New Roman" w:cs="Times New Roman"/>
          <w:sz w:val="24"/>
          <w:szCs w:val="24"/>
        </w:rPr>
        <w:t>1. neatkarīgas trešās personas vai kompetentās iestādes pakalpojumu izmaksas, lai apliecinātu, ka attiecīgais produkts, process, pakalpojumus vai persona atbilst ārvalstu mērķa tirgos noteiktajām prasībām;</w:t>
      </w:r>
    </w:p>
    <w:p w:rsidR="008A4D8B"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27.</w:t>
      </w:r>
      <w:r w:rsidRPr="00D63428">
        <w:rPr>
          <w:rFonts w:ascii="Times New Roman" w:hAnsi="Times New Roman" w:cs="Times New Roman"/>
          <w:sz w:val="24"/>
          <w:szCs w:val="24"/>
          <w:vertAlign w:val="superscript"/>
        </w:rPr>
        <w:t>1 </w:t>
      </w:r>
      <w:r w:rsidRPr="00D63428">
        <w:rPr>
          <w:rFonts w:ascii="Times New Roman" w:hAnsi="Times New Roman" w:cs="Times New Roman"/>
          <w:sz w:val="24"/>
          <w:szCs w:val="24"/>
        </w:rPr>
        <w:t>2. ārvalstu potenciālo sadarbības partneru veikto Latvijas komersantu</w:t>
      </w:r>
      <w:r w:rsidR="00D56A2B" w:rsidRPr="00D63428">
        <w:rPr>
          <w:rFonts w:ascii="Times New Roman" w:hAnsi="Times New Roman" w:cs="Times New Roman"/>
          <w:sz w:val="24"/>
          <w:szCs w:val="24"/>
        </w:rPr>
        <w:t>, kooperatīvo sabiedrību</w:t>
      </w:r>
      <w:r w:rsidRPr="00D63428">
        <w:rPr>
          <w:rFonts w:ascii="Times New Roman" w:hAnsi="Times New Roman" w:cs="Times New Roman"/>
          <w:sz w:val="24"/>
          <w:szCs w:val="24"/>
        </w:rPr>
        <w:t xml:space="preserve"> un uzņēmumu ražotņu un produktu atbilstības ekspertīžu izmaksas;</w:t>
      </w:r>
    </w:p>
    <w:p w:rsidR="008A4D8B"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27.</w:t>
      </w:r>
      <w:r w:rsidRPr="00D63428">
        <w:rPr>
          <w:rFonts w:ascii="Times New Roman" w:hAnsi="Times New Roman" w:cs="Times New Roman"/>
          <w:sz w:val="24"/>
          <w:szCs w:val="24"/>
          <w:vertAlign w:val="superscript"/>
        </w:rPr>
        <w:t>1 </w:t>
      </w:r>
      <w:r w:rsidRPr="00D63428">
        <w:rPr>
          <w:rFonts w:ascii="Times New Roman" w:hAnsi="Times New Roman" w:cs="Times New Roman"/>
          <w:sz w:val="24"/>
          <w:szCs w:val="24"/>
        </w:rPr>
        <w:t>3. maksa par sertificēšanas centru un testēšanas laboratoriju pakalpojumiem;</w:t>
      </w:r>
    </w:p>
    <w:p w:rsidR="008A4D8B"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27.</w:t>
      </w:r>
      <w:r w:rsidRPr="00D63428">
        <w:rPr>
          <w:rFonts w:ascii="Times New Roman" w:hAnsi="Times New Roman" w:cs="Times New Roman"/>
          <w:sz w:val="24"/>
          <w:szCs w:val="24"/>
          <w:vertAlign w:val="superscript"/>
        </w:rPr>
        <w:t>1 </w:t>
      </w:r>
      <w:r w:rsidRPr="00D63428">
        <w:rPr>
          <w:rFonts w:ascii="Times New Roman" w:hAnsi="Times New Roman" w:cs="Times New Roman"/>
          <w:sz w:val="24"/>
          <w:szCs w:val="24"/>
        </w:rPr>
        <w:t>4. ražotnes un katra produkta atzīšanas izmaksas (nodeva par dokumentiem);</w:t>
      </w:r>
    </w:p>
    <w:p w:rsidR="008A4D8B"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27.</w:t>
      </w:r>
      <w:r w:rsidRPr="00D63428">
        <w:rPr>
          <w:rFonts w:ascii="Times New Roman" w:hAnsi="Times New Roman" w:cs="Times New Roman"/>
          <w:sz w:val="24"/>
          <w:szCs w:val="24"/>
          <w:vertAlign w:val="superscript"/>
        </w:rPr>
        <w:t>1 </w:t>
      </w:r>
      <w:r w:rsidRPr="00D63428">
        <w:rPr>
          <w:rFonts w:ascii="Times New Roman" w:hAnsi="Times New Roman" w:cs="Times New Roman"/>
          <w:sz w:val="24"/>
          <w:szCs w:val="24"/>
        </w:rPr>
        <w:t>5. potenciālo sadarbības partneru prasību un sagatavotās dokumentācijas tulkošanas izmaksas (ne vairāk kā 1200 </w:t>
      </w:r>
      <w:proofErr w:type="spellStart"/>
      <w:r w:rsidRPr="00D63428">
        <w:rPr>
          <w:rFonts w:ascii="Times New Roman" w:hAnsi="Times New Roman" w:cs="Times New Roman"/>
          <w:i/>
          <w:iCs/>
          <w:sz w:val="24"/>
          <w:szCs w:val="24"/>
        </w:rPr>
        <w:t>euro</w:t>
      </w:r>
      <w:proofErr w:type="spellEnd"/>
      <w:r w:rsidRPr="00D63428">
        <w:rPr>
          <w:rFonts w:ascii="Times New Roman" w:hAnsi="Times New Roman" w:cs="Times New Roman"/>
          <w:sz w:val="24"/>
          <w:szCs w:val="24"/>
        </w:rPr>
        <w:t>).”</w:t>
      </w:r>
    </w:p>
    <w:p w:rsidR="008A4D8B" w:rsidRPr="00D63428" w:rsidRDefault="008A4D8B"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28.4.apakšpunktu šādā redakcijā:</w:t>
      </w:r>
    </w:p>
    <w:p w:rsidR="008A4D8B"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“28.4. izmaksas, kas saistītas ar komersanta vai uzņēmuma importa apjomiem, kā arī ar komersanta vai uzņēmuma izdevumiem importa operācijām;”</w:t>
      </w:r>
    </w:p>
    <w:p w:rsidR="002E70D2" w:rsidRPr="00D63428" w:rsidRDefault="002E70D2"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37.2.1.apakšpunktu šādā redakcijā:</w:t>
      </w:r>
    </w:p>
    <w:p w:rsidR="002E70D2" w:rsidRPr="00D63428" w:rsidRDefault="002E70D2" w:rsidP="002E70D2">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“37.2.1. uzskaites veidlapas par saņemto </w:t>
      </w:r>
      <w:proofErr w:type="spellStart"/>
      <w:r w:rsidRPr="00D63428">
        <w:rPr>
          <w:rFonts w:ascii="Times New Roman" w:hAnsi="Times New Roman" w:cs="Times New Roman"/>
          <w:i/>
          <w:sz w:val="24"/>
          <w:szCs w:val="24"/>
        </w:rPr>
        <w:t>de</w:t>
      </w:r>
      <w:proofErr w:type="spellEnd"/>
      <w:r w:rsidRPr="00D63428">
        <w:rPr>
          <w:rFonts w:ascii="Times New Roman" w:hAnsi="Times New Roman" w:cs="Times New Roman"/>
          <w:i/>
          <w:sz w:val="24"/>
          <w:szCs w:val="24"/>
        </w:rPr>
        <w:t xml:space="preserve"> </w:t>
      </w:r>
      <w:proofErr w:type="spellStart"/>
      <w:r w:rsidRPr="00D63428">
        <w:rPr>
          <w:rFonts w:ascii="Times New Roman" w:hAnsi="Times New Roman" w:cs="Times New Roman"/>
          <w:i/>
          <w:sz w:val="24"/>
          <w:szCs w:val="24"/>
        </w:rPr>
        <w:t>minimis</w:t>
      </w:r>
      <w:proofErr w:type="spellEnd"/>
      <w:r w:rsidRPr="00D63428">
        <w:rPr>
          <w:rFonts w:ascii="Times New Roman" w:hAnsi="Times New Roman" w:cs="Times New Roman"/>
          <w:sz w:val="24"/>
          <w:szCs w:val="24"/>
        </w:rPr>
        <w:t xml:space="preserve"> atbalstu saskaņā ar normatīvajiem aktiem par </w:t>
      </w:r>
      <w:proofErr w:type="spellStart"/>
      <w:r w:rsidRPr="00D63428">
        <w:rPr>
          <w:rFonts w:ascii="Times New Roman" w:hAnsi="Times New Roman" w:cs="Times New Roman"/>
          <w:i/>
          <w:sz w:val="24"/>
          <w:szCs w:val="24"/>
        </w:rPr>
        <w:t>de</w:t>
      </w:r>
      <w:proofErr w:type="spellEnd"/>
      <w:r w:rsidRPr="00D63428">
        <w:rPr>
          <w:rFonts w:ascii="Times New Roman" w:hAnsi="Times New Roman" w:cs="Times New Roman"/>
          <w:i/>
          <w:sz w:val="24"/>
          <w:szCs w:val="24"/>
        </w:rPr>
        <w:t xml:space="preserve"> </w:t>
      </w:r>
      <w:proofErr w:type="spellStart"/>
      <w:r w:rsidRPr="00D63428">
        <w:rPr>
          <w:rFonts w:ascii="Times New Roman" w:hAnsi="Times New Roman" w:cs="Times New Roman"/>
          <w:i/>
          <w:sz w:val="24"/>
          <w:szCs w:val="24"/>
        </w:rPr>
        <w:t>minimis</w:t>
      </w:r>
      <w:proofErr w:type="spellEnd"/>
      <w:r w:rsidRPr="00D63428">
        <w:rPr>
          <w:rFonts w:ascii="Times New Roman" w:hAnsi="Times New Roman" w:cs="Times New Roman"/>
          <w:sz w:val="24"/>
          <w:szCs w:val="24"/>
        </w:rPr>
        <w:t xml:space="preserve"> atbalsta uzskaites un piešķiršanas kārtību un </w:t>
      </w:r>
      <w:proofErr w:type="spellStart"/>
      <w:r w:rsidRPr="00D63428">
        <w:rPr>
          <w:rFonts w:ascii="Times New Roman" w:hAnsi="Times New Roman" w:cs="Times New Roman"/>
          <w:i/>
          <w:sz w:val="24"/>
          <w:szCs w:val="24"/>
        </w:rPr>
        <w:t>de</w:t>
      </w:r>
      <w:proofErr w:type="spellEnd"/>
      <w:r w:rsidRPr="00D63428">
        <w:rPr>
          <w:rFonts w:ascii="Times New Roman" w:hAnsi="Times New Roman" w:cs="Times New Roman"/>
          <w:i/>
          <w:sz w:val="24"/>
          <w:szCs w:val="24"/>
        </w:rPr>
        <w:t xml:space="preserve"> </w:t>
      </w:r>
      <w:proofErr w:type="spellStart"/>
      <w:r w:rsidRPr="00D63428">
        <w:rPr>
          <w:rFonts w:ascii="Times New Roman" w:hAnsi="Times New Roman" w:cs="Times New Roman"/>
          <w:i/>
          <w:sz w:val="24"/>
          <w:szCs w:val="24"/>
        </w:rPr>
        <w:t>minimis</w:t>
      </w:r>
      <w:proofErr w:type="spellEnd"/>
      <w:r w:rsidRPr="00D63428">
        <w:rPr>
          <w:rFonts w:ascii="Times New Roman" w:hAnsi="Times New Roman" w:cs="Times New Roman"/>
          <w:sz w:val="24"/>
          <w:szCs w:val="24"/>
        </w:rPr>
        <w:t xml:space="preserve"> atbalsta uzskaites veidlapu paraugiem vai saskaņā ar normatīvajiem aktiem par zvejniecības un akvakultūras nozarē piešķiramā </w:t>
      </w:r>
      <w:proofErr w:type="spellStart"/>
      <w:r w:rsidRPr="00D63428">
        <w:rPr>
          <w:rFonts w:ascii="Times New Roman" w:hAnsi="Times New Roman" w:cs="Times New Roman"/>
          <w:i/>
          <w:sz w:val="24"/>
          <w:szCs w:val="24"/>
        </w:rPr>
        <w:t>de</w:t>
      </w:r>
      <w:proofErr w:type="spellEnd"/>
      <w:r w:rsidRPr="00D63428">
        <w:rPr>
          <w:rFonts w:ascii="Times New Roman" w:hAnsi="Times New Roman" w:cs="Times New Roman"/>
          <w:i/>
          <w:sz w:val="24"/>
          <w:szCs w:val="24"/>
        </w:rPr>
        <w:t xml:space="preserve"> </w:t>
      </w:r>
      <w:proofErr w:type="spellStart"/>
      <w:r w:rsidRPr="00D63428">
        <w:rPr>
          <w:rFonts w:ascii="Times New Roman" w:hAnsi="Times New Roman" w:cs="Times New Roman"/>
          <w:i/>
          <w:sz w:val="24"/>
          <w:szCs w:val="24"/>
        </w:rPr>
        <w:t>minimis</w:t>
      </w:r>
      <w:proofErr w:type="spellEnd"/>
      <w:r w:rsidRPr="00D63428">
        <w:rPr>
          <w:rFonts w:ascii="Times New Roman" w:hAnsi="Times New Roman" w:cs="Times New Roman"/>
          <w:sz w:val="24"/>
          <w:szCs w:val="24"/>
        </w:rPr>
        <w:t xml:space="preserve"> atbalsta administrēšanas un uzraudzības kārtību. Ja projekta iesniegumu iesniedz partnerībā vai šo noteikumu 10.2., 10.3., 10.4., 10.5., 10.6. un 10.7.apakšpunktā minētie projekta iesniedzēji, uzskaites veidlapas par saņemto </w:t>
      </w:r>
      <w:proofErr w:type="spellStart"/>
      <w:r w:rsidRPr="00D63428">
        <w:rPr>
          <w:rFonts w:ascii="Times New Roman" w:hAnsi="Times New Roman" w:cs="Times New Roman"/>
          <w:i/>
          <w:sz w:val="24"/>
          <w:szCs w:val="24"/>
        </w:rPr>
        <w:t>de</w:t>
      </w:r>
      <w:proofErr w:type="spellEnd"/>
      <w:r w:rsidRPr="00D63428">
        <w:rPr>
          <w:rFonts w:ascii="Times New Roman" w:hAnsi="Times New Roman" w:cs="Times New Roman"/>
          <w:i/>
          <w:sz w:val="24"/>
          <w:szCs w:val="24"/>
        </w:rPr>
        <w:t xml:space="preserve"> </w:t>
      </w:r>
      <w:proofErr w:type="spellStart"/>
      <w:r w:rsidRPr="00D63428">
        <w:rPr>
          <w:rFonts w:ascii="Times New Roman" w:hAnsi="Times New Roman" w:cs="Times New Roman"/>
          <w:i/>
          <w:sz w:val="24"/>
          <w:szCs w:val="24"/>
        </w:rPr>
        <w:t>minimis</w:t>
      </w:r>
      <w:proofErr w:type="spellEnd"/>
      <w:r w:rsidRPr="00D63428">
        <w:rPr>
          <w:rFonts w:ascii="Times New Roman" w:hAnsi="Times New Roman" w:cs="Times New Roman"/>
          <w:sz w:val="24"/>
          <w:szCs w:val="24"/>
        </w:rPr>
        <w:t xml:space="preserve"> atbalstu jāiesniedz par projektā iesaistītajiem komersantiem un ostu pārvaldēm;”</w:t>
      </w:r>
    </w:p>
    <w:p w:rsidR="00E5372E" w:rsidRPr="00D63428" w:rsidRDefault="00E5372E"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papildināt </w:t>
      </w:r>
      <w:r w:rsidR="003B3ABB" w:rsidRPr="00D63428">
        <w:rPr>
          <w:rFonts w:ascii="Times New Roman" w:hAnsi="Times New Roman" w:cs="Times New Roman"/>
          <w:sz w:val="24"/>
          <w:szCs w:val="24"/>
        </w:rPr>
        <w:t xml:space="preserve">VII nodaļu </w:t>
      </w:r>
      <w:r w:rsidRPr="00D63428">
        <w:rPr>
          <w:rFonts w:ascii="Times New Roman" w:hAnsi="Times New Roman" w:cs="Times New Roman"/>
          <w:sz w:val="24"/>
          <w:szCs w:val="24"/>
        </w:rPr>
        <w:t>ar 69.</w:t>
      </w:r>
      <w:r w:rsidRPr="00D63428">
        <w:rPr>
          <w:rFonts w:ascii="Times New Roman" w:hAnsi="Times New Roman" w:cs="Times New Roman"/>
          <w:sz w:val="24"/>
          <w:szCs w:val="24"/>
          <w:vertAlign w:val="superscript"/>
        </w:rPr>
        <w:t>1</w:t>
      </w:r>
      <w:r w:rsidRPr="00D63428">
        <w:rPr>
          <w:rFonts w:ascii="Times New Roman" w:hAnsi="Times New Roman" w:cs="Times New Roman"/>
          <w:sz w:val="24"/>
          <w:szCs w:val="24"/>
        </w:rPr>
        <w:t xml:space="preserve"> </w:t>
      </w:r>
      <w:r w:rsidR="003B3ABB" w:rsidRPr="00D63428">
        <w:rPr>
          <w:rFonts w:ascii="Times New Roman" w:hAnsi="Times New Roman" w:cs="Times New Roman"/>
          <w:sz w:val="24"/>
          <w:szCs w:val="24"/>
        </w:rPr>
        <w:t>un 69.</w:t>
      </w:r>
      <w:r w:rsidR="003B3ABB" w:rsidRPr="00D63428">
        <w:rPr>
          <w:rFonts w:ascii="Times New Roman" w:hAnsi="Times New Roman" w:cs="Times New Roman"/>
          <w:sz w:val="24"/>
          <w:szCs w:val="24"/>
          <w:vertAlign w:val="superscript"/>
        </w:rPr>
        <w:t xml:space="preserve">2 </w:t>
      </w:r>
      <w:r w:rsidRPr="00D63428">
        <w:rPr>
          <w:rFonts w:ascii="Times New Roman" w:hAnsi="Times New Roman" w:cs="Times New Roman"/>
          <w:sz w:val="24"/>
          <w:szCs w:val="24"/>
        </w:rPr>
        <w:t>punktu šādā redakcijā:</w:t>
      </w:r>
    </w:p>
    <w:p w:rsidR="00E5372E" w:rsidRPr="00D63428" w:rsidRDefault="00E5372E" w:rsidP="00E5372E">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w:t>
      </w:r>
      <w:r w:rsidR="002E70D2" w:rsidRPr="00D63428">
        <w:rPr>
          <w:rFonts w:ascii="Times New Roman" w:hAnsi="Times New Roman" w:cs="Times New Roman"/>
          <w:sz w:val="24"/>
          <w:szCs w:val="24"/>
        </w:rPr>
        <w:t>69.</w:t>
      </w:r>
      <w:r w:rsidR="002E70D2" w:rsidRPr="00D63428">
        <w:rPr>
          <w:rFonts w:ascii="Times New Roman" w:hAnsi="Times New Roman" w:cs="Times New Roman"/>
          <w:sz w:val="24"/>
          <w:szCs w:val="24"/>
          <w:vertAlign w:val="superscript"/>
        </w:rPr>
        <w:t>1</w:t>
      </w:r>
      <w:r w:rsidR="002E70D2" w:rsidRPr="00D63428">
        <w:rPr>
          <w:rFonts w:ascii="Times New Roman" w:hAnsi="Times New Roman" w:cs="Times New Roman"/>
          <w:sz w:val="24"/>
          <w:szCs w:val="24"/>
        </w:rPr>
        <w:t xml:space="preserve"> </w:t>
      </w:r>
      <w:r w:rsidRPr="00D63428">
        <w:rPr>
          <w:rFonts w:ascii="Times New Roman" w:hAnsi="Times New Roman" w:cs="Times New Roman"/>
          <w:sz w:val="24"/>
          <w:szCs w:val="24"/>
        </w:rPr>
        <w:t xml:space="preserve">Atbalsta sniedzējs uzglabā informāciju par saskaņā ar Komisijas regulu Nr.1407/2013 sniegto </w:t>
      </w:r>
      <w:proofErr w:type="spellStart"/>
      <w:r w:rsidRPr="00D63428">
        <w:rPr>
          <w:rFonts w:ascii="Times New Roman" w:hAnsi="Times New Roman" w:cs="Times New Roman"/>
          <w:sz w:val="24"/>
          <w:szCs w:val="24"/>
        </w:rPr>
        <w:t>de</w:t>
      </w:r>
      <w:proofErr w:type="spellEnd"/>
      <w:r w:rsidRPr="00D63428">
        <w:rPr>
          <w:rFonts w:ascii="Times New Roman" w:hAnsi="Times New Roman" w:cs="Times New Roman"/>
          <w:sz w:val="24"/>
          <w:szCs w:val="24"/>
        </w:rPr>
        <w:t xml:space="preserve"> </w:t>
      </w:r>
      <w:proofErr w:type="spellStart"/>
      <w:r w:rsidRPr="00D63428">
        <w:rPr>
          <w:rFonts w:ascii="Times New Roman" w:hAnsi="Times New Roman" w:cs="Times New Roman"/>
          <w:sz w:val="24"/>
          <w:szCs w:val="24"/>
        </w:rPr>
        <w:t>minimis</w:t>
      </w:r>
      <w:proofErr w:type="spellEnd"/>
      <w:r w:rsidRPr="00D63428">
        <w:rPr>
          <w:rFonts w:ascii="Times New Roman" w:hAnsi="Times New Roman" w:cs="Times New Roman"/>
          <w:sz w:val="24"/>
          <w:szCs w:val="24"/>
        </w:rPr>
        <w:t xml:space="preserve"> atbalstu, atbilstoši Komisijas regulas 1407/2013 6.panta 4.punktā noteiktajam.</w:t>
      </w:r>
    </w:p>
    <w:p w:rsidR="00BD4B72" w:rsidRPr="00D63428" w:rsidRDefault="003B3ABB" w:rsidP="00BD4B72">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69.</w:t>
      </w:r>
      <w:r w:rsidRPr="00D63428">
        <w:rPr>
          <w:rFonts w:ascii="Times New Roman" w:hAnsi="Times New Roman" w:cs="Times New Roman"/>
          <w:sz w:val="24"/>
          <w:szCs w:val="24"/>
          <w:vertAlign w:val="superscript"/>
        </w:rPr>
        <w:t xml:space="preserve">2 </w:t>
      </w:r>
      <w:r w:rsidR="00BD4B72" w:rsidRPr="00D63428">
        <w:rPr>
          <w:rFonts w:ascii="Times New Roman" w:hAnsi="Times New Roman" w:cs="Times New Roman"/>
          <w:sz w:val="24"/>
          <w:szCs w:val="24"/>
        </w:rPr>
        <w:t xml:space="preserve">Biedrības, kuru biedru komercdarbības joma ir zvejniecība, akvakultūra vai zivju, vēžveidīgo un mīkstmiešu pārstrāde un konservēšana, kā arī pašvaldības nevar vienlaicīgi pretendēt uz atbalstu: </w:t>
      </w:r>
    </w:p>
    <w:p w:rsidR="00BD4B72" w:rsidRPr="00D63428" w:rsidRDefault="00BD4B72" w:rsidP="00BD4B72">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69.</w:t>
      </w:r>
      <w:r w:rsidRPr="00D63428">
        <w:rPr>
          <w:rFonts w:ascii="Times New Roman" w:hAnsi="Times New Roman" w:cs="Times New Roman"/>
          <w:sz w:val="24"/>
          <w:szCs w:val="24"/>
          <w:vertAlign w:val="superscript"/>
        </w:rPr>
        <w:t>2</w:t>
      </w:r>
      <w:r w:rsidRPr="00D63428">
        <w:rPr>
          <w:rFonts w:ascii="Times New Roman" w:hAnsi="Times New Roman" w:cs="Times New Roman"/>
          <w:sz w:val="24"/>
          <w:szCs w:val="24"/>
        </w:rPr>
        <w:t xml:space="preserve"> 1. Darbības programmas “Uzņēmējdarbība un inovācijas” papildinājuma 2.3.prioritātes “Uzņēmējdarbības veicināšana” 2.3.1.pasākuma “Uzņēmējdarbības atbalsta aktivitātes” 2.3.1.1.1.apakšaktivitātes “Ārējo tirgu apgūšana – ārējais mārketings” un</w:t>
      </w:r>
    </w:p>
    <w:p w:rsidR="00BD4B72" w:rsidRPr="00D63428" w:rsidRDefault="00BD4B72" w:rsidP="00BD4B72">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69.</w:t>
      </w:r>
      <w:r w:rsidRPr="00D63428">
        <w:rPr>
          <w:rFonts w:ascii="Times New Roman" w:hAnsi="Times New Roman" w:cs="Times New Roman"/>
          <w:sz w:val="24"/>
          <w:szCs w:val="24"/>
          <w:vertAlign w:val="superscript"/>
        </w:rPr>
        <w:t>2</w:t>
      </w:r>
      <w:r w:rsidRPr="00D63428">
        <w:rPr>
          <w:rFonts w:ascii="Times New Roman" w:hAnsi="Times New Roman" w:cs="Times New Roman"/>
          <w:sz w:val="24"/>
          <w:szCs w:val="24"/>
        </w:rPr>
        <w:t xml:space="preserve"> 2. Rīcības programmas Eiropas Zivsaimniecības fonda atbalsta ieviešanai Latvijā 2007.–2013.gadam   3.prioritārā virziena „Kopējās ieinteresētības pasākumi” 4.pasākuma “Jaunu noieta tirgu sekmēšana un reklāmas kampaņas” ietvaros.</w:t>
      </w:r>
      <w:r w:rsidR="003B3ABB" w:rsidRPr="00D63428">
        <w:rPr>
          <w:rFonts w:ascii="Times New Roman" w:hAnsi="Times New Roman" w:cs="Times New Roman"/>
          <w:sz w:val="24"/>
          <w:szCs w:val="24"/>
        </w:rPr>
        <w:t>”</w:t>
      </w:r>
    </w:p>
    <w:p w:rsidR="00CE30C6" w:rsidRPr="00D63428" w:rsidRDefault="00CE30C6"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svītrot 1.pielikumā </w:t>
      </w:r>
      <w:proofErr w:type="spellStart"/>
      <w:r w:rsidRPr="00D63428">
        <w:rPr>
          <w:rFonts w:ascii="Times New Roman" w:hAnsi="Times New Roman" w:cs="Times New Roman"/>
          <w:sz w:val="24"/>
          <w:szCs w:val="24"/>
        </w:rPr>
        <w:t>II.nodaļu</w:t>
      </w:r>
      <w:proofErr w:type="spellEnd"/>
      <w:r w:rsidRPr="00D63428">
        <w:rPr>
          <w:rFonts w:ascii="Times New Roman" w:hAnsi="Times New Roman" w:cs="Times New Roman"/>
          <w:sz w:val="24"/>
          <w:szCs w:val="24"/>
        </w:rPr>
        <w:t xml:space="preserve"> „Zivsaimniecība un akvakultūras nozare”;</w:t>
      </w:r>
    </w:p>
    <w:p w:rsidR="009062C8" w:rsidRPr="00D63428" w:rsidRDefault="009062C8"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2.pielikuma 1.1.11.apakšpunkta tabulu šādā redakcijā:</w:t>
      </w:r>
    </w:p>
    <w:tbl>
      <w:tblPr>
        <w:tblW w:w="8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600"/>
        <w:gridCol w:w="896"/>
        <w:gridCol w:w="6238"/>
      </w:tblGrid>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b/>
                <w:bCs/>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b/>
                <w:bCs/>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Kods</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Nosaukums</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I-1</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Sabiedrība ar ierobežotu atbildību</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I-2</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Akciju sabiedrība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I-3</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Kooperatīvā sabiedrība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I-5</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Individuālais komersants</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sz w:val="24"/>
                <w:szCs w:val="24"/>
              </w:rPr>
              <w:t xml:space="preserve">I-6 </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sz w:val="24"/>
                <w:szCs w:val="24"/>
              </w:rPr>
              <w:t>Zemnieku saimniecība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sz w:val="24"/>
                <w:szCs w:val="24"/>
              </w:rPr>
            </w:pPr>
            <w:r w:rsidRPr="00D63428">
              <w:rPr>
                <w:rFonts w:ascii="Times New Roman" w:eastAsia="Times New Roman" w:hAnsi="Times New Roman" w:cs="Times New Roman"/>
                <w:i/>
                <w:sz w:val="24"/>
                <w:szCs w:val="24"/>
              </w:rPr>
              <w:t>I-7</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sz w:val="24"/>
                <w:szCs w:val="24"/>
              </w:rPr>
            </w:pPr>
            <w:r w:rsidRPr="00D63428">
              <w:rPr>
                <w:rFonts w:ascii="Times New Roman" w:eastAsia="Times New Roman" w:hAnsi="Times New Roman" w:cs="Times New Roman"/>
                <w:i/>
                <w:sz w:val="24"/>
                <w:szCs w:val="24"/>
              </w:rPr>
              <w:t>Zvejnieku saimniecība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I-8</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Valsts akciju sabiedrība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I-9</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Valsts sabiedrība ar ierobežotu atbildību</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I-10</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Valsts aģentūra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I-13</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Sabiedrība ar papildu atbildību</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I-16</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Pašvaldības iestāde</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I-21</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Biedrība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I-22</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Nodibinājums</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I-28</w:t>
            </w: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Pašvaldība</w:t>
            </w:r>
          </w:p>
        </w:tc>
      </w:tr>
      <w:tr w:rsidR="009062C8" w:rsidRPr="00D63428" w:rsidTr="00EA144F">
        <w:trPr>
          <w:trHeight w:val="255"/>
        </w:trPr>
        <w:tc>
          <w:tcPr>
            <w:tcW w:w="57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00" w:type="dxa"/>
            <w:tcBorders>
              <w:top w:val="nil"/>
              <w:bottom w:val="nil"/>
            </w:tcBorders>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896" w:type="dxa"/>
          </w:tcPr>
          <w:p w:rsidR="009062C8" w:rsidRPr="00D63428" w:rsidRDefault="009062C8" w:rsidP="00EA144F">
            <w:pPr>
              <w:spacing w:after="0" w:line="240" w:lineRule="auto"/>
              <w:jc w:val="center"/>
              <w:rPr>
                <w:rFonts w:ascii="Times New Roman" w:eastAsia="Times New Roman" w:hAnsi="Times New Roman" w:cs="Times New Roman"/>
                <w:i/>
                <w:iCs/>
                <w:sz w:val="24"/>
                <w:szCs w:val="24"/>
              </w:rPr>
            </w:pPr>
          </w:p>
        </w:tc>
        <w:tc>
          <w:tcPr>
            <w:tcW w:w="6238" w:type="dxa"/>
            <w:noWrap/>
            <w:vAlign w:val="bottom"/>
          </w:tcPr>
          <w:p w:rsidR="009062C8" w:rsidRPr="00D63428" w:rsidRDefault="009062C8" w:rsidP="00EA144F">
            <w:pPr>
              <w:spacing w:after="0" w:line="240" w:lineRule="auto"/>
              <w:rPr>
                <w:rFonts w:ascii="Times New Roman" w:eastAsia="Times New Roman" w:hAnsi="Times New Roman" w:cs="Times New Roman"/>
                <w:i/>
                <w:iCs/>
                <w:sz w:val="24"/>
                <w:szCs w:val="24"/>
              </w:rPr>
            </w:pPr>
            <w:r w:rsidRPr="00D63428">
              <w:rPr>
                <w:rFonts w:ascii="Times New Roman" w:eastAsia="Times New Roman" w:hAnsi="Times New Roman" w:cs="Times New Roman"/>
                <w:i/>
                <w:iCs/>
                <w:sz w:val="24"/>
                <w:szCs w:val="24"/>
              </w:rPr>
              <w:t>(cits)</w:t>
            </w:r>
          </w:p>
        </w:tc>
      </w:tr>
    </w:tbl>
    <w:p w:rsidR="00C54D7C" w:rsidRPr="00D63428" w:rsidRDefault="009062C8"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svītrot</w:t>
      </w:r>
      <w:r w:rsidR="00CE30C6" w:rsidRPr="00D63428">
        <w:rPr>
          <w:rFonts w:ascii="Times New Roman" w:hAnsi="Times New Roman" w:cs="Times New Roman"/>
          <w:sz w:val="24"/>
          <w:szCs w:val="24"/>
        </w:rPr>
        <w:t xml:space="preserve"> 2.pielikuma 7.sadaļas “Projekta iesniedzēja apliecinājums” 1.apakšpunktu</w:t>
      </w:r>
      <w:r w:rsidR="00445D13" w:rsidRPr="00D63428">
        <w:rPr>
          <w:rFonts w:ascii="Times New Roman" w:hAnsi="Times New Roman" w:cs="Times New Roman"/>
          <w:sz w:val="24"/>
          <w:szCs w:val="24"/>
        </w:rPr>
        <w:t>.</w:t>
      </w:r>
    </w:p>
    <w:p w:rsidR="008A4D8B" w:rsidRPr="00D63428" w:rsidRDefault="008A4D8B"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3.pielikuma 1.kvalitātes kritēriju šādā redakcijā:</w:t>
      </w:r>
    </w:p>
    <w:p w:rsidR="00A33E74" w:rsidRPr="00D63428" w:rsidRDefault="008A4D8B" w:rsidP="008A4D8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w:t>
      </w:r>
      <w:r w:rsidR="00A33E74" w:rsidRPr="00D63428">
        <w:rPr>
          <w:rFonts w:ascii="Times New Roman" w:hAnsi="Times New Roman" w:cs="Times New Roman"/>
          <w:sz w:val="24"/>
          <w:szCs w:val="24"/>
        </w:rPr>
        <w:t>1. Projektā iesaistīto sadarbības partneru skaits</w:t>
      </w:r>
    </w:p>
    <w:p w:rsidR="00A33E74" w:rsidRPr="00D63428" w:rsidRDefault="00A33E74" w:rsidP="00D63428">
      <w:pPr>
        <w:pStyle w:val="ListParagraph"/>
        <w:numPr>
          <w:ilvl w:val="1"/>
          <w:numId w:val="29"/>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Projektā ir iesaistīti vairāk nekā 10 komersantu vai uzņēmumu</w:t>
      </w:r>
    </w:p>
    <w:p w:rsidR="00A33E74" w:rsidRPr="00D63428" w:rsidRDefault="00A33E74" w:rsidP="00D63428">
      <w:pPr>
        <w:pStyle w:val="ListParagraph"/>
        <w:numPr>
          <w:ilvl w:val="1"/>
          <w:numId w:val="29"/>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Projektā ir iesaistīti 6-10 komersanti vai uzņēmumi</w:t>
      </w:r>
    </w:p>
    <w:p w:rsidR="008A4D8B" w:rsidRPr="00D63428" w:rsidRDefault="00A33E74" w:rsidP="00D63428">
      <w:pPr>
        <w:pStyle w:val="ListParagraph"/>
        <w:numPr>
          <w:ilvl w:val="1"/>
          <w:numId w:val="29"/>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Projektā ir iesaistīti 1-5 komersanti vai uzņēmumi vai arī projekts netiek ieviests partnerībā</w:t>
      </w:r>
      <w:r w:rsidR="008A4D8B" w:rsidRPr="00D63428">
        <w:rPr>
          <w:rFonts w:ascii="Times New Roman" w:hAnsi="Times New Roman" w:cs="Times New Roman"/>
          <w:sz w:val="24"/>
          <w:szCs w:val="24"/>
        </w:rPr>
        <w:t>”</w:t>
      </w:r>
    </w:p>
    <w:p w:rsidR="00A33E74" w:rsidRPr="00D63428" w:rsidRDefault="00A33E74"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3.pielikuma 2.kvalitātes kritēriju šādā redakcijā:</w:t>
      </w:r>
    </w:p>
    <w:p w:rsidR="00A33E74" w:rsidRPr="00D63428" w:rsidRDefault="00A33E74" w:rsidP="00A33E74">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 Ārējā mārketinga aktivitāte</w:t>
      </w:r>
    </w:p>
    <w:p w:rsidR="00A33E74" w:rsidRPr="00D63428" w:rsidRDefault="00A33E74" w:rsidP="00A33E74">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2.1. Projektā ir paredzēta uz eksportu vērsta starptautiska semināra vai konferences organizēšana starptautiskas izstādes ietvaros (iesniegt var tikai biedrība, kurai ir vismaz pieci biedri – komersanti vai uzņēmumi)</w:t>
      </w:r>
    </w:p>
    <w:p w:rsidR="00D56A2B" w:rsidRPr="00D63428" w:rsidRDefault="00A33E74" w:rsidP="00A33E74">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2.2. </w:t>
      </w:r>
      <w:r w:rsidR="00D56A2B" w:rsidRPr="00D63428">
        <w:rPr>
          <w:rFonts w:ascii="Times New Roman" w:hAnsi="Times New Roman" w:cs="Times New Roman"/>
          <w:sz w:val="24"/>
          <w:szCs w:val="24"/>
        </w:rPr>
        <w:t>Projektā ir paredzēta starptautiska semināra vai konferences organizēšana par eksporta jautājumiem ārpus starptautiskas izstādes (iesniegt var tikai biedrība, kurai ir vismaz pieci biedri – komersanti vai uzņēmumi)</w:t>
      </w:r>
    </w:p>
    <w:p w:rsidR="00D56A2B" w:rsidRPr="00D63428" w:rsidRDefault="00D56A2B" w:rsidP="00A33E74">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2.3. Projektā ir paredzēta dalība starptautiskā izstādē vai atbilstības novērtēšana ārvalstu mērķa tirgos noteiktajām prasībām</w:t>
      </w:r>
    </w:p>
    <w:p w:rsidR="00A33E74" w:rsidRPr="00D63428" w:rsidRDefault="00D56A2B" w:rsidP="00A33E74">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 xml:space="preserve">2.4. Projektā ir paredzēta dalība starptautiskā tirdzniecības misijā, </w:t>
      </w:r>
      <w:proofErr w:type="spellStart"/>
      <w:r w:rsidRPr="00D63428">
        <w:rPr>
          <w:rFonts w:ascii="Times New Roman" w:hAnsi="Times New Roman" w:cs="Times New Roman"/>
          <w:sz w:val="24"/>
          <w:szCs w:val="24"/>
        </w:rPr>
        <w:t>kontaktbiržā</w:t>
      </w:r>
      <w:proofErr w:type="spellEnd"/>
      <w:r w:rsidRPr="00D63428">
        <w:rPr>
          <w:rFonts w:ascii="Times New Roman" w:hAnsi="Times New Roman" w:cs="Times New Roman"/>
          <w:sz w:val="24"/>
          <w:szCs w:val="24"/>
        </w:rPr>
        <w:t>, individuālā vizītē</w:t>
      </w:r>
      <w:r w:rsidR="00A33E74" w:rsidRPr="00D63428">
        <w:rPr>
          <w:rFonts w:ascii="Times New Roman" w:hAnsi="Times New Roman" w:cs="Times New Roman"/>
          <w:sz w:val="24"/>
          <w:szCs w:val="24"/>
        </w:rPr>
        <w:t>”</w:t>
      </w:r>
    </w:p>
    <w:p w:rsidR="00D56A2B" w:rsidRPr="00D63428" w:rsidRDefault="00D56A2B"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izteikt 3.pielikuma tabulas 12.punkta 2), 3) un 4) apakšpunktu šādā redakcijā:</w:t>
      </w:r>
    </w:p>
    <w:p w:rsidR="00454DC2" w:rsidRPr="00D63428" w:rsidRDefault="00D56A2B" w:rsidP="00454DC2">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w:t>
      </w:r>
      <w:r w:rsidR="00454DC2" w:rsidRPr="00D63428">
        <w:rPr>
          <w:rFonts w:ascii="Times New Roman" w:hAnsi="Times New Roman" w:cs="Times New Roman"/>
          <w:sz w:val="24"/>
          <w:szCs w:val="24"/>
        </w:rPr>
        <w:t>2) biedrība, kuras biedri ir vismaz pieci komersanti vai uzņēmumi;</w:t>
      </w:r>
    </w:p>
    <w:p w:rsidR="00454DC2" w:rsidRPr="00D63428" w:rsidRDefault="00454DC2" w:rsidP="00454DC2">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3) nodibinājums, kura dibinātāji vai dibinātāju biedri ir vismaz pieci komersanti vai uzņēmumi;</w:t>
      </w:r>
    </w:p>
    <w:p w:rsidR="00D56A2B" w:rsidRPr="00D63428" w:rsidRDefault="00454DC2" w:rsidP="00D56A2B">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4) kooperatīvā sabiedrība, kuras biedri ir vismaz trīs komersanti (tai skaitā lauksaimniecības pakalpojumu kooperatīvā sabiedrība un atbilstīgā lauksaimniecības pakalpojumu kooperatīvā sabiedrība) vai uzņēmumi;</w:t>
      </w:r>
      <w:r w:rsidR="00D56A2B" w:rsidRPr="00D63428">
        <w:rPr>
          <w:rFonts w:ascii="Times New Roman" w:hAnsi="Times New Roman" w:cs="Times New Roman"/>
          <w:sz w:val="24"/>
          <w:szCs w:val="24"/>
        </w:rPr>
        <w:t>”</w:t>
      </w:r>
    </w:p>
    <w:p w:rsidR="00F808B1" w:rsidRPr="00D63428" w:rsidRDefault="00C90C60"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papildināt 3.pielikuma tabulas 12.punktu ar 8) apakšpunktu</w:t>
      </w:r>
      <w:r w:rsidR="005B6F6A" w:rsidRPr="00D63428">
        <w:rPr>
          <w:rFonts w:ascii="Times New Roman" w:hAnsi="Times New Roman" w:cs="Times New Roman"/>
          <w:sz w:val="24"/>
          <w:szCs w:val="24"/>
        </w:rPr>
        <w:t xml:space="preserve"> šādā redakcijā</w:t>
      </w:r>
      <w:r w:rsidRPr="00D63428">
        <w:rPr>
          <w:rFonts w:ascii="Times New Roman" w:hAnsi="Times New Roman" w:cs="Times New Roman"/>
          <w:sz w:val="24"/>
          <w:szCs w:val="24"/>
        </w:rPr>
        <w:t>:</w:t>
      </w:r>
    </w:p>
    <w:p w:rsidR="00C90C60" w:rsidRPr="00D63428" w:rsidRDefault="005B6F6A" w:rsidP="00366947">
      <w:pPr>
        <w:spacing w:before="120" w:after="120" w:line="240" w:lineRule="auto"/>
        <w:ind w:left="714"/>
        <w:jc w:val="both"/>
        <w:rPr>
          <w:rFonts w:ascii="Times New Roman" w:hAnsi="Times New Roman" w:cs="Times New Roman"/>
          <w:sz w:val="24"/>
          <w:szCs w:val="24"/>
        </w:rPr>
      </w:pPr>
      <w:r w:rsidRPr="00D63428">
        <w:rPr>
          <w:rFonts w:ascii="Times New Roman" w:hAnsi="Times New Roman" w:cs="Times New Roman"/>
          <w:sz w:val="24"/>
          <w:szCs w:val="24"/>
        </w:rPr>
        <w:t>“</w:t>
      </w:r>
      <w:r w:rsidR="00C90C60" w:rsidRPr="00D63428">
        <w:rPr>
          <w:rFonts w:ascii="Times New Roman" w:hAnsi="Times New Roman" w:cs="Times New Roman"/>
          <w:sz w:val="24"/>
          <w:szCs w:val="24"/>
        </w:rPr>
        <w:t>8) zemnieku vai zvejnieku saimniecība</w:t>
      </w:r>
      <w:r w:rsidRPr="00D63428">
        <w:rPr>
          <w:rFonts w:ascii="Times New Roman" w:hAnsi="Times New Roman" w:cs="Times New Roman"/>
          <w:sz w:val="24"/>
          <w:szCs w:val="24"/>
        </w:rPr>
        <w:t>”</w:t>
      </w:r>
    </w:p>
    <w:p w:rsidR="00C90C60" w:rsidRPr="00D63428" w:rsidRDefault="00C90C60" w:rsidP="00D63428">
      <w:pPr>
        <w:pStyle w:val="ListParagraph"/>
        <w:numPr>
          <w:ilvl w:val="1"/>
          <w:numId w:val="22"/>
        </w:num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papildināt 3.pielikuma tabulas 13.punktu ar 7) apakšpunktu</w:t>
      </w:r>
      <w:r w:rsidR="005B6F6A" w:rsidRPr="00D63428">
        <w:rPr>
          <w:rFonts w:ascii="Times New Roman" w:hAnsi="Times New Roman" w:cs="Times New Roman"/>
          <w:sz w:val="24"/>
          <w:szCs w:val="24"/>
        </w:rPr>
        <w:t xml:space="preserve"> šādā redakcijā</w:t>
      </w:r>
      <w:r w:rsidRPr="00D63428">
        <w:rPr>
          <w:rFonts w:ascii="Times New Roman" w:hAnsi="Times New Roman" w:cs="Times New Roman"/>
          <w:sz w:val="24"/>
          <w:szCs w:val="24"/>
        </w:rPr>
        <w:t>:</w:t>
      </w:r>
    </w:p>
    <w:p w:rsidR="00C90C60" w:rsidRPr="00D63428" w:rsidRDefault="005B6F6A" w:rsidP="00366947">
      <w:pPr>
        <w:spacing w:before="120" w:after="120" w:line="240" w:lineRule="auto"/>
        <w:ind w:left="714"/>
        <w:jc w:val="both"/>
        <w:rPr>
          <w:rFonts w:ascii="Times New Roman" w:hAnsi="Times New Roman" w:cs="Times New Roman"/>
          <w:sz w:val="24"/>
          <w:szCs w:val="24"/>
        </w:rPr>
      </w:pPr>
      <w:r w:rsidRPr="00D63428">
        <w:rPr>
          <w:rFonts w:ascii="Times New Roman" w:hAnsi="Times New Roman" w:cs="Times New Roman"/>
          <w:sz w:val="24"/>
          <w:szCs w:val="24"/>
        </w:rPr>
        <w:t>“</w:t>
      </w:r>
      <w:r w:rsidR="00C90C60" w:rsidRPr="00D63428">
        <w:rPr>
          <w:rFonts w:ascii="Times New Roman" w:hAnsi="Times New Roman" w:cs="Times New Roman"/>
          <w:sz w:val="24"/>
          <w:szCs w:val="24"/>
        </w:rPr>
        <w:t>7) zemnieku vai zvejnieku saimniecības</w:t>
      </w:r>
      <w:r w:rsidRPr="00D63428">
        <w:rPr>
          <w:rFonts w:ascii="Times New Roman" w:hAnsi="Times New Roman" w:cs="Times New Roman"/>
          <w:sz w:val="24"/>
          <w:szCs w:val="24"/>
        </w:rPr>
        <w:t>”</w:t>
      </w:r>
    </w:p>
    <w:p w:rsidR="00A9530C" w:rsidRDefault="00A9530C" w:rsidP="00A9530C">
      <w:pPr>
        <w:pStyle w:val="ListParagraph"/>
        <w:numPr>
          <w:ilvl w:val="1"/>
          <w:numId w:val="22"/>
        </w:numPr>
        <w:spacing w:before="120" w:after="120" w:line="240" w:lineRule="auto"/>
        <w:jc w:val="both"/>
        <w:rPr>
          <w:rFonts w:ascii="Times New Roman" w:hAnsi="Times New Roman"/>
          <w:sz w:val="24"/>
          <w:szCs w:val="24"/>
        </w:rPr>
      </w:pPr>
      <w:r>
        <w:rPr>
          <w:rFonts w:ascii="Times New Roman" w:hAnsi="Times New Roman"/>
          <w:sz w:val="24"/>
          <w:szCs w:val="24"/>
        </w:rPr>
        <w:t>izteikt 3.pielikuma tabulas 15.punktu šādā redakcijā:</w:t>
      </w:r>
    </w:p>
    <w:p w:rsidR="00A9530C" w:rsidRPr="00A9530C" w:rsidRDefault="00A9530C" w:rsidP="00B1620E">
      <w:pPr>
        <w:pStyle w:val="ListParagraph"/>
        <w:spacing w:before="120" w:after="120"/>
        <w:ind w:left="792"/>
        <w:jc w:val="both"/>
        <w:rPr>
          <w:rFonts w:ascii="Times New Roman" w:hAnsi="Times New Roman"/>
          <w:sz w:val="24"/>
          <w:szCs w:val="24"/>
        </w:rPr>
      </w:pPr>
      <w:r>
        <w:rPr>
          <w:rFonts w:ascii="Times New Roman" w:hAnsi="Times New Roman"/>
          <w:sz w:val="24"/>
          <w:szCs w:val="24"/>
        </w:rPr>
        <w:t xml:space="preserve">“15. </w:t>
      </w:r>
      <w:r w:rsidRPr="00A9530C">
        <w:rPr>
          <w:rFonts w:ascii="Times New Roman" w:hAnsi="Times New Roman"/>
          <w:sz w:val="24"/>
          <w:szCs w:val="24"/>
        </w:rPr>
        <w:t xml:space="preserve">Projekta iesniedzējam ar tiesas spriedumu nav pasludināts maksātnespējas process vai ar tiesas spriedumu netiek īstenots tiesiskās aizsardzības process, ar tiesas lēmumu netiek īstenots </w:t>
      </w:r>
      <w:proofErr w:type="spellStart"/>
      <w:r w:rsidRPr="00A9530C">
        <w:rPr>
          <w:rFonts w:ascii="Times New Roman" w:hAnsi="Times New Roman"/>
          <w:sz w:val="24"/>
          <w:szCs w:val="24"/>
        </w:rPr>
        <w:t>ārpustiesas</w:t>
      </w:r>
      <w:proofErr w:type="spellEnd"/>
      <w:r w:rsidRPr="00A9530C">
        <w:rPr>
          <w:rFonts w:ascii="Times New Roman" w:hAnsi="Times New Roman"/>
          <w:sz w:val="24"/>
          <w:szCs w:val="24"/>
        </w:rPr>
        <w:t xml:space="preserve"> tiesiskās aizsardzības process, tam nav uzsākta bankrota procedūra, piemērota sanācija vai mierizlīgums vai tā saimnieciskā darbība nav izbeigta, vai tas neatbilst normatīvajos aktos noteiktiem kritērijiem, lai tam pēc kreditoru pieprasījuma piemērotu maksātnespējas procedūru</w:t>
      </w:r>
      <w:r>
        <w:rPr>
          <w:rFonts w:ascii="Times New Roman" w:hAnsi="Times New Roman"/>
          <w:sz w:val="24"/>
          <w:szCs w:val="24"/>
        </w:rPr>
        <w:t>.”</w:t>
      </w:r>
    </w:p>
    <w:p w:rsidR="00A9530C" w:rsidRDefault="00A9530C" w:rsidP="00B1620E">
      <w:pPr>
        <w:pStyle w:val="ListParagraph"/>
        <w:numPr>
          <w:ilvl w:val="1"/>
          <w:numId w:val="22"/>
        </w:numPr>
        <w:spacing w:before="120" w:after="120"/>
        <w:jc w:val="both"/>
        <w:rPr>
          <w:rFonts w:ascii="Times New Roman" w:hAnsi="Times New Roman"/>
          <w:sz w:val="24"/>
          <w:szCs w:val="24"/>
        </w:rPr>
      </w:pPr>
      <w:r>
        <w:rPr>
          <w:rFonts w:ascii="Times New Roman" w:hAnsi="Times New Roman"/>
          <w:sz w:val="24"/>
          <w:szCs w:val="24"/>
        </w:rPr>
        <w:t>izteikt 3.pielikuma tabulas 18.punktu šādā redakcijā:</w:t>
      </w:r>
    </w:p>
    <w:p w:rsidR="00A9530C" w:rsidRPr="00A9530C" w:rsidRDefault="00A9530C" w:rsidP="00B1620E">
      <w:pPr>
        <w:pStyle w:val="ListParagraph"/>
        <w:spacing w:before="120" w:after="120"/>
        <w:ind w:left="794"/>
        <w:jc w:val="both"/>
        <w:rPr>
          <w:rFonts w:ascii="Times New Roman" w:hAnsi="Times New Roman"/>
          <w:sz w:val="24"/>
          <w:szCs w:val="24"/>
        </w:rPr>
      </w:pPr>
      <w:r>
        <w:rPr>
          <w:rFonts w:ascii="Times New Roman" w:hAnsi="Times New Roman"/>
          <w:sz w:val="24"/>
          <w:szCs w:val="24"/>
        </w:rPr>
        <w:t xml:space="preserve">“18. </w:t>
      </w:r>
      <w:r w:rsidRPr="00A9530C">
        <w:rPr>
          <w:rFonts w:ascii="Times New Roman" w:hAnsi="Times New Roman"/>
          <w:sz w:val="24"/>
          <w:szCs w:val="24"/>
        </w:rPr>
        <w:t>Nozare, kurā tiks īstenots projekts, nav normatīvajā aktā par aktivitātes īstenošanu noteiktā neatbalstāmā nozare un darbība</w:t>
      </w:r>
      <w:r>
        <w:rPr>
          <w:rFonts w:ascii="Times New Roman" w:hAnsi="Times New Roman"/>
          <w:sz w:val="24"/>
          <w:szCs w:val="24"/>
        </w:rPr>
        <w:t>.”</w:t>
      </w:r>
    </w:p>
    <w:p w:rsidR="00395880" w:rsidRPr="00D63428" w:rsidRDefault="003B3ABB" w:rsidP="00B1620E">
      <w:pPr>
        <w:pStyle w:val="ListParagraph"/>
        <w:numPr>
          <w:ilvl w:val="0"/>
          <w:numId w:val="22"/>
        </w:numPr>
        <w:spacing w:before="120" w:after="120"/>
        <w:jc w:val="both"/>
        <w:rPr>
          <w:rFonts w:ascii="Times New Roman" w:hAnsi="Times New Roman"/>
          <w:sz w:val="24"/>
          <w:szCs w:val="24"/>
        </w:rPr>
      </w:pPr>
      <w:r w:rsidRPr="00D63428">
        <w:rPr>
          <w:rFonts w:ascii="Times New Roman" w:hAnsi="Times New Roman"/>
          <w:sz w:val="24"/>
          <w:szCs w:val="24"/>
        </w:rPr>
        <w:t>Šī</w:t>
      </w:r>
      <w:r w:rsidR="00395880" w:rsidRPr="00D63428">
        <w:rPr>
          <w:rFonts w:ascii="Times New Roman" w:hAnsi="Times New Roman"/>
          <w:sz w:val="24"/>
          <w:szCs w:val="24"/>
        </w:rPr>
        <w:t xml:space="preserve"> noteikumu</w:t>
      </w:r>
      <w:r w:rsidRPr="00D63428">
        <w:rPr>
          <w:rFonts w:ascii="Times New Roman" w:hAnsi="Times New Roman"/>
          <w:sz w:val="24"/>
          <w:szCs w:val="24"/>
        </w:rPr>
        <w:t xml:space="preserve"> projekta</w:t>
      </w:r>
      <w:r w:rsidR="00395880" w:rsidRPr="00D63428">
        <w:rPr>
          <w:rFonts w:ascii="Times New Roman" w:hAnsi="Times New Roman"/>
          <w:sz w:val="24"/>
          <w:szCs w:val="24"/>
        </w:rPr>
        <w:t xml:space="preserve"> </w:t>
      </w:r>
      <w:r w:rsidRPr="00D63428">
        <w:rPr>
          <w:rFonts w:ascii="Times New Roman" w:hAnsi="Times New Roman"/>
          <w:sz w:val="24"/>
          <w:szCs w:val="24"/>
        </w:rPr>
        <w:t>1.</w:t>
      </w:r>
      <w:r w:rsidR="00D63D9A" w:rsidRPr="00D63428">
        <w:rPr>
          <w:rFonts w:ascii="Times New Roman" w:hAnsi="Times New Roman"/>
          <w:sz w:val="24"/>
          <w:szCs w:val="24"/>
        </w:rPr>
        <w:t>13</w:t>
      </w:r>
      <w:r w:rsidR="00395880" w:rsidRPr="00D63428">
        <w:rPr>
          <w:rFonts w:ascii="Times New Roman" w:hAnsi="Times New Roman"/>
          <w:sz w:val="24"/>
          <w:szCs w:val="24"/>
        </w:rPr>
        <w:t>.apakšpunktā noteiktā atbalsta intensitāte tiek piemērota pēc šo noteikumu spēkā stāšanās sākot ar 77. atlases kārtu tiem projekta iesniegumiem, par kuriem līdz šo noteikumu spēkā stāšanās dienai nav pieņemts lēmums par projekta iesnieguma apstiprināšanu vai apstiprināšanu ar nosacījumu.</w:t>
      </w:r>
    </w:p>
    <w:p w:rsidR="001016FD" w:rsidRDefault="001016FD" w:rsidP="00615DE7">
      <w:pPr>
        <w:tabs>
          <w:tab w:val="left" w:pos="7371"/>
        </w:tabs>
        <w:spacing w:after="0" w:line="240" w:lineRule="auto"/>
        <w:jc w:val="both"/>
        <w:rPr>
          <w:rFonts w:ascii="Times New Roman" w:hAnsi="Times New Roman" w:cs="Times New Roman"/>
          <w:sz w:val="24"/>
          <w:szCs w:val="24"/>
        </w:rPr>
      </w:pPr>
    </w:p>
    <w:p w:rsidR="00B1620E" w:rsidRDefault="00B1620E" w:rsidP="00615DE7">
      <w:pPr>
        <w:tabs>
          <w:tab w:val="left" w:pos="7371"/>
        </w:tabs>
        <w:spacing w:after="0" w:line="240" w:lineRule="auto"/>
        <w:jc w:val="both"/>
        <w:rPr>
          <w:rFonts w:ascii="Times New Roman" w:hAnsi="Times New Roman" w:cs="Times New Roman"/>
          <w:sz w:val="24"/>
          <w:szCs w:val="24"/>
        </w:rPr>
      </w:pPr>
    </w:p>
    <w:p w:rsidR="00B1620E" w:rsidRPr="00D63428" w:rsidRDefault="00B1620E" w:rsidP="00615DE7">
      <w:pPr>
        <w:tabs>
          <w:tab w:val="left" w:pos="7371"/>
        </w:tabs>
        <w:spacing w:after="0" w:line="240" w:lineRule="auto"/>
        <w:jc w:val="both"/>
        <w:rPr>
          <w:rFonts w:ascii="Times New Roman" w:hAnsi="Times New Roman" w:cs="Times New Roman"/>
          <w:sz w:val="24"/>
          <w:szCs w:val="24"/>
        </w:rPr>
      </w:pPr>
    </w:p>
    <w:p w:rsidR="00696D88" w:rsidRPr="00D63428" w:rsidRDefault="007E5AB1" w:rsidP="005678F8">
      <w:pPr>
        <w:tabs>
          <w:tab w:val="left" w:pos="7088"/>
        </w:tabs>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Ministru prezidente</w:t>
      </w:r>
      <w:r w:rsidR="00615DE7" w:rsidRPr="00D63428">
        <w:rPr>
          <w:rFonts w:ascii="Times New Roman" w:hAnsi="Times New Roman" w:cs="Times New Roman"/>
          <w:sz w:val="24"/>
          <w:szCs w:val="24"/>
        </w:rPr>
        <w:tab/>
      </w:r>
      <w:r w:rsidR="004D4DE4" w:rsidRPr="00D63428">
        <w:rPr>
          <w:rFonts w:ascii="Times New Roman" w:hAnsi="Times New Roman" w:cs="Times New Roman"/>
          <w:sz w:val="24"/>
          <w:szCs w:val="24"/>
        </w:rPr>
        <w:t>L.Straujuma</w:t>
      </w:r>
    </w:p>
    <w:p w:rsidR="005B6534" w:rsidRDefault="005B6534" w:rsidP="005678F8">
      <w:pPr>
        <w:tabs>
          <w:tab w:val="left" w:pos="7088"/>
        </w:tabs>
        <w:spacing w:after="0" w:line="240" w:lineRule="auto"/>
        <w:jc w:val="both"/>
        <w:rPr>
          <w:rFonts w:ascii="Times New Roman" w:hAnsi="Times New Roman" w:cs="Times New Roman"/>
          <w:sz w:val="24"/>
          <w:szCs w:val="24"/>
        </w:rPr>
      </w:pPr>
    </w:p>
    <w:p w:rsidR="00B1620E" w:rsidRDefault="00B1620E" w:rsidP="005678F8">
      <w:pPr>
        <w:tabs>
          <w:tab w:val="left" w:pos="7088"/>
        </w:tabs>
        <w:spacing w:after="0" w:line="240" w:lineRule="auto"/>
        <w:jc w:val="both"/>
        <w:rPr>
          <w:rFonts w:ascii="Times New Roman" w:hAnsi="Times New Roman" w:cs="Times New Roman"/>
          <w:sz w:val="24"/>
          <w:szCs w:val="24"/>
        </w:rPr>
      </w:pPr>
    </w:p>
    <w:p w:rsidR="00B1620E" w:rsidRPr="00D63428" w:rsidRDefault="00B1620E" w:rsidP="005678F8">
      <w:pPr>
        <w:tabs>
          <w:tab w:val="left" w:pos="7088"/>
        </w:tabs>
        <w:spacing w:after="0" w:line="240" w:lineRule="auto"/>
        <w:jc w:val="both"/>
        <w:rPr>
          <w:rFonts w:ascii="Times New Roman" w:hAnsi="Times New Roman" w:cs="Times New Roman"/>
          <w:sz w:val="24"/>
          <w:szCs w:val="24"/>
        </w:rPr>
      </w:pPr>
    </w:p>
    <w:p w:rsidR="00C35BCF" w:rsidRPr="00D63428" w:rsidRDefault="005678F8" w:rsidP="005678F8">
      <w:pPr>
        <w:tabs>
          <w:tab w:val="left" w:pos="7088"/>
        </w:tabs>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Ekonomikas ministre</w:t>
      </w:r>
      <w:r w:rsidR="000E1103" w:rsidRPr="00D63428">
        <w:rPr>
          <w:rFonts w:ascii="Times New Roman" w:hAnsi="Times New Roman" w:cs="Times New Roman"/>
          <w:sz w:val="24"/>
          <w:szCs w:val="24"/>
        </w:rPr>
        <w:tab/>
      </w:r>
      <w:proofErr w:type="spellStart"/>
      <w:r w:rsidRPr="00D63428">
        <w:rPr>
          <w:rFonts w:ascii="Times New Roman" w:hAnsi="Times New Roman" w:cs="Times New Roman"/>
          <w:sz w:val="24"/>
          <w:szCs w:val="24"/>
        </w:rPr>
        <w:t>D.Reizniece</w:t>
      </w:r>
      <w:proofErr w:type="spellEnd"/>
      <w:r w:rsidRPr="00D63428">
        <w:rPr>
          <w:rFonts w:ascii="Times New Roman" w:hAnsi="Times New Roman" w:cs="Times New Roman"/>
          <w:sz w:val="24"/>
          <w:szCs w:val="24"/>
        </w:rPr>
        <w:t>-Ozola</w:t>
      </w:r>
    </w:p>
    <w:p w:rsidR="00FD7153" w:rsidRDefault="00FD7153" w:rsidP="00615DE7">
      <w:pPr>
        <w:spacing w:after="0" w:line="240" w:lineRule="auto"/>
        <w:jc w:val="both"/>
        <w:rPr>
          <w:rFonts w:ascii="Times New Roman" w:hAnsi="Times New Roman" w:cs="Times New Roman"/>
          <w:sz w:val="24"/>
          <w:szCs w:val="24"/>
        </w:rPr>
      </w:pPr>
    </w:p>
    <w:p w:rsidR="00B1620E" w:rsidRDefault="00B1620E" w:rsidP="00615DE7">
      <w:pPr>
        <w:spacing w:after="0" w:line="240" w:lineRule="auto"/>
        <w:jc w:val="both"/>
        <w:rPr>
          <w:rFonts w:ascii="Times New Roman" w:hAnsi="Times New Roman" w:cs="Times New Roman"/>
          <w:sz w:val="24"/>
          <w:szCs w:val="24"/>
        </w:rPr>
      </w:pPr>
    </w:p>
    <w:p w:rsidR="00B1620E" w:rsidRPr="00D63428" w:rsidRDefault="00B1620E" w:rsidP="00615DE7">
      <w:pPr>
        <w:spacing w:after="0" w:line="240" w:lineRule="auto"/>
        <w:jc w:val="both"/>
        <w:rPr>
          <w:rFonts w:ascii="Times New Roman" w:hAnsi="Times New Roman" w:cs="Times New Roman"/>
          <w:sz w:val="24"/>
          <w:szCs w:val="24"/>
        </w:rPr>
      </w:pPr>
    </w:p>
    <w:p w:rsidR="00696D88" w:rsidRPr="00D63428" w:rsidRDefault="00DE27E8" w:rsidP="00615DE7">
      <w:pPr>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Iesniedzējs:</w:t>
      </w:r>
    </w:p>
    <w:p w:rsidR="00F343C1" w:rsidRPr="00D63428" w:rsidRDefault="005678F8" w:rsidP="005678F8">
      <w:pPr>
        <w:pStyle w:val="EnvelopeReturn"/>
        <w:tabs>
          <w:tab w:val="left" w:pos="7088"/>
        </w:tabs>
      </w:pPr>
      <w:r w:rsidRPr="00D63428">
        <w:rPr>
          <w:rFonts w:ascii="Times New Roman" w:eastAsiaTheme="minorEastAsia" w:hAnsi="Times New Roman" w:cs="Times New Roman"/>
          <w:sz w:val="24"/>
          <w:szCs w:val="24"/>
        </w:rPr>
        <w:t>Ekonomikas ministre</w:t>
      </w:r>
      <w:r w:rsidR="000E1103" w:rsidRPr="00D63428">
        <w:rPr>
          <w:rFonts w:ascii="Times New Roman" w:eastAsiaTheme="minorEastAsia" w:hAnsi="Times New Roman" w:cs="Times New Roman"/>
          <w:sz w:val="24"/>
          <w:szCs w:val="24"/>
        </w:rPr>
        <w:t xml:space="preserve">  </w:t>
      </w:r>
      <w:r w:rsidR="000E1103" w:rsidRPr="00D63428">
        <w:rPr>
          <w:rFonts w:ascii="Times New Roman" w:eastAsiaTheme="minorEastAsia" w:hAnsi="Times New Roman" w:cs="Times New Roman"/>
          <w:sz w:val="24"/>
          <w:szCs w:val="24"/>
        </w:rPr>
        <w:tab/>
      </w:r>
      <w:proofErr w:type="spellStart"/>
      <w:r w:rsidRPr="00D63428">
        <w:rPr>
          <w:rFonts w:ascii="Times New Roman" w:eastAsiaTheme="minorEastAsia" w:hAnsi="Times New Roman" w:cs="Times New Roman"/>
          <w:sz w:val="24"/>
          <w:szCs w:val="24"/>
        </w:rPr>
        <w:t>D.Reizniece</w:t>
      </w:r>
      <w:proofErr w:type="spellEnd"/>
      <w:r w:rsidRPr="00D63428">
        <w:rPr>
          <w:rFonts w:ascii="Times New Roman" w:eastAsiaTheme="minorEastAsia" w:hAnsi="Times New Roman" w:cs="Times New Roman"/>
          <w:sz w:val="24"/>
          <w:szCs w:val="24"/>
        </w:rPr>
        <w:t>-Ozola</w:t>
      </w:r>
    </w:p>
    <w:p w:rsidR="001016FD" w:rsidRDefault="001016FD" w:rsidP="00DD1FD0">
      <w:pPr>
        <w:pStyle w:val="Signature"/>
        <w:widowControl/>
        <w:tabs>
          <w:tab w:val="clear" w:pos="9072"/>
          <w:tab w:val="left" w:pos="7371"/>
        </w:tabs>
        <w:spacing w:before="0"/>
        <w:ind w:firstLine="0"/>
        <w:rPr>
          <w:sz w:val="24"/>
          <w:szCs w:val="24"/>
          <w:lang w:val="lv-LV"/>
        </w:rPr>
      </w:pPr>
    </w:p>
    <w:p w:rsidR="00B1620E" w:rsidRDefault="00B1620E" w:rsidP="00B1620E">
      <w:pPr>
        <w:pStyle w:val="EnvelopeReturn"/>
      </w:pPr>
    </w:p>
    <w:p w:rsidR="00B1620E" w:rsidRPr="00B1620E" w:rsidRDefault="00B1620E" w:rsidP="00B1620E">
      <w:pPr>
        <w:pStyle w:val="EnvelopeReturn"/>
      </w:pPr>
    </w:p>
    <w:p w:rsidR="004D4DE4" w:rsidRPr="00D63428" w:rsidRDefault="00F80FB5" w:rsidP="00076AE3">
      <w:pPr>
        <w:pStyle w:val="Signature"/>
        <w:widowControl/>
        <w:tabs>
          <w:tab w:val="clear" w:pos="9072"/>
          <w:tab w:val="left" w:pos="7371"/>
        </w:tabs>
        <w:spacing w:before="0"/>
        <w:ind w:firstLine="0"/>
        <w:rPr>
          <w:sz w:val="24"/>
          <w:szCs w:val="24"/>
          <w:lang w:val="lv-LV"/>
        </w:rPr>
      </w:pPr>
      <w:r w:rsidRPr="00D63428">
        <w:rPr>
          <w:sz w:val="24"/>
          <w:szCs w:val="24"/>
          <w:lang w:val="lv-LV"/>
        </w:rPr>
        <w:t xml:space="preserve">Vīza: </w:t>
      </w:r>
      <w:r w:rsidR="005678F8" w:rsidRPr="00D63428">
        <w:rPr>
          <w:sz w:val="24"/>
          <w:szCs w:val="24"/>
          <w:lang w:val="lv-LV"/>
        </w:rPr>
        <w:t>Valsts sekretār</w:t>
      </w:r>
      <w:r w:rsidR="00076AE3" w:rsidRPr="00D63428">
        <w:rPr>
          <w:sz w:val="24"/>
          <w:szCs w:val="24"/>
          <w:lang w:val="lv-LV"/>
        </w:rPr>
        <w:t>s</w:t>
      </w:r>
      <w:r w:rsidR="00DD1FD0" w:rsidRPr="00D63428">
        <w:rPr>
          <w:sz w:val="24"/>
          <w:szCs w:val="24"/>
          <w:lang w:val="lv-LV"/>
        </w:rPr>
        <w:tab/>
      </w:r>
      <w:proofErr w:type="spellStart"/>
      <w:r w:rsidR="00076AE3" w:rsidRPr="00D63428">
        <w:rPr>
          <w:sz w:val="24"/>
          <w:szCs w:val="24"/>
          <w:lang w:val="lv-LV"/>
        </w:rPr>
        <w:t>R.Beinarovičs</w:t>
      </w:r>
      <w:proofErr w:type="spellEnd"/>
    </w:p>
    <w:p w:rsidR="00F343C1" w:rsidRDefault="00F343C1" w:rsidP="00FA0113">
      <w:pPr>
        <w:spacing w:after="0" w:line="240" w:lineRule="auto"/>
        <w:rPr>
          <w:rFonts w:ascii="Times New Roman" w:hAnsi="Times New Roman" w:cs="Times New Roman"/>
          <w:sz w:val="20"/>
          <w:szCs w:val="20"/>
        </w:rPr>
      </w:pPr>
    </w:p>
    <w:p w:rsidR="00B1620E" w:rsidRDefault="00B1620E" w:rsidP="00FA0113">
      <w:pPr>
        <w:spacing w:after="0" w:line="240" w:lineRule="auto"/>
        <w:rPr>
          <w:rFonts w:ascii="Times New Roman" w:hAnsi="Times New Roman" w:cs="Times New Roman"/>
          <w:sz w:val="20"/>
          <w:szCs w:val="20"/>
        </w:rPr>
      </w:pPr>
    </w:p>
    <w:p w:rsidR="00B1620E" w:rsidRDefault="00B1620E" w:rsidP="00FA0113">
      <w:pPr>
        <w:spacing w:after="0" w:line="240" w:lineRule="auto"/>
        <w:rPr>
          <w:rFonts w:ascii="Times New Roman" w:hAnsi="Times New Roman" w:cs="Times New Roman"/>
          <w:sz w:val="20"/>
          <w:szCs w:val="20"/>
        </w:rPr>
      </w:pPr>
    </w:p>
    <w:p w:rsidR="00B1620E" w:rsidRPr="00D63428" w:rsidRDefault="00B1620E" w:rsidP="00FA0113">
      <w:pPr>
        <w:spacing w:after="0" w:line="240" w:lineRule="auto"/>
        <w:rPr>
          <w:rFonts w:ascii="Times New Roman" w:hAnsi="Times New Roman" w:cs="Times New Roman"/>
          <w:sz w:val="20"/>
          <w:szCs w:val="20"/>
        </w:rPr>
      </w:pPr>
    </w:p>
    <w:p w:rsidR="00893703" w:rsidRPr="00D63428" w:rsidRDefault="00F644E8"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07.08.2015 11:28</w:t>
      </w:r>
      <w:bookmarkStart w:id="11" w:name="_GoBack"/>
      <w:bookmarkEnd w:id="11"/>
    </w:p>
    <w:p w:rsidR="008B6F23" w:rsidRPr="00D63428" w:rsidRDefault="007B0C30" w:rsidP="00FA0113">
      <w:pPr>
        <w:spacing w:after="0" w:line="240" w:lineRule="auto"/>
        <w:rPr>
          <w:rFonts w:ascii="Times New Roman" w:hAnsi="Times New Roman" w:cs="Times New Roman"/>
          <w:sz w:val="20"/>
          <w:szCs w:val="20"/>
        </w:rPr>
      </w:pPr>
      <w:r w:rsidRPr="00D63428">
        <w:rPr>
          <w:rFonts w:ascii="Times New Roman" w:hAnsi="Times New Roman" w:cs="Times New Roman"/>
          <w:sz w:val="20"/>
          <w:szCs w:val="20"/>
        </w:rPr>
        <w:fldChar w:fldCharType="begin"/>
      </w:r>
      <w:r w:rsidRPr="00D63428">
        <w:rPr>
          <w:rFonts w:ascii="Times New Roman" w:hAnsi="Times New Roman" w:cs="Times New Roman"/>
          <w:sz w:val="20"/>
          <w:szCs w:val="20"/>
        </w:rPr>
        <w:instrText xml:space="preserve"> NUMWORDS   \* MERGEFORMAT </w:instrText>
      </w:r>
      <w:r w:rsidRPr="00D63428">
        <w:rPr>
          <w:rFonts w:ascii="Times New Roman" w:hAnsi="Times New Roman" w:cs="Times New Roman"/>
          <w:sz w:val="20"/>
          <w:szCs w:val="20"/>
        </w:rPr>
        <w:fldChar w:fldCharType="separate"/>
      </w:r>
      <w:r w:rsidR="00F644E8">
        <w:rPr>
          <w:rFonts w:ascii="Times New Roman" w:hAnsi="Times New Roman" w:cs="Times New Roman"/>
          <w:noProof/>
          <w:sz w:val="20"/>
          <w:szCs w:val="20"/>
        </w:rPr>
        <w:t>2463</w:t>
      </w:r>
      <w:r w:rsidRPr="00D63428">
        <w:rPr>
          <w:rFonts w:ascii="Times New Roman" w:hAnsi="Times New Roman" w:cs="Times New Roman"/>
          <w:sz w:val="20"/>
          <w:szCs w:val="20"/>
        </w:rPr>
        <w:fldChar w:fldCharType="end"/>
      </w:r>
    </w:p>
    <w:p w:rsidR="00076AE3" w:rsidRPr="00D63428" w:rsidRDefault="00076AE3" w:rsidP="00C35BCF">
      <w:pPr>
        <w:spacing w:after="0" w:line="240" w:lineRule="auto"/>
        <w:rPr>
          <w:rFonts w:ascii="Times New Roman" w:hAnsi="Times New Roman" w:cs="Times New Roman"/>
          <w:sz w:val="20"/>
          <w:szCs w:val="20"/>
        </w:rPr>
      </w:pPr>
      <w:r w:rsidRPr="00D63428">
        <w:rPr>
          <w:rFonts w:ascii="Times New Roman" w:hAnsi="Times New Roman" w:cs="Times New Roman"/>
          <w:sz w:val="20"/>
          <w:szCs w:val="20"/>
        </w:rPr>
        <w:t xml:space="preserve">Purmalietis, </w:t>
      </w:r>
      <w:r w:rsidR="00FC67B3" w:rsidRPr="00D63428">
        <w:rPr>
          <w:rFonts w:ascii="Times New Roman" w:hAnsi="Times New Roman" w:cs="Times New Roman"/>
          <w:sz w:val="20"/>
          <w:szCs w:val="20"/>
        </w:rPr>
        <w:t>67013</w:t>
      </w:r>
      <w:r w:rsidRPr="00D63428">
        <w:rPr>
          <w:rFonts w:ascii="Times New Roman" w:hAnsi="Times New Roman" w:cs="Times New Roman"/>
          <w:sz w:val="20"/>
          <w:szCs w:val="20"/>
        </w:rPr>
        <w:t>108</w:t>
      </w:r>
    </w:p>
    <w:p w:rsidR="00A94E52" w:rsidRPr="00210F9B" w:rsidRDefault="00076AE3" w:rsidP="00C35BCF">
      <w:pPr>
        <w:spacing w:after="0" w:line="240" w:lineRule="auto"/>
        <w:rPr>
          <w:rFonts w:ascii="Times New Roman" w:hAnsi="Times New Roman" w:cs="Times New Roman"/>
          <w:sz w:val="20"/>
          <w:szCs w:val="20"/>
        </w:rPr>
      </w:pPr>
      <w:r w:rsidRPr="00D63428">
        <w:rPr>
          <w:rFonts w:ascii="Times New Roman" w:hAnsi="Times New Roman" w:cs="Times New Roman"/>
          <w:sz w:val="20"/>
          <w:szCs w:val="20"/>
        </w:rPr>
        <w:t>Kaspars.Purmalietis</w:t>
      </w:r>
      <w:r w:rsidR="00C35BCF" w:rsidRPr="00D63428">
        <w:rPr>
          <w:rFonts w:ascii="Times New Roman" w:hAnsi="Times New Roman" w:cs="Times New Roman"/>
          <w:sz w:val="20"/>
          <w:szCs w:val="20"/>
        </w:rPr>
        <w:t>@em.gov.lv</w:t>
      </w:r>
    </w:p>
    <w:sectPr w:rsidR="00A94E52" w:rsidRPr="00210F9B" w:rsidSect="007A5C63">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64" w:rsidRDefault="00384A64" w:rsidP="00173166">
      <w:pPr>
        <w:spacing w:after="0" w:line="240" w:lineRule="auto"/>
      </w:pPr>
      <w:r>
        <w:separator/>
      </w:r>
    </w:p>
  </w:endnote>
  <w:endnote w:type="continuationSeparator" w:id="0">
    <w:p w:rsidR="00384A64" w:rsidRDefault="00384A64"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E3" w:rsidRPr="0034387D" w:rsidRDefault="00972694" w:rsidP="0034387D">
    <w:pPr>
      <w:tabs>
        <w:tab w:val="left" w:pos="623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F644E8">
      <w:rPr>
        <w:rFonts w:ascii="Times New Roman" w:hAnsi="Times New Roman" w:cs="Times New Roman"/>
        <w:noProof/>
        <w:sz w:val="20"/>
        <w:szCs w:val="20"/>
      </w:rPr>
      <w:t>EMNOT_070815_GROZ582</w:t>
    </w:r>
    <w:r>
      <w:rPr>
        <w:rFonts w:ascii="Times New Roman" w:hAnsi="Times New Roman" w:cs="Times New Roman"/>
        <w:sz w:val="20"/>
        <w:szCs w:val="20"/>
      </w:rPr>
      <w:fldChar w:fldCharType="end"/>
    </w:r>
    <w:r w:rsidR="000C1FE3" w:rsidRPr="002E2EBD">
      <w:rPr>
        <w:rFonts w:ascii="Times New Roman" w:eastAsia="Calibri" w:hAnsi="Times New Roman" w:cs="Times New Roman"/>
        <w:sz w:val="20"/>
        <w:szCs w:val="20"/>
      </w:rPr>
      <w:t xml:space="preserve">; </w:t>
    </w:r>
    <w:r w:rsidR="000C1FE3">
      <w:rPr>
        <w:rFonts w:ascii="Times New Roman" w:hAnsi="Times New Roman" w:cs="Times New Roman"/>
        <w:bCs/>
        <w:sz w:val="20"/>
        <w:szCs w:val="20"/>
      </w:rPr>
      <w:t>Grozījumi</w:t>
    </w:r>
    <w:r w:rsidR="000C1FE3" w:rsidRPr="002E2EBD">
      <w:rPr>
        <w:rFonts w:ascii="Times New Roman" w:hAnsi="Times New Roman" w:cs="Times New Roman"/>
        <w:bCs/>
        <w:sz w:val="20"/>
        <w:szCs w:val="20"/>
      </w:rPr>
      <w:t xml:space="preserve"> Ministru kabineta 2009.gada 17.jūnija noteikumos Nr.582 </w:t>
    </w:r>
    <w:r w:rsidR="000C1FE3" w:rsidRPr="002E2EBD">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E3" w:rsidRPr="002E2EBD" w:rsidRDefault="00972694" w:rsidP="002E2EBD">
    <w:pPr>
      <w:tabs>
        <w:tab w:val="left" w:pos="623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F644E8">
      <w:rPr>
        <w:rFonts w:ascii="Times New Roman" w:hAnsi="Times New Roman" w:cs="Times New Roman"/>
        <w:noProof/>
        <w:sz w:val="20"/>
        <w:szCs w:val="20"/>
      </w:rPr>
      <w:t>EMNOT_070815_GROZ582</w:t>
    </w:r>
    <w:r>
      <w:rPr>
        <w:rFonts w:ascii="Times New Roman" w:hAnsi="Times New Roman" w:cs="Times New Roman"/>
        <w:sz w:val="20"/>
        <w:szCs w:val="20"/>
      </w:rPr>
      <w:fldChar w:fldCharType="end"/>
    </w:r>
    <w:r w:rsidR="000C1FE3" w:rsidRPr="002E2EBD">
      <w:rPr>
        <w:rFonts w:ascii="Times New Roman" w:eastAsia="Calibri" w:hAnsi="Times New Roman" w:cs="Times New Roman"/>
        <w:sz w:val="20"/>
        <w:szCs w:val="20"/>
      </w:rPr>
      <w:t xml:space="preserve">; </w:t>
    </w:r>
    <w:r w:rsidR="000C1FE3">
      <w:rPr>
        <w:rFonts w:ascii="Times New Roman" w:hAnsi="Times New Roman" w:cs="Times New Roman"/>
        <w:bCs/>
        <w:sz w:val="20"/>
        <w:szCs w:val="20"/>
      </w:rPr>
      <w:t>Grozījumi</w:t>
    </w:r>
    <w:r w:rsidR="000C1FE3" w:rsidRPr="002E2EBD">
      <w:rPr>
        <w:rFonts w:ascii="Times New Roman" w:hAnsi="Times New Roman" w:cs="Times New Roman"/>
        <w:bCs/>
        <w:sz w:val="20"/>
        <w:szCs w:val="20"/>
      </w:rPr>
      <w:t xml:space="preserve"> Ministru kabineta 2009.gada 17.jūnija noteikumos Nr.582 </w:t>
    </w:r>
    <w:r w:rsidR="000C1FE3" w:rsidRPr="002E2EBD">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64" w:rsidRDefault="00384A64" w:rsidP="00173166">
      <w:pPr>
        <w:spacing w:after="0" w:line="240" w:lineRule="auto"/>
      </w:pPr>
      <w:r>
        <w:separator/>
      </w:r>
    </w:p>
  </w:footnote>
  <w:footnote w:type="continuationSeparator" w:id="0">
    <w:p w:rsidR="00384A64" w:rsidRDefault="00384A64"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8188"/>
      <w:docPartObj>
        <w:docPartGallery w:val="Page Numbers (Top of Page)"/>
        <w:docPartUnique/>
      </w:docPartObj>
    </w:sdtPr>
    <w:sdtEndPr/>
    <w:sdtContent>
      <w:p w:rsidR="000C1FE3" w:rsidRDefault="000C1FE3">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F644E8">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0C1FE3" w:rsidRPr="00173166" w:rsidRDefault="000C1FE3"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E3" w:rsidRPr="00EA5197" w:rsidRDefault="000C1FE3"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0C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920"/>
    <w:multiLevelType w:val="hybridMultilevel"/>
    <w:tmpl w:val="E5824D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8B662B0"/>
    <w:multiLevelType w:val="hybridMultilevel"/>
    <w:tmpl w:val="D64CB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7E1B8E"/>
    <w:multiLevelType w:val="hybridMultilevel"/>
    <w:tmpl w:val="931E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EE34DA"/>
    <w:multiLevelType w:val="hybridMultilevel"/>
    <w:tmpl w:val="AE0A3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6E4B96"/>
    <w:multiLevelType w:val="hybridMultilevel"/>
    <w:tmpl w:val="FA589C8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CAF0F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F61D8"/>
    <w:multiLevelType w:val="multilevel"/>
    <w:tmpl w:val="BB24D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503B24"/>
    <w:multiLevelType w:val="hybridMultilevel"/>
    <w:tmpl w:val="75BADA8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48A6F9C"/>
    <w:multiLevelType w:val="hybridMultilevel"/>
    <w:tmpl w:val="4350C85E"/>
    <w:lvl w:ilvl="0" w:tplc="0426000F">
      <w:start w:val="1"/>
      <w:numFmt w:val="decimal"/>
      <w:lvlText w:val="%1."/>
      <w:lvlJc w:val="left"/>
      <w:pPr>
        <w:ind w:left="107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2" w15:restartNumberingAfterBreak="0">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C31536"/>
    <w:multiLevelType w:val="hybridMultilevel"/>
    <w:tmpl w:val="88221C7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611A5D"/>
    <w:multiLevelType w:val="hybridMultilevel"/>
    <w:tmpl w:val="FCD41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20735C"/>
    <w:multiLevelType w:val="hybridMultilevel"/>
    <w:tmpl w:val="E72C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2274F8"/>
    <w:multiLevelType w:val="hybridMultilevel"/>
    <w:tmpl w:val="3FE2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2B5881"/>
    <w:multiLevelType w:val="hybridMultilevel"/>
    <w:tmpl w:val="6A0604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4AC6460D"/>
    <w:multiLevelType w:val="hybridMultilevel"/>
    <w:tmpl w:val="9E4AE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4406FB"/>
    <w:multiLevelType w:val="hybridMultilevel"/>
    <w:tmpl w:val="128E56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549072EF"/>
    <w:multiLevelType w:val="multilevel"/>
    <w:tmpl w:val="30FA31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4" w15:restartNumberingAfterBreak="0">
    <w:nsid w:val="5A3F70A7"/>
    <w:multiLevelType w:val="hybridMultilevel"/>
    <w:tmpl w:val="205E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5B675507"/>
    <w:multiLevelType w:val="hybridMultilevel"/>
    <w:tmpl w:val="72A6B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3509A8"/>
    <w:multiLevelType w:val="hybridMultilevel"/>
    <w:tmpl w:val="24AE95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64E15B0E"/>
    <w:multiLevelType w:val="hybridMultilevel"/>
    <w:tmpl w:val="17E8831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6A146045"/>
    <w:multiLevelType w:val="hybridMultilevel"/>
    <w:tmpl w:val="27B008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6"/>
  </w:num>
  <w:num w:numId="2">
    <w:abstractNumId w:val="6"/>
  </w:num>
  <w:num w:numId="3">
    <w:abstractNumId w:val="14"/>
  </w:num>
  <w:num w:numId="4">
    <w:abstractNumId w:val="8"/>
  </w:num>
  <w:num w:numId="5">
    <w:abstractNumId w:val="12"/>
  </w:num>
  <w:num w:numId="6">
    <w:abstractNumId w:val="10"/>
  </w:num>
  <w:num w:numId="7">
    <w:abstractNumId w:val="15"/>
  </w:num>
  <w:num w:numId="8">
    <w:abstractNumId w:val="19"/>
  </w:num>
  <w:num w:numId="9">
    <w:abstractNumId w:val="28"/>
  </w:num>
  <w:num w:numId="10">
    <w:abstractNumId w:val="27"/>
  </w:num>
  <w:num w:numId="11">
    <w:abstractNumId w:val="4"/>
  </w:num>
  <w:num w:numId="12">
    <w:abstractNumId w:val="13"/>
  </w:num>
  <w:num w:numId="13">
    <w:abstractNumId w:val="18"/>
  </w:num>
  <w:num w:numId="14">
    <w:abstractNumId w:val="11"/>
  </w:num>
  <w:num w:numId="15">
    <w:abstractNumId w:val="20"/>
  </w:num>
  <w:num w:numId="16">
    <w:abstractNumId w:val="24"/>
  </w:num>
  <w:num w:numId="17">
    <w:abstractNumId w:val="26"/>
  </w:num>
  <w:num w:numId="18">
    <w:abstractNumId w:val="25"/>
  </w:num>
  <w:num w:numId="19">
    <w:abstractNumId w:val="9"/>
  </w:num>
  <w:num w:numId="20">
    <w:abstractNumId w:val="22"/>
  </w:num>
  <w:num w:numId="21">
    <w:abstractNumId w:val="23"/>
  </w:num>
  <w:num w:numId="22">
    <w:abstractNumId w:val="5"/>
  </w:num>
  <w:num w:numId="23">
    <w:abstractNumId w:val="21"/>
  </w:num>
  <w:num w:numId="24">
    <w:abstractNumId w:val="17"/>
  </w:num>
  <w:num w:numId="25">
    <w:abstractNumId w:val="1"/>
  </w:num>
  <w:num w:numId="26">
    <w:abstractNumId w:val="2"/>
  </w:num>
  <w:num w:numId="27">
    <w:abstractNumId w:val="3"/>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1"/>
    <w:rsid w:val="000023B9"/>
    <w:rsid w:val="00002BAC"/>
    <w:rsid w:val="00003DCF"/>
    <w:rsid w:val="00004A16"/>
    <w:rsid w:val="00005FC5"/>
    <w:rsid w:val="00011762"/>
    <w:rsid w:val="00013242"/>
    <w:rsid w:val="0001630A"/>
    <w:rsid w:val="000169A5"/>
    <w:rsid w:val="00016A30"/>
    <w:rsid w:val="00017EE1"/>
    <w:rsid w:val="000245CC"/>
    <w:rsid w:val="00024F26"/>
    <w:rsid w:val="000270E6"/>
    <w:rsid w:val="00030574"/>
    <w:rsid w:val="00030D69"/>
    <w:rsid w:val="00033CB8"/>
    <w:rsid w:val="00034357"/>
    <w:rsid w:val="000347F9"/>
    <w:rsid w:val="00034CDB"/>
    <w:rsid w:val="00035793"/>
    <w:rsid w:val="000369D2"/>
    <w:rsid w:val="00040F8D"/>
    <w:rsid w:val="00043474"/>
    <w:rsid w:val="000507A5"/>
    <w:rsid w:val="00050C92"/>
    <w:rsid w:val="000512E6"/>
    <w:rsid w:val="00054232"/>
    <w:rsid w:val="000577F6"/>
    <w:rsid w:val="00060C13"/>
    <w:rsid w:val="00061931"/>
    <w:rsid w:val="0006577A"/>
    <w:rsid w:val="0007248C"/>
    <w:rsid w:val="00074CC3"/>
    <w:rsid w:val="00076AE3"/>
    <w:rsid w:val="00077EDA"/>
    <w:rsid w:val="00081A9A"/>
    <w:rsid w:val="000828DE"/>
    <w:rsid w:val="00083FA0"/>
    <w:rsid w:val="00085065"/>
    <w:rsid w:val="000862BD"/>
    <w:rsid w:val="000870B8"/>
    <w:rsid w:val="00094535"/>
    <w:rsid w:val="000A0A97"/>
    <w:rsid w:val="000A291D"/>
    <w:rsid w:val="000C03BE"/>
    <w:rsid w:val="000C0444"/>
    <w:rsid w:val="000C1FE3"/>
    <w:rsid w:val="000C4C3E"/>
    <w:rsid w:val="000C6DB9"/>
    <w:rsid w:val="000C7680"/>
    <w:rsid w:val="000D1263"/>
    <w:rsid w:val="000D1A77"/>
    <w:rsid w:val="000D1AE7"/>
    <w:rsid w:val="000D2DC0"/>
    <w:rsid w:val="000D3015"/>
    <w:rsid w:val="000D5040"/>
    <w:rsid w:val="000D62EE"/>
    <w:rsid w:val="000E1103"/>
    <w:rsid w:val="000E20EC"/>
    <w:rsid w:val="000E306E"/>
    <w:rsid w:val="000F53EA"/>
    <w:rsid w:val="000F57F2"/>
    <w:rsid w:val="000F5CFC"/>
    <w:rsid w:val="000F61F7"/>
    <w:rsid w:val="000F78CD"/>
    <w:rsid w:val="001002C3"/>
    <w:rsid w:val="0010061C"/>
    <w:rsid w:val="00100955"/>
    <w:rsid w:val="001016FD"/>
    <w:rsid w:val="00104070"/>
    <w:rsid w:val="00107818"/>
    <w:rsid w:val="00113760"/>
    <w:rsid w:val="00115E30"/>
    <w:rsid w:val="00116A19"/>
    <w:rsid w:val="00121160"/>
    <w:rsid w:val="0012325D"/>
    <w:rsid w:val="001243BE"/>
    <w:rsid w:val="001252B0"/>
    <w:rsid w:val="00126A6B"/>
    <w:rsid w:val="00127F88"/>
    <w:rsid w:val="00131DA5"/>
    <w:rsid w:val="00131E3B"/>
    <w:rsid w:val="00140BE3"/>
    <w:rsid w:val="00142E72"/>
    <w:rsid w:val="00147CAE"/>
    <w:rsid w:val="001515B0"/>
    <w:rsid w:val="0015244A"/>
    <w:rsid w:val="00154F66"/>
    <w:rsid w:val="00155F57"/>
    <w:rsid w:val="001602F5"/>
    <w:rsid w:val="00171C0F"/>
    <w:rsid w:val="00173166"/>
    <w:rsid w:val="001810C0"/>
    <w:rsid w:val="001912F2"/>
    <w:rsid w:val="001920C5"/>
    <w:rsid w:val="001932E6"/>
    <w:rsid w:val="00194628"/>
    <w:rsid w:val="00194C57"/>
    <w:rsid w:val="0019687A"/>
    <w:rsid w:val="0019771D"/>
    <w:rsid w:val="001A2C2F"/>
    <w:rsid w:val="001A2F24"/>
    <w:rsid w:val="001A3CB9"/>
    <w:rsid w:val="001A3F2C"/>
    <w:rsid w:val="001A4647"/>
    <w:rsid w:val="001A5905"/>
    <w:rsid w:val="001A5C47"/>
    <w:rsid w:val="001A7831"/>
    <w:rsid w:val="001B249B"/>
    <w:rsid w:val="001B51ED"/>
    <w:rsid w:val="001B73F9"/>
    <w:rsid w:val="001C19BB"/>
    <w:rsid w:val="001C26AD"/>
    <w:rsid w:val="001C6235"/>
    <w:rsid w:val="001C7EBC"/>
    <w:rsid w:val="001D65F4"/>
    <w:rsid w:val="001D69CD"/>
    <w:rsid w:val="001E3FEC"/>
    <w:rsid w:val="001E4C9E"/>
    <w:rsid w:val="001F33B6"/>
    <w:rsid w:val="001F4BE5"/>
    <w:rsid w:val="001F66C0"/>
    <w:rsid w:val="001F7D46"/>
    <w:rsid w:val="002064F2"/>
    <w:rsid w:val="00210F9B"/>
    <w:rsid w:val="00216DF3"/>
    <w:rsid w:val="00220D69"/>
    <w:rsid w:val="002210B1"/>
    <w:rsid w:val="00221592"/>
    <w:rsid w:val="0022172F"/>
    <w:rsid w:val="00222FFA"/>
    <w:rsid w:val="0022590A"/>
    <w:rsid w:val="00225C51"/>
    <w:rsid w:val="002260B1"/>
    <w:rsid w:val="0022677A"/>
    <w:rsid w:val="00230162"/>
    <w:rsid w:val="002311DB"/>
    <w:rsid w:val="00232347"/>
    <w:rsid w:val="00232502"/>
    <w:rsid w:val="002372D4"/>
    <w:rsid w:val="002401B3"/>
    <w:rsid w:val="00240E7B"/>
    <w:rsid w:val="00241FD0"/>
    <w:rsid w:val="00247080"/>
    <w:rsid w:val="0024721E"/>
    <w:rsid w:val="00247EA6"/>
    <w:rsid w:val="002569DA"/>
    <w:rsid w:val="002601E7"/>
    <w:rsid w:val="002629EF"/>
    <w:rsid w:val="00262D2E"/>
    <w:rsid w:val="00264AD0"/>
    <w:rsid w:val="00267783"/>
    <w:rsid w:val="00270427"/>
    <w:rsid w:val="00270AC8"/>
    <w:rsid w:val="002719CD"/>
    <w:rsid w:val="00272AEB"/>
    <w:rsid w:val="002755DD"/>
    <w:rsid w:val="002758AA"/>
    <w:rsid w:val="00276046"/>
    <w:rsid w:val="0027607B"/>
    <w:rsid w:val="002852FF"/>
    <w:rsid w:val="00285FBC"/>
    <w:rsid w:val="002867B0"/>
    <w:rsid w:val="00296029"/>
    <w:rsid w:val="002A079D"/>
    <w:rsid w:val="002A15AA"/>
    <w:rsid w:val="002A36A0"/>
    <w:rsid w:val="002A5EDD"/>
    <w:rsid w:val="002A7C07"/>
    <w:rsid w:val="002B3222"/>
    <w:rsid w:val="002B33E0"/>
    <w:rsid w:val="002B5C73"/>
    <w:rsid w:val="002B643A"/>
    <w:rsid w:val="002B6551"/>
    <w:rsid w:val="002B6A71"/>
    <w:rsid w:val="002B6CCF"/>
    <w:rsid w:val="002C1392"/>
    <w:rsid w:val="002C1AAB"/>
    <w:rsid w:val="002C2C0F"/>
    <w:rsid w:val="002C38A6"/>
    <w:rsid w:val="002C4EE1"/>
    <w:rsid w:val="002C5874"/>
    <w:rsid w:val="002C7074"/>
    <w:rsid w:val="002D0417"/>
    <w:rsid w:val="002D0EB2"/>
    <w:rsid w:val="002D5D4B"/>
    <w:rsid w:val="002D684B"/>
    <w:rsid w:val="002E0F15"/>
    <w:rsid w:val="002E1740"/>
    <w:rsid w:val="002E2EBD"/>
    <w:rsid w:val="002E3621"/>
    <w:rsid w:val="002E3819"/>
    <w:rsid w:val="002E45F8"/>
    <w:rsid w:val="002E6B69"/>
    <w:rsid w:val="002E6ED7"/>
    <w:rsid w:val="002E70D2"/>
    <w:rsid w:val="002F4BC1"/>
    <w:rsid w:val="002F6942"/>
    <w:rsid w:val="002F6BEC"/>
    <w:rsid w:val="003004B2"/>
    <w:rsid w:val="00301D33"/>
    <w:rsid w:val="003063E4"/>
    <w:rsid w:val="00307733"/>
    <w:rsid w:val="003102B7"/>
    <w:rsid w:val="00311C83"/>
    <w:rsid w:val="003140CD"/>
    <w:rsid w:val="00315BC1"/>
    <w:rsid w:val="00315F8E"/>
    <w:rsid w:val="00316A94"/>
    <w:rsid w:val="00323A87"/>
    <w:rsid w:val="00327410"/>
    <w:rsid w:val="00332274"/>
    <w:rsid w:val="00334667"/>
    <w:rsid w:val="00335FF6"/>
    <w:rsid w:val="00336B5A"/>
    <w:rsid w:val="003413C4"/>
    <w:rsid w:val="0034387D"/>
    <w:rsid w:val="003448AB"/>
    <w:rsid w:val="003468EA"/>
    <w:rsid w:val="0035100D"/>
    <w:rsid w:val="00352929"/>
    <w:rsid w:val="00353D79"/>
    <w:rsid w:val="00354184"/>
    <w:rsid w:val="00355EB2"/>
    <w:rsid w:val="0035735C"/>
    <w:rsid w:val="00361DDE"/>
    <w:rsid w:val="00362C22"/>
    <w:rsid w:val="00362EDE"/>
    <w:rsid w:val="00363711"/>
    <w:rsid w:val="003639FD"/>
    <w:rsid w:val="00364C1F"/>
    <w:rsid w:val="00366947"/>
    <w:rsid w:val="00366F81"/>
    <w:rsid w:val="0036784F"/>
    <w:rsid w:val="00372DFE"/>
    <w:rsid w:val="00374B1F"/>
    <w:rsid w:val="003778A9"/>
    <w:rsid w:val="0038174A"/>
    <w:rsid w:val="0038267B"/>
    <w:rsid w:val="00382744"/>
    <w:rsid w:val="00384A64"/>
    <w:rsid w:val="0038571D"/>
    <w:rsid w:val="00385A87"/>
    <w:rsid w:val="00385F40"/>
    <w:rsid w:val="003861F1"/>
    <w:rsid w:val="00390266"/>
    <w:rsid w:val="00392048"/>
    <w:rsid w:val="00395880"/>
    <w:rsid w:val="003A0FD8"/>
    <w:rsid w:val="003A2863"/>
    <w:rsid w:val="003B2894"/>
    <w:rsid w:val="003B3ABB"/>
    <w:rsid w:val="003B4B11"/>
    <w:rsid w:val="003B6A6E"/>
    <w:rsid w:val="003C1EAA"/>
    <w:rsid w:val="003C2D63"/>
    <w:rsid w:val="003C381F"/>
    <w:rsid w:val="003C3E3C"/>
    <w:rsid w:val="003C403F"/>
    <w:rsid w:val="003C4585"/>
    <w:rsid w:val="003C7144"/>
    <w:rsid w:val="003D082C"/>
    <w:rsid w:val="003D09E8"/>
    <w:rsid w:val="003D0A51"/>
    <w:rsid w:val="003D0C28"/>
    <w:rsid w:val="003D0EE4"/>
    <w:rsid w:val="003D15BE"/>
    <w:rsid w:val="003D4586"/>
    <w:rsid w:val="003D46A2"/>
    <w:rsid w:val="003D47C8"/>
    <w:rsid w:val="003D4BAF"/>
    <w:rsid w:val="003D6DFF"/>
    <w:rsid w:val="003E0146"/>
    <w:rsid w:val="003E2A90"/>
    <w:rsid w:val="003E2B89"/>
    <w:rsid w:val="003E36A3"/>
    <w:rsid w:val="003E4055"/>
    <w:rsid w:val="003E56AF"/>
    <w:rsid w:val="003E62B1"/>
    <w:rsid w:val="003E7865"/>
    <w:rsid w:val="003F0563"/>
    <w:rsid w:val="003F739A"/>
    <w:rsid w:val="00402F31"/>
    <w:rsid w:val="00404BCB"/>
    <w:rsid w:val="00406BC5"/>
    <w:rsid w:val="00406F9C"/>
    <w:rsid w:val="0041220C"/>
    <w:rsid w:val="0041230D"/>
    <w:rsid w:val="0041347D"/>
    <w:rsid w:val="00413F68"/>
    <w:rsid w:val="00414DA2"/>
    <w:rsid w:val="004165FC"/>
    <w:rsid w:val="00416692"/>
    <w:rsid w:val="004178A7"/>
    <w:rsid w:val="00420F1E"/>
    <w:rsid w:val="00423AC5"/>
    <w:rsid w:val="00423E94"/>
    <w:rsid w:val="00427519"/>
    <w:rsid w:val="0043010D"/>
    <w:rsid w:val="0043189E"/>
    <w:rsid w:val="004369E8"/>
    <w:rsid w:val="00445D13"/>
    <w:rsid w:val="00447573"/>
    <w:rsid w:val="00453011"/>
    <w:rsid w:val="0045433B"/>
    <w:rsid w:val="00454647"/>
    <w:rsid w:val="00454DC2"/>
    <w:rsid w:val="004566C6"/>
    <w:rsid w:val="0046087B"/>
    <w:rsid w:val="00460D3D"/>
    <w:rsid w:val="00460F13"/>
    <w:rsid w:val="00461C28"/>
    <w:rsid w:val="004633F7"/>
    <w:rsid w:val="00464DFC"/>
    <w:rsid w:val="00465025"/>
    <w:rsid w:val="00467C76"/>
    <w:rsid w:val="00471BEF"/>
    <w:rsid w:val="0047567C"/>
    <w:rsid w:val="00491F08"/>
    <w:rsid w:val="0049247A"/>
    <w:rsid w:val="00492836"/>
    <w:rsid w:val="00493A04"/>
    <w:rsid w:val="004A0C66"/>
    <w:rsid w:val="004A1495"/>
    <w:rsid w:val="004A19F6"/>
    <w:rsid w:val="004A2146"/>
    <w:rsid w:val="004A73F4"/>
    <w:rsid w:val="004C1CCC"/>
    <w:rsid w:val="004C3DC9"/>
    <w:rsid w:val="004C5056"/>
    <w:rsid w:val="004D4DE4"/>
    <w:rsid w:val="004D5313"/>
    <w:rsid w:val="004D5C93"/>
    <w:rsid w:val="004E33E3"/>
    <w:rsid w:val="004E50DA"/>
    <w:rsid w:val="004E551A"/>
    <w:rsid w:val="004E657E"/>
    <w:rsid w:val="004F1930"/>
    <w:rsid w:val="004F2359"/>
    <w:rsid w:val="004F48C6"/>
    <w:rsid w:val="004F5542"/>
    <w:rsid w:val="004F58D9"/>
    <w:rsid w:val="004F5AAD"/>
    <w:rsid w:val="004F7753"/>
    <w:rsid w:val="00502764"/>
    <w:rsid w:val="00502F6F"/>
    <w:rsid w:val="00510622"/>
    <w:rsid w:val="00510879"/>
    <w:rsid w:val="00511373"/>
    <w:rsid w:val="005116CC"/>
    <w:rsid w:val="00511DF5"/>
    <w:rsid w:val="005137C6"/>
    <w:rsid w:val="005156C9"/>
    <w:rsid w:val="00524CB5"/>
    <w:rsid w:val="005363F7"/>
    <w:rsid w:val="00543C21"/>
    <w:rsid w:val="00543F9C"/>
    <w:rsid w:val="00552E1A"/>
    <w:rsid w:val="00555EEE"/>
    <w:rsid w:val="005569F7"/>
    <w:rsid w:val="0055755B"/>
    <w:rsid w:val="005643FE"/>
    <w:rsid w:val="005678F8"/>
    <w:rsid w:val="0057131E"/>
    <w:rsid w:val="00574570"/>
    <w:rsid w:val="00575F98"/>
    <w:rsid w:val="005822C5"/>
    <w:rsid w:val="0058234B"/>
    <w:rsid w:val="005860D2"/>
    <w:rsid w:val="0058704D"/>
    <w:rsid w:val="005A496B"/>
    <w:rsid w:val="005A6A44"/>
    <w:rsid w:val="005B211B"/>
    <w:rsid w:val="005B6534"/>
    <w:rsid w:val="005B6F6A"/>
    <w:rsid w:val="005C2C0C"/>
    <w:rsid w:val="005C4772"/>
    <w:rsid w:val="005C53F6"/>
    <w:rsid w:val="005D12D6"/>
    <w:rsid w:val="005D4BB3"/>
    <w:rsid w:val="005D7BD3"/>
    <w:rsid w:val="005D7C24"/>
    <w:rsid w:val="005E26A9"/>
    <w:rsid w:val="005E417F"/>
    <w:rsid w:val="005E4EEB"/>
    <w:rsid w:val="005F4D49"/>
    <w:rsid w:val="005F53A1"/>
    <w:rsid w:val="00603BE4"/>
    <w:rsid w:val="0060417D"/>
    <w:rsid w:val="00604BE1"/>
    <w:rsid w:val="00605ABF"/>
    <w:rsid w:val="00606B29"/>
    <w:rsid w:val="006107CE"/>
    <w:rsid w:val="00611718"/>
    <w:rsid w:val="006123DB"/>
    <w:rsid w:val="006126F9"/>
    <w:rsid w:val="00613579"/>
    <w:rsid w:val="00613D32"/>
    <w:rsid w:val="00615DE7"/>
    <w:rsid w:val="006203EF"/>
    <w:rsid w:val="0062128E"/>
    <w:rsid w:val="00622949"/>
    <w:rsid w:val="00622F0C"/>
    <w:rsid w:val="0062338F"/>
    <w:rsid w:val="006242DC"/>
    <w:rsid w:val="00626267"/>
    <w:rsid w:val="006262FF"/>
    <w:rsid w:val="00627426"/>
    <w:rsid w:val="00631D7E"/>
    <w:rsid w:val="006323EA"/>
    <w:rsid w:val="006349F3"/>
    <w:rsid w:val="00635506"/>
    <w:rsid w:val="00635C90"/>
    <w:rsid w:val="00636120"/>
    <w:rsid w:val="00636144"/>
    <w:rsid w:val="00642A6A"/>
    <w:rsid w:val="00646EBA"/>
    <w:rsid w:val="006475E1"/>
    <w:rsid w:val="006508D8"/>
    <w:rsid w:val="006514CC"/>
    <w:rsid w:val="00654E9E"/>
    <w:rsid w:val="006550CC"/>
    <w:rsid w:val="006624BC"/>
    <w:rsid w:val="00662FD9"/>
    <w:rsid w:val="006636A8"/>
    <w:rsid w:val="0066419A"/>
    <w:rsid w:val="00664DDD"/>
    <w:rsid w:val="0066596E"/>
    <w:rsid w:val="00677D82"/>
    <w:rsid w:val="0068474F"/>
    <w:rsid w:val="006848E0"/>
    <w:rsid w:val="006861BE"/>
    <w:rsid w:val="006871D3"/>
    <w:rsid w:val="00687C94"/>
    <w:rsid w:val="00691CAE"/>
    <w:rsid w:val="006939A1"/>
    <w:rsid w:val="00695309"/>
    <w:rsid w:val="00696D88"/>
    <w:rsid w:val="006A18FE"/>
    <w:rsid w:val="006A1955"/>
    <w:rsid w:val="006A6C40"/>
    <w:rsid w:val="006A774C"/>
    <w:rsid w:val="006B1F7C"/>
    <w:rsid w:val="006B7336"/>
    <w:rsid w:val="006C23EA"/>
    <w:rsid w:val="006C2630"/>
    <w:rsid w:val="006C36F4"/>
    <w:rsid w:val="006C3C19"/>
    <w:rsid w:val="006C534F"/>
    <w:rsid w:val="006D0485"/>
    <w:rsid w:val="006D1DCB"/>
    <w:rsid w:val="006D292B"/>
    <w:rsid w:val="006D2A30"/>
    <w:rsid w:val="006D5A6A"/>
    <w:rsid w:val="006D6099"/>
    <w:rsid w:val="006E1156"/>
    <w:rsid w:val="006E1245"/>
    <w:rsid w:val="006E4E88"/>
    <w:rsid w:val="006E7672"/>
    <w:rsid w:val="006F5DA7"/>
    <w:rsid w:val="00701CB8"/>
    <w:rsid w:val="00702444"/>
    <w:rsid w:val="007030D9"/>
    <w:rsid w:val="007037AC"/>
    <w:rsid w:val="00703CC9"/>
    <w:rsid w:val="00705907"/>
    <w:rsid w:val="00710EA1"/>
    <w:rsid w:val="00711F22"/>
    <w:rsid w:val="00712208"/>
    <w:rsid w:val="007132C6"/>
    <w:rsid w:val="00717F68"/>
    <w:rsid w:val="00726F80"/>
    <w:rsid w:val="007335A5"/>
    <w:rsid w:val="00734857"/>
    <w:rsid w:val="00737C33"/>
    <w:rsid w:val="00745165"/>
    <w:rsid w:val="00750559"/>
    <w:rsid w:val="00751908"/>
    <w:rsid w:val="00752C78"/>
    <w:rsid w:val="007550E0"/>
    <w:rsid w:val="00760745"/>
    <w:rsid w:val="00762C49"/>
    <w:rsid w:val="0077021D"/>
    <w:rsid w:val="00771EBD"/>
    <w:rsid w:val="007731CC"/>
    <w:rsid w:val="00780D36"/>
    <w:rsid w:val="00783056"/>
    <w:rsid w:val="00783DCB"/>
    <w:rsid w:val="00784B73"/>
    <w:rsid w:val="00786122"/>
    <w:rsid w:val="0078748E"/>
    <w:rsid w:val="0078778D"/>
    <w:rsid w:val="007928CB"/>
    <w:rsid w:val="00792A2C"/>
    <w:rsid w:val="00792E8C"/>
    <w:rsid w:val="00793420"/>
    <w:rsid w:val="007A3390"/>
    <w:rsid w:val="007A5C63"/>
    <w:rsid w:val="007B0C30"/>
    <w:rsid w:val="007B4DD7"/>
    <w:rsid w:val="007B6A78"/>
    <w:rsid w:val="007B79B8"/>
    <w:rsid w:val="007C0903"/>
    <w:rsid w:val="007C0E6E"/>
    <w:rsid w:val="007D2898"/>
    <w:rsid w:val="007D3CD0"/>
    <w:rsid w:val="007D5051"/>
    <w:rsid w:val="007D66A5"/>
    <w:rsid w:val="007D684A"/>
    <w:rsid w:val="007E0561"/>
    <w:rsid w:val="007E089B"/>
    <w:rsid w:val="007E0C6E"/>
    <w:rsid w:val="007E299C"/>
    <w:rsid w:val="007E5AB1"/>
    <w:rsid w:val="007E710D"/>
    <w:rsid w:val="007F013B"/>
    <w:rsid w:val="007F24EE"/>
    <w:rsid w:val="007F2C5A"/>
    <w:rsid w:val="007F39C6"/>
    <w:rsid w:val="007F5036"/>
    <w:rsid w:val="007F7431"/>
    <w:rsid w:val="00801C1D"/>
    <w:rsid w:val="008030E2"/>
    <w:rsid w:val="00804AD0"/>
    <w:rsid w:val="008052DD"/>
    <w:rsid w:val="00810358"/>
    <w:rsid w:val="00810F7F"/>
    <w:rsid w:val="00811CA6"/>
    <w:rsid w:val="00812DA2"/>
    <w:rsid w:val="00813A79"/>
    <w:rsid w:val="0081419F"/>
    <w:rsid w:val="00820B4D"/>
    <w:rsid w:val="00821093"/>
    <w:rsid w:val="00824D2E"/>
    <w:rsid w:val="00833D8A"/>
    <w:rsid w:val="00837F9D"/>
    <w:rsid w:val="008416F3"/>
    <w:rsid w:val="00841849"/>
    <w:rsid w:val="00842CA9"/>
    <w:rsid w:val="00846CE6"/>
    <w:rsid w:val="0085434A"/>
    <w:rsid w:val="00856132"/>
    <w:rsid w:val="008570E0"/>
    <w:rsid w:val="008602DC"/>
    <w:rsid w:val="00863D8B"/>
    <w:rsid w:val="00866FAF"/>
    <w:rsid w:val="008714A1"/>
    <w:rsid w:val="00871F8B"/>
    <w:rsid w:val="008832F5"/>
    <w:rsid w:val="0088666E"/>
    <w:rsid w:val="00890FFE"/>
    <w:rsid w:val="00893703"/>
    <w:rsid w:val="008947E0"/>
    <w:rsid w:val="00894A36"/>
    <w:rsid w:val="00895172"/>
    <w:rsid w:val="008A0E4C"/>
    <w:rsid w:val="008A1B4F"/>
    <w:rsid w:val="008A311F"/>
    <w:rsid w:val="008A4D8B"/>
    <w:rsid w:val="008A4F31"/>
    <w:rsid w:val="008A70C4"/>
    <w:rsid w:val="008B6F23"/>
    <w:rsid w:val="008B7C52"/>
    <w:rsid w:val="008C02B7"/>
    <w:rsid w:val="008C2125"/>
    <w:rsid w:val="008C2368"/>
    <w:rsid w:val="008C4C4B"/>
    <w:rsid w:val="008C60FF"/>
    <w:rsid w:val="008C6947"/>
    <w:rsid w:val="008D0C66"/>
    <w:rsid w:val="008D1561"/>
    <w:rsid w:val="008D5379"/>
    <w:rsid w:val="008D6210"/>
    <w:rsid w:val="008E2D5A"/>
    <w:rsid w:val="008E4431"/>
    <w:rsid w:val="008E4E60"/>
    <w:rsid w:val="008E6A5E"/>
    <w:rsid w:val="008E70DF"/>
    <w:rsid w:val="008E7FCF"/>
    <w:rsid w:val="008F3263"/>
    <w:rsid w:val="0090145A"/>
    <w:rsid w:val="0090305A"/>
    <w:rsid w:val="009032FD"/>
    <w:rsid w:val="00906190"/>
    <w:rsid w:val="009062C8"/>
    <w:rsid w:val="0090747C"/>
    <w:rsid w:val="009078CC"/>
    <w:rsid w:val="009107C2"/>
    <w:rsid w:val="0091204F"/>
    <w:rsid w:val="00914F72"/>
    <w:rsid w:val="0091533A"/>
    <w:rsid w:val="0092110A"/>
    <w:rsid w:val="0092371A"/>
    <w:rsid w:val="00925FBC"/>
    <w:rsid w:val="00926617"/>
    <w:rsid w:val="0093015D"/>
    <w:rsid w:val="00930432"/>
    <w:rsid w:val="00930673"/>
    <w:rsid w:val="0093171E"/>
    <w:rsid w:val="009358CF"/>
    <w:rsid w:val="009371E7"/>
    <w:rsid w:val="00941B15"/>
    <w:rsid w:val="00944A80"/>
    <w:rsid w:val="00945D7C"/>
    <w:rsid w:val="0094760C"/>
    <w:rsid w:val="00947892"/>
    <w:rsid w:val="00955A84"/>
    <w:rsid w:val="0096703E"/>
    <w:rsid w:val="00967F24"/>
    <w:rsid w:val="0097075D"/>
    <w:rsid w:val="009716B3"/>
    <w:rsid w:val="00972694"/>
    <w:rsid w:val="009734B9"/>
    <w:rsid w:val="00973738"/>
    <w:rsid w:val="00980E93"/>
    <w:rsid w:val="009819F4"/>
    <w:rsid w:val="00981A75"/>
    <w:rsid w:val="009852E8"/>
    <w:rsid w:val="009854BA"/>
    <w:rsid w:val="00985BE0"/>
    <w:rsid w:val="00996731"/>
    <w:rsid w:val="00996F52"/>
    <w:rsid w:val="009A1B66"/>
    <w:rsid w:val="009A1CEF"/>
    <w:rsid w:val="009A380D"/>
    <w:rsid w:val="009A5D39"/>
    <w:rsid w:val="009B03EB"/>
    <w:rsid w:val="009B0442"/>
    <w:rsid w:val="009B4D1B"/>
    <w:rsid w:val="009B54A1"/>
    <w:rsid w:val="009B7555"/>
    <w:rsid w:val="009C2B23"/>
    <w:rsid w:val="009C4691"/>
    <w:rsid w:val="009C4FE8"/>
    <w:rsid w:val="009D082F"/>
    <w:rsid w:val="009D14DF"/>
    <w:rsid w:val="009D1DEB"/>
    <w:rsid w:val="009D21CA"/>
    <w:rsid w:val="009D4ED8"/>
    <w:rsid w:val="009E1E86"/>
    <w:rsid w:val="009E34F0"/>
    <w:rsid w:val="009F1887"/>
    <w:rsid w:val="009F3F66"/>
    <w:rsid w:val="009F7DBB"/>
    <w:rsid w:val="00A006D8"/>
    <w:rsid w:val="00A04C54"/>
    <w:rsid w:val="00A05DF1"/>
    <w:rsid w:val="00A10E9C"/>
    <w:rsid w:val="00A1293D"/>
    <w:rsid w:val="00A150BE"/>
    <w:rsid w:val="00A165D9"/>
    <w:rsid w:val="00A20BEB"/>
    <w:rsid w:val="00A2257C"/>
    <w:rsid w:val="00A23D48"/>
    <w:rsid w:val="00A25138"/>
    <w:rsid w:val="00A25916"/>
    <w:rsid w:val="00A259FA"/>
    <w:rsid w:val="00A25BF1"/>
    <w:rsid w:val="00A27AC7"/>
    <w:rsid w:val="00A319E1"/>
    <w:rsid w:val="00A32452"/>
    <w:rsid w:val="00A32CBF"/>
    <w:rsid w:val="00A33E74"/>
    <w:rsid w:val="00A340F5"/>
    <w:rsid w:val="00A35474"/>
    <w:rsid w:val="00A36612"/>
    <w:rsid w:val="00A42D72"/>
    <w:rsid w:val="00A43BE6"/>
    <w:rsid w:val="00A463AC"/>
    <w:rsid w:val="00A4760A"/>
    <w:rsid w:val="00A5223B"/>
    <w:rsid w:val="00A543CC"/>
    <w:rsid w:val="00A54A8D"/>
    <w:rsid w:val="00A553CE"/>
    <w:rsid w:val="00A56064"/>
    <w:rsid w:val="00A57455"/>
    <w:rsid w:val="00A6028A"/>
    <w:rsid w:val="00A623F4"/>
    <w:rsid w:val="00A641E9"/>
    <w:rsid w:val="00A66022"/>
    <w:rsid w:val="00A67553"/>
    <w:rsid w:val="00A76CC3"/>
    <w:rsid w:val="00A77E7F"/>
    <w:rsid w:val="00A808E5"/>
    <w:rsid w:val="00A81695"/>
    <w:rsid w:val="00A83BA7"/>
    <w:rsid w:val="00A94E52"/>
    <w:rsid w:val="00A9530C"/>
    <w:rsid w:val="00A976E9"/>
    <w:rsid w:val="00AB2A46"/>
    <w:rsid w:val="00AB2B1D"/>
    <w:rsid w:val="00AB2EEF"/>
    <w:rsid w:val="00AB5187"/>
    <w:rsid w:val="00AB6DCA"/>
    <w:rsid w:val="00AC0A77"/>
    <w:rsid w:val="00AC77B4"/>
    <w:rsid w:val="00AD001F"/>
    <w:rsid w:val="00AD30E0"/>
    <w:rsid w:val="00AD347B"/>
    <w:rsid w:val="00AE0B23"/>
    <w:rsid w:val="00AE0FFA"/>
    <w:rsid w:val="00AE23BF"/>
    <w:rsid w:val="00AE2B2D"/>
    <w:rsid w:val="00AE54C3"/>
    <w:rsid w:val="00AF0E13"/>
    <w:rsid w:val="00AF4FDD"/>
    <w:rsid w:val="00AF4FE6"/>
    <w:rsid w:val="00B01C0A"/>
    <w:rsid w:val="00B0422D"/>
    <w:rsid w:val="00B056F0"/>
    <w:rsid w:val="00B060BA"/>
    <w:rsid w:val="00B06136"/>
    <w:rsid w:val="00B072FD"/>
    <w:rsid w:val="00B1118E"/>
    <w:rsid w:val="00B11E46"/>
    <w:rsid w:val="00B1620E"/>
    <w:rsid w:val="00B27B30"/>
    <w:rsid w:val="00B27E32"/>
    <w:rsid w:val="00B300B2"/>
    <w:rsid w:val="00B3076B"/>
    <w:rsid w:val="00B31AF9"/>
    <w:rsid w:val="00B35E5B"/>
    <w:rsid w:val="00B35E74"/>
    <w:rsid w:val="00B37C04"/>
    <w:rsid w:val="00B40DB3"/>
    <w:rsid w:val="00B4150B"/>
    <w:rsid w:val="00B432C2"/>
    <w:rsid w:val="00B45ABF"/>
    <w:rsid w:val="00B45C32"/>
    <w:rsid w:val="00B46058"/>
    <w:rsid w:val="00B47086"/>
    <w:rsid w:val="00B507B8"/>
    <w:rsid w:val="00B50CB5"/>
    <w:rsid w:val="00B57E65"/>
    <w:rsid w:val="00B6518C"/>
    <w:rsid w:val="00B72226"/>
    <w:rsid w:val="00B75F68"/>
    <w:rsid w:val="00B7606B"/>
    <w:rsid w:val="00B760EC"/>
    <w:rsid w:val="00B81755"/>
    <w:rsid w:val="00B81BC3"/>
    <w:rsid w:val="00B90D1E"/>
    <w:rsid w:val="00B93732"/>
    <w:rsid w:val="00B93BA9"/>
    <w:rsid w:val="00B95A0C"/>
    <w:rsid w:val="00B96840"/>
    <w:rsid w:val="00BA2A19"/>
    <w:rsid w:val="00BA4303"/>
    <w:rsid w:val="00BA7461"/>
    <w:rsid w:val="00BB0FDD"/>
    <w:rsid w:val="00BB2720"/>
    <w:rsid w:val="00BB595D"/>
    <w:rsid w:val="00BB5B47"/>
    <w:rsid w:val="00BB7873"/>
    <w:rsid w:val="00BB7CE3"/>
    <w:rsid w:val="00BC1308"/>
    <w:rsid w:val="00BC40F2"/>
    <w:rsid w:val="00BD31A4"/>
    <w:rsid w:val="00BD4B72"/>
    <w:rsid w:val="00BD5835"/>
    <w:rsid w:val="00BE2A9E"/>
    <w:rsid w:val="00BE42CB"/>
    <w:rsid w:val="00BE5536"/>
    <w:rsid w:val="00BE76ED"/>
    <w:rsid w:val="00BF131F"/>
    <w:rsid w:val="00BF1457"/>
    <w:rsid w:val="00BF700D"/>
    <w:rsid w:val="00C03F5E"/>
    <w:rsid w:val="00C053A0"/>
    <w:rsid w:val="00C06F83"/>
    <w:rsid w:val="00C077B2"/>
    <w:rsid w:val="00C105CD"/>
    <w:rsid w:val="00C11361"/>
    <w:rsid w:val="00C12C59"/>
    <w:rsid w:val="00C12E57"/>
    <w:rsid w:val="00C15129"/>
    <w:rsid w:val="00C20B69"/>
    <w:rsid w:val="00C22507"/>
    <w:rsid w:val="00C35BCF"/>
    <w:rsid w:val="00C372BD"/>
    <w:rsid w:val="00C3790C"/>
    <w:rsid w:val="00C410A8"/>
    <w:rsid w:val="00C436B3"/>
    <w:rsid w:val="00C450EC"/>
    <w:rsid w:val="00C47C36"/>
    <w:rsid w:val="00C50B14"/>
    <w:rsid w:val="00C528A5"/>
    <w:rsid w:val="00C5320F"/>
    <w:rsid w:val="00C53D4A"/>
    <w:rsid w:val="00C54D7C"/>
    <w:rsid w:val="00C57FF4"/>
    <w:rsid w:val="00C61434"/>
    <w:rsid w:val="00C61FA3"/>
    <w:rsid w:val="00C659A4"/>
    <w:rsid w:val="00C65B7F"/>
    <w:rsid w:val="00C8050F"/>
    <w:rsid w:val="00C82092"/>
    <w:rsid w:val="00C82D41"/>
    <w:rsid w:val="00C83AD4"/>
    <w:rsid w:val="00C85054"/>
    <w:rsid w:val="00C86019"/>
    <w:rsid w:val="00C8744D"/>
    <w:rsid w:val="00C90C60"/>
    <w:rsid w:val="00C92B2E"/>
    <w:rsid w:val="00C93079"/>
    <w:rsid w:val="00C95CE3"/>
    <w:rsid w:val="00C9753E"/>
    <w:rsid w:val="00C9794E"/>
    <w:rsid w:val="00CA0B04"/>
    <w:rsid w:val="00CA1AD3"/>
    <w:rsid w:val="00CA2D50"/>
    <w:rsid w:val="00CA2F27"/>
    <w:rsid w:val="00CA4AF6"/>
    <w:rsid w:val="00CA5D24"/>
    <w:rsid w:val="00CB43C4"/>
    <w:rsid w:val="00CB77A1"/>
    <w:rsid w:val="00CC117F"/>
    <w:rsid w:val="00CC16FA"/>
    <w:rsid w:val="00CC1968"/>
    <w:rsid w:val="00CC2069"/>
    <w:rsid w:val="00CC315F"/>
    <w:rsid w:val="00CC5099"/>
    <w:rsid w:val="00CC655D"/>
    <w:rsid w:val="00CD1C6A"/>
    <w:rsid w:val="00CD4C4E"/>
    <w:rsid w:val="00CD5CB9"/>
    <w:rsid w:val="00CE10AC"/>
    <w:rsid w:val="00CE203B"/>
    <w:rsid w:val="00CE30C6"/>
    <w:rsid w:val="00CE593F"/>
    <w:rsid w:val="00CE6426"/>
    <w:rsid w:val="00CF20CD"/>
    <w:rsid w:val="00D00B63"/>
    <w:rsid w:val="00D026AE"/>
    <w:rsid w:val="00D05E84"/>
    <w:rsid w:val="00D067F7"/>
    <w:rsid w:val="00D06FA6"/>
    <w:rsid w:val="00D11837"/>
    <w:rsid w:val="00D149BE"/>
    <w:rsid w:val="00D20A45"/>
    <w:rsid w:val="00D22C48"/>
    <w:rsid w:val="00D23A48"/>
    <w:rsid w:val="00D262F4"/>
    <w:rsid w:val="00D26E75"/>
    <w:rsid w:val="00D32E40"/>
    <w:rsid w:val="00D35AAD"/>
    <w:rsid w:val="00D37239"/>
    <w:rsid w:val="00D419C5"/>
    <w:rsid w:val="00D445CA"/>
    <w:rsid w:val="00D45B69"/>
    <w:rsid w:val="00D45EF7"/>
    <w:rsid w:val="00D478D3"/>
    <w:rsid w:val="00D51C3F"/>
    <w:rsid w:val="00D51E6F"/>
    <w:rsid w:val="00D5214E"/>
    <w:rsid w:val="00D53337"/>
    <w:rsid w:val="00D5575F"/>
    <w:rsid w:val="00D56A2B"/>
    <w:rsid w:val="00D57642"/>
    <w:rsid w:val="00D61089"/>
    <w:rsid w:val="00D63428"/>
    <w:rsid w:val="00D63A09"/>
    <w:rsid w:val="00D63D9A"/>
    <w:rsid w:val="00D6464D"/>
    <w:rsid w:val="00D65615"/>
    <w:rsid w:val="00D71739"/>
    <w:rsid w:val="00D72782"/>
    <w:rsid w:val="00D7416B"/>
    <w:rsid w:val="00D7503F"/>
    <w:rsid w:val="00D80A1F"/>
    <w:rsid w:val="00D81E97"/>
    <w:rsid w:val="00D836E9"/>
    <w:rsid w:val="00D8387D"/>
    <w:rsid w:val="00D85E53"/>
    <w:rsid w:val="00D86795"/>
    <w:rsid w:val="00D87D10"/>
    <w:rsid w:val="00D911E7"/>
    <w:rsid w:val="00D9257E"/>
    <w:rsid w:val="00D92F72"/>
    <w:rsid w:val="00D9406A"/>
    <w:rsid w:val="00D96961"/>
    <w:rsid w:val="00D96B78"/>
    <w:rsid w:val="00D9761B"/>
    <w:rsid w:val="00DA17CF"/>
    <w:rsid w:val="00DA2BD7"/>
    <w:rsid w:val="00DA540C"/>
    <w:rsid w:val="00DB4D3D"/>
    <w:rsid w:val="00DB5FD7"/>
    <w:rsid w:val="00DC490C"/>
    <w:rsid w:val="00DC50F6"/>
    <w:rsid w:val="00DC51E4"/>
    <w:rsid w:val="00DC5895"/>
    <w:rsid w:val="00DC7384"/>
    <w:rsid w:val="00DC7CCF"/>
    <w:rsid w:val="00DC7F3A"/>
    <w:rsid w:val="00DD0EFE"/>
    <w:rsid w:val="00DD1BE1"/>
    <w:rsid w:val="00DD1FD0"/>
    <w:rsid w:val="00DD40AF"/>
    <w:rsid w:val="00DD43C4"/>
    <w:rsid w:val="00DD49B6"/>
    <w:rsid w:val="00DD4B7C"/>
    <w:rsid w:val="00DD5BE6"/>
    <w:rsid w:val="00DE1EF5"/>
    <w:rsid w:val="00DE27E8"/>
    <w:rsid w:val="00DE4602"/>
    <w:rsid w:val="00DE6F4F"/>
    <w:rsid w:val="00DF172C"/>
    <w:rsid w:val="00DF3178"/>
    <w:rsid w:val="00DF39C8"/>
    <w:rsid w:val="00DF58CE"/>
    <w:rsid w:val="00DF78EC"/>
    <w:rsid w:val="00E009D1"/>
    <w:rsid w:val="00E01250"/>
    <w:rsid w:val="00E014A4"/>
    <w:rsid w:val="00E028B2"/>
    <w:rsid w:val="00E02D48"/>
    <w:rsid w:val="00E05855"/>
    <w:rsid w:val="00E0784E"/>
    <w:rsid w:val="00E10915"/>
    <w:rsid w:val="00E112F4"/>
    <w:rsid w:val="00E12B72"/>
    <w:rsid w:val="00E139DE"/>
    <w:rsid w:val="00E169D6"/>
    <w:rsid w:val="00E235C1"/>
    <w:rsid w:val="00E2459E"/>
    <w:rsid w:val="00E32D6E"/>
    <w:rsid w:val="00E33E56"/>
    <w:rsid w:val="00E34B3B"/>
    <w:rsid w:val="00E356D5"/>
    <w:rsid w:val="00E368A7"/>
    <w:rsid w:val="00E4306A"/>
    <w:rsid w:val="00E46F99"/>
    <w:rsid w:val="00E47C62"/>
    <w:rsid w:val="00E501D5"/>
    <w:rsid w:val="00E51A6A"/>
    <w:rsid w:val="00E5372E"/>
    <w:rsid w:val="00E53D71"/>
    <w:rsid w:val="00E649F6"/>
    <w:rsid w:val="00E66317"/>
    <w:rsid w:val="00E66A54"/>
    <w:rsid w:val="00E67127"/>
    <w:rsid w:val="00E67ED1"/>
    <w:rsid w:val="00E7054D"/>
    <w:rsid w:val="00E72580"/>
    <w:rsid w:val="00E7280E"/>
    <w:rsid w:val="00E7787F"/>
    <w:rsid w:val="00E85A50"/>
    <w:rsid w:val="00E86F23"/>
    <w:rsid w:val="00E8732B"/>
    <w:rsid w:val="00E9538C"/>
    <w:rsid w:val="00EA3296"/>
    <w:rsid w:val="00EA5197"/>
    <w:rsid w:val="00EB10D7"/>
    <w:rsid w:val="00EB1F18"/>
    <w:rsid w:val="00EB2105"/>
    <w:rsid w:val="00EB310F"/>
    <w:rsid w:val="00EB3B06"/>
    <w:rsid w:val="00EB46A6"/>
    <w:rsid w:val="00EB4E4B"/>
    <w:rsid w:val="00EB53F6"/>
    <w:rsid w:val="00EB6DCE"/>
    <w:rsid w:val="00EC09EF"/>
    <w:rsid w:val="00EC2AF1"/>
    <w:rsid w:val="00EC46A6"/>
    <w:rsid w:val="00EC4861"/>
    <w:rsid w:val="00EC518C"/>
    <w:rsid w:val="00ED01E6"/>
    <w:rsid w:val="00ED0CC1"/>
    <w:rsid w:val="00ED1AD8"/>
    <w:rsid w:val="00ED1FE9"/>
    <w:rsid w:val="00ED2D62"/>
    <w:rsid w:val="00ED4BB6"/>
    <w:rsid w:val="00ED5D18"/>
    <w:rsid w:val="00EE097D"/>
    <w:rsid w:val="00EE0E68"/>
    <w:rsid w:val="00EE4D54"/>
    <w:rsid w:val="00EF57C8"/>
    <w:rsid w:val="00EF6208"/>
    <w:rsid w:val="00F03F09"/>
    <w:rsid w:val="00F04B0D"/>
    <w:rsid w:val="00F050FC"/>
    <w:rsid w:val="00F1205E"/>
    <w:rsid w:val="00F121D7"/>
    <w:rsid w:val="00F12759"/>
    <w:rsid w:val="00F12823"/>
    <w:rsid w:val="00F166D9"/>
    <w:rsid w:val="00F16956"/>
    <w:rsid w:val="00F17724"/>
    <w:rsid w:val="00F23660"/>
    <w:rsid w:val="00F25D1F"/>
    <w:rsid w:val="00F26B5F"/>
    <w:rsid w:val="00F343C1"/>
    <w:rsid w:val="00F34407"/>
    <w:rsid w:val="00F349D0"/>
    <w:rsid w:val="00F3587D"/>
    <w:rsid w:val="00F437D6"/>
    <w:rsid w:val="00F43C7A"/>
    <w:rsid w:val="00F4595D"/>
    <w:rsid w:val="00F47C1D"/>
    <w:rsid w:val="00F54675"/>
    <w:rsid w:val="00F568AE"/>
    <w:rsid w:val="00F60F34"/>
    <w:rsid w:val="00F628F2"/>
    <w:rsid w:val="00F63105"/>
    <w:rsid w:val="00F641DD"/>
    <w:rsid w:val="00F64311"/>
    <w:rsid w:val="00F644E8"/>
    <w:rsid w:val="00F65B32"/>
    <w:rsid w:val="00F7177A"/>
    <w:rsid w:val="00F71B28"/>
    <w:rsid w:val="00F7415D"/>
    <w:rsid w:val="00F7596E"/>
    <w:rsid w:val="00F8048F"/>
    <w:rsid w:val="00F808B1"/>
    <w:rsid w:val="00F80F78"/>
    <w:rsid w:val="00F80FB5"/>
    <w:rsid w:val="00F81BC1"/>
    <w:rsid w:val="00F83863"/>
    <w:rsid w:val="00F87023"/>
    <w:rsid w:val="00F908FD"/>
    <w:rsid w:val="00F92ACD"/>
    <w:rsid w:val="00F94359"/>
    <w:rsid w:val="00F94E69"/>
    <w:rsid w:val="00FA0113"/>
    <w:rsid w:val="00FA209E"/>
    <w:rsid w:val="00FA3A02"/>
    <w:rsid w:val="00FA6C67"/>
    <w:rsid w:val="00FB0D6B"/>
    <w:rsid w:val="00FB1E63"/>
    <w:rsid w:val="00FC01D5"/>
    <w:rsid w:val="00FC1BEA"/>
    <w:rsid w:val="00FC5803"/>
    <w:rsid w:val="00FC5ABF"/>
    <w:rsid w:val="00FC67B3"/>
    <w:rsid w:val="00FC6990"/>
    <w:rsid w:val="00FC7E56"/>
    <w:rsid w:val="00FD1692"/>
    <w:rsid w:val="00FD43A4"/>
    <w:rsid w:val="00FD7153"/>
    <w:rsid w:val="00FE2082"/>
    <w:rsid w:val="00FE20CA"/>
    <w:rsid w:val="00FE2A74"/>
    <w:rsid w:val="00FE3B0A"/>
    <w:rsid w:val="00FE6A4C"/>
    <w:rsid w:val="00FF5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BDBED78-9DEF-4E4E-B64E-4594A65E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1003">
      <w:bodyDiv w:val="1"/>
      <w:marLeft w:val="0"/>
      <w:marRight w:val="0"/>
      <w:marTop w:val="0"/>
      <w:marBottom w:val="0"/>
      <w:divBdr>
        <w:top w:val="none" w:sz="0" w:space="0" w:color="auto"/>
        <w:left w:val="none" w:sz="0" w:space="0" w:color="auto"/>
        <w:bottom w:val="none" w:sz="0" w:space="0" w:color="auto"/>
        <w:right w:val="none" w:sz="0" w:space="0" w:color="auto"/>
      </w:divBdr>
    </w:div>
    <w:div w:id="384767187">
      <w:bodyDiv w:val="1"/>
      <w:marLeft w:val="0"/>
      <w:marRight w:val="0"/>
      <w:marTop w:val="0"/>
      <w:marBottom w:val="0"/>
      <w:divBdr>
        <w:top w:val="none" w:sz="0" w:space="0" w:color="auto"/>
        <w:left w:val="none" w:sz="0" w:space="0" w:color="auto"/>
        <w:bottom w:val="none" w:sz="0" w:space="0" w:color="auto"/>
        <w:right w:val="none" w:sz="0" w:space="0" w:color="auto"/>
      </w:divBdr>
    </w:div>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8805177">
      <w:bodyDiv w:val="1"/>
      <w:marLeft w:val="0"/>
      <w:marRight w:val="0"/>
      <w:marTop w:val="0"/>
      <w:marBottom w:val="0"/>
      <w:divBdr>
        <w:top w:val="none" w:sz="0" w:space="0" w:color="auto"/>
        <w:left w:val="none" w:sz="0" w:space="0" w:color="auto"/>
        <w:bottom w:val="none" w:sz="0" w:space="0" w:color="auto"/>
        <w:right w:val="none" w:sz="0" w:space="0" w:color="auto"/>
      </w:divBdr>
    </w:div>
    <w:div w:id="593049576">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16327422">
      <w:bodyDiv w:val="1"/>
      <w:marLeft w:val="0"/>
      <w:marRight w:val="0"/>
      <w:marTop w:val="0"/>
      <w:marBottom w:val="0"/>
      <w:divBdr>
        <w:top w:val="none" w:sz="0" w:space="0" w:color="auto"/>
        <w:left w:val="none" w:sz="0" w:space="0" w:color="auto"/>
        <w:bottom w:val="none" w:sz="0" w:space="0" w:color="auto"/>
        <w:right w:val="none" w:sz="0" w:space="0" w:color="auto"/>
      </w:divBdr>
    </w:div>
    <w:div w:id="69835402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899285684">
      <w:bodyDiv w:val="1"/>
      <w:marLeft w:val="0"/>
      <w:marRight w:val="0"/>
      <w:marTop w:val="0"/>
      <w:marBottom w:val="0"/>
      <w:divBdr>
        <w:top w:val="none" w:sz="0" w:space="0" w:color="auto"/>
        <w:left w:val="none" w:sz="0" w:space="0" w:color="auto"/>
        <w:bottom w:val="none" w:sz="0" w:space="0" w:color="auto"/>
        <w:right w:val="none" w:sz="0" w:space="0" w:color="auto"/>
      </w:divBdr>
    </w:div>
    <w:div w:id="991560663">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368338780">
      <w:bodyDiv w:val="1"/>
      <w:marLeft w:val="0"/>
      <w:marRight w:val="0"/>
      <w:marTop w:val="0"/>
      <w:marBottom w:val="0"/>
      <w:divBdr>
        <w:top w:val="none" w:sz="0" w:space="0" w:color="auto"/>
        <w:left w:val="none" w:sz="0" w:space="0" w:color="auto"/>
        <w:bottom w:val="none" w:sz="0" w:space="0" w:color="auto"/>
        <w:right w:val="none" w:sz="0" w:space="0" w:color="auto"/>
      </w:divBdr>
    </w:div>
    <w:div w:id="1374764720">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544558073">
      <w:bodyDiv w:val="1"/>
      <w:marLeft w:val="0"/>
      <w:marRight w:val="0"/>
      <w:marTop w:val="0"/>
      <w:marBottom w:val="0"/>
      <w:divBdr>
        <w:top w:val="none" w:sz="0" w:space="0" w:color="auto"/>
        <w:left w:val="none" w:sz="0" w:space="0" w:color="auto"/>
        <w:bottom w:val="none" w:sz="0" w:space="0" w:color="auto"/>
        <w:right w:val="none" w:sz="0" w:space="0" w:color="auto"/>
      </w:divBdr>
    </w:div>
    <w:div w:id="1547059211">
      <w:bodyDiv w:val="1"/>
      <w:marLeft w:val="0"/>
      <w:marRight w:val="0"/>
      <w:marTop w:val="0"/>
      <w:marBottom w:val="0"/>
      <w:divBdr>
        <w:top w:val="none" w:sz="0" w:space="0" w:color="auto"/>
        <w:left w:val="none" w:sz="0" w:space="0" w:color="auto"/>
        <w:bottom w:val="none" w:sz="0" w:space="0" w:color="auto"/>
        <w:right w:val="none" w:sz="0" w:space="0" w:color="auto"/>
      </w:divBdr>
    </w:div>
    <w:div w:id="1597011340">
      <w:bodyDiv w:val="1"/>
      <w:marLeft w:val="0"/>
      <w:marRight w:val="0"/>
      <w:marTop w:val="0"/>
      <w:marBottom w:val="0"/>
      <w:divBdr>
        <w:top w:val="none" w:sz="0" w:space="0" w:color="auto"/>
        <w:left w:val="none" w:sz="0" w:space="0" w:color="auto"/>
        <w:bottom w:val="none" w:sz="0" w:space="0" w:color="auto"/>
        <w:right w:val="none" w:sz="0" w:space="0" w:color="auto"/>
      </w:divBdr>
    </w:div>
    <w:div w:id="1730763341">
      <w:bodyDiv w:val="1"/>
      <w:marLeft w:val="0"/>
      <w:marRight w:val="0"/>
      <w:marTop w:val="0"/>
      <w:marBottom w:val="0"/>
      <w:divBdr>
        <w:top w:val="none" w:sz="0" w:space="0" w:color="auto"/>
        <w:left w:val="none" w:sz="0" w:space="0" w:color="auto"/>
        <w:bottom w:val="none" w:sz="0" w:space="0" w:color="auto"/>
        <w:right w:val="none" w:sz="0" w:space="0" w:color="auto"/>
      </w:divBdr>
    </w:div>
    <w:div w:id="1868978853">
      <w:bodyDiv w:val="1"/>
      <w:marLeft w:val="0"/>
      <w:marRight w:val="0"/>
      <w:marTop w:val="0"/>
      <w:marBottom w:val="0"/>
      <w:divBdr>
        <w:top w:val="none" w:sz="0" w:space="0" w:color="auto"/>
        <w:left w:val="none" w:sz="0" w:space="0" w:color="auto"/>
        <w:bottom w:val="none" w:sz="0" w:space="0" w:color="auto"/>
        <w:right w:val="none" w:sz="0" w:space="0" w:color="auto"/>
      </w:divBdr>
    </w:div>
    <w:div w:id="1920402927">
      <w:bodyDiv w:val="1"/>
      <w:marLeft w:val="0"/>
      <w:marRight w:val="0"/>
      <w:marTop w:val="0"/>
      <w:marBottom w:val="0"/>
      <w:divBdr>
        <w:top w:val="none" w:sz="0" w:space="0" w:color="auto"/>
        <w:left w:val="none" w:sz="0" w:space="0" w:color="auto"/>
        <w:bottom w:val="none" w:sz="0" w:space="0" w:color="auto"/>
        <w:right w:val="none" w:sz="0" w:space="0" w:color="auto"/>
      </w:divBdr>
    </w:div>
    <w:div w:id="1938056499">
      <w:bodyDiv w:val="1"/>
      <w:marLeft w:val="0"/>
      <w:marRight w:val="0"/>
      <w:marTop w:val="0"/>
      <w:marBottom w:val="0"/>
      <w:divBdr>
        <w:top w:val="none" w:sz="0" w:space="0" w:color="auto"/>
        <w:left w:val="none" w:sz="0" w:space="0" w:color="auto"/>
        <w:bottom w:val="none" w:sz="0" w:space="0" w:color="auto"/>
        <w:right w:val="none" w:sz="0" w:space="0" w:color="auto"/>
      </w:divBdr>
    </w:div>
    <w:div w:id="1943174476">
      <w:bodyDiv w:val="1"/>
      <w:marLeft w:val="0"/>
      <w:marRight w:val="0"/>
      <w:marTop w:val="0"/>
      <w:marBottom w:val="0"/>
      <w:divBdr>
        <w:top w:val="none" w:sz="0" w:space="0" w:color="auto"/>
        <w:left w:val="none" w:sz="0" w:space="0" w:color="auto"/>
        <w:bottom w:val="none" w:sz="0" w:space="0" w:color="auto"/>
        <w:right w:val="none" w:sz="0" w:space="0" w:color="auto"/>
      </w:divBdr>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59011214">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94223-noteikumi-par-darbibas-programmas-uznemejdarbiba-un-inovacijas-papildinajuma-2-3-1-1-1-apaksaktivitates-arejo-tirgu-apgusana-a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194223-noteikumi-par-darbibas-programmas-uznemejdarbiba-un-inovacijas-papildinajuma-2-3-1-1-1-apaksaktivitates-arejo-tirgu-apgusana-ar..." TargetMode="External"/><Relationship Id="rId4" Type="http://schemas.openxmlformats.org/officeDocument/2006/relationships/settings" Target="settings.xml"/><Relationship Id="rId9" Type="http://schemas.openxmlformats.org/officeDocument/2006/relationships/hyperlink" Target="http://likumi.lv/ta/id/194223-noteikumi-par-darbibas-programmas-uznemejdarbiba-un-inovacijas-papildinajuma-2-3-1-1-1-apaksaktivitates-arejo-tirgu-apgusana-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487E-1B0F-4B9D-8BBB-643C6933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Pages>
  <Words>2529</Words>
  <Characters>18058</Characters>
  <Application>Microsoft Office Word</Application>
  <DocSecurity>0</DocSecurity>
  <Lines>361</Lines>
  <Paragraphs>158</Paragraphs>
  <ScaleCrop>false</ScaleCrop>
  <HeadingPairs>
    <vt:vector size="2" baseType="variant">
      <vt:variant>
        <vt:lpstr>Title</vt:lpstr>
      </vt:variant>
      <vt:variant>
        <vt:i4>1</vt:i4>
      </vt:variant>
    </vt:vector>
  </HeadingPairs>
  <TitlesOfParts>
    <vt:vector size="1" baseType="lpstr">
      <vt:lpstr>Grozījumi Ministru kabineta 2009.gada 17.jūnija noteikumos Nr.582 „Noteikumi par darbības programmas „Uzņēmējdarbība un inovācijas” papildinājuma 2.3.1.1.1.apakšaktivitātes „Ārējo tirgu apgūšana – ārējais mārketings” sesto un turpmākajām kārtām””</vt:lpstr>
    </vt:vector>
  </TitlesOfParts>
  <Company>LR Ekonomikas ministrija</Company>
  <LinksUpToDate>false</LinksUpToDate>
  <CharactersWithSpaces>20429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17.jūnija noteikumos Nr.582 „Noteikumi par darbības programmas „Uzņēmējdarbība un inovācijas” papildinājuma 2.3.1.1.1.apakšaktivitātes „Ārējo tirgu apgūšana – ārējais mārketings” sesto un turpmākajām kārtām””</dc:title>
  <dc:subject>Ministru kabineta noteikumu projekts</dc:subject>
  <dc:creator>Kaspars Purmalietis</dc:creator>
  <dc:description>67013108, Kaspars.Purmalietis@em.gov.lv</dc:description>
  <cp:lastModifiedBy>Kaspars Purmalietis</cp:lastModifiedBy>
  <cp:revision>42</cp:revision>
  <cp:lastPrinted>2014-10-06T08:56:00Z</cp:lastPrinted>
  <dcterms:created xsi:type="dcterms:W3CDTF">2015-07-08T11:56:00Z</dcterms:created>
  <dcterms:modified xsi:type="dcterms:W3CDTF">2015-08-07T08:29:00Z</dcterms:modified>
</cp:coreProperties>
</file>