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A" w:rsidRDefault="00920FA1" w:rsidP="003B40AA">
      <w:pPr>
        <w:pStyle w:val="NoSpacing"/>
        <w:spacing w:after="120"/>
        <w:jc w:val="center"/>
        <w:rPr>
          <w:rFonts w:ascii="Times New Roman" w:hAnsi="Times New Roman"/>
          <w:b/>
          <w:sz w:val="24"/>
          <w:szCs w:val="24"/>
        </w:rPr>
      </w:pPr>
      <w:r w:rsidRPr="003B40AA">
        <w:rPr>
          <w:rFonts w:ascii="Times New Roman" w:hAnsi="Times New Roman"/>
          <w:b/>
          <w:sz w:val="24"/>
          <w:szCs w:val="24"/>
        </w:rPr>
        <w:t>Informatīvais ziņojums „</w:t>
      </w:r>
      <w:r w:rsidR="006E06EA" w:rsidRPr="003B40AA">
        <w:rPr>
          <w:rFonts w:ascii="Times New Roman" w:hAnsi="Times New Roman"/>
          <w:b/>
          <w:sz w:val="24"/>
          <w:szCs w:val="24"/>
        </w:rPr>
        <w:t>Par telpu gaisa dzesēšanas sistēmu izbūves Iek</w:t>
      </w:r>
      <w:r w:rsidR="00AF1DFB" w:rsidRPr="003B40AA">
        <w:rPr>
          <w:rFonts w:ascii="Times New Roman" w:hAnsi="Times New Roman"/>
          <w:b/>
          <w:sz w:val="24"/>
          <w:szCs w:val="24"/>
        </w:rPr>
        <w:t>šlietu ministrijas ēku kompleksa</w:t>
      </w:r>
      <w:r w:rsidR="006E06EA" w:rsidRPr="003B40AA">
        <w:rPr>
          <w:rFonts w:ascii="Times New Roman" w:hAnsi="Times New Roman"/>
          <w:b/>
          <w:sz w:val="24"/>
          <w:szCs w:val="24"/>
        </w:rPr>
        <w:t xml:space="preserve">, kas atrodas uz zemes vienības Čiekurkalna 1.līnijā 1 k-1, Rīgā, </w:t>
      </w:r>
      <w:r w:rsidR="00AF1DFB" w:rsidRPr="003B40AA">
        <w:rPr>
          <w:rFonts w:ascii="Times New Roman" w:hAnsi="Times New Roman"/>
          <w:b/>
          <w:sz w:val="24"/>
          <w:szCs w:val="24"/>
        </w:rPr>
        <w:t xml:space="preserve">1. un 4.korpusā </w:t>
      </w:r>
      <w:r w:rsidR="006E06EA" w:rsidRPr="003B40AA">
        <w:rPr>
          <w:rFonts w:ascii="Times New Roman" w:hAnsi="Times New Roman"/>
          <w:b/>
          <w:sz w:val="24"/>
          <w:szCs w:val="24"/>
        </w:rPr>
        <w:t>nepieciešamību</w:t>
      </w:r>
      <w:r w:rsidRPr="003B40AA">
        <w:rPr>
          <w:rFonts w:ascii="Times New Roman" w:hAnsi="Times New Roman"/>
          <w:b/>
          <w:sz w:val="24"/>
          <w:szCs w:val="24"/>
        </w:rPr>
        <w:t>”</w:t>
      </w:r>
    </w:p>
    <w:p w:rsidR="00E32AB4" w:rsidRPr="003B40AA" w:rsidRDefault="00E32AB4" w:rsidP="003B40AA">
      <w:pPr>
        <w:pStyle w:val="NoSpacing"/>
        <w:spacing w:after="120"/>
        <w:jc w:val="center"/>
        <w:rPr>
          <w:rFonts w:ascii="Times New Roman" w:hAnsi="Times New Roman"/>
          <w:b/>
          <w:sz w:val="24"/>
          <w:szCs w:val="24"/>
        </w:rPr>
      </w:pPr>
    </w:p>
    <w:p w:rsidR="00EC3DB4" w:rsidRDefault="00E32AB4" w:rsidP="00E32AB4">
      <w:pPr>
        <w:pStyle w:val="NoSpacing"/>
        <w:jc w:val="center"/>
        <w:rPr>
          <w:rFonts w:ascii="Times New Roman" w:hAnsi="Times New Roman"/>
          <w:b/>
          <w:sz w:val="24"/>
          <w:szCs w:val="24"/>
        </w:rPr>
      </w:pPr>
      <w:r w:rsidRPr="00E32AB4">
        <w:rPr>
          <w:rFonts w:ascii="Times New Roman" w:hAnsi="Times New Roman"/>
          <w:b/>
          <w:sz w:val="24"/>
          <w:szCs w:val="24"/>
        </w:rPr>
        <w:t>I.</w:t>
      </w:r>
      <w:r>
        <w:rPr>
          <w:rFonts w:ascii="Times New Roman" w:hAnsi="Times New Roman"/>
          <w:b/>
          <w:sz w:val="24"/>
          <w:szCs w:val="24"/>
        </w:rPr>
        <w:t xml:space="preserve"> </w:t>
      </w:r>
      <w:r w:rsidR="00EC3DB4" w:rsidRPr="00463374">
        <w:rPr>
          <w:rFonts w:ascii="Times New Roman" w:hAnsi="Times New Roman"/>
          <w:b/>
          <w:sz w:val="24"/>
          <w:szCs w:val="24"/>
        </w:rPr>
        <w:t>Ievads</w:t>
      </w:r>
    </w:p>
    <w:p w:rsidR="00E32AB4" w:rsidRPr="009F667F" w:rsidRDefault="00E32AB4" w:rsidP="00E32AB4">
      <w:pPr>
        <w:pStyle w:val="NoSpacing"/>
        <w:rPr>
          <w:rFonts w:ascii="Times New Roman" w:hAnsi="Times New Roman"/>
          <w:b/>
          <w:sz w:val="24"/>
          <w:szCs w:val="24"/>
        </w:rPr>
      </w:pPr>
    </w:p>
    <w:p w:rsidR="00503C0D" w:rsidRDefault="006E06EA" w:rsidP="00E32AB4">
      <w:pPr>
        <w:pStyle w:val="NoSpacing"/>
        <w:ind w:firstLine="851"/>
        <w:jc w:val="both"/>
        <w:rPr>
          <w:rFonts w:ascii="Times New Roman" w:hAnsi="Times New Roman"/>
          <w:sz w:val="24"/>
          <w:szCs w:val="24"/>
        </w:rPr>
      </w:pPr>
      <w:r w:rsidRPr="00B71AAF">
        <w:rPr>
          <w:rFonts w:ascii="Times New Roman" w:hAnsi="Times New Roman"/>
          <w:sz w:val="24"/>
          <w:szCs w:val="24"/>
        </w:rPr>
        <w:t>Informatīvais ziņojums ir sagatavots</w:t>
      </w:r>
      <w:r w:rsidR="00212C9C" w:rsidRPr="00B71AAF">
        <w:rPr>
          <w:rFonts w:ascii="Times New Roman" w:hAnsi="Times New Roman"/>
          <w:sz w:val="24"/>
          <w:szCs w:val="24"/>
        </w:rPr>
        <w:t xml:space="preserve"> saistībā ar nepieciešamību nodrošināt</w:t>
      </w:r>
      <w:r w:rsidRPr="00B71AAF">
        <w:rPr>
          <w:rFonts w:ascii="Times New Roman" w:hAnsi="Times New Roman"/>
          <w:sz w:val="24"/>
          <w:szCs w:val="24"/>
        </w:rPr>
        <w:t xml:space="preserve"> </w:t>
      </w:r>
      <w:r w:rsidR="007E0385" w:rsidRPr="00B71AAF">
        <w:rPr>
          <w:rFonts w:ascii="Times New Roman" w:hAnsi="Times New Roman"/>
          <w:sz w:val="24"/>
          <w:szCs w:val="24"/>
        </w:rPr>
        <w:t>Iekšlietu ministrijas ēku kompleksa</w:t>
      </w:r>
      <w:r w:rsidR="0086674A" w:rsidRPr="00B71AAF">
        <w:rPr>
          <w:rFonts w:ascii="Times New Roman" w:hAnsi="Times New Roman"/>
          <w:sz w:val="24"/>
          <w:szCs w:val="24"/>
        </w:rPr>
        <w:t xml:space="preserve"> (turpmāk - IeM ēku komplekss)</w:t>
      </w:r>
      <w:r w:rsidR="007E0385" w:rsidRPr="00B71AAF">
        <w:rPr>
          <w:rFonts w:ascii="Times New Roman" w:hAnsi="Times New Roman"/>
          <w:sz w:val="24"/>
          <w:szCs w:val="24"/>
        </w:rPr>
        <w:t xml:space="preserve">, kas atrodas uz zemes vienības Čiekurkalna 1.līnijā 1 k-1, Rīgā, </w:t>
      </w:r>
      <w:r w:rsidR="007E0385" w:rsidRPr="00503C0D">
        <w:rPr>
          <w:rFonts w:ascii="Times New Roman" w:hAnsi="Times New Roman"/>
          <w:sz w:val="24"/>
          <w:szCs w:val="24"/>
        </w:rPr>
        <w:t>ēkā</w:t>
      </w:r>
      <w:r w:rsidR="007E0385" w:rsidRPr="00B71AAF">
        <w:rPr>
          <w:rFonts w:ascii="Times New Roman" w:hAnsi="Times New Roman"/>
          <w:sz w:val="24"/>
          <w:szCs w:val="24"/>
        </w:rPr>
        <w:t xml:space="preserve"> (būves kadastra apzīmējums 0100 087 0368 001) Čiekurkalna 1.līnijā 1 k-1, Rīgā</w:t>
      </w:r>
      <w:r w:rsidR="007E0385" w:rsidRPr="003F7745">
        <w:rPr>
          <w:rFonts w:ascii="Times New Roman" w:hAnsi="Times New Roman"/>
          <w:sz w:val="24"/>
          <w:szCs w:val="24"/>
        </w:rPr>
        <w:t>,</w:t>
      </w:r>
      <w:r w:rsidR="007E0385" w:rsidRPr="00B71AAF">
        <w:rPr>
          <w:rFonts w:ascii="Times New Roman" w:hAnsi="Times New Roman"/>
          <w:sz w:val="24"/>
          <w:szCs w:val="24"/>
        </w:rPr>
        <w:t xml:space="preserve"> un ēkā (būves kadastra apzīmējums 0100 087 0368 004) Čiekurkalna 1.līnijā 1 k-4, </w:t>
      </w:r>
      <w:r w:rsidR="00503C0D" w:rsidRPr="003F7745">
        <w:rPr>
          <w:rFonts w:ascii="Times New Roman" w:hAnsi="Times New Roman"/>
          <w:sz w:val="24"/>
          <w:szCs w:val="24"/>
        </w:rPr>
        <w:t>Rīgā</w:t>
      </w:r>
      <w:r w:rsidR="003F7745">
        <w:rPr>
          <w:rFonts w:ascii="Times New Roman" w:hAnsi="Times New Roman"/>
          <w:sz w:val="24"/>
          <w:szCs w:val="24"/>
        </w:rPr>
        <w:t>,</w:t>
      </w:r>
      <w:r w:rsidR="00503C0D">
        <w:rPr>
          <w:rFonts w:ascii="Times New Roman" w:hAnsi="Times New Roman"/>
          <w:sz w:val="24"/>
          <w:szCs w:val="24"/>
        </w:rPr>
        <w:t xml:space="preserve"> </w:t>
      </w:r>
      <w:r w:rsidR="007E0385" w:rsidRPr="00B71AAF">
        <w:rPr>
          <w:rFonts w:ascii="Times New Roman" w:hAnsi="Times New Roman"/>
          <w:sz w:val="24"/>
          <w:szCs w:val="24"/>
        </w:rPr>
        <w:t>izvieto</w:t>
      </w:r>
      <w:r w:rsidR="007E0385" w:rsidRPr="003F7745">
        <w:rPr>
          <w:rFonts w:ascii="Times New Roman" w:hAnsi="Times New Roman"/>
          <w:sz w:val="24"/>
          <w:szCs w:val="24"/>
        </w:rPr>
        <w:t>t</w:t>
      </w:r>
      <w:r w:rsidR="00503C0D" w:rsidRPr="003F7745">
        <w:rPr>
          <w:rFonts w:ascii="Times New Roman" w:hAnsi="Times New Roman"/>
          <w:sz w:val="24"/>
          <w:szCs w:val="24"/>
        </w:rPr>
        <w:t>o</w:t>
      </w:r>
      <w:r w:rsidR="007E0385" w:rsidRPr="00B71AAF">
        <w:rPr>
          <w:rFonts w:ascii="Times New Roman" w:hAnsi="Times New Roman"/>
          <w:sz w:val="24"/>
          <w:szCs w:val="24"/>
        </w:rPr>
        <w:t xml:space="preserve"> Valsts policijas (turpmāk – VP)</w:t>
      </w:r>
      <w:r w:rsidR="00503C0D">
        <w:rPr>
          <w:rFonts w:ascii="Times New Roman" w:hAnsi="Times New Roman"/>
          <w:sz w:val="24"/>
          <w:szCs w:val="24"/>
        </w:rPr>
        <w:t xml:space="preserve"> </w:t>
      </w:r>
      <w:r w:rsidR="00503C0D" w:rsidRPr="003F7745">
        <w:rPr>
          <w:rFonts w:ascii="Times New Roman" w:hAnsi="Times New Roman"/>
          <w:sz w:val="24"/>
          <w:szCs w:val="24"/>
        </w:rPr>
        <w:t>struktūr</w:t>
      </w:r>
      <w:r w:rsidR="00A25833">
        <w:rPr>
          <w:rFonts w:ascii="Times New Roman" w:hAnsi="Times New Roman"/>
          <w:sz w:val="24"/>
          <w:szCs w:val="24"/>
        </w:rPr>
        <w:t>vienību</w:t>
      </w:r>
      <w:r w:rsidR="007E0385" w:rsidRPr="00B71AAF">
        <w:rPr>
          <w:rFonts w:ascii="Times New Roman" w:hAnsi="Times New Roman"/>
          <w:sz w:val="24"/>
          <w:szCs w:val="24"/>
        </w:rPr>
        <w:t xml:space="preserve"> un valsts sabiedrības ar ierobežotu atbildību „Iekšlietu ministrijas poliklīnika” (turpmāk – IeM poliklīnika)</w:t>
      </w:r>
      <w:r w:rsidR="008269C1" w:rsidRPr="00B71AAF">
        <w:rPr>
          <w:rFonts w:ascii="Times New Roman" w:hAnsi="Times New Roman"/>
          <w:sz w:val="24"/>
          <w:szCs w:val="24"/>
        </w:rPr>
        <w:t xml:space="preserve"> darbinieku veselībai nekaitīgu darba</w:t>
      </w:r>
      <w:r w:rsidR="007E0385" w:rsidRPr="00B71AAF">
        <w:rPr>
          <w:rFonts w:ascii="Times New Roman" w:hAnsi="Times New Roman"/>
          <w:sz w:val="24"/>
          <w:szCs w:val="24"/>
        </w:rPr>
        <w:t xml:space="preserve"> </w:t>
      </w:r>
      <w:r w:rsidR="008269C1" w:rsidRPr="00B71AAF">
        <w:rPr>
          <w:rFonts w:ascii="Times New Roman" w:hAnsi="Times New Roman"/>
          <w:sz w:val="24"/>
          <w:szCs w:val="24"/>
        </w:rPr>
        <w:t>vidi</w:t>
      </w:r>
      <w:r w:rsidR="007E0385" w:rsidRPr="00B71AAF">
        <w:rPr>
          <w:rFonts w:ascii="Times New Roman" w:hAnsi="Times New Roman"/>
          <w:sz w:val="24"/>
          <w:szCs w:val="24"/>
        </w:rPr>
        <w:t xml:space="preserve"> atbilstoši normatīvajos aktos </w:t>
      </w:r>
      <w:r w:rsidR="00463374" w:rsidRPr="00B71AAF">
        <w:rPr>
          <w:rFonts w:ascii="Times New Roman" w:hAnsi="Times New Roman"/>
          <w:sz w:val="24"/>
          <w:szCs w:val="24"/>
        </w:rPr>
        <w:t>noteiktajām prasībām</w:t>
      </w:r>
      <w:r w:rsidR="007E0385" w:rsidRPr="00B71AAF">
        <w:rPr>
          <w:rFonts w:ascii="Times New Roman" w:hAnsi="Times New Roman"/>
          <w:sz w:val="24"/>
          <w:szCs w:val="24"/>
        </w:rPr>
        <w:t xml:space="preserve"> par nodarbināto drošību un veselību darbā, </w:t>
      </w:r>
      <w:r w:rsidR="008269C1" w:rsidRPr="00B71AAF">
        <w:rPr>
          <w:rFonts w:ascii="Times New Roman" w:hAnsi="Times New Roman"/>
          <w:sz w:val="24"/>
          <w:szCs w:val="24"/>
        </w:rPr>
        <w:t xml:space="preserve">izbūvējot </w:t>
      </w:r>
      <w:r w:rsidR="00093D84" w:rsidRPr="00B71AAF">
        <w:rPr>
          <w:rFonts w:ascii="Times New Roman" w:hAnsi="Times New Roman"/>
          <w:sz w:val="24"/>
          <w:szCs w:val="24"/>
        </w:rPr>
        <w:t>Iekšlietu ministrijas ēku kompleksa</w:t>
      </w:r>
      <w:r w:rsidR="00AF1DFB" w:rsidRPr="00B71AAF">
        <w:rPr>
          <w:rFonts w:ascii="Times New Roman" w:hAnsi="Times New Roman"/>
          <w:sz w:val="24"/>
          <w:szCs w:val="24"/>
        </w:rPr>
        <w:t xml:space="preserve"> </w:t>
      </w:r>
      <w:r w:rsidR="00093D84" w:rsidRPr="00B71AAF">
        <w:rPr>
          <w:rFonts w:ascii="Times New Roman" w:hAnsi="Times New Roman"/>
          <w:sz w:val="24"/>
          <w:szCs w:val="24"/>
        </w:rPr>
        <w:t xml:space="preserve">1. un 4. </w:t>
      </w:r>
      <w:r w:rsidR="0077726A" w:rsidRPr="00B71AAF">
        <w:rPr>
          <w:rFonts w:ascii="Times New Roman" w:hAnsi="Times New Roman"/>
          <w:sz w:val="24"/>
          <w:szCs w:val="24"/>
        </w:rPr>
        <w:t>k</w:t>
      </w:r>
      <w:r w:rsidR="00093D84" w:rsidRPr="00B71AAF">
        <w:rPr>
          <w:rFonts w:ascii="Times New Roman" w:hAnsi="Times New Roman"/>
          <w:sz w:val="24"/>
          <w:szCs w:val="24"/>
        </w:rPr>
        <w:t xml:space="preserve">orpusā </w:t>
      </w:r>
      <w:r w:rsidR="0077726A" w:rsidRPr="00B71AAF">
        <w:rPr>
          <w:rFonts w:ascii="Times New Roman" w:hAnsi="Times New Roman"/>
          <w:sz w:val="24"/>
          <w:szCs w:val="24"/>
        </w:rPr>
        <w:t>telpu gaisa dzesēšanas sistēmas</w:t>
      </w:r>
      <w:r w:rsidR="00463374" w:rsidRPr="00B71AAF">
        <w:rPr>
          <w:rFonts w:ascii="Times New Roman" w:hAnsi="Times New Roman"/>
          <w:sz w:val="24"/>
          <w:szCs w:val="24"/>
        </w:rPr>
        <w:t>.</w:t>
      </w:r>
    </w:p>
    <w:p w:rsidR="00E32AB4" w:rsidRPr="00B71AAF" w:rsidRDefault="00E32AB4" w:rsidP="00E32AB4">
      <w:pPr>
        <w:pStyle w:val="NoSpacing"/>
        <w:ind w:firstLine="851"/>
        <w:jc w:val="both"/>
        <w:rPr>
          <w:rFonts w:ascii="Times New Roman" w:hAnsi="Times New Roman"/>
          <w:sz w:val="24"/>
          <w:szCs w:val="24"/>
        </w:rPr>
      </w:pPr>
    </w:p>
    <w:p w:rsidR="00463374" w:rsidRDefault="00463374" w:rsidP="00E32AB4">
      <w:pPr>
        <w:pStyle w:val="NoSpacing"/>
        <w:ind w:firstLine="851"/>
        <w:jc w:val="center"/>
        <w:rPr>
          <w:rFonts w:ascii="Times New Roman" w:hAnsi="Times New Roman"/>
          <w:b/>
          <w:sz w:val="24"/>
          <w:szCs w:val="24"/>
        </w:rPr>
      </w:pPr>
      <w:r>
        <w:rPr>
          <w:rFonts w:ascii="Times New Roman" w:hAnsi="Times New Roman"/>
          <w:b/>
          <w:sz w:val="24"/>
          <w:szCs w:val="24"/>
        </w:rPr>
        <w:t>II. Situācijas izklāsts</w:t>
      </w:r>
    </w:p>
    <w:p w:rsidR="00E32AB4" w:rsidRDefault="00E32AB4" w:rsidP="00E32AB4">
      <w:pPr>
        <w:pStyle w:val="NoSpacing"/>
        <w:ind w:firstLine="851"/>
        <w:jc w:val="center"/>
        <w:rPr>
          <w:rFonts w:ascii="Times New Roman" w:hAnsi="Times New Roman"/>
          <w:b/>
          <w:sz w:val="24"/>
          <w:szCs w:val="24"/>
        </w:rPr>
      </w:pPr>
    </w:p>
    <w:p w:rsidR="00463374" w:rsidRPr="00575A5A" w:rsidRDefault="00463374" w:rsidP="00E32AB4">
      <w:pPr>
        <w:pStyle w:val="naiskr"/>
        <w:tabs>
          <w:tab w:val="left" w:pos="0"/>
        </w:tabs>
        <w:spacing w:before="0" w:after="0"/>
        <w:ind w:firstLine="707"/>
        <w:jc w:val="both"/>
      </w:pPr>
      <w:r w:rsidRPr="00575A5A">
        <w:t xml:space="preserve">IeM ēku komplekss iznomāts </w:t>
      </w:r>
      <w:r w:rsidRPr="00575A5A">
        <w:rPr>
          <w:i/>
        </w:rPr>
        <w:t>(2007.gada 14.decembra nomas līgums Nr.2709/113 un 2009.gada 30.decembra nomas līgums Nr.3022)</w:t>
      </w:r>
      <w:r>
        <w:t xml:space="preserve"> </w:t>
      </w:r>
      <w:r w:rsidRPr="00575A5A">
        <w:t xml:space="preserve">Nodrošinājumu valsts aģentūrai (iepriekš Iekšlietu īpašumu valsts aģentūra) un tiek izmantots </w:t>
      </w:r>
      <w:r>
        <w:t xml:space="preserve">Iekšlietu ministrijas (turpmāk – </w:t>
      </w:r>
      <w:r w:rsidRPr="00575A5A">
        <w:rPr>
          <w:lang w:eastAsia="en-US"/>
        </w:rPr>
        <w:t>IeM</w:t>
      </w:r>
      <w:r>
        <w:rPr>
          <w:lang w:eastAsia="en-US"/>
        </w:rPr>
        <w:t>)</w:t>
      </w:r>
      <w:r w:rsidRPr="00575A5A">
        <w:rPr>
          <w:lang w:eastAsia="en-US"/>
        </w:rPr>
        <w:t xml:space="preserve"> un t</w:t>
      </w:r>
      <w:r w:rsidR="008240AC" w:rsidRPr="003F7745">
        <w:rPr>
          <w:lang w:eastAsia="en-US"/>
        </w:rPr>
        <w:t>ās</w:t>
      </w:r>
      <w:r w:rsidRPr="00575A5A">
        <w:rPr>
          <w:lang w:eastAsia="en-US"/>
        </w:rPr>
        <w:t xml:space="preserve"> padotībā esošo iestāžu</w:t>
      </w:r>
      <w:r w:rsidR="000F1CA1">
        <w:t xml:space="preserve"> un </w:t>
      </w:r>
      <w:r w:rsidR="000F1CA1" w:rsidRPr="007E0385">
        <w:t>IeM poliklīnika</w:t>
      </w:r>
      <w:r w:rsidR="000F1CA1">
        <w:t>s</w:t>
      </w:r>
      <w:r w:rsidR="000F1CA1" w:rsidRPr="000F1CA1">
        <w:rPr>
          <w:lang w:eastAsia="en-US"/>
        </w:rPr>
        <w:t xml:space="preserve"> </w:t>
      </w:r>
      <w:r w:rsidR="000F1CA1" w:rsidRPr="00575A5A">
        <w:rPr>
          <w:lang w:eastAsia="en-US"/>
        </w:rPr>
        <w:t>vajadzībām</w:t>
      </w:r>
      <w:r w:rsidR="000F1CA1">
        <w:rPr>
          <w:lang w:eastAsia="en-US"/>
        </w:rPr>
        <w:t>.</w:t>
      </w:r>
    </w:p>
    <w:p w:rsidR="00463374" w:rsidRDefault="00463374" w:rsidP="009F667F">
      <w:pPr>
        <w:pStyle w:val="NoSpacing"/>
        <w:ind w:firstLine="851"/>
        <w:jc w:val="both"/>
        <w:rPr>
          <w:rFonts w:ascii="Times New Roman" w:hAnsi="Times New Roman"/>
          <w:sz w:val="24"/>
          <w:szCs w:val="24"/>
          <w:lang w:eastAsia="lv-LV"/>
        </w:rPr>
      </w:pPr>
      <w:r w:rsidRPr="00463374">
        <w:rPr>
          <w:rFonts w:ascii="Times New Roman" w:hAnsi="Times New Roman"/>
          <w:sz w:val="24"/>
          <w:szCs w:val="24"/>
          <w:lang w:eastAsia="lv-LV"/>
        </w:rPr>
        <w:t>IeM ēku kompleksa 1.korpusā (būves kadastra apzīmējums 0100 087 0368 001) Čiekurkalna 1.līnijā 1 k-1, Rīgā, izvietota IeM poliklīnika. Ēkā atrodas pacientu pieņemšanas, laboratoriju un procedūru telpas.</w:t>
      </w:r>
    </w:p>
    <w:p w:rsidR="00463374" w:rsidRDefault="00463374" w:rsidP="00463374">
      <w:pPr>
        <w:pStyle w:val="NoSpacing"/>
        <w:ind w:firstLine="851"/>
        <w:jc w:val="both"/>
        <w:rPr>
          <w:rFonts w:ascii="Times New Roman" w:hAnsi="Times New Roman"/>
          <w:sz w:val="24"/>
          <w:szCs w:val="24"/>
          <w:lang w:eastAsia="lv-LV"/>
        </w:rPr>
      </w:pPr>
      <w:r w:rsidRPr="00463374">
        <w:rPr>
          <w:rFonts w:ascii="Times New Roman" w:hAnsi="Times New Roman"/>
          <w:sz w:val="24"/>
          <w:szCs w:val="24"/>
          <w:lang w:eastAsia="lv-LV"/>
        </w:rPr>
        <w:t xml:space="preserve">IeM ēku kompleksa 4.korpusā (būves kadastra apzīmējums 0100 087 0368 004) Čiekurkalna 1.līnijā 1 k-4, Rīgā, izvietotas </w:t>
      </w:r>
      <w:r w:rsidR="008269C1">
        <w:rPr>
          <w:rFonts w:ascii="Times New Roman" w:hAnsi="Times New Roman"/>
          <w:sz w:val="24"/>
          <w:szCs w:val="24"/>
          <w:lang w:eastAsia="lv-LV"/>
        </w:rPr>
        <w:t>VP</w:t>
      </w:r>
      <w:r w:rsidRPr="00463374">
        <w:rPr>
          <w:rFonts w:ascii="Times New Roman" w:hAnsi="Times New Roman"/>
          <w:sz w:val="24"/>
          <w:szCs w:val="24"/>
          <w:lang w:eastAsia="lv-LV"/>
        </w:rPr>
        <w:t xml:space="preserve"> struktūrvienības ar dažādiem darbības virzieniem un valsts interešu aizsardzības funkcijām. Ēkā atrodas biroja, klientu apkalpošanas, aizturēto, dokumentu arhīvu, sakaru un datu pārraižu sistēmu telpas.</w:t>
      </w:r>
    </w:p>
    <w:p w:rsidR="00AF1DFB" w:rsidRDefault="00AF1DFB" w:rsidP="00463374">
      <w:pPr>
        <w:pStyle w:val="NoSpacing"/>
        <w:ind w:firstLine="851"/>
        <w:jc w:val="both"/>
        <w:rPr>
          <w:rFonts w:ascii="Times New Roman" w:hAnsi="Times New Roman"/>
          <w:sz w:val="24"/>
          <w:szCs w:val="24"/>
          <w:lang w:eastAsia="lv-LV"/>
        </w:rPr>
      </w:pPr>
      <w:r w:rsidRPr="00AF1DFB">
        <w:rPr>
          <w:rFonts w:ascii="Times New Roman" w:hAnsi="Times New Roman"/>
          <w:sz w:val="24"/>
          <w:szCs w:val="24"/>
          <w:lang w:eastAsia="lv-LV"/>
        </w:rPr>
        <w:t xml:space="preserve">No VP un IeM poliklīnikas puses vairākkārtēji izteiktas būtiskas sūdzības par neatbilstošu mikroklimatu (temperatūras režīms, ventilācijas sistēmu </w:t>
      </w:r>
      <w:r w:rsidR="008240AC" w:rsidRPr="003F7745">
        <w:rPr>
          <w:rFonts w:ascii="Times New Roman" w:hAnsi="Times New Roman"/>
          <w:sz w:val="24"/>
          <w:szCs w:val="24"/>
          <w:lang w:eastAsia="lv-LV"/>
        </w:rPr>
        <w:t xml:space="preserve">darbības </w:t>
      </w:r>
      <w:r w:rsidRPr="003F7745">
        <w:rPr>
          <w:rFonts w:ascii="Times New Roman" w:hAnsi="Times New Roman"/>
          <w:sz w:val="24"/>
          <w:szCs w:val="24"/>
          <w:lang w:eastAsia="lv-LV"/>
        </w:rPr>
        <w:t>nepietiekama efektivitāte</w:t>
      </w:r>
      <w:r w:rsidRPr="00AF1DFB">
        <w:rPr>
          <w:rFonts w:ascii="Times New Roman" w:hAnsi="Times New Roman"/>
          <w:sz w:val="24"/>
          <w:szCs w:val="24"/>
          <w:lang w:eastAsia="lv-LV"/>
        </w:rPr>
        <w:t xml:space="preserve">) darba telpās un iespējamo apdraudējumu darbinieku drošībai un veselības stāvoklim, jo gada siltajā periodā darba vietās gaisa temperatūra būtiski pārsniedz pieļaujamo normu un gaisa ventilācijas sistēma nenodrošina pietiekamu gaisa apmaiņas intensitāti. IeM poliklīnikas telpās intensīvi tiek lietoti gaiteņi, kuros apmeklētāji gaida pieņemšanu. IeM dienestu kandidātu veselības stāvokļa izvērtēšana visintensīvāk notiek </w:t>
      </w:r>
      <w:r w:rsidR="00060EC6" w:rsidRPr="00AF1DFB">
        <w:rPr>
          <w:rFonts w:ascii="Times New Roman" w:hAnsi="Times New Roman"/>
          <w:sz w:val="24"/>
          <w:szCs w:val="24"/>
          <w:lang w:eastAsia="lv-LV"/>
        </w:rPr>
        <w:t>jūlij</w:t>
      </w:r>
      <w:r w:rsidR="00060EC6">
        <w:rPr>
          <w:rFonts w:ascii="Times New Roman" w:hAnsi="Times New Roman"/>
          <w:sz w:val="24"/>
          <w:szCs w:val="24"/>
          <w:lang w:eastAsia="lv-LV"/>
        </w:rPr>
        <w:t>ā</w:t>
      </w:r>
      <w:r w:rsidR="00060EC6" w:rsidRPr="00AF1DFB">
        <w:rPr>
          <w:rFonts w:ascii="Times New Roman" w:hAnsi="Times New Roman"/>
          <w:sz w:val="24"/>
          <w:szCs w:val="24"/>
          <w:lang w:eastAsia="lv-LV"/>
        </w:rPr>
        <w:t xml:space="preserve"> </w:t>
      </w:r>
      <w:r w:rsidRPr="00AF1DFB">
        <w:rPr>
          <w:rFonts w:ascii="Times New Roman" w:hAnsi="Times New Roman"/>
          <w:sz w:val="24"/>
          <w:szCs w:val="24"/>
          <w:lang w:eastAsia="lv-LV"/>
        </w:rPr>
        <w:t xml:space="preserve">un </w:t>
      </w:r>
      <w:r w:rsidR="00060EC6" w:rsidRPr="00AF1DFB">
        <w:rPr>
          <w:rFonts w:ascii="Times New Roman" w:hAnsi="Times New Roman"/>
          <w:sz w:val="24"/>
          <w:szCs w:val="24"/>
          <w:lang w:eastAsia="lv-LV"/>
        </w:rPr>
        <w:t>august</w:t>
      </w:r>
      <w:r w:rsidR="00060EC6">
        <w:rPr>
          <w:rFonts w:ascii="Times New Roman" w:hAnsi="Times New Roman"/>
          <w:sz w:val="24"/>
          <w:szCs w:val="24"/>
          <w:lang w:eastAsia="lv-LV"/>
        </w:rPr>
        <w:t>ā</w:t>
      </w:r>
      <w:r w:rsidR="00C6530D">
        <w:rPr>
          <w:rFonts w:ascii="Times New Roman" w:hAnsi="Times New Roman"/>
          <w:sz w:val="24"/>
          <w:szCs w:val="24"/>
          <w:lang w:eastAsia="lv-LV"/>
        </w:rPr>
        <w:t xml:space="preserve"> </w:t>
      </w:r>
      <w:r w:rsidRPr="00AF1DFB">
        <w:rPr>
          <w:rFonts w:ascii="Times New Roman" w:hAnsi="Times New Roman"/>
          <w:sz w:val="24"/>
          <w:szCs w:val="24"/>
          <w:lang w:eastAsia="lv-LV"/>
        </w:rPr>
        <w:t>(šajā periodā apmeklētāju skaits pārsniedz 100 cilvēku dienā), kad gaisa temperatūra sasniedz gandrīz 30</w:t>
      </w:r>
      <w:r w:rsidR="000A13A9" w:rsidRPr="007311EA">
        <w:t>°</w:t>
      </w:r>
      <w:r w:rsidRPr="00AF1DFB">
        <w:rPr>
          <w:rFonts w:ascii="Times New Roman" w:hAnsi="Times New Roman"/>
          <w:sz w:val="24"/>
          <w:szCs w:val="24"/>
          <w:lang w:eastAsia="lv-LV"/>
        </w:rPr>
        <w:t>C. Šāda gaisa temperatūra pārsniedz medicīnisko iekārtu ražotāju norādes par iekārtu ekspluatācijas apstākļiem (ņemot vērā lietojamo iekārtu sarežģītos mehānismus, neatbilstoša to ekspluatācija ne tikai rada ātrākus iekārtu bojājumus, bet arī neprecizitātes to darbībā, kas savukārt var radīt kļūdas diagnostikā).</w:t>
      </w:r>
    </w:p>
    <w:p w:rsidR="00AF1DFB" w:rsidRDefault="00AF1DFB" w:rsidP="0097668A">
      <w:pPr>
        <w:pStyle w:val="naiskr"/>
        <w:tabs>
          <w:tab w:val="left" w:pos="0"/>
        </w:tabs>
        <w:spacing w:before="0" w:after="0"/>
        <w:ind w:right="158" w:firstLine="707"/>
        <w:jc w:val="both"/>
      </w:pPr>
      <w:r w:rsidRPr="00B71AAF">
        <w:t xml:space="preserve">IeM ēku kompleksa </w:t>
      </w:r>
      <w:r w:rsidR="00C6530D" w:rsidRPr="00B71AAF">
        <w:t>b</w:t>
      </w:r>
      <w:r w:rsidR="00331BC2" w:rsidRPr="00B71AAF">
        <w:t>ūvprojekta</w:t>
      </w:r>
      <w:r w:rsidRPr="00B71AAF">
        <w:t xml:space="preserve"> </w:t>
      </w:r>
      <w:r w:rsidR="00591D9D" w:rsidRPr="00B71AAF">
        <w:t>dokumentācijas izstrādes darbi tika veikti saskaņā ar Ministru kabineta pieņemtajiem lēmumiem</w:t>
      </w:r>
      <w:r w:rsidR="000C7CC1" w:rsidRPr="00B71AAF">
        <w:t xml:space="preserve"> un dotajiem uzdevumiem</w:t>
      </w:r>
      <w:r w:rsidR="00591D9D" w:rsidRPr="00B71AAF">
        <w:t xml:space="preserve"> par </w:t>
      </w:r>
      <w:r w:rsidR="000C7CC1" w:rsidRPr="00B71AAF">
        <w:t>IeM ēku kompleksa būvprojekta dokumentācijas izstr</w:t>
      </w:r>
      <w:r w:rsidR="00E332BE" w:rsidRPr="00B71AAF">
        <w:t>ādi</w:t>
      </w:r>
      <w:r w:rsidR="000C7CC1" w:rsidRPr="00B71AAF">
        <w:t xml:space="preserve"> un būvniecību</w:t>
      </w:r>
      <w:r w:rsidR="00E332BE" w:rsidRPr="00B71AAF">
        <w:t>,</w:t>
      </w:r>
      <w:r w:rsidR="000C7CC1" w:rsidRPr="00B71AAF">
        <w:t xml:space="preserve"> </w:t>
      </w:r>
      <w:r w:rsidR="006243C0" w:rsidRPr="00B71AAF">
        <w:t>ņemot</w:t>
      </w:r>
      <w:r w:rsidR="00E332BE" w:rsidRPr="00B71AAF">
        <w:t xml:space="preserve"> vērā</w:t>
      </w:r>
      <w:r w:rsidR="00591D9D" w:rsidRPr="00B71AAF">
        <w:t xml:space="preserve"> </w:t>
      </w:r>
      <w:r w:rsidR="00331BC2" w:rsidRPr="00B71AAF">
        <w:t>IeM</w:t>
      </w:r>
      <w:r w:rsidR="00E332BE" w:rsidRPr="00B71AAF">
        <w:t xml:space="preserve"> un tās padotības iestāžu prasības un norād</w:t>
      </w:r>
      <w:r w:rsidR="006243C0" w:rsidRPr="00B71AAF">
        <w:t>ījumus</w:t>
      </w:r>
      <w:r w:rsidR="00E332BE" w:rsidRPr="00B71AAF">
        <w:t>, kā arī</w:t>
      </w:r>
      <w:r w:rsidR="00331BC2" w:rsidRPr="00B71AAF">
        <w:t xml:space="preserve"> </w:t>
      </w:r>
      <w:r w:rsidR="006243C0" w:rsidRPr="00B71AAF">
        <w:t>būvprojektu</w:t>
      </w:r>
      <w:r w:rsidR="00331BC2" w:rsidRPr="00B71AAF">
        <w:t xml:space="preserve"> </w:t>
      </w:r>
      <w:r w:rsidR="006243C0" w:rsidRPr="00B71AAF">
        <w:t>saskaņojot</w:t>
      </w:r>
      <w:r w:rsidRPr="00B71AAF">
        <w:t xml:space="preserve"> ar IeM.</w:t>
      </w:r>
      <w:r w:rsidRPr="00C6530D">
        <w:t xml:space="preserve"> Saskaņā ar </w:t>
      </w:r>
      <w:r w:rsidR="00C6530D" w:rsidRPr="00C6530D">
        <w:t>būv</w:t>
      </w:r>
      <w:r w:rsidRPr="00C6530D">
        <w:t>projektu atsevišķās IeM ēku kompleksa zonās, tostarp 1. un 4.korpusā netika paredzēta gaisa dzesēšanas (kondicionēšanas) sistēmas izbūve.</w:t>
      </w:r>
      <w:r w:rsidRPr="007311EA">
        <w:t xml:space="preserve"> </w:t>
      </w:r>
      <w:r>
        <w:t>L</w:t>
      </w:r>
      <w:r w:rsidRPr="00D72317">
        <w:t xml:space="preserve">īdz ar to </w:t>
      </w:r>
      <w:r>
        <w:t xml:space="preserve">telpās netiek nodrošināta pieplūdes gaisa dzesēšanas iespēja vasaras karstajā periodā. Esošajā situācijā </w:t>
      </w:r>
      <w:r w:rsidRPr="007311EA">
        <w:t>IeM ēku kompleksa 1.</w:t>
      </w:r>
      <w:r>
        <w:t xml:space="preserve"> un 4.korpusa</w:t>
      </w:r>
      <w:r w:rsidRPr="007311EA">
        <w:t xml:space="preserve"> </w:t>
      </w:r>
      <w:r>
        <w:t>telpās</w:t>
      </w:r>
      <w:r w:rsidRPr="007311EA">
        <w:t xml:space="preserve"> </w:t>
      </w:r>
      <w:r>
        <w:t xml:space="preserve">nav iespējams nodrošināt </w:t>
      </w:r>
      <w:r w:rsidRPr="007311EA">
        <w:t xml:space="preserve">Darba aizsardzības likuma 4.panta </w:t>
      </w:r>
      <w:r>
        <w:t xml:space="preserve">pirmās </w:t>
      </w:r>
      <w:r w:rsidRPr="007311EA">
        <w:t>daļas 7.punkt</w:t>
      </w:r>
      <w:r>
        <w:t>a</w:t>
      </w:r>
      <w:r w:rsidRPr="007311EA">
        <w:t xml:space="preserve">, 8.panta </w:t>
      </w:r>
      <w:r>
        <w:t xml:space="preserve">pirmās daļas </w:t>
      </w:r>
      <w:r w:rsidRPr="007311EA">
        <w:t xml:space="preserve">un </w:t>
      </w:r>
      <w:r>
        <w:t xml:space="preserve">trešās </w:t>
      </w:r>
      <w:r w:rsidRPr="007311EA">
        <w:t>daļas 3.punkt</w:t>
      </w:r>
      <w:r>
        <w:t xml:space="preserve">ā noteiktās prasības, kas nosaka </w:t>
      </w:r>
      <w:r w:rsidRPr="007311EA">
        <w:t xml:space="preserve">darba devēja atbildību par nodarbināto drošību un veselību darbā, </w:t>
      </w:r>
      <w:r w:rsidRPr="007311EA">
        <w:lastRenderedPageBreak/>
        <w:t xml:space="preserve">nodrošinot viņu veselībai nekaitīgu darba vidi. </w:t>
      </w:r>
      <w:r>
        <w:t>P</w:t>
      </w:r>
      <w:r w:rsidRPr="007311EA">
        <w:t>rasības attiecībā uz darba telpu mikroklimatu un darbinieka drošību un veselību</w:t>
      </w:r>
      <w:r>
        <w:t xml:space="preserve"> nosaka, ka </w:t>
      </w:r>
      <w:r w:rsidRPr="007311EA">
        <w:t xml:space="preserve">darba raksturam un nodarbināto fiziskajai slodzei atbilstošs mikroklimats ir tāds mikroklimats, kas </w:t>
      </w:r>
      <w:r>
        <w:t>astoņu</w:t>
      </w:r>
      <w:r w:rsidRPr="007311EA">
        <w:t xml:space="preserve"> stundu darba dienas/maiņas laikā pie minimālas termoregulācijas sistēmas slodzes nodrošina vispārēju un lokālu siltuma komforta sajūtu, neizraisa nodarbināto veselības traucējumus un nodrošina augstas darbspējas. </w:t>
      </w:r>
      <w:r>
        <w:t xml:space="preserve">Arī </w:t>
      </w:r>
      <w:r w:rsidRPr="007311EA">
        <w:t>Ministru kabineta</w:t>
      </w:r>
      <w:r w:rsidR="0041774D">
        <w:t xml:space="preserve"> </w:t>
      </w:r>
      <w:r w:rsidRPr="007311EA">
        <w:t>2009.gada 28.aprīļa noteikumu Nr.359 „Darba aizsardzības prasības da</w:t>
      </w:r>
      <w:r>
        <w:t>rba vietās” (turpmāk – MK noteikumi Nr.359) 13.1., 13.3., 13.5.apakš</w:t>
      </w:r>
      <w:r w:rsidRPr="007311EA">
        <w:t>punkt</w:t>
      </w:r>
      <w:r>
        <w:t>ā</w:t>
      </w:r>
      <w:r w:rsidRPr="007311EA">
        <w:t xml:space="preserve"> un 1.pielikum</w:t>
      </w:r>
      <w:r>
        <w:t xml:space="preserve">ā noteiktās </w:t>
      </w:r>
      <w:r w:rsidRPr="007311EA">
        <w:t xml:space="preserve">prasības </w:t>
      </w:r>
      <w:r>
        <w:t xml:space="preserve">par </w:t>
      </w:r>
      <w:r w:rsidRPr="007311EA">
        <w:t>mikroklima</w:t>
      </w:r>
      <w:r>
        <w:t>tu</w:t>
      </w:r>
      <w:r w:rsidRPr="007311EA">
        <w:t>, t.i.</w:t>
      </w:r>
      <w:r>
        <w:t>,</w:t>
      </w:r>
      <w:r w:rsidRPr="007311EA">
        <w:t xml:space="preserve"> gada siltajā periodā maksimālā temperatūra telpā var būt 28°C pie gaisa r</w:t>
      </w:r>
      <w:r w:rsidRPr="0021503E">
        <w:t>e</w:t>
      </w:r>
      <w:r w:rsidRPr="007311EA">
        <w:t>latīvā mitruma 30–70% un gaisa kustības ātruma 0,05–0,15 m/s</w:t>
      </w:r>
      <w:r w:rsidR="0086674A">
        <w:t>,</w:t>
      </w:r>
      <w:r>
        <w:t xml:space="preserve"> nav iespējams nodrošināt</w:t>
      </w:r>
      <w:r w:rsidRPr="007311EA">
        <w:t xml:space="preserve">. </w:t>
      </w:r>
      <w:r>
        <w:t>Vienlaikus MK noteikumos Nr.359 tiek noteikts, ka d</w:t>
      </w:r>
      <w:r w:rsidRPr="007311EA">
        <w:t>arba devēj</w:t>
      </w:r>
      <w:r>
        <w:t>am ir jā</w:t>
      </w:r>
      <w:r w:rsidRPr="007311EA">
        <w:t>novērtē darba vides risk</w:t>
      </w:r>
      <w:r>
        <w:t>i</w:t>
      </w:r>
      <w:r w:rsidRPr="007311EA">
        <w:t xml:space="preserve"> un </w:t>
      </w:r>
      <w:r>
        <w:t>jā</w:t>
      </w:r>
      <w:r w:rsidRPr="007311EA">
        <w:t>nosaka, kādi darba aizsardzības pasākumi ir nepieciešami, lai novērstu vai mazinātu darba vides risku.</w:t>
      </w:r>
    </w:p>
    <w:p w:rsidR="00AF1DFB" w:rsidRDefault="00AF1DFB" w:rsidP="0097668A">
      <w:pPr>
        <w:pStyle w:val="naiskr"/>
        <w:tabs>
          <w:tab w:val="left" w:pos="0"/>
        </w:tabs>
        <w:spacing w:before="0" w:after="0"/>
        <w:ind w:right="158" w:firstLine="707"/>
        <w:jc w:val="both"/>
      </w:pPr>
      <w:r>
        <w:t xml:space="preserve">Saskaņā ar IeM sniegto informāciju (IeM 2014.gada 29.septembra vēstule Nr.1-89/2475 </w:t>
      </w:r>
      <w:r w:rsidR="005136A6" w:rsidRPr="00802BF7">
        <w:t>valsts akciju sabiedrībai „Valsts nekustamie īpašumi”</w:t>
      </w:r>
      <w:r w:rsidR="00667FD4" w:rsidRPr="00802BF7">
        <w:t>;</w:t>
      </w:r>
      <w:r w:rsidR="005136A6" w:rsidRPr="00802BF7">
        <w:t xml:space="preserve"> turpmāk – </w:t>
      </w:r>
      <w:r w:rsidRPr="00802BF7">
        <w:t>VNĪ</w:t>
      </w:r>
      <w:r>
        <w:t xml:space="preserve">), ņemot vērā </w:t>
      </w:r>
      <w:r w:rsidRPr="008C342B">
        <w:t>VP darbinieku 2014.gada 20.jūnija iesniegumu</w:t>
      </w:r>
      <w:r w:rsidR="00802BF7">
        <w:t xml:space="preserve"> </w:t>
      </w:r>
      <w:r w:rsidRPr="00B43DCC">
        <w:t>Rīgas reģ</w:t>
      </w:r>
      <w:r w:rsidR="00667FD4">
        <w:t>ionāla</w:t>
      </w:r>
      <w:r w:rsidR="008240AC">
        <w:t>j</w:t>
      </w:r>
      <w:r w:rsidR="008240AC" w:rsidRPr="003F7745">
        <w:t>ai</w:t>
      </w:r>
      <w:r>
        <w:t xml:space="preserve"> Valsts darba inspekcijai</w:t>
      </w:r>
      <w:r w:rsidRPr="008C342B">
        <w:t xml:space="preserve"> par problēmām, kas saistītas ar neatbilstošu </w:t>
      </w:r>
      <w:r>
        <w:t xml:space="preserve">darba </w:t>
      </w:r>
      <w:r w:rsidRPr="008C342B">
        <w:t xml:space="preserve">telpu ventilāciju un kondicionēšanu </w:t>
      </w:r>
      <w:r>
        <w:t>gada siltajā</w:t>
      </w:r>
      <w:r w:rsidRPr="008C342B">
        <w:t xml:space="preserve"> periodā IeM ēku kompleksa 4.korpusā</w:t>
      </w:r>
      <w:r>
        <w:t xml:space="preserve">, </w:t>
      </w:r>
      <w:r w:rsidRPr="00B43DCC">
        <w:t>Rīgas reģ</w:t>
      </w:r>
      <w:r>
        <w:t>ionālā Valsts darba inspekcija ierosināja administratīvo lietu. Ņemot vērā Rīgas r</w:t>
      </w:r>
      <w:r w:rsidRPr="00B43DCC">
        <w:t>eģionālā</w:t>
      </w:r>
      <w:r>
        <w:t>s</w:t>
      </w:r>
      <w:r w:rsidRPr="00B43DCC">
        <w:t xml:space="preserve"> Valsts darba inspekcija</w:t>
      </w:r>
      <w:r>
        <w:t>s</w:t>
      </w:r>
      <w:r w:rsidRPr="00B43DCC">
        <w:t xml:space="preserve"> 2013.gada 18.jūlijā</w:t>
      </w:r>
      <w:r>
        <w:t xml:space="preserve"> jau veiktajā</w:t>
      </w:r>
      <w:r w:rsidRPr="00B43DCC">
        <w:t xml:space="preserve"> </w:t>
      </w:r>
      <w:r>
        <w:t>pārbaudē</w:t>
      </w:r>
      <w:r w:rsidRPr="00B43DCC">
        <w:t xml:space="preserve"> </w:t>
      </w:r>
      <w:r>
        <w:t>IeM ēku kompleksa</w:t>
      </w:r>
      <w:r w:rsidRPr="00B43DCC">
        <w:t xml:space="preserve"> 4.</w:t>
      </w:r>
      <w:r>
        <w:t xml:space="preserve">korpusa sestā stāva telpās konstatēto </w:t>
      </w:r>
      <w:r w:rsidRPr="009567CB">
        <w:rPr>
          <w:i/>
        </w:rPr>
        <w:t>(</w:t>
      </w:r>
      <w:r w:rsidRPr="00336D68">
        <w:rPr>
          <w:i/>
        </w:rPr>
        <w:t xml:space="preserve">atsevišķos kabinetos temperatūra pārsniedz </w:t>
      </w:r>
      <w:r w:rsidR="00867DDB" w:rsidRPr="00867DDB">
        <w:rPr>
          <w:i/>
        </w:rPr>
        <w:t xml:space="preserve">MK noteikumi Nr.359 </w:t>
      </w:r>
      <w:r w:rsidRPr="00867DDB">
        <w:rPr>
          <w:i/>
        </w:rPr>
        <w:t>1.pielikumā</w:t>
      </w:r>
      <w:r w:rsidRPr="00336D68">
        <w:rPr>
          <w:i/>
        </w:rPr>
        <w:t xml:space="preserve"> gada siltajā periodā darba telpās rekomendējamo augstākās temperatūras slieksni)</w:t>
      </w:r>
      <w:r>
        <w:t>, darba telpās</w:t>
      </w:r>
      <w:r w:rsidR="00802BF7">
        <w:t xml:space="preserve"> </w:t>
      </w:r>
      <w:r>
        <w:t xml:space="preserve">2013.gadā tika </w:t>
      </w:r>
      <w:r w:rsidRPr="00B43DCC">
        <w:t>uzstā</w:t>
      </w:r>
      <w:r>
        <w:t xml:space="preserve">dītas septiņas kondicionēšanas iekārtas, kā arī VP </w:t>
      </w:r>
      <w:r w:rsidRPr="00B43DCC">
        <w:t xml:space="preserve">2013. un 2014.gadā no piešķirtajiem </w:t>
      </w:r>
      <w:r>
        <w:t xml:space="preserve">valsts </w:t>
      </w:r>
      <w:r w:rsidRPr="00B43DCC">
        <w:t>budžeta līdzekļie</w:t>
      </w:r>
      <w:r>
        <w:t xml:space="preserve">m iegādājās 168 ventilatorus un starp </w:t>
      </w:r>
      <w:r w:rsidR="008240AC" w:rsidRPr="003F7745">
        <w:t>Nodrošinājuma valsts aģentūru</w:t>
      </w:r>
      <w:r w:rsidR="008240AC">
        <w:t xml:space="preserve"> </w:t>
      </w:r>
      <w:r>
        <w:t xml:space="preserve">un </w:t>
      </w:r>
      <w:r w:rsidRPr="00800DA7">
        <w:t>VNĪ</w:t>
      </w:r>
      <w:r>
        <w:t xml:space="preserve"> tika turpināta sarakste un pārrunas par nepieciešamību steidzami nodrošināt atbilstošus darba apstākļus.</w:t>
      </w:r>
      <w:r w:rsidRPr="00B43DCC">
        <w:t xml:space="preserve"> Rīgas reģionālā Valsts darba inspekcija</w:t>
      </w:r>
      <w:r>
        <w:t xml:space="preserve"> veiktos pasākumus uzskatīja par nepietiekamiem un</w:t>
      </w:r>
      <w:r w:rsidRPr="00B43DCC">
        <w:t xml:space="preserve"> VP</w:t>
      </w:r>
      <w:r>
        <w:t xml:space="preserve"> darbinieku </w:t>
      </w:r>
      <w:r w:rsidRPr="008C342B">
        <w:t>2014.gada 20.jūnija</w:t>
      </w:r>
      <w:r w:rsidRPr="00B43DCC">
        <w:t xml:space="preserve"> </w:t>
      </w:r>
      <w:r>
        <w:t>iesniegumā norādīto</w:t>
      </w:r>
      <w:r w:rsidRPr="00B43DCC">
        <w:t xml:space="preserve"> vērtēja kā darba devēja</w:t>
      </w:r>
      <w:r>
        <w:t>,</w:t>
      </w:r>
      <w:r w:rsidR="009A5147">
        <w:t xml:space="preserve"> </w:t>
      </w:r>
      <w:r w:rsidR="009A5147" w:rsidRPr="003F7745">
        <w:t>t.i.</w:t>
      </w:r>
      <w:r w:rsidR="003F7745">
        <w:t>,</w:t>
      </w:r>
      <w:r>
        <w:t xml:space="preserve"> </w:t>
      </w:r>
      <w:r w:rsidRPr="00B43DCC">
        <w:t>VP priekšnieka, bezdarbību</w:t>
      </w:r>
      <w:r>
        <w:t>.</w:t>
      </w:r>
    </w:p>
    <w:p w:rsidR="00AF1DFB" w:rsidRPr="00CF1576" w:rsidRDefault="00AF1DFB" w:rsidP="0097668A">
      <w:pPr>
        <w:pStyle w:val="naiskr"/>
        <w:tabs>
          <w:tab w:val="left" w:pos="0"/>
        </w:tabs>
        <w:spacing w:before="0" w:after="0"/>
        <w:ind w:right="158" w:firstLine="707"/>
        <w:jc w:val="both"/>
      </w:pPr>
      <w:r w:rsidRPr="00CF1576">
        <w:t xml:space="preserve">Lai nodrošinātu rekomendējamo darba aizsardzības prasību ievērošanu, </w:t>
      </w:r>
      <w:r>
        <w:t xml:space="preserve">VP </w:t>
      </w:r>
      <w:r w:rsidRPr="00CF1576">
        <w:t>ar 2014.gada 17.jūlija pavēli Nr.2597 noteica kārtību, kādā darbinieki īsteno tiesības atstāt darba vietu gada siltajā periodā, ja temperatūra darba telpās pārsniedz rekomendējamās augstākās temperatūras slieksni, un kārtību, kādos gadījumos var noteikt elastīgo (mainīgo) darba laiku vai saskaņot darbu attālinātajā režīmā, ja darba vides riska faktoru dēļ nav iespējams uzturēties darba telpās, bet dienesta un darba pienākumi un noteiktais darba apjoms ir jāizpilda sa</w:t>
      </w:r>
      <w:r>
        <w:t>vlaicīgi. Tomēr</w:t>
      </w:r>
      <w:r w:rsidRPr="00CF1576">
        <w:t xml:space="preserve"> ir pamats uzskatīt, ka šāds risinājums nebūs pietiek</w:t>
      </w:r>
      <w:r w:rsidR="009A5147" w:rsidRPr="003F7745">
        <w:t>ams</w:t>
      </w:r>
      <w:r w:rsidRPr="00CF1576">
        <w:t xml:space="preserve"> un turpmāk neizslēdz VP amatpersonām un darbiniekiem no</w:t>
      </w:r>
      <w:r>
        <w:t xml:space="preserve">teikto pienākumu </w:t>
      </w:r>
      <w:r w:rsidR="009A5147" w:rsidRPr="003F7745">
        <w:t xml:space="preserve">nesavlaicīgas </w:t>
      </w:r>
      <w:r w:rsidRPr="003F7745">
        <w:t>izpild</w:t>
      </w:r>
      <w:r w:rsidR="009A5147" w:rsidRPr="003F7745">
        <w:t>es risku</w:t>
      </w:r>
      <w:r w:rsidRPr="003F7745">
        <w:t xml:space="preserve">, tostarp arī </w:t>
      </w:r>
      <w:r w:rsidR="0041774D" w:rsidRPr="003F7745">
        <w:t xml:space="preserve">risku neizpildīt </w:t>
      </w:r>
      <w:r w:rsidRPr="003F7745">
        <w:t>VP ar likumu noteikto</w:t>
      </w:r>
      <w:r w:rsidR="0041774D" w:rsidRPr="003F7745">
        <w:t>s</w:t>
      </w:r>
      <w:r w:rsidRPr="003F7745">
        <w:t xml:space="preserve"> uzdevumu</w:t>
      </w:r>
      <w:r w:rsidR="0041774D" w:rsidRPr="003F7745">
        <w:t>s</w:t>
      </w:r>
      <w:r w:rsidRPr="00CF1576">
        <w:t xml:space="preserve"> kopumā.</w:t>
      </w:r>
    </w:p>
    <w:p w:rsidR="00AF1DFB" w:rsidRDefault="00AF1DFB" w:rsidP="00AF1DFB">
      <w:pPr>
        <w:pStyle w:val="naiskr"/>
        <w:tabs>
          <w:tab w:val="left" w:pos="141"/>
        </w:tabs>
        <w:spacing w:before="0" w:after="0"/>
        <w:ind w:left="141" w:right="158" w:firstLine="566"/>
        <w:jc w:val="both"/>
      </w:pPr>
      <w:r w:rsidRPr="007311EA">
        <w:t>Ņemot vērā, ka IeM ēku kompleksā:</w:t>
      </w:r>
    </w:p>
    <w:p w:rsidR="00AF1DFB" w:rsidRDefault="00AF1DFB" w:rsidP="00AF1DFB">
      <w:pPr>
        <w:pStyle w:val="naiskr"/>
        <w:numPr>
          <w:ilvl w:val="0"/>
          <w:numId w:val="3"/>
        </w:numPr>
        <w:tabs>
          <w:tab w:val="left" w:pos="141"/>
        </w:tabs>
        <w:spacing w:before="0" w:after="0"/>
        <w:ind w:right="158"/>
        <w:jc w:val="both"/>
      </w:pPr>
      <w:r w:rsidRPr="0006125C">
        <w:t>ir izvietotas struktūrvienības ar dažādiem darbības virzieniem un valsts interešu aizsardzības funkcijām;</w:t>
      </w:r>
    </w:p>
    <w:p w:rsidR="00AF1DFB" w:rsidRDefault="00AF1DFB" w:rsidP="00AF1DFB">
      <w:pPr>
        <w:pStyle w:val="naiskr"/>
        <w:numPr>
          <w:ilvl w:val="0"/>
          <w:numId w:val="3"/>
        </w:numPr>
        <w:tabs>
          <w:tab w:val="left" w:pos="141"/>
        </w:tabs>
        <w:spacing w:before="0" w:after="0"/>
        <w:ind w:right="158"/>
        <w:jc w:val="both"/>
      </w:pPr>
      <w:r w:rsidRPr="00D061A4">
        <w:t xml:space="preserve">ir liela </w:t>
      </w:r>
      <w:r>
        <w:t xml:space="preserve">telpu </w:t>
      </w:r>
      <w:r w:rsidRPr="00D061A4">
        <w:t>kopējā platība (1.korpuss – 3 193 m</w:t>
      </w:r>
      <w:r w:rsidRPr="008F010B">
        <w:rPr>
          <w:vertAlign w:val="superscript"/>
        </w:rPr>
        <w:t>2</w:t>
      </w:r>
      <w:r w:rsidRPr="00D061A4">
        <w:t xml:space="preserve"> un 4.korpuss – 11 615,7 m</w:t>
      </w:r>
      <w:r w:rsidRPr="008F010B">
        <w:rPr>
          <w:vertAlign w:val="superscript"/>
        </w:rPr>
        <w:t>2</w:t>
      </w:r>
      <w:r>
        <w:t>)</w:t>
      </w:r>
      <w:r w:rsidRPr="00D061A4">
        <w:t xml:space="preserve">, </w:t>
      </w:r>
      <w:r w:rsidR="0041774D" w:rsidRPr="003F7745">
        <w:t>liels</w:t>
      </w:r>
      <w:r w:rsidR="0041774D">
        <w:t xml:space="preserve"> </w:t>
      </w:r>
      <w:r w:rsidRPr="00D061A4">
        <w:t xml:space="preserve">strādājošo darbinieku (1.korpusā </w:t>
      </w:r>
      <w:r>
        <w:t>–</w:t>
      </w:r>
      <w:r w:rsidRPr="00D061A4">
        <w:t xml:space="preserve"> 270 un 4.korpusā </w:t>
      </w:r>
      <w:r>
        <w:t>–</w:t>
      </w:r>
      <w:r w:rsidRPr="00D061A4">
        <w:t xml:space="preserve"> 692, neskaitot apmeklētājus) un ikdienas apmeklētāju skaits, </w:t>
      </w:r>
      <w:r w:rsidR="0041774D" w:rsidRPr="003F7745">
        <w:t>liels</w:t>
      </w:r>
      <w:r w:rsidR="0041774D">
        <w:t xml:space="preserve"> </w:t>
      </w:r>
      <w:r w:rsidRPr="00D061A4">
        <w:t>datortehnikas vienību un specifisko iekārtu (sakaru aparatūra, laboratorijas iekārtas utml.) skaits;</w:t>
      </w:r>
    </w:p>
    <w:p w:rsidR="00AF1DFB" w:rsidRDefault="00AF1DFB" w:rsidP="00AF1DFB">
      <w:pPr>
        <w:pStyle w:val="naiskr"/>
        <w:numPr>
          <w:ilvl w:val="0"/>
          <w:numId w:val="3"/>
        </w:numPr>
        <w:tabs>
          <w:tab w:val="left" w:pos="141"/>
        </w:tabs>
        <w:spacing w:before="0" w:after="0"/>
        <w:ind w:right="158"/>
        <w:jc w:val="both"/>
      </w:pPr>
      <w:r w:rsidRPr="00D061A4">
        <w:t>dažādās zonās ir konstatētas atšķirīgas mikroklimata neatbilstības (problēmas),</w:t>
      </w:r>
    </w:p>
    <w:p w:rsidR="00AF1DFB" w:rsidRDefault="00AF1DFB" w:rsidP="00AF1DFB">
      <w:pPr>
        <w:pStyle w:val="naiskr"/>
        <w:tabs>
          <w:tab w:val="left" w:pos="141"/>
        </w:tabs>
        <w:spacing w:before="0" w:after="0"/>
        <w:ind w:right="158"/>
        <w:jc w:val="both"/>
      </w:pPr>
      <w:r>
        <w:t xml:space="preserve">esošās </w:t>
      </w:r>
      <w:r w:rsidRPr="007311EA">
        <w:t xml:space="preserve">ventilācijas sistēmas vairākkārtēja regulēšana nav devusi būtiskus rezultātus, kā arī lokāla ventilācijas un gaisa dzesēšanas problēmas novēršana, uzstādot individuālos ventilatorus un kondicionierus, </w:t>
      </w:r>
      <w:r>
        <w:t xml:space="preserve">ņemot vērā </w:t>
      </w:r>
      <w:r w:rsidRPr="007311EA">
        <w:t>IeM ēku kompleksa telpu platīb</w:t>
      </w:r>
      <w:r>
        <w:t>u</w:t>
      </w:r>
      <w:r w:rsidRPr="007311EA">
        <w:t xml:space="preserve"> un specifik</w:t>
      </w:r>
      <w:r>
        <w:t>u</w:t>
      </w:r>
      <w:r w:rsidRPr="007311EA">
        <w:t>, nav efektīvs un finansiāli izdevīgs risinājums.</w:t>
      </w:r>
    </w:p>
    <w:p w:rsidR="00AF1DFB" w:rsidRDefault="00AF1DFB" w:rsidP="00AF1DFB">
      <w:pPr>
        <w:pStyle w:val="naiskr"/>
        <w:tabs>
          <w:tab w:val="left" w:pos="141"/>
        </w:tabs>
        <w:spacing w:before="0" w:after="0"/>
        <w:ind w:right="158" w:firstLine="709"/>
        <w:jc w:val="both"/>
      </w:pPr>
      <w:r w:rsidRPr="007350E5">
        <w:t xml:space="preserve">Darba aizsardzības likuma 19.pantā noteikts, ka gadījumā, ja nodarbinātais vienpusēji izbeidz darba tiesiskās attiecības vai civildienesta attiecības sakarā ar to, ka darba </w:t>
      </w:r>
      <w:r w:rsidRPr="007350E5">
        <w:lastRenderedPageBreak/>
        <w:t xml:space="preserve">devējs neveic visus nepieciešamos darba aizsardzības pasākumus un tiek būtiski apdraudēta nodarbinātā drošība un veselība darbā, un to apliecina Valsts darba inspekcijas atzinums, darba devēja pienākums ir izmaksāt nodarbinātajam atlīdzību, kas nav mazāka par sešu mēnešu vidējo izpeļņu. </w:t>
      </w:r>
      <w:r>
        <w:t>Jāņem vērā, ka š</w:t>
      </w:r>
      <w:r w:rsidRPr="007350E5">
        <w:t>is apstāklis kolektīvo darba tiesisko attiecību pārtraukšanas gadījumā, it īpaši no tiesībsargājošo iestāžu darbinieku un amatpersonu puses, var radīt būtisk</w:t>
      </w:r>
      <w:r>
        <w:t>u finanšu slogu valsts budžetam.</w:t>
      </w:r>
    </w:p>
    <w:p w:rsidR="007957BD" w:rsidRDefault="007957BD" w:rsidP="00AF1DFB">
      <w:pPr>
        <w:pStyle w:val="naiskr"/>
        <w:tabs>
          <w:tab w:val="left" w:pos="141"/>
        </w:tabs>
        <w:spacing w:before="0" w:after="0"/>
        <w:ind w:right="158" w:firstLine="709"/>
        <w:jc w:val="both"/>
      </w:pPr>
      <w:r w:rsidRPr="007350E5">
        <w:t>Saskaņā ar Darba likuma 74.panta otrajā daļā noteikto darbinieka saistība uzskatāma par izpildītu un darba devējam ir pienākums izmaksāt šā panta trešajā daļā noteikto atlīdzību arī tad, ja darba devējs darbinieku nenodarbina vai arī neveic darbinieka saistības izpildījuma pieņemšanai nepieciešamās darbības (dīkstāve). Proti, ja darbinieks, kurš amata pienākumu pilda IeM ēku kompleksā, ņemot vērā apdraudējumu viņa veselībai darba ventilācijas un dzesēšanas sistēmas neesamības dēļ, izmantos Darba aizsardzības likumā darbiniekam noteiktās tiesības atteikties no pienākumu izpildes, darba devējam būs jāapmaksā darbiniekam noteiktā atlīdzība arī par dīkstāvi.</w:t>
      </w:r>
    </w:p>
    <w:p w:rsidR="007957BD" w:rsidRDefault="007957BD" w:rsidP="00E32AB4">
      <w:pPr>
        <w:pStyle w:val="naiskr"/>
        <w:tabs>
          <w:tab w:val="left" w:pos="141"/>
        </w:tabs>
        <w:spacing w:before="0" w:after="0"/>
        <w:ind w:right="158" w:firstLine="709"/>
        <w:jc w:val="both"/>
      </w:pPr>
      <w:r>
        <w:t>Ņemot vērā IeM ēku kompleksa</w:t>
      </w:r>
      <w:r w:rsidR="000A13A9">
        <w:t xml:space="preserve"> </w:t>
      </w:r>
      <w:r>
        <w:t xml:space="preserve">4.korpusā esošo VP darbinieku skaitu, kuriem klimata problēmu nenovēršanas gadījumā faktiski ir tiesības atteikties no tiem noteikto pienākumu izpildes, ir pietiekams pamats uzskatīt, ka gada siltajā periodā faktiski 50% no ēkā strādājošiem darbiniekiem varētu izmantot tiesības pārtraukt darbu. Ja VP  nodarbināto atlīdzība vidēji ir 703 </w:t>
      </w:r>
      <w:r w:rsidRPr="006F518D">
        <w:rPr>
          <w:i/>
        </w:rPr>
        <w:t>euro</w:t>
      </w:r>
      <w:r>
        <w:t xml:space="preserve"> mēnesī un šie nosacījumi attiecināmi aptuveni uz 250 personām, tad dīkstāves izdevumu summa varētu sastādīt aptuveni 175 750 </w:t>
      </w:r>
      <w:r w:rsidRPr="006F518D">
        <w:rPr>
          <w:i/>
        </w:rPr>
        <w:t>euro</w:t>
      </w:r>
      <w:r>
        <w:t xml:space="preserve"> mēnesī.</w:t>
      </w:r>
    </w:p>
    <w:p w:rsidR="00E32AB4" w:rsidRDefault="00E32AB4" w:rsidP="00E32AB4">
      <w:pPr>
        <w:pStyle w:val="naiskr"/>
        <w:tabs>
          <w:tab w:val="left" w:pos="141"/>
        </w:tabs>
        <w:spacing w:before="0" w:after="0"/>
        <w:ind w:right="158" w:firstLine="709"/>
        <w:jc w:val="both"/>
      </w:pPr>
    </w:p>
    <w:p w:rsidR="007957BD" w:rsidRDefault="007957BD" w:rsidP="00E32AB4">
      <w:pPr>
        <w:pStyle w:val="naiskr"/>
        <w:tabs>
          <w:tab w:val="left" w:pos="141"/>
        </w:tabs>
        <w:spacing w:before="0" w:after="0"/>
        <w:ind w:right="158" w:firstLine="709"/>
        <w:jc w:val="center"/>
        <w:rPr>
          <w:b/>
        </w:rPr>
      </w:pPr>
      <w:r>
        <w:rPr>
          <w:b/>
        </w:rPr>
        <w:t>III. Iespējamais risinājums</w:t>
      </w:r>
    </w:p>
    <w:p w:rsidR="00E32AB4" w:rsidRPr="007957BD" w:rsidRDefault="00E32AB4" w:rsidP="00E32AB4">
      <w:pPr>
        <w:pStyle w:val="naiskr"/>
        <w:tabs>
          <w:tab w:val="left" w:pos="141"/>
        </w:tabs>
        <w:spacing w:before="0" w:after="0"/>
        <w:ind w:right="158" w:firstLine="709"/>
        <w:jc w:val="center"/>
        <w:rPr>
          <w:b/>
        </w:rPr>
      </w:pPr>
    </w:p>
    <w:p w:rsidR="007957BD" w:rsidRDefault="007957BD" w:rsidP="00E32AB4">
      <w:pPr>
        <w:pStyle w:val="naiskr"/>
        <w:tabs>
          <w:tab w:val="left" w:pos="141"/>
        </w:tabs>
        <w:spacing w:before="0" w:after="0"/>
        <w:ind w:right="158" w:firstLine="709"/>
        <w:jc w:val="both"/>
      </w:pPr>
      <w:r w:rsidRPr="007311EA">
        <w:t xml:space="preserve">Lai nodrošinātu </w:t>
      </w:r>
      <w:r>
        <w:t xml:space="preserve">Darba aizsardzības likumā un </w:t>
      </w:r>
      <w:r w:rsidRPr="0041774D">
        <w:t>MK noteikumos Nr.359</w:t>
      </w:r>
      <w:r w:rsidRPr="007311EA">
        <w:t xml:space="preserve"> </w:t>
      </w:r>
      <w:r>
        <w:t xml:space="preserve">noteiktās </w:t>
      </w:r>
      <w:r w:rsidRPr="007311EA">
        <w:t>prasības</w:t>
      </w:r>
      <w:r>
        <w:t xml:space="preserve">, kas nosaka </w:t>
      </w:r>
      <w:r w:rsidRPr="007311EA">
        <w:t>darba devēja atbildību par nodarbināto drošību un veselību darbā, nodrošinot viņu veselībai nekaitīgu darba vidi</w:t>
      </w:r>
      <w:r>
        <w:t xml:space="preserve">, </w:t>
      </w:r>
      <w:r w:rsidRPr="00800DA7">
        <w:t>VNĪ</w:t>
      </w:r>
      <w:r w:rsidR="00800DA7">
        <w:t xml:space="preserve"> </w:t>
      </w:r>
      <w:r>
        <w:t xml:space="preserve">sadarbībā ar IeM </w:t>
      </w:r>
      <w:r w:rsidRPr="007311EA">
        <w:t>vairāku gadu garumā</w:t>
      </w:r>
      <w:r>
        <w:t xml:space="preserve"> veic pasākumus problēmas atrisināšanai un mēģina rast optimālāko problēmas risinājuma variantu.</w:t>
      </w:r>
      <w:r w:rsidRPr="007311EA">
        <w:t xml:space="preserve"> </w:t>
      </w:r>
      <w:r>
        <w:t xml:space="preserve">Rezultātā </w:t>
      </w:r>
      <w:r w:rsidRPr="00800DA7">
        <w:t>VNĪ</w:t>
      </w:r>
      <w:r w:rsidRPr="007311EA">
        <w:t xml:space="preserve"> ar IeM </w:t>
      </w:r>
      <w:r>
        <w:t>ir vienojusies</w:t>
      </w:r>
      <w:r w:rsidRPr="007311EA">
        <w:t xml:space="preserve"> </w:t>
      </w:r>
      <w:r>
        <w:t>par gaisa dzesēšanas problēmu novēršanas prioritāro secību. Viens no prioritāri veicamajiem pasākumiem ir gaisa dzesēšanas sistēmu izbūve IeM ēku kompleksa 1. un 4.korpusā, kuros atrodas darbinieku darba un klientu apkalpošanas telpas</w:t>
      </w:r>
      <w:r w:rsidRPr="00B43DCC">
        <w:t>.</w:t>
      </w:r>
    </w:p>
    <w:p w:rsidR="00094D4B" w:rsidRDefault="007957BD" w:rsidP="009F667F">
      <w:pPr>
        <w:pStyle w:val="naiskr"/>
        <w:tabs>
          <w:tab w:val="left" w:pos="141"/>
        </w:tabs>
        <w:spacing w:before="0" w:after="0"/>
        <w:ind w:right="158" w:firstLine="709"/>
        <w:jc w:val="both"/>
        <w:rPr>
          <w:bCs/>
        </w:rPr>
      </w:pPr>
      <w:r w:rsidRPr="007311EA">
        <w:t xml:space="preserve">Vienlaikus </w:t>
      </w:r>
      <w:r>
        <w:t xml:space="preserve">ar </w:t>
      </w:r>
      <w:r w:rsidRPr="007311EA">
        <w:t>gaisa dzesēšanas sistēmas izbūve</w:t>
      </w:r>
      <w:r>
        <w:t xml:space="preserve">s risinājuma variantu </w:t>
      </w:r>
      <w:r w:rsidRPr="007311EA">
        <w:t xml:space="preserve">tika izvērtēti arī </w:t>
      </w:r>
      <w:r>
        <w:t xml:space="preserve">citu </w:t>
      </w:r>
      <w:r w:rsidRPr="007311EA">
        <w:t>iespējam</w:t>
      </w:r>
      <w:r>
        <w:t xml:space="preserve">o </w:t>
      </w:r>
      <w:r w:rsidRPr="007311EA">
        <w:t>pagaidu risinājumu variantu priekšrocības un trūkumi, tai skaitā</w:t>
      </w:r>
      <w:r>
        <w:t xml:space="preserve"> </w:t>
      </w:r>
      <w:r w:rsidRPr="007311EA">
        <w:t>lokālās kondicionēšanas sistēmu ierīkošana</w:t>
      </w:r>
      <w:r w:rsidR="00094D4B">
        <w:t xml:space="preserve"> </w:t>
      </w:r>
      <w:r w:rsidR="00094D4B" w:rsidRPr="00094D4B">
        <w:rPr>
          <w:i/>
        </w:rPr>
        <w:t xml:space="preserve">(trūkumi: elektrības jauda var būt nepietiekama, lai nodrošinātu lokālo kondicionieru uzstādīšanu visā ēkā, augstas izmaksas (vienam kabinetam aptuveni 1200 euro), ēkas ārējās fasādes bojājumi (fasāžu </w:t>
      </w:r>
      <w:r w:rsidR="00094D4B" w:rsidRPr="003F7745">
        <w:rPr>
          <w:i/>
        </w:rPr>
        <w:t>a</w:t>
      </w:r>
      <w:r w:rsidR="00800DA7" w:rsidRPr="003F7745">
        <w:rPr>
          <w:i/>
        </w:rPr>
        <w:t>p</w:t>
      </w:r>
      <w:r w:rsidR="00094D4B" w:rsidRPr="00094D4B">
        <w:rPr>
          <w:i/>
        </w:rPr>
        <w:t>dares darbi un izmaksas pēc kondicionieru demontāžas), papildus pieslēguma montāžas darbi, ar kondicionieru montāžas darbiem saistīti personāla darb</w:t>
      </w:r>
      <w:r w:rsidR="00800DA7" w:rsidRPr="003F7745">
        <w:rPr>
          <w:i/>
        </w:rPr>
        <w:t>a</w:t>
      </w:r>
      <w:r w:rsidR="00800DA7">
        <w:rPr>
          <w:i/>
        </w:rPr>
        <w:t xml:space="preserve"> </w:t>
      </w:r>
      <w:r w:rsidR="00094D4B" w:rsidRPr="00094D4B">
        <w:rPr>
          <w:i/>
        </w:rPr>
        <w:t>traucējumi)</w:t>
      </w:r>
      <w:r w:rsidRPr="007311EA">
        <w:t xml:space="preserve"> un aizsargplēvju uzstādīšana logiem IeM ēku kompleksa 1. un 4. korpusa telpās dienvidu pusē</w:t>
      </w:r>
      <w:r w:rsidR="00094D4B">
        <w:t xml:space="preserve"> (</w:t>
      </w:r>
      <w:r w:rsidR="00094D4B" w:rsidRPr="00094D4B">
        <w:rPr>
          <w:i/>
        </w:rPr>
        <w:t>trūkumi: grūti prognozēt efektivitāti, aizsargplēve samazinās dabīgās gaismas daudzumu iekštelpās, aizsargplēve saules staru iedarbībā laika gaitā zaudē savas īpašības)</w:t>
      </w:r>
      <w:r w:rsidRPr="007311EA">
        <w:t xml:space="preserve">. </w:t>
      </w:r>
      <w:r w:rsidRPr="001424E0">
        <w:t xml:space="preserve">Abiem pagaidu risinājuma variantiem ilgtermiņa skatījumā būtiski </w:t>
      </w:r>
      <w:r w:rsidRPr="001424E0">
        <w:rPr>
          <w:bCs/>
        </w:rPr>
        <w:t>trūkumi</w:t>
      </w:r>
      <w:r w:rsidRPr="001424E0">
        <w:t xml:space="preserve"> tika konstatēti vairāk</w:t>
      </w:r>
      <w:r w:rsidR="00936236">
        <w:t xml:space="preserve"> </w:t>
      </w:r>
      <w:r w:rsidRPr="001424E0">
        <w:t>kā priekšrocības</w:t>
      </w:r>
      <w:r w:rsidRPr="001424E0">
        <w:rPr>
          <w:bCs/>
        </w:rPr>
        <w:t>.</w:t>
      </w:r>
    </w:p>
    <w:p w:rsidR="00925E18" w:rsidRPr="00833E7A" w:rsidRDefault="00571CC0" w:rsidP="00AF1DFB">
      <w:pPr>
        <w:pStyle w:val="naiskr"/>
        <w:tabs>
          <w:tab w:val="left" w:pos="141"/>
        </w:tabs>
        <w:spacing w:before="0" w:after="0"/>
        <w:ind w:right="158" w:firstLine="709"/>
        <w:jc w:val="both"/>
      </w:pPr>
      <w:r w:rsidRPr="00833E7A">
        <w:t>L</w:t>
      </w:r>
      <w:r w:rsidR="007957BD" w:rsidRPr="00833E7A">
        <w:t>aika posmā no 2013.gada novembra ir izstrādāts IeM ēku kompleksa 1. un 4.korpusā esošo darbinieku un klientu apkalpošanas telpu dzesēšanas sistēmu skiču projekts „Nekustam</w:t>
      </w:r>
      <w:r w:rsidR="00800DA7" w:rsidRPr="00833E7A">
        <w:t>a</w:t>
      </w:r>
      <w:r w:rsidR="007957BD" w:rsidRPr="00833E7A">
        <w:t xml:space="preserve"> īpašuma Rīgā, Čiekurkalna 1. līnijā 1 korpusa Nr.1 un Nr. 4 telpu gaisa dzesēšanas sistēmas izbūve” un tehniskais projekts  „Nekustama īpašuma Rīgā, Čiekurkalna 1. līnijā 1 korpusa Nr. 1 un  Nr.4 telpu gaisa dzesēšanas sistēmas izbūve</w:t>
      </w:r>
      <w:r w:rsidR="00A67186" w:rsidRPr="00833E7A">
        <w:rPr>
          <w:color w:val="7030A0"/>
        </w:rPr>
        <w:t xml:space="preserve">. </w:t>
      </w:r>
      <w:r w:rsidR="00A67186" w:rsidRPr="00833E7A">
        <w:t>Inženierrisinājumu daļa. Ventilācija un gaisa dzesēšana.</w:t>
      </w:r>
      <w:r w:rsidR="007957BD" w:rsidRPr="00833E7A">
        <w:t>”, kas 2014.gada 8.oktobrī ir saskaņots ar IeM (Nodrošinājumu valsts aģentūru).</w:t>
      </w:r>
      <w:r w:rsidR="007957BD" w:rsidRPr="00833E7A">
        <w:rPr>
          <w:color w:val="FF0000"/>
        </w:rPr>
        <w:t xml:space="preserve">  </w:t>
      </w:r>
      <w:r w:rsidR="007957BD" w:rsidRPr="00833E7A">
        <w:t xml:space="preserve">Lai realizētu gaisa dzesēšanas sistēmu izbūvi, papildus jāveic gaisa dzesēšanas sistēmu izbūvei nepieciešamo inženiertehnisko daļu </w:t>
      </w:r>
      <w:r w:rsidR="007957BD" w:rsidRPr="00833E7A">
        <w:rPr>
          <w:i/>
        </w:rPr>
        <w:t xml:space="preserve">(elektroapgāde, </w:t>
      </w:r>
      <w:r w:rsidR="007957BD" w:rsidRPr="00833E7A">
        <w:rPr>
          <w:i/>
        </w:rPr>
        <w:lastRenderedPageBreak/>
        <w:t>būvkonstrukcijas, vadības un automatizācijas sistēma, kanalizācija</w:t>
      </w:r>
      <w:r w:rsidR="00C1283D" w:rsidRPr="00833E7A">
        <w:rPr>
          <w:i/>
        </w:rPr>
        <w:t>s iekšējie tīkli</w:t>
      </w:r>
      <w:r w:rsidR="007957BD" w:rsidRPr="00833E7A">
        <w:rPr>
          <w:i/>
        </w:rPr>
        <w:t xml:space="preserve"> (kondensāta novadīšana), topogrāfiskā izpēte</w:t>
      </w:r>
      <w:r w:rsidR="00C1283D" w:rsidRPr="00833E7A">
        <w:rPr>
          <w:i/>
        </w:rPr>
        <w:t xml:space="preserve"> un tehniskās izpētes atzinums, ekonomikas</w:t>
      </w:r>
      <w:r w:rsidR="007957BD" w:rsidRPr="00833E7A">
        <w:rPr>
          <w:i/>
        </w:rPr>
        <w:t xml:space="preserve"> daļa)</w:t>
      </w:r>
      <w:r w:rsidR="007957BD" w:rsidRPr="00833E7A">
        <w:t xml:space="preserve"> būvprojekta izstrādes darbi. VNĪ </w:t>
      </w:r>
      <w:r w:rsidR="00C1283D" w:rsidRPr="00833E7A">
        <w:t>2015.</w:t>
      </w:r>
      <w:r w:rsidR="00094D4B" w:rsidRPr="00833E7A">
        <w:t>gada 13.februārī</w:t>
      </w:r>
      <w:r w:rsidR="00C1283D" w:rsidRPr="00833E7A">
        <w:t xml:space="preserve"> </w:t>
      </w:r>
      <w:r w:rsidR="00C06B40" w:rsidRPr="00833E7A">
        <w:t xml:space="preserve">noslēdza </w:t>
      </w:r>
      <w:r w:rsidR="00C1283D" w:rsidRPr="00833E7A">
        <w:t>līgumu</w:t>
      </w:r>
      <w:r w:rsidR="007957BD" w:rsidRPr="00833E7A">
        <w:t xml:space="preserve"> </w:t>
      </w:r>
      <w:r w:rsidR="00A67186" w:rsidRPr="00833E7A">
        <w:t xml:space="preserve">ar SIA „NCS LV” </w:t>
      </w:r>
      <w:r w:rsidR="00800DA7" w:rsidRPr="00833E7A">
        <w:t>par</w:t>
      </w:r>
      <w:r w:rsidR="00A67186" w:rsidRPr="00833E7A">
        <w:t xml:space="preserve"> augstāk  minēto</w:t>
      </w:r>
      <w:r w:rsidR="00800DA7" w:rsidRPr="00833E7A">
        <w:t xml:space="preserve"> </w:t>
      </w:r>
      <w:r w:rsidR="007957BD" w:rsidRPr="00833E7A">
        <w:t>būvprojekta realizācijai nepieciešamo inženiertehnisko daļu būvprojekt</w:t>
      </w:r>
      <w:r w:rsidR="008462F6" w:rsidRPr="00833E7A">
        <w:t xml:space="preserve">a </w:t>
      </w:r>
      <w:r w:rsidR="007957BD" w:rsidRPr="00833E7A">
        <w:t>izstrādi un autoruzraudzīb</w:t>
      </w:r>
      <w:r w:rsidR="001145C6" w:rsidRPr="00833E7A">
        <w:t>u</w:t>
      </w:r>
      <w:r w:rsidR="007957BD" w:rsidRPr="00833E7A">
        <w:t>.</w:t>
      </w:r>
      <w:r w:rsidR="00C1283D" w:rsidRPr="00833E7A">
        <w:t xml:space="preserve"> </w:t>
      </w:r>
      <w:r w:rsidR="00416BAD" w:rsidRPr="00833E7A">
        <w:t>L</w:t>
      </w:r>
      <w:r w:rsidR="00795685" w:rsidRPr="00833E7A">
        <w:t>īguma ietvaros</w:t>
      </w:r>
      <w:r w:rsidR="00A67186" w:rsidRPr="00833E7A">
        <w:t xml:space="preserve"> būvprojekts</w:t>
      </w:r>
      <w:r w:rsidR="00795685" w:rsidRPr="00833E7A">
        <w:t xml:space="preserve"> ir izstrādāts</w:t>
      </w:r>
      <w:r w:rsidR="00A67186" w:rsidRPr="00833E7A">
        <w:t xml:space="preserve"> un saskaņots </w:t>
      </w:r>
      <w:r w:rsidR="00795685" w:rsidRPr="00833E7A">
        <w:t xml:space="preserve"> </w:t>
      </w:r>
      <w:r w:rsidR="00356698" w:rsidRPr="00833E7A">
        <w:t>normatīvajos aktos noteiktajā kārtībā</w:t>
      </w:r>
      <w:r w:rsidR="00A67186" w:rsidRPr="00833E7A">
        <w:t>.</w:t>
      </w:r>
    </w:p>
    <w:p w:rsidR="007957BD" w:rsidRPr="00E36D45" w:rsidRDefault="00ED4240" w:rsidP="00E36D45">
      <w:pPr>
        <w:pStyle w:val="naiskr"/>
        <w:tabs>
          <w:tab w:val="left" w:pos="141"/>
        </w:tabs>
        <w:spacing w:before="0" w:after="0"/>
        <w:ind w:right="158" w:firstLine="709"/>
        <w:jc w:val="both"/>
        <w:rPr>
          <w:color w:val="FF0000"/>
          <w:highlight w:val="yellow"/>
        </w:rPr>
      </w:pPr>
      <w:r w:rsidRPr="00833E7A">
        <w:t>T</w:t>
      </w:r>
      <w:r w:rsidR="00925E18" w:rsidRPr="00833E7A">
        <w:t>elpu gaisa dze</w:t>
      </w:r>
      <w:r w:rsidRPr="00833E7A">
        <w:t>sēšanas sistēmu izbūves būvdarbi</w:t>
      </w:r>
      <w:r w:rsidR="00925E18" w:rsidRPr="00833E7A">
        <w:t xml:space="preserve"> tiks </w:t>
      </w:r>
      <w:r w:rsidR="00A67186" w:rsidRPr="00833E7A">
        <w:t xml:space="preserve">uzsākti </w:t>
      </w:r>
      <w:r w:rsidR="00925E18" w:rsidRPr="00833E7A">
        <w:t xml:space="preserve">pēc </w:t>
      </w:r>
      <w:r w:rsidR="00CB5E2F" w:rsidRPr="00833E7A">
        <w:t>nepieciešamā finansējuma piešķiršanas Iekšlietu ministrijai. Provizoriskais</w:t>
      </w:r>
      <w:r w:rsidR="00E36D45" w:rsidRPr="00833E7A">
        <w:t xml:space="preserve"> kopējais</w:t>
      </w:r>
      <w:r w:rsidR="00CB5E2F" w:rsidRPr="00833E7A">
        <w:t xml:space="preserve"> būvdarbu ilgums </w:t>
      </w:r>
      <w:r w:rsidR="00E36D45" w:rsidRPr="00833E7A">
        <w:t xml:space="preserve">ir plānots </w:t>
      </w:r>
      <w:r w:rsidR="00CB5E2F" w:rsidRPr="00833E7A">
        <w:t>deviņi mēneši</w:t>
      </w:r>
      <w:r w:rsidR="00E36D45" w:rsidRPr="00833E7A">
        <w:t xml:space="preserve"> </w:t>
      </w:r>
      <w:r w:rsidR="00416BAD" w:rsidRPr="00833E7A">
        <w:t xml:space="preserve">no </w:t>
      </w:r>
      <w:r w:rsidR="00E36D45" w:rsidRPr="00833E7A">
        <w:t>iepirkuma</w:t>
      </w:r>
      <w:r w:rsidR="00416BAD" w:rsidRPr="00833E7A">
        <w:t xml:space="preserve"> procedūras rezultātā noslēgtā  līguma</w:t>
      </w:r>
      <w:r w:rsidR="00E36D45" w:rsidRPr="00833E7A">
        <w:t xml:space="preserve"> </w:t>
      </w:r>
      <w:r w:rsidR="00416BAD" w:rsidRPr="00833E7A">
        <w:t>parakstīšanas dienas</w:t>
      </w:r>
      <w:r w:rsidR="00E36D45" w:rsidRPr="00833E7A">
        <w:t>. Provizoriskais būvdarbu pabeigšanas termiņš šobrīd tiek plānots 2017.gada 30.septembris.</w:t>
      </w:r>
      <w:r w:rsidR="007957BD" w:rsidRPr="00E36D45">
        <w:t xml:space="preserve"> </w:t>
      </w:r>
    </w:p>
    <w:p w:rsidR="000627F8" w:rsidRDefault="007957BD" w:rsidP="009F667F">
      <w:pPr>
        <w:pStyle w:val="naiskr"/>
        <w:tabs>
          <w:tab w:val="left" w:pos="141"/>
        </w:tabs>
        <w:spacing w:before="0" w:after="120"/>
        <w:ind w:firstLine="709"/>
        <w:jc w:val="both"/>
      </w:pPr>
      <w:r w:rsidRPr="00DF3788">
        <w:t>Provizoriskās gaisa dzesēšanas sistēmu izbūves un to izbūvei nepieciešamo inženiertehnisko daļu nodrošināšanas izmaksas aprēķinātas 2,5</w:t>
      </w:r>
      <w:r w:rsidR="0070701A">
        <w:t>5</w:t>
      </w:r>
      <w:r w:rsidRPr="00DF3788">
        <w:t xml:space="preserve"> milj. </w:t>
      </w:r>
      <w:r w:rsidRPr="00DF3788">
        <w:rPr>
          <w:i/>
        </w:rPr>
        <w:t>euro</w:t>
      </w:r>
      <w:r w:rsidRPr="00DF3788">
        <w:t xml:space="preserve"> apmērā, papildus tiek aprēķināta atlīdzība projekta vadītājam būvniecības laikā un piesaistītā kapitāla izmaksas (resursa cena). </w:t>
      </w:r>
      <w:r>
        <w:t>L</w:t>
      </w:r>
      <w:r w:rsidRPr="00DF3788">
        <w:t xml:space="preserve">ai nodrošinātu būvniecības darbu finansēšanu, tika izvērtēti iespējamie finansēšanas un kapitālieguldījumu segšanas modeļi. </w:t>
      </w:r>
      <w:r>
        <w:t>V</w:t>
      </w:r>
      <w:r w:rsidRPr="00DF3788">
        <w:t xml:space="preserve">isi nepieciešamie uzlabojumi un remontdarbi IeM ēku kompleksā tiek veikti no nomas maksā ietvertās komponentes – uzkrājumi kārtējiem un kapitālajiem remontdarbiem. Ja gaisa dzesēšanas sistēmu izbūve tiktu finansēta no minētās komponentes, tiktu </w:t>
      </w:r>
      <w:r>
        <w:t xml:space="preserve">izlietots </w:t>
      </w:r>
      <w:r w:rsidRPr="00DF3788">
        <w:t xml:space="preserve">faktiski viss līdz šim saņemtais uzkrājumu apjoms, kā rezultātā citus remontdarbus nebūtu iespējams veikt finanšu līdzekļu trūkuma dēļ. </w:t>
      </w:r>
      <w:r w:rsidR="00E876C0">
        <w:t>B</w:t>
      </w:r>
      <w:r w:rsidR="000627F8" w:rsidRPr="00B71AAF">
        <w:t xml:space="preserve">ūvniecības darbu finansēšanu </w:t>
      </w:r>
      <w:r w:rsidR="00E876C0">
        <w:t xml:space="preserve">2015.gadā </w:t>
      </w:r>
      <w:r w:rsidR="000627F8" w:rsidRPr="00B71AAF">
        <w:t xml:space="preserve">plānots veikt no VNĪ </w:t>
      </w:r>
      <w:r w:rsidR="00C93A24" w:rsidRPr="00B71AAF">
        <w:t xml:space="preserve">finanšu līdzekļiem saskaņā ar VNĪ </w:t>
      </w:r>
      <w:r w:rsidR="00331BC2" w:rsidRPr="00B71AAF">
        <w:t>budžetā plānotajiem kapitālieguldījumiem un VNĪ būvniecības plānu</w:t>
      </w:r>
      <w:r w:rsidR="00C93A24" w:rsidRPr="00B71AAF">
        <w:t>.</w:t>
      </w:r>
      <w:r w:rsidR="00C93A24">
        <w:t xml:space="preserve"> </w:t>
      </w:r>
    </w:p>
    <w:p w:rsidR="000627F8" w:rsidRPr="009F667F" w:rsidRDefault="0086674A" w:rsidP="009F667F">
      <w:pPr>
        <w:spacing w:after="120" w:line="240" w:lineRule="auto"/>
        <w:rPr>
          <w:rFonts w:ascii="Times New Roman" w:hAnsi="Times New Roman"/>
          <w:b/>
          <w:sz w:val="24"/>
          <w:szCs w:val="24"/>
        </w:rPr>
      </w:pPr>
      <w:r w:rsidRPr="0086674A">
        <w:rPr>
          <w:rFonts w:ascii="Times New Roman" w:hAnsi="Times New Roman"/>
          <w:b/>
          <w:sz w:val="24"/>
          <w:szCs w:val="24"/>
        </w:rPr>
        <w:t>1.tabula</w:t>
      </w:r>
      <w:r>
        <w:rPr>
          <w:rFonts w:ascii="Times New Roman" w:hAnsi="Times New Roman"/>
          <w:b/>
          <w:sz w:val="24"/>
          <w:szCs w:val="24"/>
        </w:rPr>
        <w:t xml:space="preserve">. </w:t>
      </w:r>
      <w:r w:rsidR="000627F8" w:rsidRPr="000627F8">
        <w:rPr>
          <w:rFonts w:ascii="Times New Roman" w:hAnsi="Times New Roman"/>
          <w:b/>
          <w:sz w:val="24"/>
          <w:szCs w:val="24"/>
        </w:rPr>
        <w:t>Telpu gaisa dzesēšanas sistēmu izbūvei nepieciešamo kapitālieguldījumu atšifrējums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
        <w:gridCol w:w="670"/>
        <w:gridCol w:w="2792"/>
        <w:gridCol w:w="1134"/>
        <w:gridCol w:w="4110"/>
      </w:tblGrid>
      <w:tr w:rsidR="000627F8" w:rsidRPr="00175F17" w:rsidTr="000627F8">
        <w:trPr>
          <w:trHeight w:val="534"/>
        </w:trPr>
        <w:tc>
          <w:tcPr>
            <w:tcW w:w="474" w:type="dxa"/>
            <w:shd w:val="clear" w:color="000000" w:fill="F2F2F2"/>
            <w:vAlign w:val="center"/>
            <w:hideMark/>
          </w:tcPr>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Nr.</w:t>
            </w:r>
            <w:r w:rsidRPr="00175F17">
              <w:rPr>
                <w:rFonts w:ascii="Times New Roman" w:hAnsi="Times New Roman"/>
                <w:b/>
                <w:bCs/>
                <w:sz w:val="16"/>
                <w:szCs w:val="16"/>
                <w:lang w:eastAsia="lv-LV"/>
              </w:rPr>
              <w:br/>
              <w:t>p.k.</w:t>
            </w:r>
          </w:p>
        </w:tc>
        <w:tc>
          <w:tcPr>
            <w:tcW w:w="670" w:type="dxa"/>
            <w:shd w:val="clear" w:color="000000" w:fill="F2F2F2"/>
            <w:vAlign w:val="center"/>
            <w:hideMark/>
          </w:tcPr>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Saīs. </w:t>
            </w:r>
          </w:p>
        </w:tc>
        <w:tc>
          <w:tcPr>
            <w:tcW w:w="2792" w:type="dxa"/>
            <w:shd w:val="clear" w:color="000000" w:fill="F2F2F2"/>
            <w:vAlign w:val="center"/>
            <w:hideMark/>
          </w:tcPr>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Izmaksu nosaukums</w:t>
            </w:r>
          </w:p>
        </w:tc>
        <w:tc>
          <w:tcPr>
            <w:tcW w:w="1134" w:type="dxa"/>
            <w:shd w:val="clear" w:color="000000" w:fill="F2F2F2"/>
            <w:vAlign w:val="center"/>
            <w:hideMark/>
          </w:tcPr>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Vidēji</w:t>
            </w:r>
          </w:p>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1</w:t>
            </w:r>
            <w:r w:rsidR="009F6BA7">
              <w:rPr>
                <w:rFonts w:ascii="Times New Roman" w:hAnsi="Times New Roman"/>
                <w:b/>
                <w:bCs/>
                <w:sz w:val="16"/>
                <w:szCs w:val="16"/>
                <w:lang w:eastAsia="lv-LV"/>
              </w:rPr>
              <w:t>0</w:t>
            </w:r>
          </w:p>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gados</w:t>
            </w:r>
          </w:p>
        </w:tc>
        <w:tc>
          <w:tcPr>
            <w:tcW w:w="4110" w:type="dxa"/>
            <w:shd w:val="clear" w:color="000000" w:fill="F2F2F2"/>
            <w:vAlign w:val="center"/>
            <w:hideMark/>
          </w:tcPr>
          <w:p w:rsidR="000627F8" w:rsidRPr="00175F17" w:rsidRDefault="000627F8" w:rsidP="00773CAA">
            <w:pPr>
              <w:spacing w:after="0" w:line="240" w:lineRule="auto"/>
              <w:jc w:val="center"/>
              <w:rPr>
                <w:rFonts w:ascii="Times New Roman" w:hAnsi="Times New Roman"/>
                <w:b/>
                <w:bCs/>
                <w:sz w:val="16"/>
                <w:szCs w:val="16"/>
                <w:lang w:eastAsia="lv-LV"/>
              </w:rPr>
            </w:pPr>
            <w:r w:rsidRPr="00175F17">
              <w:rPr>
                <w:rFonts w:ascii="Times New Roman" w:hAnsi="Times New Roman"/>
                <w:b/>
                <w:bCs/>
                <w:sz w:val="16"/>
                <w:szCs w:val="16"/>
                <w:lang w:eastAsia="lv-LV"/>
              </w:rPr>
              <w:t>Piezīmes</w:t>
            </w:r>
          </w:p>
        </w:tc>
      </w:tr>
      <w:tr w:rsidR="00DD4BAE" w:rsidRPr="00175F17" w:rsidTr="000627F8">
        <w:trPr>
          <w:trHeight w:val="315"/>
        </w:trPr>
        <w:tc>
          <w:tcPr>
            <w:tcW w:w="474"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sz w:val="16"/>
                <w:szCs w:val="16"/>
                <w:lang w:eastAsia="lv-LV"/>
              </w:rPr>
            </w:pPr>
            <w:r w:rsidRPr="00175F17">
              <w:rPr>
                <w:rFonts w:ascii="Times New Roman" w:hAnsi="Times New Roman"/>
                <w:sz w:val="16"/>
                <w:szCs w:val="16"/>
                <w:lang w:eastAsia="lv-LV"/>
              </w:rPr>
              <w:t>1.</w:t>
            </w:r>
          </w:p>
        </w:tc>
        <w:tc>
          <w:tcPr>
            <w:tcW w:w="670"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b/>
                <w:bCs/>
                <w:color w:val="800000"/>
                <w:sz w:val="16"/>
                <w:szCs w:val="16"/>
                <w:lang w:eastAsia="lv-LV"/>
              </w:rPr>
            </w:pPr>
            <w:r w:rsidRPr="00175F17">
              <w:rPr>
                <w:rFonts w:ascii="Times New Roman" w:hAnsi="Times New Roman"/>
                <w:b/>
                <w:bCs/>
                <w:color w:val="800000"/>
                <w:sz w:val="16"/>
                <w:szCs w:val="16"/>
                <w:lang w:eastAsia="lv-LV"/>
              </w:rPr>
              <w:t>K</w:t>
            </w:r>
          </w:p>
        </w:tc>
        <w:tc>
          <w:tcPr>
            <w:tcW w:w="2792"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 xml:space="preserve">Būvniecības izmaksas </w:t>
            </w:r>
          </w:p>
        </w:tc>
        <w:tc>
          <w:tcPr>
            <w:tcW w:w="1134" w:type="dxa"/>
            <w:shd w:val="clear" w:color="000000" w:fill="FFFFFF"/>
            <w:vAlign w:val="center"/>
            <w:hideMark/>
          </w:tcPr>
          <w:p w:rsidR="00DD4BAE" w:rsidRPr="00DD4BAE" w:rsidRDefault="00DD4BAE" w:rsidP="00DD4BAE">
            <w:pPr>
              <w:spacing w:after="0" w:line="240" w:lineRule="auto"/>
              <w:jc w:val="center"/>
              <w:rPr>
                <w:rFonts w:ascii="Times New Roman" w:hAnsi="Times New Roman"/>
                <w:bCs/>
                <w:sz w:val="16"/>
                <w:szCs w:val="16"/>
                <w:lang w:eastAsia="lv-LV"/>
              </w:rPr>
            </w:pPr>
            <w:r w:rsidRPr="00DD4BAE">
              <w:rPr>
                <w:rFonts w:ascii="Times New Roman" w:hAnsi="Times New Roman"/>
                <w:bCs/>
                <w:sz w:val="16"/>
                <w:szCs w:val="16"/>
                <w:lang w:eastAsia="lv-LV"/>
              </w:rPr>
              <w:t>2 550 000.00</w:t>
            </w:r>
          </w:p>
        </w:tc>
        <w:tc>
          <w:tcPr>
            <w:tcW w:w="4110"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Provizoriski:</w:t>
            </w:r>
          </w:p>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 xml:space="preserve">Projekta izstrāde 150 000 </w:t>
            </w:r>
            <w:r w:rsidRPr="00175F17">
              <w:rPr>
                <w:rFonts w:ascii="Times New Roman" w:hAnsi="Times New Roman"/>
                <w:i/>
                <w:sz w:val="16"/>
                <w:szCs w:val="16"/>
                <w:lang w:eastAsia="lv-LV"/>
              </w:rPr>
              <w:t>euro</w:t>
            </w:r>
            <w:r w:rsidRPr="00175F17">
              <w:rPr>
                <w:rFonts w:ascii="Times New Roman" w:hAnsi="Times New Roman"/>
                <w:sz w:val="16"/>
                <w:szCs w:val="16"/>
                <w:lang w:eastAsia="lv-LV"/>
              </w:rPr>
              <w:t xml:space="preserve"> * un būvdarbi 2 400 00 0 </w:t>
            </w:r>
            <w:r w:rsidRPr="00175F17">
              <w:rPr>
                <w:rFonts w:ascii="Times New Roman" w:hAnsi="Times New Roman"/>
                <w:i/>
                <w:sz w:val="16"/>
                <w:szCs w:val="16"/>
                <w:lang w:eastAsia="lv-LV"/>
              </w:rPr>
              <w:t>euro</w:t>
            </w:r>
            <w:r w:rsidRPr="00175F17">
              <w:rPr>
                <w:rFonts w:ascii="Times New Roman" w:hAnsi="Times New Roman"/>
                <w:sz w:val="16"/>
                <w:szCs w:val="16"/>
                <w:lang w:eastAsia="lv-LV"/>
              </w:rPr>
              <w:t>**, tai skaitā:</w:t>
            </w:r>
          </w:p>
          <w:p w:rsidR="00DD4BAE" w:rsidRPr="00175F17" w:rsidRDefault="00DD4BAE" w:rsidP="00773CAA">
            <w:pPr>
              <w:spacing w:after="0" w:line="240" w:lineRule="auto"/>
              <w:outlineLvl w:val="0"/>
              <w:rPr>
                <w:rFonts w:ascii="Times New Roman" w:hAnsi="Times New Roman"/>
                <w:color w:val="548DD4"/>
                <w:sz w:val="16"/>
                <w:szCs w:val="16"/>
                <w:lang w:eastAsia="lv-LV"/>
              </w:rPr>
            </w:pPr>
            <w:r w:rsidRPr="00175F17">
              <w:rPr>
                <w:rFonts w:ascii="Times New Roman" w:hAnsi="Times New Roman"/>
                <w:sz w:val="16"/>
                <w:szCs w:val="16"/>
                <w:lang w:eastAsia="lv-LV"/>
              </w:rPr>
              <w:t xml:space="preserve">2015.gadā 200 000 </w:t>
            </w:r>
            <w:r w:rsidRPr="00175F17">
              <w:rPr>
                <w:rFonts w:ascii="Times New Roman" w:hAnsi="Times New Roman"/>
                <w:i/>
                <w:sz w:val="16"/>
                <w:szCs w:val="16"/>
                <w:lang w:eastAsia="lv-LV"/>
              </w:rPr>
              <w:t xml:space="preserve">euro </w:t>
            </w:r>
            <w:r w:rsidRPr="00175F17">
              <w:rPr>
                <w:rFonts w:ascii="Times New Roman" w:hAnsi="Times New Roman"/>
                <w:sz w:val="16"/>
                <w:szCs w:val="16"/>
                <w:lang w:eastAsia="lv-LV"/>
              </w:rPr>
              <w:t>(VNĪ budžetā plānotie kapitālieguldījumi saskaņā VNĪ būvniecības plānu 2015.gadam);</w:t>
            </w:r>
          </w:p>
          <w:p w:rsidR="00DD4BAE" w:rsidRPr="00175F17" w:rsidRDefault="00DD4BAE" w:rsidP="00FB4E31">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201</w:t>
            </w:r>
            <w:r>
              <w:rPr>
                <w:rFonts w:ascii="Times New Roman" w:hAnsi="Times New Roman"/>
                <w:sz w:val="16"/>
                <w:szCs w:val="16"/>
                <w:lang w:eastAsia="lv-LV"/>
              </w:rPr>
              <w:t>7</w:t>
            </w:r>
            <w:r w:rsidRPr="00175F17">
              <w:rPr>
                <w:rFonts w:ascii="Times New Roman" w:hAnsi="Times New Roman"/>
                <w:sz w:val="16"/>
                <w:szCs w:val="16"/>
                <w:lang w:eastAsia="lv-LV"/>
              </w:rPr>
              <w:t xml:space="preserve">.gadā 2 350 000 </w:t>
            </w:r>
            <w:r w:rsidRPr="00175F17">
              <w:rPr>
                <w:rFonts w:ascii="Times New Roman" w:hAnsi="Times New Roman"/>
                <w:i/>
                <w:sz w:val="16"/>
                <w:szCs w:val="16"/>
                <w:lang w:eastAsia="lv-LV"/>
              </w:rPr>
              <w:t>euro</w:t>
            </w:r>
            <w:r>
              <w:rPr>
                <w:rFonts w:ascii="Times New Roman" w:hAnsi="Times New Roman"/>
                <w:i/>
                <w:sz w:val="16"/>
                <w:szCs w:val="16"/>
                <w:lang w:eastAsia="lv-LV"/>
              </w:rPr>
              <w:t xml:space="preserve">, </w:t>
            </w:r>
            <w:r w:rsidRPr="00175F17">
              <w:rPr>
                <w:rFonts w:ascii="Times New Roman" w:hAnsi="Times New Roman"/>
                <w:sz w:val="16"/>
                <w:szCs w:val="16"/>
                <w:lang w:eastAsia="lv-LV"/>
              </w:rPr>
              <w:t>(būvniecības izmaksu sadalījums pa gadiem var tikt precizēts, ņemot vērā provizorisko būvniecības darbu izpildes laika grafiku).</w:t>
            </w:r>
          </w:p>
        </w:tc>
      </w:tr>
      <w:tr w:rsidR="00DD4BAE" w:rsidRPr="00175F17" w:rsidTr="000627F8">
        <w:trPr>
          <w:trHeight w:val="315"/>
        </w:trPr>
        <w:tc>
          <w:tcPr>
            <w:tcW w:w="474"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sz w:val="16"/>
                <w:szCs w:val="16"/>
                <w:lang w:eastAsia="lv-LV"/>
              </w:rPr>
            </w:pPr>
            <w:r w:rsidRPr="00175F17">
              <w:rPr>
                <w:rFonts w:ascii="Times New Roman" w:hAnsi="Times New Roman"/>
                <w:sz w:val="16"/>
                <w:szCs w:val="16"/>
                <w:lang w:eastAsia="lv-LV"/>
              </w:rPr>
              <w:t>2.</w:t>
            </w:r>
          </w:p>
        </w:tc>
        <w:tc>
          <w:tcPr>
            <w:tcW w:w="670"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b/>
                <w:bCs/>
                <w:color w:val="800000"/>
                <w:sz w:val="16"/>
                <w:szCs w:val="16"/>
                <w:lang w:eastAsia="lv-LV"/>
              </w:rPr>
            </w:pPr>
            <w:r w:rsidRPr="00175F17">
              <w:rPr>
                <w:rFonts w:ascii="Times New Roman" w:hAnsi="Times New Roman"/>
                <w:b/>
                <w:bCs/>
                <w:color w:val="800000"/>
                <w:sz w:val="16"/>
                <w:szCs w:val="16"/>
                <w:lang w:eastAsia="lv-LV"/>
              </w:rPr>
              <w:t>Bbūvn</w:t>
            </w:r>
          </w:p>
        </w:tc>
        <w:tc>
          <w:tcPr>
            <w:tcW w:w="2792"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 xml:space="preserve">Būvniecības laikā tieši iesaistītā personāla izmaksas </w:t>
            </w:r>
          </w:p>
        </w:tc>
        <w:tc>
          <w:tcPr>
            <w:tcW w:w="1134" w:type="dxa"/>
            <w:shd w:val="clear" w:color="000000" w:fill="FFFFFF"/>
            <w:vAlign w:val="center"/>
            <w:hideMark/>
          </w:tcPr>
          <w:p w:rsidR="00DD4BAE" w:rsidRPr="00DD4BAE" w:rsidRDefault="00DD4BAE" w:rsidP="00DD4BAE">
            <w:pPr>
              <w:spacing w:after="0" w:line="240" w:lineRule="auto"/>
              <w:jc w:val="center"/>
              <w:rPr>
                <w:rFonts w:ascii="Times New Roman" w:hAnsi="Times New Roman"/>
                <w:bCs/>
                <w:sz w:val="16"/>
                <w:szCs w:val="16"/>
                <w:lang w:eastAsia="lv-LV"/>
              </w:rPr>
            </w:pPr>
            <w:r w:rsidRPr="00DD4BAE">
              <w:rPr>
                <w:rFonts w:ascii="Times New Roman" w:hAnsi="Times New Roman"/>
                <w:bCs/>
                <w:sz w:val="16"/>
                <w:szCs w:val="16"/>
                <w:lang w:eastAsia="lv-LV"/>
              </w:rPr>
              <w:t>24 815.59</w:t>
            </w:r>
          </w:p>
        </w:tc>
        <w:tc>
          <w:tcPr>
            <w:tcW w:w="4110"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Izdevumi projekta vadītāja atlīdzībai</w:t>
            </w:r>
          </w:p>
        </w:tc>
      </w:tr>
      <w:tr w:rsidR="00DD4BAE" w:rsidRPr="00175F17" w:rsidTr="000627F8">
        <w:trPr>
          <w:trHeight w:val="233"/>
        </w:trPr>
        <w:tc>
          <w:tcPr>
            <w:tcW w:w="474"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sz w:val="16"/>
                <w:szCs w:val="16"/>
                <w:lang w:eastAsia="lv-LV"/>
              </w:rPr>
            </w:pPr>
            <w:r w:rsidRPr="00175F17">
              <w:rPr>
                <w:rFonts w:ascii="Times New Roman" w:hAnsi="Times New Roman"/>
                <w:sz w:val="16"/>
                <w:szCs w:val="16"/>
                <w:lang w:eastAsia="lv-LV"/>
              </w:rPr>
              <w:t>3.</w:t>
            </w:r>
          </w:p>
        </w:tc>
        <w:tc>
          <w:tcPr>
            <w:tcW w:w="670" w:type="dxa"/>
            <w:shd w:val="clear" w:color="000000" w:fill="FFFFFF"/>
            <w:vAlign w:val="center"/>
            <w:hideMark/>
          </w:tcPr>
          <w:p w:rsidR="00DD4BAE" w:rsidRPr="00175F17" w:rsidRDefault="00DD4BAE" w:rsidP="00773CAA">
            <w:pPr>
              <w:spacing w:after="0" w:line="240" w:lineRule="auto"/>
              <w:jc w:val="center"/>
              <w:outlineLvl w:val="0"/>
              <w:rPr>
                <w:rFonts w:ascii="Times New Roman" w:hAnsi="Times New Roman"/>
                <w:b/>
                <w:bCs/>
                <w:color w:val="800000"/>
                <w:sz w:val="16"/>
                <w:szCs w:val="16"/>
                <w:lang w:eastAsia="lv-LV"/>
              </w:rPr>
            </w:pPr>
            <w:r w:rsidRPr="00175F17">
              <w:rPr>
                <w:rFonts w:ascii="Times New Roman" w:hAnsi="Times New Roman"/>
                <w:b/>
                <w:bCs/>
                <w:color w:val="800000"/>
                <w:sz w:val="16"/>
                <w:szCs w:val="16"/>
                <w:lang w:eastAsia="lv-LV"/>
              </w:rPr>
              <w:t>F</w:t>
            </w:r>
          </w:p>
        </w:tc>
        <w:tc>
          <w:tcPr>
            <w:tcW w:w="2792"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Piesaistītā kapitāla izmaksas</w:t>
            </w:r>
          </w:p>
        </w:tc>
        <w:tc>
          <w:tcPr>
            <w:tcW w:w="1134" w:type="dxa"/>
            <w:shd w:val="clear" w:color="000000" w:fill="FFFFFF"/>
            <w:vAlign w:val="center"/>
            <w:hideMark/>
          </w:tcPr>
          <w:p w:rsidR="00DD4BAE" w:rsidRPr="00DD4BAE" w:rsidRDefault="00DD4BAE" w:rsidP="00DD4BAE">
            <w:pPr>
              <w:spacing w:after="0" w:line="240" w:lineRule="auto"/>
              <w:jc w:val="center"/>
              <w:rPr>
                <w:rFonts w:ascii="Times New Roman" w:hAnsi="Times New Roman"/>
                <w:bCs/>
                <w:sz w:val="16"/>
                <w:szCs w:val="16"/>
                <w:lang w:eastAsia="lv-LV"/>
              </w:rPr>
            </w:pPr>
            <w:r w:rsidRPr="00DD4BAE">
              <w:rPr>
                <w:rFonts w:ascii="Times New Roman" w:hAnsi="Times New Roman"/>
                <w:bCs/>
                <w:sz w:val="16"/>
                <w:szCs w:val="16"/>
                <w:lang w:eastAsia="lv-LV"/>
              </w:rPr>
              <w:t>590 548.16</w:t>
            </w:r>
          </w:p>
        </w:tc>
        <w:tc>
          <w:tcPr>
            <w:tcW w:w="4110" w:type="dxa"/>
            <w:shd w:val="clear" w:color="000000" w:fill="FFFFFF"/>
            <w:vAlign w:val="center"/>
            <w:hideMark/>
          </w:tcPr>
          <w:p w:rsidR="00DD4BAE" w:rsidRPr="00175F17" w:rsidRDefault="00DD4BAE" w:rsidP="00773CAA">
            <w:pPr>
              <w:spacing w:after="0" w:line="240" w:lineRule="auto"/>
              <w:outlineLvl w:val="0"/>
              <w:rPr>
                <w:rFonts w:ascii="Times New Roman" w:hAnsi="Times New Roman"/>
                <w:sz w:val="16"/>
                <w:szCs w:val="16"/>
                <w:lang w:eastAsia="lv-LV"/>
              </w:rPr>
            </w:pPr>
            <w:r w:rsidRPr="00175F17">
              <w:rPr>
                <w:rFonts w:ascii="Times New Roman" w:hAnsi="Times New Roman"/>
                <w:sz w:val="16"/>
                <w:szCs w:val="16"/>
                <w:lang w:eastAsia="lv-LV"/>
              </w:rPr>
              <w:t> Aizdevuma procenta likme pēc būvniecības (3,8 %)</w:t>
            </w:r>
          </w:p>
        </w:tc>
      </w:tr>
      <w:tr w:rsidR="000627F8" w:rsidRPr="00175F17" w:rsidTr="000627F8">
        <w:trPr>
          <w:trHeight w:val="315"/>
        </w:trPr>
        <w:tc>
          <w:tcPr>
            <w:tcW w:w="3936" w:type="dxa"/>
            <w:gridSpan w:val="3"/>
            <w:shd w:val="clear" w:color="000000" w:fill="F2F2F2"/>
            <w:vAlign w:val="center"/>
            <w:hideMark/>
          </w:tcPr>
          <w:p w:rsidR="000627F8" w:rsidRPr="00175F17" w:rsidRDefault="000627F8" w:rsidP="00773CAA">
            <w:pPr>
              <w:spacing w:after="0" w:line="240" w:lineRule="auto"/>
              <w:jc w:val="right"/>
              <w:outlineLvl w:val="0"/>
              <w:rPr>
                <w:rFonts w:ascii="Times New Roman" w:hAnsi="Times New Roman"/>
                <w:b/>
                <w:bCs/>
                <w:sz w:val="16"/>
                <w:szCs w:val="16"/>
                <w:lang w:eastAsia="lv-LV"/>
              </w:rPr>
            </w:pPr>
            <w:r w:rsidRPr="00175F17">
              <w:rPr>
                <w:rFonts w:ascii="Times New Roman" w:hAnsi="Times New Roman"/>
                <w:b/>
                <w:bCs/>
                <w:sz w:val="16"/>
                <w:szCs w:val="16"/>
                <w:lang w:eastAsia="lv-LV"/>
              </w:rPr>
              <w:t>Kapitālieguldījumi kopā (bez PVN)</w:t>
            </w:r>
          </w:p>
        </w:tc>
        <w:tc>
          <w:tcPr>
            <w:tcW w:w="1134" w:type="dxa"/>
            <w:shd w:val="clear" w:color="000000" w:fill="F2F2F2"/>
            <w:vAlign w:val="center"/>
            <w:hideMark/>
          </w:tcPr>
          <w:p w:rsidR="000627F8" w:rsidRPr="00DD4BAE" w:rsidRDefault="00DD4BAE" w:rsidP="00DD4BAE">
            <w:pPr>
              <w:spacing w:after="0" w:line="240" w:lineRule="auto"/>
              <w:jc w:val="center"/>
              <w:rPr>
                <w:rFonts w:ascii="Times New Roman" w:hAnsi="Times New Roman"/>
                <w:b/>
                <w:bCs/>
                <w:sz w:val="16"/>
                <w:szCs w:val="16"/>
                <w:lang w:eastAsia="lv-LV"/>
              </w:rPr>
            </w:pPr>
            <w:r w:rsidRPr="00DD4BAE">
              <w:rPr>
                <w:rFonts w:ascii="Times New Roman" w:hAnsi="Times New Roman"/>
                <w:b/>
                <w:bCs/>
                <w:sz w:val="16"/>
                <w:szCs w:val="16"/>
                <w:lang w:eastAsia="lv-LV"/>
              </w:rPr>
              <w:t>3 165 363.75</w:t>
            </w:r>
          </w:p>
        </w:tc>
        <w:tc>
          <w:tcPr>
            <w:tcW w:w="4110" w:type="dxa"/>
            <w:shd w:val="clear" w:color="000000" w:fill="F2F2F2"/>
            <w:vAlign w:val="center"/>
            <w:hideMark/>
          </w:tcPr>
          <w:p w:rsidR="000627F8" w:rsidRPr="00175F17" w:rsidRDefault="000627F8" w:rsidP="00773CAA">
            <w:pPr>
              <w:spacing w:after="0" w:line="240" w:lineRule="auto"/>
              <w:jc w:val="center"/>
              <w:outlineLvl w:val="0"/>
              <w:rPr>
                <w:rFonts w:ascii="Times New Roman" w:hAnsi="Times New Roman"/>
                <w:b/>
                <w:bCs/>
                <w:sz w:val="16"/>
                <w:szCs w:val="16"/>
                <w:lang w:eastAsia="lv-LV"/>
              </w:rPr>
            </w:pPr>
            <w:r w:rsidRPr="00175F17">
              <w:rPr>
                <w:rFonts w:ascii="Times New Roman" w:hAnsi="Times New Roman"/>
                <w:b/>
                <w:bCs/>
                <w:sz w:val="16"/>
                <w:szCs w:val="16"/>
                <w:lang w:eastAsia="lv-LV"/>
              </w:rPr>
              <w:t> </w:t>
            </w:r>
          </w:p>
        </w:tc>
      </w:tr>
    </w:tbl>
    <w:p w:rsidR="000627F8" w:rsidRPr="00FC3E40" w:rsidRDefault="00DD4BAE" w:rsidP="000627F8">
      <w:pPr>
        <w:pStyle w:val="ListParagraph"/>
        <w:spacing w:after="0" w:line="240" w:lineRule="auto"/>
        <w:ind w:left="-142" w:right="-1"/>
        <w:jc w:val="both"/>
        <w:rPr>
          <w:sz w:val="13"/>
          <w:szCs w:val="13"/>
        </w:rPr>
      </w:pPr>
      <w:r>
        <w:rPr>
          <w:sz w:val="13"/>
          <w:szCs w:val="13"/>
        </w:rPr>
        <w:t>*elektroapgāde, v</w:t>
      </w:r>
      <w:r w:rsidR="000627F8" w:rsidRPr="00FC3E40">
        <w:rPr>
          <w:sz w:val="13"/>
          <w:szCs w:val="13"/>
        </w:rPr>
        <w:t>ājstrāvu sistēmas, kanalizācijas iekšējie tīkli (kondensāta novadīšanai); citas ar gaisa dzesēšanas saistītām sistēmu daļām;</w:t>
      </w:r>
    </w:p>
    <w:p w:rsidR="00FC3E40" w:rsidRDefault="000627F8" w:rsidP="00802BF7">
      <w:pPr>
        <w:pStyle w:val="ListParagraph"/>
        <w:spacing w:after="0" w:line="240" w:lineRule="auto"/>
        <w:ind w:left="-142" w:right="-1"/>
        <w:jc w:val="both"/>
        <w:rPr>
          <w:sz w:val="13"/>
          <w:szCs w:val="13"/>
        </w:rPr>
      </w:pPr>
      <w:r w:rsidRPr="00FC3E40">
        <w:rPr>
          <w:sz w:val="13"/>
          <w:szCs w:val="13"/>
        </w:rPr>
        <w:t xml:space="preserve">**kopējais </w:t>
      </w:r>
      <w:r w:rsidR="009D0400" w:rsidRPr="00FC3E40">
        <w:rPr>
          <w:sz w:val="13"/>
          <w:szCs w:val="13"/>
        </w:rPr>
        <w:t>kapitālieguldījumu</w:t>
      </w:r>
      <w:r w:rsidRPr="00FC3E40">
        <w:rPr>
          <w:sz w:val="13"/>
          <w:szCs w:val="13"/>
        </w:rPr>
        <w:t xml:space="preserve"> apmērs noteikts uz attiecīgās jomas speciālistu prognozes pamata (t.i. SIA "BIANT", kuri šobrīd veic IeM ēku kompleksa 1., 2., 3., 4., 5.korpusa komunikāciju šahtu un 5.korpusa servera telpu dzesēšanas sistēmu ierīkošanu), ņemot vērā tās pieejamos statistikas datus par izmaksām līdzīgos objektos un ņemot vērā IeM ēku kompleksa telpu apjomu un specifiku.)</w:t>
      </w:r>
    </w:p>
    <w:p w:rsidR="00802BF7" w:rsidRPr="00802BF7" w:rsidRDefault="00802BF7" w:rsidP="00802BF7">
      <w:pPr>
        <w:pStyle w:val="ListParagraph"/>
        <w:spacing w:after="0" w:line="240" w:lineRule="auto"/>
        <w:ind w:left="-142" w:right="-1"/>
        <w:jc w:val="both"/>
        <w:rPr>
          <w:sz w:val="13"/>
          <w:szCs w:val="13"/>
        </w:rPr>
      </w:pPr>
    </w:p>
    <w:p w:rsidR="000627F8" w:rsidRDefault="000627F8" w:rsidP="000627F8">
      <w:pPr>
        <w:pStyle w:val="naiskr"/>
        <w:tabs>
          <w:tab w:val="left" w:pos="141"/>
        </w:tabs>
        <w:spacing w:before="0" w:after="0"/>
        <w:ind w:right="158" w:firstLine="709"/>
        <w:jc w:val="both"/>
      </w:pPr>
      <w:r w:rsidRPr="00DF3788">
        <w:t xml:space="preserve">Kapitālieguldījumu izmaksas plānots segt, ietverot tās nomas maksas apmērā pēc būvniecības darbu pabeigšanas. Vienlaikus </w:t>
      </w:r>
      <w:r w:rsidR="009D0400" w:rsidRPr="00DF3788">
        <w:t xml:space="preserve">nomas maksas apmērā </w:t>
      </w:r>
      <w:r w:rsidR="009D0400">
        <w:t xml:space="preserve">tiek ietvertas </w:t>
      </w:r>
      <w:r w:rsidR="009D0400" w:rsidRPr="00DF3788">
        <w:t>jaunās</w:t>
      </w:r>
      <w:r w:rsidR="009D0400">
        <w:t xml:space="preserve"> dzesēšanas sistēmas uzturēšanai</w:t>
      </w:r>
      <w:r w:rsidR="009D0400" w:rsidRPr="00DF3788">
        <w:t xml:space="preserve"> </w:t>
      </w:r>
      <w:r w:rsidR="009D0400">
        <w:t xml:space="preserve">nepieciešamās </w:t>
      </w:r>
      <w:r w:rsidRPr="00DF3788">
        <w:t xml:space="preserve">apsaimniekošanas </w:t>
      </w:r>
      <w:r w:rsidR="009D0400" w:rsidRPr="00DF3788">
        <w:t>izmaks</w:t>
      </w:r>
      <w:r w:rsidR="009D0400">
        <w:t>as</w:t>
      </w:r>
      <w:r w:rsidR="00142175">
        <w:t xml:space="preserve"> un </w:t>
      </w:r>
      <w:r w:rsidR="00142175" w:rsidRPr="00142175">
        <w:t>izdevumi plānotajiem kārtējiem vai kapitālajiem remontiem</w:t>
      </w:r>
      <w:r w:rsidR="009D0400">
        <w:t>.</w:t>
      </w:r>
      <w:r w:rsidRPr="00DF3788">
        <w:t xml:space="preserve"> Līdz ar to IeM ilgtermiņa saistību apmēru </w:t>
      </w:r>
      <w:r w:rsidR="009D0400" w:rsidRPr="00DF3788">
        <w:t>IeM ēku kompleks</w:t>
      </w:r>
      <w:r w:rsidR="009D0400">
        <w:t>a</w:t>
      </w:r>
      <w:r w:rsidR="009D0400" w:rsidRPr="00DF3788">
        <w:t xml:space="preserve"> </w:t>
      </w:r>
      <w:r w:rsidRPr="00DF3788">
        <w:t xml:space="preserve">nomas maksas izdevumu segšanai VNĪ ir nepieciešams paaugstināt </w:t>
      </w:r>
      <w:r w:rsidRPr="005F2942">
        <w:t>no 201</w:t>
      </w:r>
      <w:r w:rsidR="00FB4E31">
        <w:t>8</w:t>
      </w:r>
      <w:r w:rsidRPr="005F2942">
        <w:t>.gada.</w:t>
      </w:r>
    </w:p>
    <w:p w:rsidR="00FC3E40" w:rsidRPr="009F6BA7" w:rsidRDefault="007957BD" w:rsidP="009F667F">
      <w:pPr>
        <w:pStyle w:val="naiskr"/>
        <w:tabs>
          <w:tab w:val="left" w:pos="0"/>
        </w:tabs>
        <w:spacing w:before="0" w:after="120"/>
        <w:ind w:right="158" w:firstLine="707"/>
        <w:jc w:val="both"/>
      </w:pPr>
      <w:r w:rsidRPr="009F6BA7">
        <w:t>Gaisa dzesēšanas sistēmu izbūves rezultātā ir prognozējams elektropatēriņa pieaugums. Līdz ar to Nodrošinājumu valsts aģentūrai no 201</w:t>
      </w:r>
      <w:r w:rsidR="00FB4E31" w:rsidRPr="009F6BA7">
        <w:t>8</w:t>
      </w:r>
      <w:r w:rsidRPr="009F6BA7">
        <w:t>.gada turpmākajos gados ik gadu (5 mēnešiem) ir nepieciešams papildu finansējums elektropatēriņu izdevumu segšanai. Aprēķins: maijs, jūnijs, septembris katru mēnesi – 6</w:t>
      </w:r>
      <w:r w:rsidR="0070701A" w:rsidRPr="009F6BA7">
        <w:t xml:space="preserve"> </w:t>
      </w:r>
      <w:r w:rsidRPr="009F6BA7">
        <w:t xml:space="preserve">999,6 </w:t>
      </w:r>
      <w:r w:rsidRPr="009F6BA7">
        <w:rPr>
          <w:i/>
        </w:rPr>
        <w:t>euro</w:t>
      </w:r>
      <w:r w:rsidRPr="009F6BA7">
        <w:t>, jūlijs, augusts – katru mēnesi 7</w:t>
      </w:r>
      <w:r w:rsidR="0070701A" w:rsidRPr="009F6BA7">
        <w:t xml:space="preserve"> </w:t>
      </w:r>
      <w:r w:rsidRPr="009F6BA7">
        <w:t xml:space="preserve">325,5 </w:t>
      </w:r>
      <w:r w:rsidRPr="009F6BA7">
        <w:rPr>
          <w:i/>
        </w:rPr>
        <w:t>euro</w:t>
      </w:r>
      <w:r w:rsidRPr="009F6BA7">
        <w:t>. Kopā izdevumi no 201</w:t>
      </w:r>
      <w:r w:rsidR="00FB4E31" w:rsidRPr="009F6BA7">
        <w:t>8</w:t>
      </w:r>
      <w:r w:rsidRPr="009F6BA7">
        <w:t xml:space="preserve">.gada katru gadu jāparedz 35 650 </w:t>
      </w:r>
      <w:r w:rsidRPr="009F6BA7">
        <w:rPr>
          <w:i/>
        </w:rPr>
        <w:t xml:space="preserve">euro </w:t>
      </w:r>
      <w:r w:rsidRPr="009F6BA7">
        <w:t xml:space="preserve">apmērā. </w:t>
      </w:r>
      <w:r w:rsidRPr="009F6BA7">
        <w:lastRenderedPageBreak/>
        <w:t xml:space="preserve">Aprēķins ir veikts, ņemot vērā vidējo </w:t>
      </w:r>
      <w:r w:rsidR="009D0400" w:rsidRPr="009F6BA7">
        <w:t xml:space="preserve">statistiku </w:t>
      </w:r>
      <w:r w:rsidRPr="009F6BA7">
        <w:t>gaisa temperatūra</w:t>
      </w:r>
      <w:r w:rsidR="009D0400" w:rsidRPr="009F6BA7">
        <w:t>i</w:t>
      </w:r>
      <w:r w:rsidRPr="009F6BA7">
        <w:t xml:space="preserve"> katrā mēnesī, nosakot, ka telpu gaisa dzesēšanas sistēmas strādā nepārtraukti no 1.maija līdz 3</w:t>
      </w:r>
      <w:r w:rsidR="00571CC0" w:rsidRPr="009F6BA7">
        <w:t>0</w:t>
      </w:r>
      <w:r w:rsidRPr="009F6BA7">
        <w:t>.septembrim.</w:t>
      </w:r>
    </w:p>
    <w:p w:rsidR="00FC3E40" w:rsidRPr="00FC3E40" w:rsidRDefault="0086674A" w:rsidP="00800B38">
      <w:pPr>
        <w:pStyle w:val="naiskr"/>
        <w:tabs>
          <w:tab w:val="left" w:pos="141"/>
        </w:tabs>
        <w:spacing w:before="0" w:after="120"/>
        <w:ind w:right="158"/>
        <w:jc w:val="both"/>
        <w:rPr>
          <w:i/>
          <w:sz w:val="20"/>
          <w:szCs w:val="20"/>
        </w:rPr>
      </w:pPr>
      <w:r w:rsidRPr="00175F17">
        <w:rPr>
          <w:b/>
          <w:lang w:eastAsia="en-US"/>
        </w:rPr>
        <w:t xml:space="preserve">2.tabula. </w:t>
      </w:r>
      <w:r w:rsidR="00FC3E40" w:rsidRPr="00FC3E40">
        <w:rPr>
          <w:b/>
        </w:rPr>
        <w:t>Provizoriskais nomas maksas palielinājums - kapitālieguldījumi gaisa dzesēšanas sistēmu izbūvei ēkām Čiekurkalna 1.līnijā 1 k-1 un k-4, Rīgā, ar ieguldījumu atmaksu 1</w:t>
      </w:r>
      <w:r w:rsidR="00925B02">
        <w:rPr>
          <w:b/>
        </w:rPr>
        <w:t>0</w:t>
      </w:r>
      <w:r w:rsidR="00FC3E40" w:rsidRPr="00FC3E40">
        <w:rPr>
          <w:b/>
        </w:rPr>
        <w:t xml:space="preserve"> gadi </w:t>
      </w:r>
      <w:r w:rsidR="00FC3E40" w:rsidRPr="00FC3E40">
        <w:rPr>
          <w:i/>
          <w:sz w:val="20"/>
          <w:szCs w:val="20"/>
        </w:rPr>
        <w:t>(01.01.201</w:t>
      </w:r>
      <w:r w:rsidR="00FB4E31">
        <w:rPr>
          <w:i/>
          <w:sz w:val="20"/>
          <w:szCs w:val="20"/>
        </w:rPr>
        <w:t>8</w:t>
      </w:r>
      <w:r w:rsidR="00FC3E40" w:rsidRPr="00FC3E40">
        <w:rPr>
          <w:i/>
          <w:sz w:val="20"/>
          <w:szCs w:val="20"/>
        </w:rPr>
        <w:t>.-31.12.202</w:t>
      </w:r>
      <w:r w:rsidR="00FB4E31">
        <w:rPr>
          <w:i/>
          <w:sz w:val="20"/>
          <w:szCs w:val="20"/>
        </w:rPr>
        <w:t>8</w:t>
      </w:r>
      <w:r w:rsidR="00FC3E40" w:rsidRPr="00FC3E40">
        <w:rPr>
          <w:i/>
          <w:sz w:val="20"/>
          <w:szCs w:val="20"/>
        </w:rPr>
        <w:t>.) (nomas aprēķins uz 43 441,50 m</w:t>
      </w:r>
      <w:r w:rsidR="00FC3E40" w:rsidRPr="00FC3E40">
        <w:rPr>
          <w:i/>
          <w:sz w:val="20"/>
          <w:szCs w:val="20"/>
          <w:vertAlign w:val="superscript"/>
        </w:rPr>
        <w:t>2</w:t>
      </w:r>
      <w:r w:rsidR="00FC3E40" w:rsidRPr="00FC3E40">
        <w:rPr>
          <w:i/>
          <w:sz w:val="20"/>
          <w:szCs w:val="20"/>
        </w:rPr>
        <w:t>)</w:t>
      </w:r>
    </w:p>
    <w:p w:rsidR="00FC3E40" w:rsidRDefault="00FC3E40" w:rsidP="00800B38">
      <w:pPr>
        <w:pStyle w:val="ListParagraph"/>
        <w:spacing w:after="0" w:line="240" w:lineRule="auto"/>
        <w:ind w:left="360" w:right="-285"/>
        <w:jc w:val="both"/>
        <w:rPr>
          <w:sz w:val="24"/>
          <w:szCs w:val="24"/>
        </w:rPr>
      </w:pPr>
    </w:p>
    <w:tbl>
      <w:tblPr>
        <w:tblW w:w="9569"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8"/>
        <w:gridCol w:w="708"/>
        <w:gridCol w:w="2552"/>
        <w:gridCol w:w="1134"/>
        <w:gridCol w:w="1066"/>
        <w:gridCol w:w="933"/>
        <w:gridCol w:w="705"/>
        <w:gridCol w:w="1903"/>
      </w:tblGrid>
      <w:tr w:rsidR="009F6BA7" w:rsidRPr="009F6BA7" w:rsidTr="009F6BA7">
        <w:trPr>
          <w:trHeight w:val="210"/>
          <w:jc w:val="center"/>
        </w:trPr>
        <w:tc>
          <w:tcPr>
            <w:tcW w:w="568"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Nr.</w:t>
            </w:r>
            <w:r w:rsidRPr="009F6BA7">
              <w:rPr>
                <w:rFonts w:ascii="Times New Roman" w:eastAsia="Times New Roman" w:hAnsi="Times New Roman"/>
                <w:b/>
                <w:bCs/>
                <w:sz w:val="16"/>
                <w:szCs w:val="16"/>
                <w:lang w:eastAsia="lv-LV"/>
              </w:rPr>
              <w:br/>
              <w:t>p.k.</w:t>
            </w:r>
          </w:p>
        </w:tc>
        <w:tc>
          <w:tcPr>
            <w:tcW w:w="708"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 </w:t>
            </w:r>
          </w:p>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175F17">
              <w:rPr>
                <w:rFonts w:ascii="Times New Roman" w:hAnsi="Times New Roman"/>
                <w:b/>
                <w:bCs/>
                <w:sz w:val="16"/>
                <w:szCs w:val="16"/>
                <w:lang w:eastAsia="lv-LV"/>
              </w:rPr>
              <w:t>Saīs.</w:t>
            </w:r>
            <w:r w:rsidRPr="009F6BA7">
              <w:rPr>
                <w:rFonts w:ascii="Times New Roman" w:eastAsia="Times New Roman" w:hAnsi="Times New Roman"/>
                <w:b/>
                <w:bCs/>
                <w:sz w:val="16"/>
                <w:szCs w:val="16"/>
                <w:lang w:eastAsia="lv-LV"/>
              </w:rPr>
              <w:t> </w:t>
            </w:r>
          </w:p>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 </w:t>
            </w:r>
          </w:p>
        </w:tc>
        <w:tc>
          <w:tcPr>
            <w:tcW w:w="2552"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Izmaksu nosaukums</w:t>
            </w:r>
          </w:p>
        </w:tc>
        <w:tc>
          <w:tcPr>
            <w:tcW w:w="1134" w:type="dxa"/>
            <w:tcBorders>
              <w:bottom w:val="nil"/>
            </w:tcBorders>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Vidēji</w:t>
            </w:r>
          </w:p>
        </w:tc>
        <w:tc>
          <w:tcPr>
            <w:tcW w:w="1066"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Vidēji</w:t>
            </w:r>
            <w:r w:rsidRPr="009F6BA7">
              <w:rPr>
                <w:rFonts w:ascii="Times New Roman" w:eastAsia="Times New Roman" w:hAnsi="Times New Roman"/>
                <w:b/>
                <w:bCs/>
                <w:sz w:val="16"/>
                <w:szCs w:val="16"/>
                <w:lang w:eastAsia="lv-LV"/>
              </w:rPr>
              <w:br/>
              <w:t>gadā</w:t>
            </w:r>
            <w:r>
              <w:rPr>
                <w:rFonts w:ascii="Times New Roman" w:eastAsia="Times New Roman" w:hAnsi="Times New Roman"/>
                <w:b/>
                <w:bCs/>
                <w:sz w:val="16"/>
                <w:szCs w:val="16"/>
                <w:lang w:eastAsia="lv-LV"/>
              </w:rPr>
              <w:t>*</w:t>
            </w:r>
          </w:p>
        </w:tc>
        <w:tc>
          <w:tcPr>
            <w:tcW w:w="933"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Vidēji</w:t>
            </w:r>
            <w:r w:rsidRPr="009F6BA7">
              <w:rPr>
                <w:rFonts w:ascii="Times New Roman" w:eastAsia="Times New Roman" w:hAnsi="Times New Roman"/>
                <w:b/>
                <w:bCs/>
                <w:sz w:val="16"/>
                <w:szCs w:val="16"/>
                <w:lang w:eastAsia="lv-LV"/>
              </w:rPr>
              <w:br/>
              <w:t>mēnesī</w:t>
            </w:r>
            <w:r>
              <w:rPr>
                <w:rFonts w:ascii="Times New Roman" w:eastAsia="Times New Roman" w:hAnsi="Times New Roman"/>
                <w:b/>
                <w:bCs/>
                <w:sz w:val="16"/>
                <w:szCs w:val="16"/>
                <w:lang w:eastAsia="lv-LV"/>
              </w:rPr>
              <w:t>*</w:t>
            </w:r>
          </w:p>
        </w:tc>
        <w:tc>
          <w:tcPr>
            <w:tcW w:w="705"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Mēnesī</w:t>
            </w:r>
            <w:r w:rsidRPr="009F6BA7">
              <w:rPr>
                <w:rFonts w:ascii="Times New Roman" w:eastAsia="Times New Roman" w:hAnsi="Times New Roman"/>
                <w:b/>
                <w:bCs/>
                <w:sz w:val="16"/>
                <w:szCs w:val="16"/>
                <w:lang w:eastAsia="lv-LV"/>
              </w:rPr>
              <w:br/>
              <w:t>uz 1 m</w:t>
            </w:r>
            <w:r w:rsidRPr="009F6BA7">
              <w:rPr>
                <w:rFonts w:ascii="Times New Roman" w:eastAsia="Times New Roman" w:hAnsi="Times New Roman"/>
                <w:b/>
                <w:bCs/>
                <w:sz w:val="16"/>
                <w:szCs w:val="16"/>
                <w:vertAlign w:val="superscript"/>
                <w:lang w:eastAsia="lv-LV"/>
              </w:rPr>
              <w:t>2</w:t>
            </w:r>
            <w:r>
              <w:rPr>
                <w:rFonts w:ascii="Times New Roman" w:eastAsia="Times New Roman" w:hAnsi="Times New Roman"/>
                <w:b/>
                <w:bCs/>
                <w:sz w:val="16"/>
                <w:szCs w:val="16"/>
                <w:lang w:eastAsia="lv-LV"/>
              </w:rPr>
              <w:t>*</w:t>
            </w:r>
          </w:p>
        </w:tc>
        <w:tc>
          <w:tcPr>
            <w:tcW w:w="1903" w:type="dxa"/>
            <w:vMerge w:val="restart"/>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Piezīmes</w:t>
            </w:r>
          </w:p>
        </w:tc>
      </w:tr>
      <w:tr w:rsidR="009F6BA7" w:rsidRPr="009F6BA7" w:rsidTr="009F6BA7">
        <w:trPr>
          <w:trHeight w:val="210"/>
          <w:jc w:val="center"/>
        </w:trPr>
        <w:tc>
          <w:tcPr>
            <w:tcW w:w="568"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708" w:type="dxa"/>
            <w:vMerge/>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p>
        </w:tc>
        <w:tc>
          <w:tcPr>
            <w:tcW w:w="2552"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1134" w:type="dxa"/>
            <w:tcBorders>
              <w:top w:val="nil"/>
              <w:bottom w:val="nil"/>
            </w:tcBorders>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10</w:t>
            </w:r>
          </w:p>
        </w:tc>
        <w:tc>
          <w:tcPr>
            <w:tcW w:w="1066"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933"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705"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1903"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r>
      <w:tr w:rsidR="009F6BA7" w:rsidRPr="009F6BA7" w:rsidTr="009F6BA7">
        <w:trPr>
          <w:trHeight w:val="210"/>
          <w:jc w:val="center"/>
        </w:trPr>
        <w:tc>
          <w:tcPr>
            <w:tcW w:w="568"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708" w:type="dxa"/>
            <w:vMerge/>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p>
        </w:tc>
        <w:tc>
          <w:tcPr>
            <w:tcW w:w="2552"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1134" w:type="dxa"/>
            <w:tcBorders>
              <w:top w:val="nil"/>
            </w:tcBorders>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gados</w:t>
            </w:r>
            <w:r>
              <w:rPr>
                <w:rFonts w:ascii="Times New Roman" w:eastAsia="Times New Roman" w:hAnsi="Times New Roman"/>
                <w:b/>
                <w:bCs/>
                <w:sz w:val="16"/>
                <w:szCs w:val="16"/>
                <w:lang w:eastAsia="lv-LV"/>
              </w:rPr>
              <w:t>*</w:t>
            </w:r>
          </w:p>
        </w:tc>
        <w:tc>
          <w:tcPr>
            <w:tcW w:w="1066"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933"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705"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c>
          <w:tcPr>
            <w:tcW w:w="1903" w:type="dxa"/>
            <w:vMerge/>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p>
        </w:tc>
      </w:tr>
      <w:tr w:rsidR="009F6BA7" w:rsidRPr="009F6BA7" w:rsidTr="009F6BA7">
        <w:trPr>
          <w:trHeight w:val="390"/>
          <w:jc w:val="center"/>
        </w:trPr>
        <w:tc>
          <w:tcPr>
            <w:tcW w:w="568"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1.</w:t>
            </w:r>
          </w:p>
        </w:tc>
        <w:tc>
          <w:tcPr>
            <w:tcW w:w="708"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color w:val="800000"/>
                <w:sz w:val="16"/>
                <w:szCs w:val="16"/>
                <w:lang w:eastAsia="lv-LV"/>
              </w:rPr>
            </w:pPr>
            <w:r w:rsidRPr="009F6BA7">
              <w:rPr>
                <w:rFonts w:ascii="Times New Roman" w:eastAsia="Times New Roman" w:hAnsi="Times New Roman"/>
                <w:b/>
                <w:bCs/>
                <w:color w:val="800000"/>
                <w:sz w:val="16"/>
                <w:szCs w:val="16"/>
                <w:lang w:eastAsia="lv-LV"/>
              </w:rPr>
              <w:t>Ktizm</w:t>
            </w:r>
          </w:p>
        </w:tc>
        <w:tc>
          <w:tcPr>
            <w:tcW w:w="2552" w:type="dxa"/>
            <w:shd w:val="pct5" w:color="auto" w:fill="auto"/>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Tiešās izmaksas:</w:t>
            </w:r>
          </w:p>
        </w:tc>
        <w:tc>
          <w:tcPr>
            <w:tcW w:w="1134"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3 722 067.72</w:t>
            </w:r>
          </w:p>
        </w:tc>
        <w:tc>
          <w:tcPr>
            <w:tcW w:w="1066"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372 206.77</w:t>
            </w:r>
          </w:p>
        </w:tc>
        <w:tc>
          <w:tcPr>
            <w:tcW w:w="933"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31 017.23</w:t>
            </w:r>
          </w:p>
        </w:tc>
        <w:tc>
          <w:tcPr>
            <w:tcW w:w="705"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0.714</w:t>
            </w:r>
          </w:p>
        </w:tc>
        <w:tc>
          <w:tcPr>
            <w:tcW w:w="1903" w:type="dxa"/>
            <w:shd w:val="pct5" w:color="auto" w:fill="auto"/>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Kopsumma (1.1.-1.9.apakšpunktam):</w:t>
            </w:r>
          </w:p>
        </w:tc>
      </w:tr>
      <w:tr w:rsidR="009F6BA7" w:rsidRPr="009F6BA7" w:rsidTr="009F6BA7">
        <w:trPr>
          <w:trHeight w:val="1065"/>
          <w:jc w:val="center"/>
        </w:trPr>
        <w:tc>
          <w:tcPr>
            <w:tcW w:w="568"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1.1</w:t>
            </w:r>
          </w:p>
        </w:tc>
        <w:tc>
          <w:tcPr>
            <w:tcW w:w="708"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800000"/>
                <w:sz w:val="16"/>
                <w:szCs w:val="16"/>
                <w:lang w:eastAsia="lv-LV"/>
              </w:rPr>
            </w:pPr>
            <w:r w:rsidRPr="009F6BA7">
              <w:rPr>
                <w:rFonts w:ascii="Times New Roman" w:eastAsia="Times New Roman" w:hAnsi="Times New Roman"/>
                <w:b/>
                <w:bCs/>
                <w:color w:val="800000"/>
                <w:sz w:val="16"/>
                <w:szCs w:val="16"/>
                <w:lang w:eastAsia="lv-LV"/>
              </w:rPr>
              <w:t>A</w:t>
            </w:r>
          </w:p>
        </w:tc>
        <w:tc>
          <w:tcPr>
            <w:tcW w:w="2552" w:type="dxa"/>
            <w:shd w:val="clear"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Apsaimniekošana (inženierkomunikāciju apkope, iekšējā uzkopšana un ārējā sanitārā uzkopšana, kā arī plānotās materiālu un ātri nolietojamā inventāra izmaksas)</w:t>
            </w:r>
          </w:p>
        </w:tc>
        <w:tc>
          <w:tcPr>
            <w:tcW w:w="1134"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196 703.97</w:t>
            </w:r>
          </w:p>
        </w:tc>
        <w:tc>
          <w:tcPr>
            <w:tcW w:w="1066"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19 670.39</w:t>
            </w:r>
          </w:p>
        </w:tc>
        <w:tc>
          <w:tcPr>
            <w:tcW w:w="933"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1 639.19</w:t>
            </w:r>
          </w:p>
        </w:tc>
        <w:tc>
          <w:tcPr>
            <w:tcW w:w="705"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0000FF"/>
                <w:sz w:val="16"/>
                <w:szCs w:val="16"/>
                <w:lang w:eastAsia="lv-LV"/>
              </w:rPr>
            </w:pPr>
            <w:r w:rsidRPr="009F6BA7">
              <w:rPr>
                <w:rFonts w:ascii="Times New Roman" w:eastAsia="Times New Roman" w:hAnsi="Times New Roman"/>
                <w:b/>
                <w:bCs/>
                <w:color w:val="0000FF"/>
                <w:sz w:val="16"/>
                <w:szCs w:val="16"/>
                <w:lang w:eastAsia="lv-LV"/>
              </w:rPr>
              <w:t>0.038</w:t>
            </w:r>
          </w:p>
        </w:tc>
        <w:tc>
          <w:tcPr>
            <w:tcW w:w="1903" w:type="dxa"/>
            <w:shd w:val="clear"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 xml:space="preserve">Provizoriskās apsaimniekošanas izmaksas vēdināšanas un aukstumapgādes iekārtām </w:t>
            </w:r>
          </w:p>
        </w:tc>
      </w:tr>
      <w:tr w:rsidR="009F6BA7" w:rsidRPr="009F6BA7" w:rsidTr="009F6BA7">
        <w:trPr>
          <w:trHeight w:val="1155"/>
          <w:jc w:val="center"/>
        </w:trPr>
        <w:tc>
          <w:tcPr>
            <w:tcW w:w="568"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1.4.</w:t>
            </w:r>
          </w:p>
        </w:tc>
        <w:tc>
          <w:tcPr>
            <w:tcW w:w="708"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800000"/>
                <w:sz w:val="16"/>
                <w:szCs w:val="16"/>
                <w:lang w:eastAsia="lv-LV"/>
              </w:rPr>
            </w:pPr>
            <w:r w:rsidRPr="009F6BA7">
              <w:rPr>
                <w:rFonts w:ascii="Times New Roman" w:eastAsia="Times New Roman" w:hAnsi="Times New Roman"/>
                <w:b/>
                <w:bCs/>
                <w:color w:val="800000"/>
                <w:sz w:val="16"/>
                <w:szCs w:val="16"/>
                <w:lang w:eastAsia="lv-LV"/>
              </w:rPr>
              <w:t>N</w:t>
            </w:r>
            <w:r w:rsidRPr="009F6BA7">
              <w:rPr>
                <w:rFonts w:ascii="Times New Roman" w:eastAsia="Times New Roman" w:hAnsi="Times New Roman"/>
                <w:b/>
                <w:bCs/>
                <w:color w:val="800000"/>
                <w:sz w:val="16"/>
                <w:szCs w:val="16"/>
                <w:vertAlign w:val="subscript"/>
                <w:lang w:eastAsia="lv-LV"/>
              </w:rPr>
              <w:t>1</w:t>
            </w:r>
          </w:p>
        </w:tc>
        <w:tc>
          <w:tcPr>
            <w:tcW w:w="2552" w:type="dxa"/>
            <w:shd w:val="clear"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Izdevumi plānotajiem kārtējiem vai kapitālajiem remontiem</w:t>
            </w:r>
          </w:p>
        </w:tc>
        <w:tc>
          <w:tcPr>
            <w:tcW w:w="1134"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360 000.00</w:t>
            </w:r>
          </w:p>
        </w:tc>
        <w:tc>
          <w:tcPr>
            <w:tcW w:w="1066"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36 000.00</w:t>
            </w:r>
          </w:p>
        </w:tc>
        <w:tc>
          <w:tcPr>
            <w:tcW w:w="933"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3 000.00</w:t>
            </w:r>
          </w:p>
        </w:tc>
        <w:tc>
          <w:tcPr>
            <w:tcW w:w="705" w:type="dxa"/>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0000FF"/>
                <w:sz w:val="16"/>
                <w:szCs w:val="16"/>
                <w:lang w:eastAsia="lv-LV"/>
              </w:rPr>
            </w:pPr>
            <w:r w:rsidRPr="009F6BA7">
              <w:rPr>
                <w:rFonts w:ascii="Times New Roman" w:eastAsia="Times New Roman" w:hAnsi="Times New Roman"/>
                <w:b/>
                <w:bCs/>
                <w:color w:val="0000FF"/>
                <w:sz w:val="16"/>
                <w:szCs w:val="16"/>
                <w:lang w:eastAsia="lv-LV"/>
              </w:rPr>
              <w:t>0.069</w:t>
            </w:r>
          </w:p>
        </w:tc>
        <w:tc>
          <w:tcPr>
            <w:tcW w:w="1903" w:type="dxa"/>
            <w:shd w:val="clear"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Izdevumi uzkrājumiem no 2025.gada (8 gadus pēc dzesēšanas sistēmas izbūves) paredzēts ~ 120 000,- EUR katru gadu (3 gadi (01.01.2025.- 31.12.2027.) x 120 000 EUR ~ 360 000 EUR)</w:t>
            </w:r>
          </w:p>
        </w:tc>
      </w:tr>
      <w:tr w:rsidR="009F6BA7" w:rsidRPr="009F6BA7" w:rsidTr="009F6BA7">
        <w:trPr>
          <w:trHeight w:val="405"/>
          <w:jc w:val="center"/>
        </w:trPr>
        <w:tc>
          <w:tcPr>
            <w:tcW w:w="568"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1.9.</w:t>
            </w:r>
          </w:p>
        </w:tc>
        <w:tc>
          <w:tcPr>
            <w:tcW w:w="708"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800000"/>
                <w:sz w:val="16"/>
                <w:szCs w:val="16"/>
                <w:lang w:eastAsia="lv-LV"/>
              </w:rPr>
            </w:pPr>
            <w:r w:rsidRPr="009F6BA7">
              <w:rPr>
                <w:rFonts w:ascii="Times New Roman" w:eastAsia="Times New Roman" w:hAnsi="Times New Roman"/>
                <w:b/>
                <w:bCs/>
                <w:color w:val="800000"/>
                <w:sz w:val="16"/>
                <w:szCs w:val="16"/>
                <w:lang w:eastAsia="lv-LV"/>
              </w:rPr>
              <w:t> </w:t>
            </w:r>
          </w:p>
        </w:tc>
        <w:tc>
          <w:tcPr>
            <w:tcW w:w="2552" w:type="dxa"/>
            <w:tcBorders>
              <w:bottom w:val="dotted" w:sz="4" w:space="0" w:color="auto"/>
            </w:tcBorders>
            <w:shd w:val="clear"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Kapitālieguldījumi</w:t>
            </w:r>
          </w:p>
        </w:tc>
        <w:tc>
          <w:tcPr>
            <w:tcW w:w="1134"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3 165 363.75</w:t>
            </w:r>
          </w:p>
        </w:tc>
        <w:tc>
          <w:tcPr>
            <w:tcW w:w="1066"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316 536.38</w:t>
            </w:r>
          </w:p>
        </w:tc>
        <w:tc>
          <w:tcPr>
            <w:tcW w:w="933"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26 378.04</w:t>
            </w:r>
          </w:p>
        </w:tc>
        <w:tc>
          <w:tcPr>
            <w:tcW w:w="705" w:type="dxa"/>
            <w:tcBorders>
              <w:bottom w:val="dotted" w:sz="4" w:space="0" w:color="auto"/>
            </w:tcBorders>
            <w:shd w:val="clear"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0000FF"/>
                <w:sz w:val="16"/>
                <w:szCs w:val="16"/>
                <w:lang w:eastAsia="lv-LV"/>
              </w:rPr>
            </w:pPr>
            <w:r w:rsidRPr="009F6BA7">
              <w:rPr>
                <w:rFonts w:ascii="Times New Roman" w:eastAsia="Times New Roman" w:hAnsi="Times New Roman"/>
                <w:b/>
                <w:bCs/>
                <w:color w:val="0000FF"/>
                <w:sz w:val="16"/>
                <w:szCs w:val="16"/>
                <w:lang w:eastAsia="lv-LV"/>
              </w:rPr>
              <w:t>0.607</w:t>
            </w:r>
          </w:p>
        </w:tc>
        <w:tc>
          <w:tcPr>
            <w:tcW w:w="1903" w:type="dxa"/>
            <w:tcBorders>
              <w:bottom w:val="dotted" w:sz="4" w:space="0" w:color="auto"/>
            </w:tcBorders>
            <w:shd w:val="clear" w:color="000000" w:fill="FFFFFF"/>
            <w:vAlign w:val="center"/>
            <w:hideMark/>
          </w:tcPr>
          <w:p w:rsidR="009F6BA7" w:rsidRPr="009F6BA7" w:rsidRDefault="009F6BA7" w:rsidP="008E5B9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sk.</w:t>
            </w:r>
            <w:r w:rsidR="008E5B97">
              <w:rPr>
                <w:rFonts w:ascii="Times New Roman" w:eastAsia="Times New Roman" w:hAnsi="Times New Roman"/>
                <w:sz w:val="16"/>
                <w:szCs w:val="16"/>
                <w:lang w:eastAsia="lv-LV"/>
              </w:rPr>
              <w:t>1.tabulu</w:t>
            </w:r>
          </w:p>
        </w:tc>
      </w:tr>
      <w:tr w:rsidR="009F6BA7" w:rsidRPr="009F6BA7" w:rsidTr="009F6BA7">
        <w:trPr>
          <w:trHeight w:val="390"/>
          <w:jc w:val="center"/>
        </w:trPr>
        <w:tc>
          <w:tcPr>
            <w:tcW w:w="568"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2.</w:t>
            </w:r>
          </w:p>
        </w:tc>
        <w:tc>
          <w:tcPr>
            <w:tcW w:w="708"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color w:val="800000"/>
                <w:sz w:val="16"/>
                <w:szCs w:val="16"/>
                <w:lang w:eastAsia="lv-LV"/>
              </w:rPr>
            </w:pPr>
            <w:r w:rsidRPr="009F6BA7">
              <w:rPr>
                <w:rFonts w:ascii="Times New Roman" w:eastAsia="Times New Roman" w:hAnsi="Times New Roman"/>
                <w:b/>
                <w:bCs/>
                <w:color w:val="800000"/>
                <w:sz w:val="16"/>
                <w:szCs w:val="16"/>
                <w:lang w:eastAsia="lv-LV"/>
              </w:rPr>
              <w:t>Nizm</w:t>
            </w:r>
          </w:p>
        </w:tc>
        <w:tc>
          <w:tcPr>
            <w:tcW w:w="2552" w:type="dxa"/>
            <w:shd w:val="pct5" w:color="000000" w:fill="FFFFFF"/>
            <w:vAlign w:val="center"/>
            <w:hideMark/>
          </w:tcPr>
          <w:p w:rsidR="009F6BA7" w:rsidRPr="009F6BA7" w:rsidRDefault="009F6BA7" w:rsidP="009F6BA7">
            <w:pPr>
              <w:spacing w:after="0" w:line="240" w:lineRule="auto"/>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Netiešās administratīvās izmaksas</w:t>
            </w:r>
          </w:p>
        </w:tc>
        <w:tc>
          <w:tcPr>
            <w:tcW w:w="1134"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0.00</w:t>
            </w:r>
          </w:p>
        </w:tc>
        <w:tc>
          <w:tcPr>
            <w:tcW w:w="1066"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0.00</w:t>
            </w:r>
          </w:p>
        </w:tc>
        <w:tc>
          <w:tcPr>
            <w:tcW w:w="93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0.00</w:t>
            </w:r>
          </w:p>
        </w:tc>
        <w:tc>
          <w:tcPr>
            <w:tcW w:w="705"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0.000</w:t>
            </w:r>
          </w:p>
        </w:tc>
        <w:tc>
          <w:tcPr>
            <w:tcW w:w="1903" w:type="dxa"/>
            <w:shd w:val="pct5" w:color="000000" w:fill="FFFFFF"/>
            <w:vAlign w:val="center"/>
            <w:hideMark/>
          </w:tcPr>
          <w:p w:rsidR="009F6BA7" w:rsidRPr="009F6BA7" w:rsidRDefault="009F6BA7" w:rsidP="009F6BA7">
            <w:pPr>
              <w:spacing w:after="0" w:line="240" w:lineRule="auto"/>
              <w:rPr>
                <w:rFonts w:ascii="Times New Roman" w:eastAsia="Times New Roman" w:hAnsi="Times New Roman"/>
                <w:sz w:val="16"/>
                <w:szCs w:val="16"/>
                <w:lang w:eastAsia="lv-LV"/>
              </w:rPr>
            </w:pPr>
            <w:r w:rsidRPr="009F6BA7">
              <w:rPr>
                <w:rFonts w:ascii="Times New Roman" w:eastAsia="Times New Roman" w:hAnsi="Times New Roman"/>
                <w:sz w:val="16"/>
                <w:szCs w:val="16"/>
                <w:lang w:eastAsia="lv-LV"/>
              </w:rPr>
              <w:t> </w:t>
            </w:r>
          </w:p>
        </w:tc>
      </w:tr>
      <w:tr w:rsidR="009F6BA7" w:rsidRPr="009F6BA7" w:rsidTr="009F6BA7">
        <w:trPr>
          <w:trHeight w:val="225"/>
          <w:jc w:val="center"/>
        </w:trPr>
        <w:tc>
          <w:tcPr>
            <w:tcW w:w="3828" w:type="dxa"/>
            <w:gridSpan w:val="3"/>
            <w:shd w:val="pct5" w:color="000000" w:fill="FFFFFF"/>
            <w:vAlign w:val="center"/>
            <w:hideMark/>
          </w:tcPr>
          <w:p w:rsidR="009F6BA7" w:rsidRPr="009F6BA7" w:rsidRDefault="009F6BA7" w:rsidP="009F6BA7">
            <w:pPr>
              <w:spacing w:after="0" w:line="240" w:lineRule="auto"/>
              <w:jc w:val="right"/>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PAVISAM KOPĀ (bez PVN):</w:t>
            </w:r>
          </w:p>
        </w:tc>
        <w:tc>
          <w:tcPr>
            <w:tcW w:w="1134"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3 722 067.72</w:t>
            </w:r>
          </w:p>
        </w:tc>
        <w:tc>
          <w:tcPr>
            <w:tcW w:w="1066"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372 206.77</w:t>
            </w:r>
          </w:p>
        </w:tc>
        <w:tc>
          <w:tcPr>
            <w:tcW w:w="93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31 017.23</w:t>
            </w:r>
          </w:p>
        </w:tc>
        <w:tc>
          <w:tcPr>
            <w:tcW w:w="705"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0.714</w:t>
            </w:r>
          </w:p>
        </w:tc>
        <w:tc>
          <w:tcPr>
            <w:tcW w:w="190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Kopsumma (1. + 2.punkts);</w:t>
            </w:r>
          </w:p>
        </w:tc>
      </w:tr>
      <w:tr w:rsidR="009F6BA7" w:rsidRPr="009F6BA7" w:rsidTr="009F6BA7">
        <w:trPr>
          <w:trHeight w:val="225"/>
          <w:jc w:val="center"/>
        </w:trPr>
        <w:tc>
          <w:tcPr>
            <w:tcW w:w="3828" w:type="dxa"/>
            <w:gridSpan w:val="3"/>
            <w:shd w:val="pct5" w:color="000000" w:fill="FFFFFF"/>
            <w:vAlign w:val="center"/>
            <w:hideMark/>
          </w:tcPr>
          <w:p w:rsidR="009F6BA7" w:rsidRPr="009F6BA7" w:rsidRDefault="009F6BA7" w:rsidP="009F6BA7">
            <w:pPr>
              <w:spacing w:after="0" w:line="240" w:lineRule="auto"/>
              <w:jc w:val="right"/>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PVN (21%):</w:t>
            </w:r>
          </w:p>
        </w:tc>
        <w:tc>
          <w:tcPr>
            <w:tcW w:w="1134"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781 634.22</w:t>
            </w:r>
          </w:p>
        </w:tc>
        <w:tc>
          <w:tcPr>
            <w:tcW w:w="1066"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78 163.42</w:t>
            </w:r>
          </w:p>
        </w:tc>
        <w:tc>
          <w:tcPr>
            <w:tcW w:w="93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6 513.62</w:t>
            </w:r>
          </w:p>
        </w:tc>
        <w:tc>
          <w:tcPr>
            <w:tcW w:w="705"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0.150</w:t>
            </w:r>
          </w:p>
        </w:tc>
        <w:tc>
          <w:tcPr>
            <w:tcW w:w="190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Pievienotās vērtības nodoklis 21 %;</w:t>
            </w:r>
          </w:p>
        </w:tc>
      </w:tr>
      <w:tr w:rsidR="009F6BA7" w:rsidRPr="009F6BA7" w:rsidTr="009F6BA7">
        <w:trPr>
          <w:trHeight w:val="225"/>
          <w:jc w:val="center"/>
        </w:trPr>
        <w:tc>
          <w:tcPr>
            <w:tcW w:w="3828" w:type="dxa"/>
            <w:gridSpan w:val="3"/>
            <w:shd w:val="pct5" w:color="000000" w:fill="FFFFFF"/>
            <w:vAlign w:val="center"/>
            <w:hideMark/>
          </w:tcPr>
          <w:p w:rsidR="009F6BA7" w:rsidRPr="009F6BA7" w:rsidRDefault="009F6BA7" w:rsidP="009F6BA7">
            <w:pPr>
              <w:spacing w:after="0" w:line="240" w:lineRule="auto"/>
              <w:jc w:val="right"/>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PAVISAM KOPĀ (ar PVN):</w:t>
            </w:r>
          </w:p>
        </w:tc>
        <w:tc>
          <w:tcPr>
            <w:tcW w:w="1134"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4 503 701.94</w:t>
            </w:r>
          </w:p>
        </w:tc>
        <w:tc>
          <w:tcPr>
            <w:tcW w:w="1066"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450 370.19</w:t>
            </w:r>
          </w:p>
        </w:tc>
        <w:tc>
          <w:tcPr>
            <w:tcW w:w="93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37 530.85</w:t>
            </w:r>
          </w:p>
        </w:tc>
        <w:tc>
          <w:tcPr>
            <w:tcW w:w="705"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0.864</w:t>
            </w:r>
          </w:p>
        </w:tc>
        <w:tc>
          <w:tcPr>
            <w:tcW w:w="1903" w:type="dxa"/>
            <w:shd w:val="pct5" w:color="000000" w:fill="FFFFFF"/>
            <w:vAlign w:val="center"/>
            <w:hideMark/>
          </w:tcPr>
          <w:p w:rsidR="009F6BA7" w:rsidRPr="009F6BA7" w:rsidRDefault="009F6BA7" w:rsidP="009F6BA7">
            <w:pPr>
              <w:spacing w:after="0" w:line="240" w:lineRule="auto"/>
              <w:jc w:val="center"/>
              <w:rPr>
                <w:rFonts w:ascii="Times New Roman" w:eastAsia="Times New Roman" w:hAnsi="Times New Roman"/>
                <w:b/>
                <w:bCs/>
                <w:sz w:val="16"/>
                <w:szCs w:val="16"/>
                <w:lang w:eastAsia="lv-LV"/>
              </w:rPr>
            </w:pPr>
            <w:r w:rsidRPr="009F6BA7">
              <w:rPr>
                <w:rFonts w:ascii="Times New Roman" w:eastAsia="Times New Roman" w:hAnsi="Times New Roman"/>
                <w:b/>
                <w:bCs/>
                <w:sz w:val="16"/>
                <w:szCs w:val="16"/>
                <w:lang w:eastAsia="lv-LV"/>
              </w:rPr>
              <w:t>Gala rezultāts.</w:t>
            </w:r>
          </w:p>
        </w:tc>
      </w:tr>
    </w:tbl>
    <w:p w:rsidR="00FC3E40" w:rsidRDefault="00FC3E40" w:rsidP="009F6BA7">
      <w:pPr>
        <w:pStyle w:val="naiskr"/>
        <w:tabs>
          <w:tab w:val="left" w:pos="-284"/>
        </w:tabs>
        <w:spacing w:before="0" w:after="120"/>
        <w:ind w:left="-142" w:right="-1"/>
        <w:jc w:val="both"/>
      </w:pPr>
      <w:r w:rsidRPr="00FC3E40">
        <w:rPr>
          <w:sz w:val="13"/>
          <w:szCs w:val="13"/>
        </w:rPr>
        <w:t xml:space="preserve">*Nomas maksas </w:t>
      </w:r>
      <w:r w:rsidR="00571CC0">
        <w:rPr>
          <w:sz w:val="13"/>
          <w:szCs w:val="13"/>
        </w:rPr>
        <w:t xml:space="preserve">palielinājuma </w:t>
      </w:r>
      <w:r w:rsidRPr="00FC3E40">
        <w:rPr>
          <w:sz w:val="13"/>
          <w:szCs w:val="13"/>
        </w:rPr>
        <w:t xml:space="preserve">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w:t>
      </w:r>
      <w:r w:rsidR="00571CC0">
        <w:rPr>
          <w:sz w:val="13"/>
          <w:szCs w:val="13"/>
        </w:rPr>
        <w:t xml:space="preserve">provizoriskais </w:t>
      </w:r>
      <w:r w:rsidRPr="00FC3E40">
        <w:rPr>
          <w:sz w:val="13"/>
          <w:szCs w:val="13"/>
        </w:rPr>
        <w:t>nomas maksa</w:t>
      </w:r>
      <w:r w:rsidR="00571CC0">
        <w:rPr>
          <w:sz w:val="13"/>
          <w:szCs w:val="13"/>
        </w:rPr>
        <w:t>s palielinājums ir precizējams</w:t>
      </w:r>
      <w:r w:rsidRPr="00FC3E40">
        <w:rPr>
          <w:sz w:val="13"/>
          <w:szCs w:val="13"/>
        </w:rPr>
        <w:t xml:space="preserve"> atbilstoši VNĪ faktiskajiem telpu gaisa dzesēšanas sistēmu izbūves izdevumiem un ar gaisa dzesēšanas sistēmu saistītajām apsaimniekošanas izmaksā</w:t>
      </w:r>
      <w:r w:rsidR="00FB4E31">
        <w:rPr>
          <w:sz w:val="13"/>
          <w:szCs w:val="13"/>
        </w:rPr>
        <w:t xml:space="preserve">m (Ministru kabineta 2011.gada </w:t>
      </w:r>
      <w:r w:rsidRPr="00FC3E40">
        <w:rPr>
          <w:sz w:val="13"/>
          <w:szCs w:val="13"/>
        </w:rPr>
        <w:t>6.decembtra noteikumu Nr.934 „Noteikumi par valsts nekustamā īpašuma pārvaldīšanas principiem un kārtību” 4.punktā ir noteiktas nekustamā īpašuma pārvaldīšanas darbības) (noapaļots līdz otrajai un trešajai zīmei aiz komata)</w:t>
      </w:r>
    </w:p>
    <w:p w:rsidR="007957BD" w:rsidRDefault="008404E1" w:rsidP="0081034B">
      <w:pPr>
        <w:pStyle w:val="naiskr"/>
        <w:tabs>
          <w:tab w:val="left" w:pos="0"/>
        </w:tabs>
        <w:spacing w:before="0" w:after="0"/>
        <w:ind w:right="158" w:firstLine="707"/>
        <w:jc w:val="both"/>
      </w:pPr>
      <w:r>
        <w:t>Šobrīd, p</w:t>
      </w:r>
      <w:r w:rsidR="007957BD" w:rsidRPr="007311EA">
        <w:t xml:space="preserve">amatojoties uz </w:t>
      </w:r>
      <w:r w:rsidR="00800B38">
        <w:t xml:space="preserve">Ministru kabineta </w:t>
      </w:r>
      <w:r w:rsidR="007957BD" w:rsidRPr="007311EA">
        <w:t>2012.gada 3.decembra</w:t>
      </w:r>
      <w:r w:rsidR="007957BD">
        <w:t xml:space="preserve"> rīkojumu</w:t>
      </w:r>
      <w:r w:rsidR="007957BD" w:rsidRPr="007311EA">
        <w:t xml:space="preserve"> Nr.566 „Par </w:t>
      </w:r>
      <w:r w:rsidR="007957BD">
        <w:t>ilgtermiņa saistībām Iekšlietu ministrijai ēku kompleksa Čiekurkalna 1.līnijā 1, Rīgā, nomas maksas izdevumu segšanai</w:t>
      </w:r>
      <w:r w:rsidR="007957BD" w:rsidRPr="007311EA">
        <w:t>”</w:t>
      </w:r>
      <w:r w:rsidR="007957BD">
        <w:t xml:space="preserve">, </w:t>
      </w:r>
      <w:r w:rsidR="007957BD" w:rsidRPr="003372A3">
        <w:t>likumā „Par valsts budžetu 2015.gadam” un likumā „Par vidēja termiņa budžeta ietvaru 2015., 2016. un 2017.gadam”</w:t>
      </w:r>
      <w:r w:rsidR="007957BD" w:rsidRPr="00DD551A">
        <w:t xml:space="preserve"> IeM budžetā ilgtermiņa saistībās paredzēts finansējums </w:t>
      </w:r>
      <w:r w:rsidR="007957BD">
        <w:t>IeM ēku kompleksa</w:t>
      </w:r>
      <w:r w:rsidR="007957BD" w:rsidRPr="00DD551A">
        <w:t>, nomas maksas izdevumu segšanai VNĪ, tai skaitā saskaņā ar</w:t>
      </w:r>
      <w:r w:rsidR="007957BD">
        <w:t xml:space="preserve"> minētā rīkojuma</w:t>
      </w:r>
      <w:r w:rsidR="007957BD" w:rsidRPr="00DD551A">
        <w:t>:</w:t>
      </w:r>
    </w:p>
    <w:p w:rsidR="007957BD" w:rsidRDefault="007957BD" w:rsidP="007957BD">
      <w:pPr>
        <w:pStyle w:val="naiskr"/>
        <w:numPr>
          <w:ilvl w:val="0"/>
          <w:numId w:val="3"/>
        </w:numPr>
        <w:tabs>
          <w:tab w:val="left" w:pos="141"/>
        </w:tabs>
        <w:spacing w:before="0" w:after="0"/>
        <w:ind w:right="158"/>
        <w:jc w:val="both"/>
      </w:pPr>
      <w:r w:rsidRPr="00B16861">
        <w:rPr>
          <w:iCs/>
        </w:rPr>
        <w:t>1.punktu</w:t>
      </w:r>
      <w:r w:rsidRPr="007311EA">
        <w:rPr>
          <w:lang w:eastAsia="en-US"/>
        </w:rPr>
        <w:t xml:space="preserve"> </w:t>
      </w:r>
      <w:bookmarkStart w:id="0" w:name="p1"/>
      <w:r>
        <w:rPr>
          <w:lang w:eastAsia="en-US"/>
        </w:rPr>
        <w:t>par ēkām</w:t>
      </w:r>
      <w:r w:rsidRPr="007311EA">
        <w:t xml:space="preserve"> (būvju kadastra apzīmējumi</w:t>
      </w:r>
      <w:r>
        <w:t>:</w:t>
      </w:r>
      <w:r w:rsidRPr="007311EA">
        <w:t xml:space="preserve"> 0100 087 0368 001, 0100 087 0368 002, 0100 087 0368 003, 0100 087 0368 004, 0100 087 0368 005, 0100 087 0368 006, 0100 </w:t>
      </w:r>
      <w:r w:rsidRPr="00D81C7F">
        <w:t xml:space="preserve">087 0368 </w:t>
      </w:r>
      <w:r w:rsidRPr="007311EA">
        <w:t>007 un 0100 087 0368 008)</w:t>
      </w:r>
      <w:r>
        <w:t xml:space="preserve"> </w:t>
      </w:r>
      <w:bookmarkEnd w:id="0"/>
      <w:r w:rsidRPr="00424D67">
        <w:t xml:space="preserve">no </w:t>
      </w:r>
      <w:r w:rsidRPr="00424D67">
        <w:rPr>
          <w:lang w:eastAsia="en-US"/>
        </w:rPr>
        <w:t xml:space="preserve">2015.gada līdz 2017.gadam (ieskaitot) katru gadu </w:t>
      </w:r>
      <w:r w:rsidRPr="00424D67">
        <w:t xml:space="preserve">9 178 172 </w:t>
      </w:r>
      <w:r w:rsidRPr="00424D67">
        <w:rPr>
          <w:i/>
        </w:rPr>
        <w:t>euro</w:t>
      </w:r>
      <w:r w:rsidRPr="00424D67">
        <w:t xml:space="preserve">, bet tālākā laika posmā līdz projekta īstenošanai 91 781 720 </w:t>
      </w:r>
      <w:r w:rsidRPr="00424D67">
        <w:rPr>
          <w:i/>
        </w:rPr>
        <w:t>euro</w:t>
      </w:r>
      <w:r w:rsidRPr="00424D67">
        <w:t xml:space="preserve"> (no 2018.gada līdz 202</w:t>
      </w:r>
      <w:r w:rsidR="00FD2A82">
        <w:t>7</w:t>
      </w:r>
      <w:r w:rsidRPr="00424D67">
        <w:t xml:space="preserve">.gadam (ieskaitot) 9 178 172 </w:t>
      </w:r>
      <w:r w:rsidRPr="00424D67">
        <w:rPr>
          <w:i/>
        </w:rPr>
        <w:t>euro</w:t>
      </w:r>
      <w:r w:rsidRPr="00424D67">
        <w:t xml:space="preserve">  katru gadu);</w:t>
      </w:r>
    </w:p>
    <w:p w:rsidR="00C93A24" w:rsidRDefault="007957BD" w:rsidP="009F667F">
      <w:pPr>
        <w:pStyle w:val="naiskr"/>
        <w:numPr>
          <w:ilvl w:val="0"/>
          <w:numId w:val="3"/>
        </w:numPr>
        <w:tabs>
          <w:tab w:val="left" w:pos="0"/>
        </w:tabs>
        <w:spacing w:before="0" w:after="120"/>
        <w:ind w:right="158"/>
        <w:jc w:val="both"/>
      </w:pPr>
      <w:r w:rsidRPr="00424D67">
        <w:rPr>
          <w:iCs/>
        </w:rPr>
        <w:t>2.punktu</w:t>
      </w:r>
      <w:r w:rsidRPr="00424D67">
        <w:rPr>
          <w:lang w:eastAsia="en-US"/>
        </w:rPr>
        <w:t xml:space="preserve"> par ēkām (būvju kadastra apzīmējumi: 0100 087 0149 050 un 0100 087 0149 010)</w:t>
      </w:r>
      <w:r w:rsidRPr="00424D67">
        <w:t xml:space="preserve"> no </w:t>
      </w:r>
      <w:r w:rsidRPr="00424D67">
        <w:rPr>
          <w:lang w:eastAsia="en-US"/>
        </w:rPr>
        <w:t xml:space="preserve">2015.gada līdz 2017.gadam (ieskaitot) katru gadu 1 229 669 </w:t>
      </w:r>
      <w:r w:rsidRPr="00424D67">
        <w:rPr>
          <w:i/>
          <w:lang w:eastAsia="en-US"/>
        </w:rPr>
        <w:t>euro</w:t>
      </w:r>
      <w:r w:rsidRPr="00424D67">
        <w:rPr>
          <w:lang w:eastAsia="en-US"/>
        </w:rPr>
        <w:t xml:space="preserve">, bet </w:t>
      </w:r>
      <w:r w:rsidRPr="00424D67">
        <w:t xml:space="preserve">tālākā laika posmā līdz projekta īstenošanai 14 756 028 </w:t>
      </w:r>
      <w:r w:rsidRPr="00424D67">
        <w:rPr>
          <w:i/>
        </w:rPr>
        <w:t>euro</w:t>
      </w:r>
      <w:r w:rsidRPr="00424D67">
        <w:t xml:space="preserve"> (no 2018.gada līdz 2029.gadam (ieskaitot) </w:t>
      </w:r>
      <w:r w:rsidRPr="00424D67">
        <w:rPr>
          <w:lang w:eastAsia="en-US"/>
        </w:rPr>
        <w:t xml:space="preserve">1 229 669 </w:t>
      </w:r>
      <w:r w:rsidRPr="00424D67">
        <w:rPr>
          <w:i/>
        </w:rPr>
        <w:t>euro</w:t>
      </w:r>
      <w:r w:rsidRPr="00424D67">
        <w:t xml:space="preserve">  katru gadu).</w:t>
      </w:r>
    </w:p>
    <w:p w:rsidR="00E32AB4" w:rsidRDefault="00E32AB4" w:rsidP="00E32AB4">
      <w:pPr>
        <w:pStyle w:val="naiskr"/>
        <w:tabs>
          <w:tab w:val="left" w:pos="0"/>
        </w:tabs>
        <w:spacing w:before="0" w:after="120"/>
        <w:ind w:right="158"/>
        <w:jc w:val="both"/>
      </w:pPr>
    </w:p>
    <w:p w:rsidR="00E32AB4" w:rsidRDefault="00E32AB4" w:rsidP="00E32AB4">
      <w:pPr>
        <w:pStyle w:val="naiskr"/>
        <w:tabs>
          <w:tab w:val="left" w:pos="0"/>
        </w:tabs>
        <w:spacing w:before="0" w:after="120"/>
        <w:ind w:right="158"/>
        <w:jc w:val="both"/>
      </w:pPr>
    </w:p>
    <w:p w:rsidR="00E32AB4" w:rsidRDefault="00E32AB4" w:rsidP="00E32AB4">
      <w:pPr>
        <w:pStyle w:val="naiskr"/>
        <w:tabs>
          <w:tab w:val="left" w:pos="0"/>
        </w:tabs>
        <w:spacing w:before="0" w:after="120"/>
        <w:ind w:right="158"/>
        <w:jc w:val="both"/>
      </w:pPr>
    </w:p>
    <w:p w:rsidR="00E32AB4" w:rsidRDefault="00E32AB4" w:rsidP="00E32AB4">
      <w:pPr>
        <w:pStyle w:val="naiskr"/>
        <w:tabs>
          <w:tab w:val="left" w:pos="0"/>
        </w:tabs>
        <w:spacing w:before="0" w:after="120"/>
        <w:ind w:right="158"/>
        <w:jc w:val="both"/>
      </w:pPr>
    </w:p>
    <w:p w:rsidR="008404E1" w:rsidRPr="009F667F" w:rsidRDefault="0086674A" w:rsidP="009F667F">
      <w:pPr>
        <w:spacing w:after="240" w:line="240" w:lineRule="auto"/>
        <w:ind w:right="-1"/>
        <w:rPr>
          <w:rFonts w:ascii="Times New Roman" w:hAnsi="Times New Roman"/>
          <w:b/>
          <w:sz w:val="24"/>
          <w:szCs w:val="24"/>
        </w:rPr>
      </w:pPr>
      <w:r>
        <w:rPr>
          <w:rFonts w:ascii="Times New Roman" w:hAnsi="Times New Roman"/>
          <w:b/>
          <w:sz w:val="24"/>
          <w:szCs w:val="24"/>
        </w:rPr>
        <w:lastRenderedPageBreak/>
        <w:t xml:space="preserve">3.tabula. </w:t>
      </w:r>
      <w:r w:rsidR="008404E1" w:rsidRPr="008404E1">
        <w:rPr>
          <w:rFonts w:ascii="Times New Roman" w:hAnsi="Times New Roman"/>
          <w:b/>
          <w:sz w:val="24"/>
          <w:szCs w:val="24"/>
        </w:rPr>
        <w:t>Precizētā provizoriskā naudas plūsma sadalījumā pa gadiem</w:t>
      </w:r>
    </w:p>
    <w:tbl>
      <w:tblPr>
        <w:tblW w:w="9401" w:type="dxa"/>
        <w:jc w:val="center"/>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8"/>
        <w:gridCol w:w="772"/>
        <w:gridCol w:w="1556"/>
        <w:gridCol w:w="1262"/>
        <w:gridCol w:w="1236"/>
        <w:gridCol w:w="1466"/>
        <w:gridCol w:w="1185"/>
        <w:gridCol w:w="1056"/>
      </w:tblGrid>
      <w:tr w:rsidR="00571CC0" w:rsidRPr="00175F17" w:rsidTr="00800B38">
        <w:trPr>
          <w:trHeight w:val="825"/>
          <w:tblHeader/>
          <w:jc w:val="center"/>
        </w:trPr>
        <w:tc>
          <w:tcPr>
            <w:tcW w:w="868"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Nr.</w:t>
            </w:r>
            <w:r w:rsidRPr="00175F17">
              <w:rPr>
                <w:rFonts w:ascii="Times New Roman" w:hAnsi="Times New Roman"/>
                <w:bCs/>
                <w:sz w:val="16"/>
                <w:szCs w:val="16"/>
                <w:lang w:eastAsia="lv-LV"/>
              </w:rPr>
              <w:br/>
              <w:t>p.k.</w:t>
            </w:r>
          </w:p>
        </w:tc>
        <w:tc>
          <w:tcPr>
            <w:tcW w:w="772"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Pārskata periods</w:t>
            </w:r>
            <w:r w:rsidRPr="00175F17">
              <w:rPr>
                <w:rFonts w:ascii="Times New Roman" w:hAnsi="Times New Roman"/>
                <w:bCs/>
                <w:sz w:val="16"/>
                <w:szCs w:val="16"/>
                <w:lang w:eastAsia="lv-LV"/>
              </w:rPr>
              <w:br/>
              <w:t>(gads)</w:t>
            </w:r>
          </w:p>
        </w:tc>
        <w:tc>
          <w:tcPr>
            <w:tcW w:w="1556"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 xml:space="preserve">Likumā „Par valsts budžetu 2015.gadam” apstiprinātais finansējums IeM ilgtermiņa saistībām </w:t>
            </w:r>
          </w:p>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 xml:space="preserve">telpu Rīgā, Čiekurkalna 1.līnijā 1 nomas maksai </w:t>
            </w:r>
          </w:p>
        </w:tc>
        <w:tc>
          <w:tcPr>
            <w:tcW w:w="1262"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iCs/>
                <w:sz w:val="16"/>
                <w:szCs w:val="16"/>
                <w:lang w:eastAsia="lv-LV"/>
              </w:rPr>
            </w:pPr>
            <w:r w:rsidRPr="00175F17">
              <w:rPr>
                <w:rFonts w:ascii="Times New Roman" w:hAnsi="Times New Roman"/>
                <w:iCs/>
                <w:sz w:val="16"/>
                <w:szCs w:val="16"/>
                <w:lang w:eastAsia="lv-LV"/>
              </w:rPr>
              <w:t xml:space="preserve">Papildus nepieciešamais finansējums IeM </w:t>
            </w:r>
            <w:r w:rsidR="007A03B8" w:rsidRPr="00175F17">
              <w:rPr>
                <w:rFonts w:ascii="Times New Roman" w:hAnsi="Times New Roman"/>
                <w:iCs/>
                <w:sz w:val="16"/>
                <w:szCs w:val="16"/>
                <w:lang w:eastAsia="lv-LV"/>
              </w:rPr>
              <w:t>ilgtermiņa</w:t>
            </w:r>
            <w:r w:rsidRPr="00175F17">
              <w:rPr>
                <w:rFonts w:ascii="Times New Roman" w:hAnsi="Times New Roman"/>
                <w:iCs/>
                <w:sz w:val="16"/>
                <w:szCs w:val="16"/>
                <w:lang w:eastAsia="lv-LV"/>
              </w:rPr>
              <w:t xml:space="preserve"> saistībām telpu Rīgā, Čiekurkalna 1.līnijā 1 nomas maksai*</w:t>
            </w:r>
          </w:p>
        </w:tc>
        <w:tc>
          <w:tcPr>
            <w:tcW w:w="1236"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 xml:space="preserve">Precizētais finansējums ilgtermiņa saistībām </w:t>
            </w:r>
          </w:p>
        </w:tc>
        <w:tc>
          <w:tcPr>
            <w:tcW w:w="1466" w:type="dxa"/>
            <w:vMerge w:val="restart"/>
            <w:shd w:val="pct5" w:color="auto" w:fill="auto"/>
            <w:vAlign w:val="center"/>
            <w:hideMark/>
          </w:tcPr>
          <w:p w:rsidR="008404E1" w:rsidRPr="00175F17" w:rsidRDefault="008404E1" w:rsidP="00571CC0">
            <w:pPr>
              <w:spacing w:after="0" w:line="240" w:lineRule="auto"/>
              <w:jc w:val="center"/>
              <w:rPr>
                <w:rFonts w:ascii="Times New Roman" w:hAnsi="Times New Roman"/>
                <w:iCs/>
                <w:sz w:val="16"/>
                <w:szCs w:val="16"/>
                <w:lang w:eastAsia="lv-LV"/>
              </w:rPr>
            </w:pPr>
            <w:r w:rsidRPr="00175F17">
              <w:rPr>
                <w:rFonts w:ascii="Times New Roman" w:hAnsi="Times New Roman"/>
                <w:iCs/>
                <w:sz w:val="16"/>
                <w:szCs w:val="16"/>
                <w:lang w:eastAsia="lv-LV"/>
              </w:rPr>
              <w:t xml:space="preserve">Papildus nepieciešamais finansējums bāzes izdevumiem </w:t>
            </w:r>
            <w:r w:rsidR="00571CC0" w:rsidRPr="00175F17">
              <w:rPr>
                <w:rFonts w:ascii="Times New Roman" w:hAnsi="Times New Roman"/>
                <w:iCs/>
                <w:sz w:val="16"/>
                <w:szCs w:val="16"/>
                <w:lang w:eastAsia="lv-LV"/>
              </w:rPr>
              <w:t xml:space="preserve">elektroenerģijas </w:t>
            </w:r>
            <w:r w:rsidRPr="00175F17">
              <w:rPr>
                <w:rFonts w:ascii="Times New Roman" w:hAnsi="Times New Roman"/>
                <w:iCs/>
                <w:sz w:val="16"/>
                <w:szCs w:val="16"/>
                <w:lang w:eastAsia="lv-LV"/>
              </w:rPr>
              <w:t>izdevumu segšanai</w:t>
            </w:r>
          </w:p>
        </w:tc>
        <w:tc>
          <w:tcPr>
            <w:tcW w:w="1185"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bCs/>
                <w:sz w:val="16"/>
                <w:szCs w:val="16"/>
                <w:lang w:eastAsia="lv-LV"/>
              </w:rPr>
            </w:pPr>
            <w:r w:rsidRPr="00175F17">
              <w:rPr>
                <w:rFonts w:ascii="Times New Roman" w:hAnsi="Times New Roman"/>
                <w:bCs/>
                <w:sz w:val="16"/>
                <w:szCs w:val="16"/>
                <w:lang w:eastAsia="lv-LV"/>
              </w:rPr>
              <w:t xml:space="preserve">Kopā nepieciešamais finansējums </w:t>
            </w:r>
          </w:p>
        </w:tc>
        <w:tc>
          <w:tcPr>
            <w:tcW w:w="1056" w:type="dxa"/>
            <w:vMerge w:val="restart"/>
            <w:shd w:val="pct5" w:color="auto" w:fill="auto"/>
            <w:vAlign w:val="center"/>
            <w:hideMark/>
          </w:tcPr>
          <w:p w:rsidR="008404E1" w:rsidRPr="00175F17" w:rsidRDefault="008404E1" w:rsidP="00773CAA">
            <w:pPr>
              <w:spacing w:after="0" w:line="240" w:lineRule="auto"/>
              <w:jc w:val="center"/>
              <w:rPr>
                <w:rFonts w:ascii="Times New Roman" w:hAnsi="Times New Roman"/>
                <w:iCs/>
                <w:sz w:val="16"/>
                <w:szCs w:val="16"/>
                <w:lang w:eastAsia="lv-LV"/>
              </w:rPr>
            </w:pPr>
            <w:r w:rsidRPr="00175F17">
              <w:rPr>
                <w:rFonts w:ascii="Times New Roman" w:hAnsi="Times New Roman"/>
                <w:iCs/>
                <w:sz w:val="16"/>
                <w:szCs w:val="16"/>
                <w:lang w:eastAsia="lv-LV"/>
              </w:rPr>
              <w:t>Izmaiņas (+/-)</w:t>
            </w:r>
          </w:p>
        </w:tc>
      </w:tr>
      <w:tr w:rsidR="00571CC0" w:rsidRPr="00175F17" w:rsidTr="00800B38">
        <w:trPr>
          <w:trHeight w:val="776"/>
          <w:tblHeader/>
          <w:jc w:val="center"/>
        </w:trPr>
        <w:tc>
          <w:tcPr>
            <w:tcW w:w="868" w:type="dxa"/>
            <w:vMerge/>
            <w:shd w:val="pct5" w:color="auto" w:fill="auto"/>
            <w:vAlign w:val="center"/>
            <w:hideMark/>
          </w:tcPr>
          <w:p w:rsidR="008404E1" w:rsidRPr="00175F17" w:rsidRDefault="008404E1" w:rsidP="00773CAA">
            <w:pPr>
              <w:spacing w:after="0" w:line="240" w:lineRule="auto"/>
              <w:rPr>
                <w:rFonts w:ascii="Times New Roman" w:hAnsi="Times New Roman"/>
                <w:b/>
                <w:bCs/>
                <w:sz w:val="16"/>
                <w:szCs w:val="16"/>
                <w:lang w:eastAsia="lv-LV"/>
              </w:rPr>
            </w:pPr>
          </w:p>
        </w:tc>
        <w:tc>
          <w:tcPr>
            <w:tcW w:w="772" w:type="dxa"/>
            <w:vMerge/>
            <w:shd w:val="pct5" w:color="auto" w:fill="auto"/>
            <w:vAlign w:val="center"/>
            <w:hideMark/>
          </w:tcPr>
          <w:p w:rsidR="008404E1" w:rsidRPr="00175F17" w:rsidRDefault="008404E1" w:rsidP="00773CAA">
            <w:pPr>
              <w:spacing w:after="0" w:line="240" w:lineRule="auto"/>
              <w:rPr>
                <w:rFonts w:ascii="Times New Roman" w:hAnsi="Times New Roman"/>
                <w:b/>
                <w:bCs/>
                <w:sz w:val="16"/>
                <w:szCs w:val="16"/>
                <w:lang w:eastAsia="lv-LV"/>
              </w:rPr>
            </w:pPr>
          </w:p>
        </w:tc>
        <w:tc>
          <w:tcPr>
            <w:tcW w:w="1556" w:type="dxa"/>
            <w:vMerge/>
            <w:shd w:val="pct5" w:color="auto" w:fill="auto"/>
            <w:vAlign w:val="center"/>
            <w:hideMark/>
          </w:tcPr>
          <w:p w:rsidR="008404E1" w:rsidRPr="00175F17" w:rsidRDefault="008404E1" w:rsidP="00773CAA">
            <w:pPr>
              <w:spacing w:after="0" w:line="240" w:lineRule="auto"/>
              <w:rPr>
                <w:rFonts w:ascii="Times New Roman" w:hAnsi="Times New Roman"/>
                <w:b/>
                <w:bCs/>
                <w:sz w:val="16"/>
                <w:szCs w:val="16"/>
                <w:lang w:eastAsia="lv-LV"/>
              </w:rPr>
            </w:pPr>
          </w:p>
        </w:tc>
        <w:tc>
          <w:tcPr>
            <w:tcW w:w="1262" w:type="dxa"/>
            <w:vMerge/>
            <w:shd w:val="pct5" w:color="auto" w:fill="auto"/>
            <w:vAlign w:val="center"/>
            <w:hideMark/>
          </w:tcPr>
          <w:p w:rsidR="008404E1" w:rsidRPr="00175F17" w:rsidRDefault="008404E1" w:rsidP="00773CAA">
            <w:pPr>
              <w:spacing w:after="0" w:line="240" w:lineRule="auto"/>
              <w:rPr>
                <w:rFonts w:ascii="Times New Roman" w:hAnsi="Times New Roman"/>
                <w:i/>
                <w:iCs/>
                <w:sz w:val="16"/>
                <w:szCs w:val="16"/>
                <w:lang w:eastAsia="lv-LV"/>
              </w:rPr>
            </w:pPr>
          </w:p>
        </w:tc>
        <w:tc>
          <w:tcPr>
            <w:tcW w:w="1236" w:type="dxa"/>
            <w:vMerge/>
            <w:shd w:val="pct5" w:color="auto" w:fill="auto"/>
            <w:vAlign w:val="center"/>
            <w:hideMark/>
          </w:tcPr>
          <w:p w:rsidR="008404E1" w:rsidRPr="00175F17" w:rsidRDefault="008404E1" w:rsidP="00773CAA">
            <w:pPr>
              <w:spacing w:after="0" w:line="240" w:lineRule="auto"/>
              <w:rPr>
                <w:rFonts w:ascii="Times New Roman" w:hAnsi="Times New Roman"/>
                <w:b/>
                <w:bCs/>
                <w:sz w:val="16"/>
                <w:szCs w:val="16"/>
                <w:lang w:eastAsia="lv-LV"/>
              </w:rPr>
            </w:pPr>
          </w:p>
        </w:tc>
        <w:tc>
          <w:tcPr>
            <w:tcW w:w="1466" w:type="dxa"/>
            <w:vMerge/>
            <w:shd w:val="pct5" w:color="auto" w:fill="auto"/>
            <w:vAlign w:val="center"/>
            <w:hideMark/>
          </w:tcPr>
          <w:p w:rsidR="008404E1" w:rsidRPr="00175F17" w:rsidRDefault="008404E1" w:rsidP="00773CAA">
            <w:pPr>
              <w:spacing w:after="0" w:line="240" w:lineRule="auto"/>
              <w:rPr>
                <w:rFonts w:ascii="Times New Roman" w:hAnsi="Times New Roman"/>
                <w:i/>
                <w:iCs/>
                <w:sz w:val="16"/>
                <w:szCs w:val="16"/>
                <w:lang w:eastAsia="lv-LV"/>
              </w:rPr>
            </w:pPr>
          </w:p>
        </w:tc>
        <w:tc>
          <w:tcPr>
            <w:tcW w:w="1185" w:type="dxa"/>
            <w:vMerge/>
            <w:shd w:val="pct5" w:color="auto" w:fill="auto"/>
            <w:vAlign w:val="center"/>
            <w:hideMark/>
          </w:tcPr>
          <w:p w:rsidR="008404E1" w:rsidRPr="00175F17" w:rsidRDefault="008404E1" w:rsidP="00773CAA">
            <w:pPr>
              <w:spacing w:after="0" w:line="240" w:lineRule="auto"/>
              <w:rPr>
                <w:rFonts w:ascii="Times New Roman" w:hAnsi="Times New Roman"/>
                <w:b/>
                <w:bCs/>
                <w:sz w:val="16"/>
                <w:szCs w:val="16"/>
                <w:lang w:eastAsia="lv-LV"/>
              </w:rPr>
            </w:pPr>
          </w:p>
        </w:tc>
        <w:tc>
          <w:tcPr>
            <w:tcW w:w="1056" w:type="dxa"/>
            <w:vMerge/>
            <w:shd w:val="pct5" w:color="auto" w:fill="auto"/>
            <w:vAlign w:val="center"/>
            <w:hideMark/>
          </w:tcPr>
          <w:p w:rsidR="008404E1" w:rsidRPr="00175F17" w:rsidRDefault="008404E1" w:rsidP="00773CAA">
            <w:pPr>
              <w:spacing w:after="0" w:line="240" w:lineRule="auto"/>
              <w:rPr>
                <w:rFonts w:ascii="Times New Roman" w:hAnsi="Times New Roman"/>
                <w:i/>
                <w:iCs/>
                <w:sz w:val="16"/>
                <w:szCs w:val="16"/>
                <w:lang w:eastAsia="lv-LV"/>
              </w:rPr>
            </w:pPr>
          </w:p>
        </w:tc>
      </w:tr>
      <w:tr w:rsidR="008404E1" w:rsidRPr="00175F17" w:rsidTr="00F55BE0">
        <w:trPr>
          <w:trHeight w:val="179"/>
          <w:jc w:val="center"/>
        </w:trPr>
        <w:tc>
          <w:tcPr>
            <w:tcW w:w="868"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1.</w:t>
            </w:r>
          </w:p>
        </w:tc>
        <w:tc>
          <w:tcPr>
            <w:tcW w:w="772"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2.</w:t>
            </w:r>
          </w:p>
        </w:tc>
        <w:tc>
          <w:tcPr>
            <w:tcW w:w="1556"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3.</w:t>
            </w:r>
          </w:p>
        </w:tc>
        <w:tc>
          <w:tcPr>
            <w:tcW w:w="1262"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4.</w:t>
            </w:r>
          </w:p>
        </w:tc>
        <w:tc>
          <w:tcPr>
            <w:tcW w:w="1236"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5.</w:t>
            </w:r>
          </w:p>
        </w:tc>
        <w:tc>
          <w:tcPr>
            <w:tcW w:w="1466"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6.</w:t>
            </w:r>
          </w:p>
        </w:tc>
        <w:tc>
          <w:tcPr>
            <w:tcW w:w="1185"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7.=5.+6.</w:t>
            </w:r>
          </w:p>
        </w:tc>
        <w:tc>
          <w:tcPr>
            <w:tcW w:w="1056" w:type="dxa"/>
            <w:shd w:val="clear" w:color="auto" w:fill="auto"/>
            <w:vAlign w:val="center"/>
            <w:hideMark/>
          </w:tcPr>
          <w:p w:rsidR="008404E1" w:rsidRPr="00175F17" w:rsidRDefault="008404E1" w:rsidP="00773CAA">
            <w:pPr>
              <w:spacing w:after="0" w:line="240" w:lineRule="auto"/>
              <w:jc w:val="center"/>
              <w:rPr>
                <w:rFonts w:ascii="Times New Roman" w:hAnsi="Times New Roman"/>
                <w:i/>
                <w:sz w:val="16"/>
                <w:szCs w:val="16"/>
                <w:lang w:eastAsia="lv-LV"/>
              </w:rPr>
            </w:pPr>
            <w:r w:rsidRPr="00175F17">
              <w:rPr>
                <w:rFonts w:ascii="Times New Roman" w:hAnsi="Times New Roman"/>
                <w:i/>
                <w:sz w:val="16"/>
                <w:szCs w:val="16"/>
                <w:lang w:eastAsia="lv-LV"/>
              </w:rPr>
              <w:t>8.=3.-7.</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1.</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201</w:t>
            </w:r>
            <w:r>
              <w:rPr>
                <w:rFonts w:ascii="Times New Roman" w:hAnsi="Times New Roman"/>
                <w:sz w:val="16"/>
                <w:szCs w:val="16"/>
                <w:lang w:eastAsia="lv-LV"/>
              </w:rPr>
              <w:t>5</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466" w:type="dxa"/>
            <w:shd w:val="clear" w:color="auto" w:fill="auto"/>
            <w:vAlign w:val="bottom"/>
          </w:tcPr>
          <w:p w:rsidR="00BA67AC" w:rsidRPr="00BA67AC" w:rsidRDefault="00BA67AC" w:rsidP="00BA67AC">
            <w:pPr>
              <w:spacing w:after="0" w:line="240" w:lineRule="auto"/>
              <w:jc w:val="center"/>
              <w:rPr>
                <w:rFonts w:ascii="Times New Roman" w:hAnsi="Times New Roman"/>
                <w:sz w:val="16"/>
                <w:szCs w:val="16"/>
                <w:lang w:eastAsia="lv-LV"/>
              </w:rPr>
            </w:pP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201</w:t>
            </w:r>
            <w:r>
              <w:rPr>
                <w:rFonts w:ascii="Times New Roman" w:hAnsi="Times New Roman"/>
                <w:sz w:val="16"/>
                <w:szCs w:val="16"/>
                <w:lang w:eastAsia="lv-LV"/>
              </w:rPr>
              <w:t>6</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3.</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201</w:t>
            </w:r>
            <w:r>
              <w:rPr>
                <w:rFonts w:ascii="Times New Roman" w:hAnsi="Times New Roman"/>
                <w:sz w:val="16"/>
                <w:szCs w:val="16"/>
                <w:lang w:eastAsia="lv-LV"/>
              </w:rPr>
              <w:t>7</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 </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4.</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20</w:t>
            </w:r>
            <w:r>
              <w:rPr>
                <w:rFonts w:ascii="Times New Roman" w:hAnsi="Times New Roman"/>
                <w:sz w:val="16"/>
                <w:szCs w:val="16"/>
                <w:lang w:eastAsia="lv-LV"/>
              </w:rPr>
              <w:t>18</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5.</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20</w:t>
            </w:r>
            <w:r>
              <w:rPr>
                <w:rFonts w:ascii="Times New Roman" w:hAnsi="Times New Roman"/>
                <w:sz w:val="16"/>
                <w:szCs w:val="16"/>
                <w:lang w:eastAsia="lv-LV"/>
              </w:rPr>
              <w:t>19</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6.</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2020</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7.</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2021</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8.</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2022</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9.</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2023</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10.</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2024</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11.</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2025</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12.</w:t>
            </w:r>
          </w:p>
        </w:tc>
        <w:tc>
          <w:tcPr>
            <w:tcW w:w="772" w:type="dxa"/>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2026</w:t>
            </w:r>
          </w:p>
        </w:tc>
        <w:tc>
          <w:tcPr>
            <w:tcW w:w="15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868" w:type="dxa"/>
            <w:tcBorders>
              <w:bottom w:val="dotted" w:sz="4" w:space="0" w:color="auto"/>
            </w:tcBorders>
            <w:shd w:val="clear" w:color="auto" w:fill="auto"/>
            <w:vAlign w:val="center"/>
            <w:hideMark/>
          </w:tcPr>
          <w:p w:rsidR="00BA67AC" w:rsidRPr="00175F17" w:rsidRDefault="00BA67AC" w:rsidP="00773CAA">
            <w:pPr>
              <w:spacing w:after="0" w:line="240" w:lineRule="auto"/>
              <w:jc w:val="center"/>
              <w:rPr>
                <w:rFonts w:ascii="Times New Roman" w:hAnsi="Times New Roman"/>
                <w:sz w:val="16"/>
                <w:szCs w:val="16"/>
                <w:lang w:eastAsia="lv-LV"/>
              </w:rPr>
            </w:pPr>
            <w:r w:rsidRPr="00175F17">
              <w:rPr>
                <w:rFonts w:ascii="Times New Roman" w:hAnsi="Times New Roman"/>
                <w:sz w:val="16"/>
                <w:szCs w:val="16"/>
                <w:lang w:eastAsia="lv-LV"/>
              </w:rPr>
              <w:t>13.</w:t>
            </w:r>
          </w:p>
        </w:tc>
        <w:tc>
          <w:tcPr>
            <w:tcW w:w="772" w:type="dxa"/>
            <w:tcBorders>
              <w:bottom w:val="dotted" w:sz="4" w:space="0" w:color="auto"/>
            </w:tcBorders>
            <w:shd w:val="clear" w:color="auto" w:fill="auto"/>
            <w:vAlign w:val="center"/>
            <w:hideMark/>
          </w:tcPr>
          <w:p w:rsidR="00BA67AC" w:rsidRPr="00175F17" w:rsidRDefault="00BA67AC" w:rsidP="00925B02">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2027</w:t>
            </w:r>
          </w:p>
        </w:tc>
        <w:tc>
          <w:tcPr>
            <w:tcW w:w="1556"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9 178 172</w:t>
            </w:r>
          </w:p>
        </w:tc>
        <w:tc>
          <w:tcPr>
            <w:tcW w:w="1262"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450 370</w:t>
            </w:r>
          </w:p>
        </w:tc>
        <w:tc>
          <w:tcPr>
            <w:tcW w:w="1236"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9 628 542</w:t>
            </w:r>
          </w:p>
        </w:tc>
        <w:tc>
          <w:tcPr>
            <w:tcW w:w="1466"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35 650</w:t>
            </w:r>
          </w:p>
        </w:tc>
        <w:tc>
          <w:tcPr>
            <w:tcW w:w="1185"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9 664 192</w:t>
            </w:r>
          </w:p>
        </w:tc>
        <w:tc>
          <w:tcPr>
            <w:tcW w:w="1056" w:type="dxa"/>
            <w:tcBorders>
              <w:bottom w:val="dotted" w:sz="4" w:space="0" w:color="auto"/>
            </w:tcBorders>
            <w:shd w:val="clear" w:color="auto" w:fill="auto"/>
            <w:vAlign w:val="center"/>
          </w:tcPr>
          <w:p w:rsidR="00BA67AC" w:rsidRPr="00BA67AC" w:rsidRDefault="00BA67AC" w:rsidP="00BA67AC">
            <w:pPr>
              <w:spacing w:after="0" w:line="240" w:lineRule="auto"/>
              <w:jc w:val="center"/>
              <w:rPr>
                <w:rFonts w:ascii="Times New Roman" w:hAnsi="Times New Roman"/>
                <w:sz w:val="16"/>
                <w:szCs w:val="16"/>
                <w:lang w:eastAsia="lv-LV"/>
              </w:rPr>
            </w:pPr>
            <w:r w:rsidRPr="00BA67AC">
              <w:rPr>
                <w:rFonts w:ascii="Times New Roman" w:hAnsi="Times New Roman"/>
                <w:sz w:val="16"/>
                <w:szCs w:val="16"/>
                <w:lang w:eastAsia="lv-LV"/>
              </w:rPr>
              <w:t>-486 020</w:t>
            </w:r>
          </w:p>
        </w:tc>
      </w:tr>
      <w:tr w:rsidR="00BA67AC" w:rsidRPr="00175F17" w:rsidTr="00F55BE0">
        <w:trPr>
          <w:trHeight w:val="300"/>
          <w:jc w:val="center"/>
        </w:trPr>
        <w:tc>
          <w:tcPr>
            <w:tcW w:w="1640" w:type="dxa"/>
            <w:gridSpan w:val="2"/>
            <w:shd w:val="pct5" w:color="auto" w:fill="auto"/>
            <w:vAlign w:val="center"/>
            <w:hideMark/>
          </w:tcPr>
          <w:p w:rsidR="00BA67AC" w:rsidRPr="00175F17" w:rsidRDefault="00BA67AC" w:rsidP="00773CAA">
            <w:pPr>
              <w:spacing w:after="0" w:line="240" w:lineRule="auto"/>
              <w:jc w:val="right"/>
              <w:rPr>
                <w:rFonts w:ascii="Times New Roman" w:hAnsi="Times New Roman"/>
                <w:b/>
                <w:sz w:val="16"/>
                <w:szCs w:val="16"/>
                <w:lang w:eastAsia="lv-LV"/>
              </w:rPr>
            </w:pPr>
            <w:r w:rsidRPr="00175F17">
              <w:rPr>
                <w:rFonts w:ascii="Times New Roman" w:hAnsi="Times New Roman"/>
                <w:b/>
                <w:sz w:val="16"/>
                <w:szCs w:val="16"/>
                <w:lang w:eastAsia="lv-LV"/>
              </w:rPr>
              <w:t>PAVISAM KOPĀ:</w:t>
            </w:r>
          </w:p>
        </w:tc>
        <w:tc>
          <w:tcPr>
            <w:tcW w:w="1556"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119 316 236</w:t>
            </w:r>
          </w:p>
        </w:tc>
        <w:tc>
          <w:tcPr>
            <w:tcW w:w="1262"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4 503 702</w:t>
            </w:r>
          </w:p>
        </w:tc>
        <w:tc>
          <w:tcPr>
            <w:tcW w:w="1236"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123 819 938</w:t>
            </w:r>
          </w:p>
        </w:tc>
        <w:tc>
          <w:tcPr>
            <w:tcW w:w="1466"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356 500</w:t>
            </w:r>
          </w:p>
        </w:tc>
        <w:tc>
          <w:tcPr>
            <w:tcW w:w="1185"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124 176 438</w:t>
            </w:r>
          </w:p>
        </w:tc>
        <w:tc>
          <w:tcPr>
            <w:tcW w:w="1056" w:type="dxa"/>
            <w:shd w:val="pct5" w:color="auto" w:fill="auto"/>
            <w:vAlign w:val="center"/>
          </w:tcPr>
          <w:p w:rsidR="00BA67AC" w:rsidRPr="00BA67AC" w:rsidRDefault="00BA67AC" w:rsidP="00BA67AC">
            <w:pPr>
              <w:spacing w:after="0" w:line="240" w:lineRule="auto"/>
              <w:jc w:val="center"/>
              <w:rPr>
                <w:rFonts w:ascii="Times New Roman" w:hAnsi="Times New Roman"/>
                <w:b/>
                <w:sz w:val="16"/>
                <w:szCs w:val="16"/>
                <w:lang w:eastAsia="lv-LV"/>
              </w:rPr>
            </w:pPr>
            <w:r w:rsidRPr="00BA67AC">
              <w:rPr>
                <w:rFonts w:ascii="Times New Roman" w:hAnsi="Times New Roman"/>
                <w:b/>
                <w:sz w:val="16"/>
                <w:szCs w:val="16"/>
                <w:lang w:eastAsia="lv-LV"/>
              </w:rPr>
              <w:t>-4 860 202</w:t>
            </w:r>
          </w:p>
        </w:tc>
      </w:tr>
    </w:tbl>
    <w:p w:rsidR="00B14740" w:rsidRPr="00E32AB4" w:rsidRDefault="005136A6" w:rsidP="009F667F">
      <w:pPr>
        <w:pStyle w:val="ListParagraph"/>
        <w:tabs>
          <w:tab w:val="left" w:pos="426"/>
        </w:tabs>
        <w:spacing w:before="120" w:after="120" w:line="240" w:lineRule="auto"/>
        <w:ind w:left="0"/>
        <w:contextualSpacing w:val="0"/>
        <w:jc w:val="both"/>
        <w:rPr>
          <w:sz w:val="24"/>
          <w:szCs w:val="24"/>
        </w:rPr>
      </w:pPr>
      <w:r>
        <w:rPr>
          <w:rFonts w:eastAsia="Calibri"/>
          <w:color w:val="FF0000"/>
          <w:sz w:val="24"/>
          <w:szCs w:val="24"/>
          <w:lang w:eastAsia="lv-LV"/>
        </w:rPr>
        <w:tab/>
      </w:r>
      <w:r w:rsidR="00CC2C09" w:rsidRPr="00E32AB4">
        <w:rPr>
          <w:sz w:val="24"/>
          <w:szCs w:val="24"/>
        </w:rPr>
        <w:t xml:space="preserve">Jautājums par papildu finansējuma piešķiršanu </w:t>
      </w:r>
      <w:r w:rsidR="0062386E" w:rsidRPr="00E32AB4">
        <w:rPr>
          <w:sz w:val="24"/>
          <w:szCs w:val="24"/>
        </w:rPr>
        <w:t>IeM</w:t>
      </w:r>
      <w:r w:rsidR="00CC2C09" w:rsidRPr="00E32AB4">
        <w:rPr>
          <w:sz w:val="24"/>
          <w:szCs w:val="24"/>
        </w:rPr>
        <w:t xml:space="preserve"> nomas maksas izdevumu segšanai un papildu elektroenerģijas izdevumu segšanai saistībā ar gaisa dzesēšanas sistēmu izbūvi</w:t>
      </w:r>
      <w:r w:rsidR="0062386E" w:rsidRPr="00E32AB4">
        <w:rPr>
          <w:sz w:val="24"/>
          <w:szCs w:val="24"/>
        </w:rPr>
        <w:t xml:space="preserve"> IeM ēku kompleksa 1. un 4.korpusā</w:t>
      </w:r>
      <w:r w:rsidR="00CC2C09" w:rsidRPr="00E32AB4">
        <w:rPr>
          <w:sz w:val="24"/>
          <w:szCs w:val="24"/>
        </w:rPr>
        <w:t xml:space="preserve"> uzskatāms par </w:t>
      </w:r>
      <w:r w:rsidR="0062386E" w:rsidRPr="00E32AB4">
        <w:rPr>
          <w:sz w:val="24"/>
          <w:szCs w:val="24"/>
        </w:rPr>
        <w:t>IeM</w:t>
      </w:r>
      <w:r w:rsidR="00CC2C09" w:rsidRPr="00E32AB4">
        <w:rPr>
          <w:sz w:val="24"/>
          <w:szCs w:val="24"/>
        </w:rPr>
        <w:t xml:space="preserve"> administratīvās kapacitātes stiprināšanas pasākumu</w:t>
      </w:r>
      <w:r w:rsidR="00B14740" w:rsidRPr="00E32AB4">
        <w:rPr>
          <w:sz w:val="24"/>
          <w:szCs w:val="24"/>
        </w:rPr>
        <w:t xml:space="preserve"> valsts iekšējās drošības jomā</w:t>
      </w:r>
      <w:r w:rsidR="00CC2C09" w:rsidRPr="00E32AB4">
        <w:rPr>
          <w:sz w:val="24"/>
          <w:szCs w:val="24"/>
        </w:rPr>
        <w:t xml:space="preserve"> atbilstoši Valdības rīcības plānā Deklarācijas p</w:t>
      </w:r>
      <w:r w:rsidR="009C2C0B" w:rsidRPr="00E32AB4">
        <w:rPr>
          <w:sz w:val="24"/>
          <w:szCs w:val="24"/>
        </w:rPr>
        <w:t>ar Laimdotas Straujumas vadītā</w:t>
      </w:r>
      <w:r w:rsidR="0062386E" w:rsidRPr="00E32AB4">
        <w:rPr>
          <w:sz w:val="24"/>
          <w:szCs w:val="24"/>
        </w:rPr>
        <w:t xml:space="preserve"> </w:t>
      </w:r>
      <w:r w:rsidR="006B0856" w:rsidRPr="00E32AB4">
        <w:rPr>
          <w:sz w:val="24"/>
          <w:szCs w:val="24"/>
        </w:rPr>
        <w:t>MK</w:t>
      </w:r>
      <w:r w:rsidR="00CC2C09" w:rsidRPr="00E32AB4">
        <w:rPr>
          <w:sz w:val="24"/>
          <w:szCs w:val="24"/>
        </w:rPr>
        <w:t xml:space="preserve"> iecerēto darbību īstenošanai (apstiprināts ar </w:t>
      </w:r>
      <w:r w:rsidR="006B0856" w:rsidRPr="00E32AB4">
        <w:rPr>
          <w:sz w:val="24"/>
          <w:szCs w:val="24"/>
        </w:rPr>
        <w:t>MK</w:t>
      </w:r>
      <w:r w:rsidR="00CC2C09" w:rsidRPr="00E32AB4">
        <w:rPr>
          <w:sz w:val="24"/>
          <w:szCs w:val="24"/>
        </w:rPr>
        <w:t xml:space="preserve"> 2015.gada 16.februāra rīkojumu Nr.78) dotā uzdevuma Nr.159</w:t>
      </w:r>
      <w:r w:rsidR="0062386E" w:rsidRPr="00E32AB4">
        <w:rPr>
          <w:sz w:val="24"/>
          <w:szCs w:val="24"/>
        </w:rPr>
        <w:t xml:space="preserve"> „</w:t>
      </w:r>
      <w:r w:rsidR="00CC2C09" w:rsidRPr="00E32AB4">
        <w:rPr>
          <w:sz w:val="24"/>
          <w:szCs w:val="24"/>
        </w:rPr>
        <w:t>Modernizēsim iekšlietu nozares die</w:t>
      </w:r>
      <w:r w:rsidR="0062386E" w:rsidRPr="00E32AB4">
        <w:rPr>
          <w:sz w:val="24"/>
          <w:szCs w:val="24"/>
        </w:rPr>
        <w:t>nestu materiāli tehnisko bāzi”</w:t>
      </w:r>
      <w:r w:rsidR="00CC2C09" w:rsidRPr="00E32AB4">
        <w:rPr>
          <w:sz w:val="24"/>
          <w:szCs w:val="24"/>
        </w:rPr>
        <w:t xml:space="preserve">  ietvaros noteiktajam pasākumam Nr.159.2 uzlabot </w:t>
      </w:r>
      <w:r w:rsidR="0062386E" w:rsidRPr="00E32AB4">
        <w:rPr>
          <w:sz w:val="24"/>
          <w:szCs w:val="24"/>
        </w:rPr>
        <w:t>IeM</w:t>
      </w:r>
      <w:r w:rsidR="00CC2C09" w:rsidRPr="00E32AB4">
        <w:rPr>
          <w:sz w:val="24"/>
          <w:szCs w:val="24"/>
        </w:rPr>
        <w:t xml:space="preserve"> sistēmas iestāžu materiāli tehnisko nodrošinājumu, t.sk. panākot </w:t>
      </w:r>
      <w:r w:rsidR="006B0856" w:rsidRPr="00E32AB4">
        <w:rPr>
          <w:sz w:val="24"/>
          <w:szCs w:val="24"/>
        </w:rPr>
        <w:t>VP</w:t>
      </w:r>
      <w:r w:rsidR="00CC2C09" w:rsidRPr="00E32AB4">
        <w:rPr>
          <w:sz w:val="24"/>
          <w:szCs w:val="24"/>
        </w:rPr>
        <w:t xml:space="preserve"> darbinieku nodrošinājumu ar darba</w:t>
      </w:r>
      <w:r w:rsidR="0062386E" w:rsidRPr="00E32AB4">
        <w:rPr>
          <w:sz w:val="24"/>
          <w:szCs w:val="24"/>
        </w:rPr>
        <w:t>m</w:t>
      </w:r>
      <w:r w:rsidR="00CC2C09" w:rsidRPr="00E32AB4">
        <w:rPr>
          <w:sz w:val="24"/>
          <w:szCs w:val="24"/>
        </w:rPr>
        <w:t xml:space="preserve"> piemērotām telpām, tādejādi nodrošinot iestāžu apgādi ar to funkciju īsten</w:t>
      </w:r>
      <w:r w:rsidR="009C2C0B" w:rsidRPr="00E32AB4">
        <w:rPr>
          <w:sz w:val="24"/>
          <w:szCs w:val="24"/>
        </w:rPr>
        <w:t>ošanai nepieciešamajiem speciāla</w:t>
      </w:r>
      <w:r w:rsidR="00CC2C09" w:rsidRPr="00E32AB4">
        <w:rPr>
          <w:sz w:val="24"/>
          <w:szCs w:val="24"/>
        </w:rPr>
        <w:t xml:space="preserve">jiem līdzekļiem, ekipējumu, bruņojumu un telpām. </w:t>
      </w:r>
      <w:r w:rsidR="00203751" w:rsidRPr="00E32AB4">
        <w:rPr>
          <w:sz w:val="24"/>
          <w:szCs w:val="24"/>
        </w:rPr>
        <w:t>Minētais atbilst</w:t>
      </w:r>
      <w:r w:rsidR="00CC2C09" w:rsidRPr="00E32AB4">
        <w:rPr>
          <w:sz w:val="24"/>
          <w:szCs w:val="24"/>
        </w:rPr>
        <w:t xml:space="preserve"> arī </w:t>
      </w:r>
      <w:r w:rsidR="0062386E" w:rsidRPr="00E32AB4">
        <w:rPr>
          <w:sz w:val="24"/>
          <w:szCs w:val="24"/>
        </w:rPr>
        <w:t>IeM</w:t>
      </w:r>
      <w:r w:rsidR="00CC2C09" w:rsidRPr="00E32AB4">
        <w:rPr>
          <w:sz w:val="24"/>
          <w:szCs w:val="24"/>
        </w:rPr>
        <w:t xml:space="preserve"> darbības stratēģijas 2014.-2016. gadam (</w:t>
      </w:r>
      <w:r w:rsidR="0062386E" w:rsidRPr="00E32AB4">
        <w:rPr>
          <w:sz w:val="24"/>
          <w:szCs w:val="24"/>
        </w:rPr>
        <w:t>IeM 2014.gada 27.</w:t>
      </w:r>
      <w:r w:rsidR="00CC2C09" w:rsidRPr="00E32AB4">
        <w:rPr>
          <w:sz w:val="24"/>
          <w:szCs w:val="24"/>
        </w:rPr>
        <w:t>februār</w:t>
      </w:r>
      <w:r w:rsidR="0062386E" w:rsidRPr="00E32AB4">
        <w:rPr>
          <w:sz w:val="24"/>
          <w:szCs w:val="24"/>
        </w:rPr>
        <w:t>a rīkojums Nr.</w:t>
      </w:r>
      <w:r w:rsidR="00CC2C09" w:rsidRPr="00E32AB4">
        <w:rPr>
          <w:sz w:val="24"/>
          <w:szCs w:val="24"/>
        </w:rPr>
        <w:t>1-12/486) darbības virzienam Nr.2</w:t>
      </w:r>
      <w:r w:rsidR="0062386E" w:rsidRPr="00E32AB4">
        <w:rPr>
          <w:sz w:val="24"/>
          <w:szCs w:val="24"/>
        </w:rPr>
        <w:t> „</w:t>
      </w:r>
      <w:r w:rsidR="00CC2C09" w:rsidRPr="00E32AB4">
        <w:rPr>
          <w:sz w:val="24"/>
          <w:szCs w:val="24"/>
        </w:rPr>
        <w:t xml:space="preserve">Iekšlietu politikas īstenošana </w:t>
      </w:r>
      <w:r w:rsidR="0062386E" w:rsidRPr="00E32AB4">
        <w:rPr>
          <w:sz w:val="24"/>
          <w:szCs w:val="24"/>
        </w:rPr>
        <w:t>Valsts policijas darbības jomā”</w:t>
      </w:r>
      <w:r w:rsidR="00CC2C09" w:rsidRPr="00E32AB4">
        <w:rPr>
          <w:sz w:val="24"/>
          <w:szCs w:val="24"/>
        </w:rPr>
        <w:t xml:space="preserve">.  Svarīgākais vidēja termiņa uzdevums - </w:t>
      </w:r>
      <w:r w:rsidR="006B0856" w:rsidRPr="00E32AB4">
        <w:rPr>
          <w:sz w:val="24"/>
          <w:szCs w:val="24"/>
        </w:rPr>
        <w:t>VP</w:t>
      </w:r>
      <w:r w:rsidR="00CC2C09" w:rsidRPr="00E32AB4">
        <w:rPr>
          <w:sz w:val="24"/>
          <w:szCs w:val="24"/>
        </w:rPr>
        <w:t xml:space="preserve"> darbības kapacitātes saglabāšana un uzlabošana visā apkalpojamajā teritorijā (stratēģijas 27.lapa).</w:t>
      </w:r>
      <w:r w:rsidR="0062386E" w:rsidRPr="00E32AB4">
        <w:rPr>
          <w:sz w:val="24"/>
          <w:szCs w:val="24"/>
        </w:rPr>
        <w:t xml:space="preserve"> </w:t>
      </w:r>
      <w:r w:rsidR="00B14740" w:rsidRPr="00E32AB4">
        <w:rPr>
          <w:sz w:val="24"/>
          <w:szCs w:val="24"/>
        </w:rPr>
        <w:t>G</w:t>
      </w:r>
      <w:r w:rsidR="0062386E" w:rsidRPr="00E32AB4">
        <w:rPr>
          <w:sz w:val="24"/>
          <w:szCs w:val="24"/>
        </w:rPr>
        <w:t>aisa dzesēšanas sistēmu izbūv</w:t>
      </w:r>
      <w:r w:rsidR="00B14740" w:rsidRPr="00E32AB4">
        <w:rPr>
          <w:sz w:val="24"/>
          <w:szCs w:val="24"/>
        </w:rPr>
        <w:t>e</w:t>
      </w:r>
      <w:r w:rsidR="0062386E" w:rsidRPr="00E32AB4">
        <w:rPr>
          <w:sz w:val="24"/>
          <w:szCs w:val="24"/>
        </w:rPr>
        <w:t xml:space="preserve"> IeM ēku kompleksa 1. un 4.korpusā </w:t>
      </w:r>
      <w:r w:rsidR="00B14740" w:rsidRPr="00E32AB4">
        <w:rPr>
          <w:sz w:val="24"/>
          <w:szCs w:val="24"/>
        </w:rPr>
        <w:t xml:space="preserve">veicinās </w:t>
      </w:r>
      <w:r w:rsidR="006B0856" w:rsidRPr="00E32AB4">
        <w:rPr>
          <w:sz w:val="24"/>
          <w:szCs w:val="24"/>
        </w:rPr>
        <w:t>VP</w:t>
      </w:r>
      <w:r w:rsidR="00203751" w:rsidRPr="00E32AB4">
        <w:rPr>
          <w:sz w:val="24"/>
          <w:szCs w:val="24"/>
        </w:rPr>
        <w:t xml:space="preserve"> darbības</w:t>
      </w:r>
      <w:r w:rsidR="00B14740" w:rsidRPr="00E32AB4">
        <w:rPr>
          <w:sz w:val="24"/>
          <w:szCs w:val="24"/>
        </w:rPr>
        <w:t xml:space="preserve"> kapacitātes </w:t>
      </w:r>
      <w:r w:rsidR="00203751" w:rsidRPr="00E32AB4">
        <w:rPr>
          <w:sz w:val="24"/>
          <w:szCs w:val="24"/>
        </w:rPr>
        <w:t>uzlabošanu</w:t>
      </w:r>
      <w:r w:rsidR="00B14740" w:rsidRPr="00E32AB4">
        <w:rPr>
          <w:sz w:val="24"/>
          <w:szCs w:val="24"/>
        </w:rPr>
        <w:t>, kā rezultātā tiks nodrošināta normatīvajos aktos noteikto uzdevumu izpilde (t.sk. veicināt policijas pieejamību, ātru rīcībspēju un sniegto pakalpojumu kvalitāti). Min</w:t>
      </w:r>
      <w:r w:rsidR="00203751" w:rsidRPr="00E32AB4">
        <w:rPr>
          <w:sz w:val="24"/>
          <w:szCs w:val="24"/>
        </w:rPr>
        <w:t>ētā īstenošanā vislielākā nozīme</w:t>
      </w:r>
      <w:r w:rsidR="00B14740" w:rsidRPr="00E32AB4">
        <w:rPr>
          <w:sz w:val="24"/>
          <w:szCs w:val="24"/>
        </w:rPr>
        <w:t xml:space="preserve"> ir pietiekamam materiāli tehniskajam nodrošinājumam un veicamiem pienākumiem atbilstošam un motivētam personālam.</w:t>
      </w:r>
    </w:p>
    <w:p w:rsidR="005136A6" w:rsidRPr="00B71AAF" w:rsidRDefault="009C2C0B" w:rsidP="009F667F">
      <w:pPr>
        <w:pStyle w:val="ListParagraph"/>
        <w:tabs>
          <w:tab w:val="left" w:pos="426"/>
        </w:tabs>
        <w:spacing w:before="120" w:after="120" w:line="240" w:lineRule="auto"/>
        <w:ind w:left="0"/>
        <w:contextualSpacing w:val="0"/>
        <w:jc w:val="both"/>
        <w:rPr>
          <w:color w:val="FF0000"/>
          <w:sz w:val="24"/>
          <w:szCs w:val="24"/>
        </w:rPr>
      </w:pPr>
      <w:r>
        <w:rPr>
          <w:rFonts w:eastAsia="Calibri"/>
          <w:sz w:val="24"/>
          <w:szCs w:val="24"/>
          <w:lang w:eastAsia="lv-LV"/>
        </w:rPr>
        <w:tab/>
      </w:r>
      <w:r w:rsidR="008404E1" w:rsidRPr="00B71AAF">
        <w:rPr>
          <w:rFonts w:eastAsia="Calibri"/>
          <w:sz w:val="24"/>
          <w:szCs w:val="24"/>
          <w:lang w:eastAsia="lv-LV"/>
        </w:rPr>
        <w:t>Ņemot vērā minēto</w:t>
      </w:r>
      <w:r w:rsidR="004934B7" w:rsidRPr="00B71AAF">
        <w:rPr>
          <w:rFonts w:eastAsia="Calibri"/>
          <w:sz w:val="24"/>
          <w:szCs w:val="24"/>
          <w:lang w:eastAsia="lv-LV"/>
        </w:rPr>
        <w:t xml:space="preserve">, ir sagatavots </w:t>
      </w:r>
      <w:r w:rsidR="008462F6" w:rsidRPr="003F7745">
        <w:rPr>
          <w:rFonts w:eastAsia="Calibri"/>
          <w:sz w:val="24"/>
          <w:szCs w:val="24"/>
          <w:lang w:eastAsia="lv-LV"/>
        </w:rPr>
        <w:t>MK</w:t>
      </w:r>
      <w:r w:rsidR="008462F6">
        <w:rPr>
          <w:rFonts w:eastAsia="Calibri"/>
          <w:sz w:val="24"/>
          <w:szCs w:val="24"/>
          <w:lang w:eastAsia="lv-LV"/>
        </w:rPr>
        <w:t xml:space="preserve"> </w:t>
      </w:r>
      <w:r w:rsidR="004934B7" w:rsidRPr="00B71AAF">
        <w:rPr>
          <w:rFonts w:eastAsia="Calibri"/>
          <w:sz w:val="24"/>
          <w:szCs w:val="24"/>
          <w:lang w:eastAsia="lv-LV"/>
        </w:rPr>
        <w:t>sēd</w:t>
      </w:r>
      <w:r w:rsidR="006120DF" w:rsidRPr="00B71AAF">
        <w:rPr>
          <w:rFonts w:eastAsia="Calibri"/>
          <w:sz w:val="24"/>
          <w:szCs w:val="24"/>
          <w:lang w:eastAsia="lv-LV"/>
        </w:rPr>
        <w:t>es protokollēmuma projekts, kura 2.punktā</w:t>
      </w:r>
      <w:r w:rsidR="004934B7" w:rsidRPr="00B71AAF">
        <w:rPr>
          <w:rFonts w:eastAsia="Calibri"/>
          <w:sz w:val="24"/>
          <w:szCs w:val="24"/>
          <w:lang w:eastAsia="lv-LV"/>
        </w:rPr>
        <w:t xml:space="preserve"> paredzēts, ka </w:t>
      </w:r>
      <w:r w:rsidR="00EF57DC">
        <w:rPr>
          <w:rFonts w:eastAsia="Calibri"/>
          <w:sz w:val="24"/>
          <w:szCs w:val="24"/>
          <w:lang w:eastAsia="lv-LV"/>
        </w:rPr>
        <w:t>IeM</w:t>
      </w:r>
      <w:r w:rsidR="00142175">
        <w:rPr>
          <w:rFonts w:eastAsia="Calibri"/>
          <w:sz w:val="24"/>
          <w:szCs w:val="24"/>
          <w:lang w:eastAsia="lv-LV"/>
        </w:rPr>
        <w:t xml:space="preserve"> </w:t>
      </w:r>
      <w:r w:rsidR="00266C5E">
        <w:rPr>
          <w:sz w:val="24"/>
          <w:szCs w:val="24"/>
        </w:rPr>
        <w:t>jaunā politikas iniciatīva</w:t>
      </w:r>
      <w:r w:rsidR="00672E7D" w:rsidRPr="00B71AAF">
        <w:rPr>
          <w:sz w:val="24"/>
          <w:szCs w:val="24"/>
        </w:rPr>
        <w:t xml:space="preserve"> </w:t>
      </w:r>
      <w:r w:rsidR="005136A6" w:rsidRPr="00B71AAF">
        <w:rPr>
          <w:sz w:val="24"/>
          <w:szCs w:val="24"/>
        </w:rPr>
        <w:t>par IeM nepieciešamo papildu finansējumu saistībā ar telpu gaisa dzesēšanas s</w:t>
      </w:r>
      <w:r w:rsidR="00AB5F1A">
        <w:rPr>
          <w:sz w:val="24"/>
          <w:szCs w:val="24"/>
        </w:rPr>
        <w:t>istēmu</w:t>
      </w:r>
      <w:r w:rsidR="00571CC0" w:rsidRPr="00B71AAF">
        <w:rPr>
          <w:sz w:val="24"/>
          <w:szCs w:val="24"/>
        </w:rPr>
        <w:t xml:space="preserve"> izbūvi IeM ēku kompleksā</w:t>
      </w:r>
      <w:r w:rsidR="005136A6" w:rsidRPr="00B71AAF">
        <w:rPr>
          <w:sz w:val="24"/>
          <w:szCs w:val="24"/>
        </w:rPr>
        <w:t>, kas atrodas uz zemes vienības Čiekurkalna 1.līnijā 1 k-1, Rīgā, nomas maksas izdevumu segšanai VNĪ no 201</w:t>
      </w:r>
      <w:r w:rsidR="00FD2A82">
        <w:rPr>
          <w:sz w:val="24"/>
          <w:szCs w:val="24"/>
        </w:rPr>
        <w:t>8</w:t>
      </w:r>
      <w:r w:rsidR="005136A6" w:rsidRPr="00B71AAF">
        <w:rPr>
          <w:sz w:val="24"/>
          <w:szCs w:val="24"/>
        </w:rPr>
        <w:t>.gada līdz 202</w:t>
      </w:r>
      <w:r w:rsidR="00925B02">
        <w:rPr>
          <w:sz w:val="24"/>
          <w:szCs w:val="24"/>
        </w:rPr>
        <w:t>7</w:t>
      </w:r>
      <w:r w:rsidR="005136A6" w:rsidRPr="00B71AAF">
        <w:rPr>
          <w:sz w:val="24"/>
          <w:szCs w:val="24"/>
        </w:rPr>
        <w:t xml:space="preserve">.gadam (ieskaitot) katru gadu </w:t>
      </w:r>
      <w:r w:rsidR="00E876C0" w:rsidRPr="00E876C0">
        <w:rPr>
          <w:sz w:val="24"/>
          <w:szCs w:val="24"/>
        </w:rPr>
        <w:t>450 370</w:t>
      </w:r>
      <w:r w:rsidR="00E876C0">
        <w:rPr>
          <w:sz w:val="16"/>
          <w:szCs w:val="16"/>
          <w:lang w:eastAsia="lv-LV"/>
        </w:rPr>
        <w:t xml:space="preserve"> </w:t>
      </w:r>
      <w:r w:rsidR="005136A6" w:rsidRPr="00B71AAF">
        <w:rPr>
          <w:i/>
          <w:sz w:val="24"/>
          <w:szCs w:val="24"/>
        </w:rPr>
        <w:t>euro</w:t>
      </w:r>
      <w:r w:rsidR="00ED1A72" w:rsidRPr="00B71AAF">
        <w:rPr>
          <w:sz w:val="24"/>
          <w:szCs w:val="24"/>
        </w:rPr>
        <w:t xml:space="preserve"> apmērā</w:t>
      </w:r>
      <w:r w:rsidR="005136A6" w:rsidRPr="00B71AAF">
        <w:rPr>
          <w:sz w:val="24"/>
          <w:szCs w:val="24"/>
        </w:rPr>
        <w:t xml:space="preserve"> un </w:t>
      </w:r>
      <w:r w:rsidR="00AB5F1A">
        <w:rPr>
          <w:sz w:val="24"/>
          <w:szCs w:val="24"/>
        </w:rPr>
        <w:t xml:space="preserve">elektroenerģijas </w:t>
      </w:r>
      <w:r w:rsidR="005136A6" w:rsidRPr="00B71AAF">
        <w:rPr>
          <w:sz w:val="24"/>
          <w:szCs w:val="24"/>
        </w:rPr>
        <w:t>izdevumu segšanai sākot no 201</w:t>
      </w:r>
      <w:r w:rsidR="00FD2A82">
        <w:rPr>
          <w:sz w:val="24"/>
          <w:szCs w:val="24"/>
        </w:rPr>
        <w:t>8</w:t>
      </w:r>
      <w:r w:rsidR="005136A6" w:rsidRPr="00B71AAF">
        <w:rPr>
          <w:sz w:val="24"/>
          <w:szCs w:val="24"/>
        </w:rPr>
        <w:t xml:space="preserve">.gada 35 650 </w:t>
      </w:r>
      <w:r w:rsidR="005136A6" w:rsidRPr="00B71AAF">
        <w:rPr>
          <w:i/>
          <w:sz w:val="24"/>
          <w:szCs w:val="24"/>
        </w:rPr>
        <w:t>euro</w:t>
      </w:r>
      <w:r w:rsidR="005136A6" w:rsidRPr="00B71AAF">
        <w:rPr>
          <w:sz w:val="24"/>
          <w:szCs w:val="24"/>
        </w:rPr>
        <w:t xml:space="preserve"> apmērā, </w:t>
      </w:r>
      <w:r w:rsidR="00266C5E">
        <w:rPr>
          <w:sz w:val="24"/>
          <w:szCs w:val="24"/>
        </w:rPr>
        <w:t>izskatāma</w:t>
      </w:r>
      <w:r w:rsidR="008462F6">
        <w:rPr>
          <w:sz w:val="24"/>
          <w:szCs w:val="24"/>
        </w:rPr>
        <w:t xml:space="preserve"> </w:t>
      </w:r>
      <w:r w:rsidR="005136A6" w:rsidRPr="00B71AAF">
        <w:rPr>
          <w:sz w:val="24"/>
          <w:szCs w:val="24"/>
        </w:rPr>
        <w:t xml:space="preserve">Ministru kabinetā kopā ar visu ministriju un citu centrālo valsts iestāžu jauno politikas iniciatīvu pieprasījumiem </w:t>
      </w:r>
      <w:r w:rsidR="005136A6" w:rsidRPr="00B71AAF">
        <w:rPr>
          <w:sz w:val="24"/>
          <w:szCs w:val="24"/>
        </w:rPr>
        <w:lastRenderedPageBreak/>
        <w:t>likumprojekta „Par valsts budžetu 201</w:t>
      </w:r>
      <w:r w:rsidR="00925B02">
        <w:rPr>
          <w:sz w:val="24"/>
          <w:szCs w:val="24"/>
        </w:rPr>
        <w:t>7</w:t>
      </w:r>
      <w:r w:rsidR="005136A6" w:rsidRPr="00B71AAF">
        <w:rPr>
          <w:sz w:val="24"/>
          <w:szCs w:val="24"/>
        </w:rPr>
        <w:t>.gadam” un likumprojekta „Par vidēja termiņa budžeta ietvaru 201</w:t>
      </w:r>
      <w:r w:rsidR="00FD2A82">
        <w:rPr>
          <w:sz w:val="24"/>
          <w:szCs w:val="24"/>
        </w:rPr>
        <w:t>7</w:t>
      </w:r>
      <w:r w:rsidR="005136A6" w:rsidRPr="00B71AAF">
        <w:rPr>
          <w:sz w:val="24"/>
          <w:szCs w:val="24"/>
        </w:rPr>
        <w:t>., 201</w:t>
      </w:r>
      <w:r w:rsidR="00FD2A82">
        <w:rPr>
          <w:sz w:val="24"/>
          <w:szCs w:val="24"/>
        </w:rPr>
        <w:t>8</w:t>
      </w:r>
      <w:r w:rsidR="005136A6" w:rsidRPr="00B71AAF">
        <w:rPr>
          <w:sz w:val="24"/>
          <w:szCs w:val="24"/>
        </w:rPr>
        <w:t>. un 201</w:t>
      </w:r>
      <w:r w:rsidR="00FD2A82">
        <w:rPr>
          <w:sz w:val="24"/>
          <w:szCs w:val="24"/>
        </w:rPr>
        <w:t>9</w:t>
      </w:r>
      <w:r w:rsidR="005136A6" w:rsidRPr="00B71AAF">
        <w:rPr>
          <w:sz w:val="24"/>
          <w:szCs w:val="24"/>
        </w:rPr>
        <w:t>.gadam” sagatavošanas procesā.</w:t>
      </w:r>
    </w:p>
    <w:p w:rsidR="008404E1" w:rsidRDefault="008404E1" w:rsidP="00463374">
      <w:pPr>
        <w:pStyle w:val="NoSpacing"/>
        <w:ind w:firstLine="851"/>
        <w:jc w:val="both"/>
        <w:rPr>
          <w:rFonts w:ascii="Times New Roman" w:hAnsi="Times New Roman"/>
          <w:sz w:val="24"/>
          <w:szCs w:val="24"/>
          <w:lang w:eastAsia="lv-LV"/>
        </w:rPr>
      </w:pPr>
    </w:p>
    <w:p w:rsidR="005B1873" w:rsidRDefault="005B1873" w:rsidP="00463374">
      <w:pPr>
        <w:pStyle w:val="NoSpacing"/>
        <w:ind w:firstLine="851"/>
        <w:jc w:val="both"/>
        <w:rPr>
          <w:rFonts w:ascii="Times New Roman" w:hAnsi="Times New Roman"/>
          <w:sz w:val="24"/>
          <w:szCs w:val="24"/>
          <w:lang w:eastAsia="lv-LV"/>
        </w:rPr>
      </w:pPr>
    </w:p>
    <w:p w:rsidR="005B1873" w:rsidRDefault="005B1873" w:rsidP="00463374">
      <w:pPr>
        <w:pStyle w:val="NoSpacing"/>
        <w:ind w:firstLine="851"/>
        <w:jc w:val="both"/>
        <w:rPr>
          <w:rFonts w:ascii="Times New Roman" w:hAnsi="Times New Roman"/>
          <w:sz w:val="24"/>
          <w:szCs w:val="24"/>
          <w:lang w:eastAsia="lv-LV"/>
        </w:rPr>
      </w:pPr>
    </w:p>
    <w:p w:rsidR="005B1873" w:rsidRPr="005B1873" w:rsidRDefault="005B1873" w:rsidP="005B1873">
      <w:pPr>
        <w:pStyle w:val="Header"/>
        <w:tabs>
          <w:tab w:val="clear" w:pos="4153"/>
          <w:tab w:val="clear" w:pos="8306"/>
        </w:tabs>
        <w:rPr>
          <w:rFonts w:ascii="Times New Roman" w:hAnsi="Times New Roman"/>
          <w:sz w:val="24"/>
          <w:szCs w:val="24"/>
        </w:rPr>
      </w:pPr>
      <w:r w:rsidRPr="005B1873">
        <w:rPr>
          <w:rFonts w:ascii="Times New Roman" w:hAnsi="Times New Roman"/>
          <w:sz w:val="24"/>
          <w:szCs w:val="24"/>
        </w:rPr>
        <w:t xml:space="preserve">Finanšu ministrs                                   </w:t>
      </w:r>
      <w:r w:rsidR="00E32AB4">
        <w:rPr>
          <w:rFonts w:ascii="Times New Roman" w:hAnsi="Times New Roman"/>
          <w:sz w:val="24"/>
          <w:szCs w:val="24"/>
        </w:rPr>
        <w:tab/>
      </w:r>
      <w:r w:rsidRPr="005B1873">
        <w:rPr>
          <w:rFonts w:ascii="Times New Roman" w:hAnsi="Times New Roman"/>
          <w:sz w:val="24"/>
          <w:szCs w:val="24"/>
        </w:rPr>
        <w:t xml:space="preserve">                           J. Reirs</w:t>
      </w:r>
    </w:p>
    <w:p w:rsidR="005B1873" w:rsidRDefault="005B1873" w:rsidP="00463374">
      <w:pPr>
        <w:pStyle w:val="NoSpacing"/>
        <w:ind w:firstLine="851"/>
        <w:jc w:val="both"/>
        <w:rPr>
          <w:rFonts w:ascii="Times New Roman" w:hAnsi="Times New Roman"/>
          <w:sz w:val="24"/>
          <w:szCs w:val="24"/>
          <w:lang w:eastAsia="lv-LV"/>
        </w:rPr>
      </w:pPr>
    </w:p>
    <w:p w:rsidR="00857F67" w:rsidRDefault="00857F67" w:rsidP="00463374">
      <w:pPr>
        <w:pStyle w:val="NoSpacing"/>
        <w:ind w:firstLine="851"/>
        <w:jc w:val="both"/>
        <w:rPr>
          <w:rFonts w:ascii="Times New Roman" w:hAnsi="Times New Roman"/>
          <w:sz w:val="24"/>
          <w:szCs w:val="24"/>
          <w:lang w:eastAsia="lv-LV"/>
        </w:rPr>
      </w:pPr>
    </w:p>
    <w:p w:rsidR="00E32AB4" w:rsidRDefault="00E32AB4" w:rsidP="00463374">
      <w:pPr>
        <w:pStyle w:val="NoSpacing"/>
        <w:ind w:firstLine="851"/>
        <w:jc w:val="both"/>
        <w:rPr>
          <w:rFonts w:ascii="Times New Roman" w:hAnsi="Times New Roman"/>
          <w:sz w:val="24"/>
          <w:szCs w:val="24"/>
          <w:lang w:eastAsia="lv-LV"/>
        </w:rPr>
      </w:pPr>
    </w:p>
    <w:p w:rsidR="005B1873" w:rsidRDefault="005B1873" w:rsidP="00463374">
      <w:pPr>
        <w:pStyle w:val="NoSpacing"/>
        <w:ind w:firstLine="851"/>
        <w:jc w:val="both"/>
        <w:rPr>
          <w:rFonts w:ascii="Times New Roman" w:hAnsi="Times New Roman"/>
          <w:sz w:val="24"/>
          <w:szCs w:val="24"/>
          <w:lang w:eastAsia="lv-LV"/>
        </w:rPr>
      </w:pPr>
    </w:p>
    <w:p w:rsidR="00BE7613" w:rsidRPr="005B1873" w:rsidRDefault="00AB5F1A" w:rsidP="00BE7613">
      <w:pPr>
        <w:pStyle w:val="Header"/>
        <w:tabs>
          <w:tab w:val="clear" w:pos="4153"/>
          <w:tab w:val="clear" w:pos="8306"/>
        </w:tabs>
        <w:rPr>
          <w:rFonts w:ascii="Times New Roman" w:hAnsi="Times New Roman"/>
          <w:sz w:val="20"/>
          <w:szCs w:val="20"/>
        </w:rPr>
      </w:pPr>
      <w:bookmarkStart w:id="1" w:name="OLE_LINK15"/>
      <w:bookmarkStart w:id="2" w:name="OLE_LINK11"/>
      <w:bookmarkStart w:id="3" w:name="OLE_LINK16"/>
      <w:r>
        <w:rPr>
          <w:rFonts w:ascii="Times New Roman" w:hAnsi="Times New Roman"/>
          <w:sz w:val="20"/>
          <w:szCs w:val="20"/>
        </w:rPr>
        <w:t>2</w:t>
      </w:r>
      <w:r w:rsidR="00E32AB4">
        <w:rPr>
          <w:rFonts w:ascii="Times New Roman" w:hAnsi="Times New Roman"/>
          <w:sz w:val="20"/>
          <w:szCs w:val="20"/>
        </w:rPr>
        <w:t>6</w:t>
      </w:r>
      <w:r w:rsidR="00203751">
        <w:rPr>
          <w:rFonts w:ascii="Times New Roman" w:hAnsi="Times New Roman"/>
          <w:sz w:val="20"/>
          <w:szCs w:val="20"/>
        </w:rPr>
        <w:t>.0</w:t>
      </w:r>
      <w:r w:rsidR="00E32AB4">
        <w:rPr>
          <w:rFonts w:ascii="Times New Roman" w:hAnsi="Times New Roman"/>
          <w:sz w:val="20"/>
          <w:szCs w:val="20"/>
        </w:rPr>
        <w:t>6</w:t>
      </w:r>
      <w:r w:rsidR="00BE7613" w:rsidRPr="005B1873">
        <w:rPr>
          <w:rFonts w:ascii="Times New Roman" w:hAnsi="Times New Roman"/>
          <w:sz w:val="20"/>
          <w:szCs w:val="20"/>
        </w:rPr>
        <w:t xml:space="preserve">.2015. </w:t>
      </w:r>
      <w:r w:rsidR="00E32AB4">
        <w:rPr>
          <w:rFonts w:ascii="Times New Roman" w:hAnsi="Times New Roman"/>
          <w:sz w:val="20"/>
          <w:szCs w:val="20"/>
        </w:rPr>
        <w:t>10</w:t>
      </w:r>
      <w:r w:rsidR="00BE7613" w:rsidRPr="005B1873">
        <w:rPr>
          <w:rFonts w:ascii="Times New Roman" w:hAnsi="Times New Roman"/>
          <w:sz w:val="20"/>
          <w:szCs w:val="20"/>
        </w:rPr>
        <w:t>:</w:t>
      </w:r>
      <w:r>
        <w:rPr>
          <w:rFonts w:ascii="Times New Roman" w:hAnsi="Times New Roman"/>
          <w:sz w:val="20"/>
          <w:szCs w:val="20"/>
        </w:rPr>
        <w:t>5</w:t>
      </w:r>
      <w:r w:rsidR="00E32AB4">
        <w:rPr>
          <w:rFonts w:ascii="Times New Roman" w:hAnsi="Times New Roman"/>
          <w:sz w:val="20"/>
          <w:szCs w:val="20"/>
        </w:rPr>
        <w:t>3</w:t>
      </w:r>
    </w:p>
    <w:p w:rsidR="00BE7613" w:rsidRPr="006B0856" w:rsidRDefault="00E876C0" w:rsidP="00BE7613">
      <w:pPr>
        <w:pStyle w:val="PlainText"/>
        <w:tabs>
          <w:tab w:val="left" w:pos="7200"/>
          <w:tab w:val="right" w:pos="9072"/>
        </w:tabs>
        <w:jc w:val="both"/>
        <w:rPr>
          <w:rFonts w:ascii="Times New Roman" w:hAnsi="Times New Roman"/>
          <w:sz w:val="20"/>
        </w:rPr>
      </w:pPr>
      <w:r>
        <w:rPr>
          <w:rFonts w:ascii="Times New Roman" w:eastAsia="Calibri" w:hAnsi="Times New Roman"/>
          <w:sz w:val="20"/>
        </w:rPr>
        <w:t>31</w:t>
      </w:r>
      <w:r w:rsidR="00833E7A">
        <w:rPr>
          <w:rFonts w:ascii="Times New Roman" w:eastAsia="Calibri" w:hAnsi="Times New Roman"/>
          <w:sz w:val="20"/>
        </w:rPr>
        <w:t>1</w:t>
      </w:r>
      <w:bookmarkStart w:id="4" w:name="_GoBack"/>
      <w:bookmarkEnd w:id="4"/>
      <w:r w:rsidR="00AB5F1A">
        <w:rPr>
          <w:rFonts w:ascii="Times New Roman" w:eastAsia="Calibri" w:hAnsi="Times New Roman"/>
          <w:sz w:val="20"/>
        </w:rPr>
        <w:t>5</w:t>
      </w:r>
    </w:p>
    <w:bookmarkEnd w:id="1"/>
    <w:bookmarkEnd w:id="2"/>
    <w:bookmarkEnd w:id="3"/>
    <w:p w:rsidR="00BE7613" w:rsidRPr="005B1873" w:rsidRDefault="00BE7613" w:rsidP="00BE7613">
      <w:pPr>
        <w:pStyle w:val="Header"/>
        <w:tabs>
          <w:tab w:val="clear" w:pos="4153"/>
          <w:tab w:val="clear" w:pos="8306"/>
        </w:tabs>
        <w:rPr>
          <w:rFonts w:ascii="Times New Roman" w:hAnsi="Times New Roman"/>
          <w:sz w:val="20"/>
          <w:szCs w:val="20"/>
        </w:rPr>
      </w:pPr>
      <w:r w:rsidRPr="005B1873">
        <w:rPr>
          <w:rFonts w:ascii="Times New Roman" w:hAnsi="Times New Roman"/>
          <w:sz w:val="20"/>
          <w:szCs w:val="20"/>
        </w:rPr>
        <w:t>L.Kokorēviča</w:t>
      </w:r>
    </w:p>
    <w:p w:rsidR="00BE7613" w:rsidRPr="005B1873" w:rsidRDefault="00BE7613" w:rsidP="00BE7613">
      <w:pPr>
        <w:pStyle w:val="NoSpacing"/>
        <w:jc w:val="both"/>
        <w:rPr>
          <w:rFonts w:ascii="Times New Roman" w:hAnsi="Times New Roman"/>
          <w:sz w:val="20"/>
          <w:szCs w:val="20"/>
          <w:lang w:eastAsia="lv-LV"/>
        </w:rPr>
      </w:pPr>
      <w:r w:rsidRPr="005B1873">
        <w:rPr>
          <w:rFonts w:ascii="Times New Roman" w:hAnsi="Times New Roman"/>
          <w:sz w:val="20"/>
          <w:szCs w:val="20"/>
        </w:rPr>
        <w:t xml:space="preserve">67024955, </w:t>
      </w:r>
      <w:hyperlink r:id="rId12" w:history="1">
        <w:r w:rsidRPr="005B1873">
          <w:rPr>
            <w:rStyle w:val="Hyperlink"/>
            <w:rFonts w:ascii="Times New Roman" w:hAnsi="Times New Roman"/>
            <w:sz w:val="20"/>
            <w:szCs w:val="20"/>
          </w:rPr>
          <w:t>Lita.Kokorevica@vni.lv</w:t>
        </w:r>
      </w:hyperlink>
    </w:p>
    <w:sectPr w:rsidR="00BE7613" w:rsidRPr="005B1873" w:rsidSect="003B40AA">
      <w:headerReference w:type="default" r:id="rId13"/>
      <w:footerReference w:type="default" r:id="rId14"/>
      <w:footerReference w:type="first" r:id="rId15"/>
      <w:pgSz w:w="11906" w:h="16838"/>
      <w:pgMar w:top="1134" w:right="1134" w:bottom="1134" w:left="1701" w:header="73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C0" w:rsidRDefault="00563AC0" w:rsidP="005C5A61">
      <w:pPr>
        <w:spacing w:after="0" w:line="240" w:lineRule="auto"/>
      </w:pPr>
      <w:r>
        <w:separator/>
      </w:r>
    </w:p>
  </w:endnote>
  <w:endnote w:type="continuationSeparator" w:id="0">
    <w:p w:rsidR="00563AC0" w:rsidRDefault="00563AC0" w:rsidP="005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Default="00800B38" w:rsidP="00161069">
    <w:pPr>
      <w:pStyle w:val="Footer"/>
      <w:jc w:val="both"/>
    </w:pPr>
    <w:r w:rsidRPr="00282DBA">
      <w:rPr>
        <w:rFonts w:ascii="Times New Roman" w:hAnsi="Times New Roman"/>
        <w:sz w:val="20"/>
        <w:szCs w:val="20"/>
      </w:rPr>
      <w:fldChar w:fldCharType="begin"/>
    </w:r>
    <w:r w:rsidRPr="00282DBA">
      <w:rPr>
        <w:rFonts w:ascii="Times New Roman" w:hAnsi="Times New Roman"/>
        <w:sz w:val="20"/>
        <w:szCs w:val="20"/>
      </w:rPr>
      <w:instrText xml:space="preserve"> FILENAME </w:instrText>
    </w:r>
    <w:r w:rsidRPr="00282DBA">
      <w:rPr>
        <w:rFonts w:ascii="Times New Roman" w:hAnsi="Times New Roman"/>
        <w:sz w:val="20"/>
        <w:szCs w:val="20"/>
      </w:rPr>
      <w:fldChar w:fldCharType="separate"/>
    </w:r>
    <w:r>
      <w:rPr>
        <w:rFonts w:ascii="Times New Roman" w:hAnsi="Times New Roman"/>
        <w:noProof/>
        <w:sz w:val="20"/>
        <w:szCs w:val="20"/>
      </w:rPr>
      <w:t>FMZin_020215_IeMdzessist</w:t>
    </w:r>
    <w:r w:rsidRPr="00282DBA">
      <w:rPr>
        <w:rFonts w:ascii="Times New Roman" w:hAnsi="Times New Roman"/>
        <w:sz w:val="20"/>
        <w:szCs w:val="20"/>
      </w:rPr>
      <w:fldChar w:fldCharType="end"/>
    </w:r>
    <w:r w:rsidRPr="00161069">
      <w:rPr>
        <w:rFonts w:ascii="Times New Roman" w:hAnsi="Times New Roman"/>
        <w:sz w:val="18"/>
        <w:szCs w:val="18"/>
      </w:rPr>
      <w:t>; Informatīvais ziņojums „Par telpu gaisa dzesēšanas sistēmu izbūves Iekšlietu ministrijas ēku kompleksa, kas atrodas uz zemes vienības Čiekurkalna 1.līnijā 1 k-1, Rīgā, 1. un 4.korpusā nepieciešamību”</w:t>
    </w:r>
  </w:p>
  <w:p w:rsidR="00800B38" w:rsidRPr="005C5A61" w:rsidRDefault="00800B38" w:rsidP="005C5A61">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Pr="00161069" w:rsidRDefault="00800B38" w:rsidP="00161069">
    <w:pPr>
      <w:pStyle w:val="Footer"/>
      <w:jc w:val="both"/>
      <w:rPr>
        <w:rFonts w:ascii="Times New Roman" w:hAnsi="Times New Roman"/>
        <w:sz w:val="18"/>
        <w:szCs w:val="18"/>
      </w:rPr>
    </w:pPr>
    <w:r w:rsidRPr="00282DBA">
      <w:rPr>
        <w:rFonts w:ascii="Times New Roman" w:hAnsi="Times New Roman"/>
        <w:sz w:val="20"/>
        <w:szCs w:val="20"/>
      </w:rPr>
      <w:fldChar w:fldCharType="begin"/>
    </w:r>
    <w:r w:rsidRPr="00282DBA">
      <w:rPr>
        <w:rFonts w:ascii="Times New Roman" w:hAnsi="Times New Roman"/>
        <w:sz w:val="20"/>
        <w:szCs w:val="20"/>
      </w:rPr>
      <w:instrText xml:space="preserve"> FILENAME </w:instrText>
    </w:r>
    <w:r w:rsidRPr="00282DBA">
      <w:rPr>
        <w:rFonts w:ascii="Times New Roman" w:hAnsi="Times New Roman"/>
        <w:sz w:val="20"/>
        <w:szCs w:val="20"/>
      </w:rPr>
      <w:fldChar w:fldCharType="separate"/>
    </w:r>
    <w:r>
      <w:rPr>
        <w:rFonts w:ascii="Times New Roman" w:hAnsi="Times New Roman"/>
        <w:noProof/>
        <w:sz w:val="20"/>
        <w:szCs w:val="20"/>
      </w:rPr>
      <w:t>FMZin_020215_IeMdzessist</w:t>
    </w:r>
    <w:r w:rsidRPr="00282DBA">
      <w:rPr>
        <w:rFonts w:ascii="Times New Roman" w:hAnsi="Times New Roman"/>
        <w:sz w:val="20"/>
        <w:szCs w:val="20"/>
      </w:rPr>
      <w:fldChar w:fldCharType="end"/>
    </w:r>
    <w:r w:rsidRPr="00282DBA">
      <w:rPr>
        <w:rFonts w:ascii="Times New Roman" w:hAnsi="Times New Roman"/>
        <w:sz w:val="18"/>
        <w:szCs w:val="18"/>
      </w:rPr>
      <w:t>; Informatīvais ziņojums „Par telpu gaisa dzesēšanas sistēmu izbūves Iekšlietu ministrijas ēku</w:t>
    </w:r>
    <w:r w:rsidRPr="00161069">
      <w:rPr>
        <w:rFonts w:ascii="Times New Roman" w:hAnsi="Times New Roman"/>
        <w:sz w:val="18"/>
        <w:szCs w:val="18"/>
      </w:rPr>
      <w:t xml:space="preserve"> kompleksa, kas atrodas uz zemes vienības Čiekurkalna 1.līnijā 1 k-1, Rīgā, 1. un 4.korpusā nepieciešamību”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C0" w:rsidRDefault="00563AC0" w:rsidP="005C5A61">
      <w:pPr>
        <w:spacing w:after="0" w:line="240" w:lineRule="auto"/>
      </w:pPr>
      <w:r>
        <w:separator/>
      </w:r>
    </w:p>
  </w:footnote>
  <w:footnote w:type="continuationSeparator" w:id="0">
    <w:p w:rsidR="00563AC0" w:rsidRDefault="00563AC0" w:rsidP="005C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Default="00800B38">
    <w:pPr>
      <w:pStyle w:val="Header"/>
      <w:jc w:val="center"/>
    </w:pPr>
    <w:r w:rsidRPr="00802BF7">
      <w:rPr>
        <w:rFonts w:ascii="Times New Roman" w:hAnsi="Times New Roman"/>
      </w:rPr>
      <w:fldChar w:fldCharType="begin"/>
    </w:r>
    <w:r w:rsidRPr="00802BF7">
      <w:rPr>
        <w:rFonts w:ascii="Times New Roman" w:hAnsi="Times New Roman"/>
      </w:rPr>
      <w:instrText xml:space="preserve"> PAGE   \* MERGEFORMAT </w:instrText>
    </w:r>
    <w:r w:rsidRPr="00802BF7">
      <w:rPr>
        <w:rFonts w:ascii="Times New Roman" w:hAnsi="Times New Roman"/>
      </w:rPr>
      <w:fldChar w:fldCharType="separate"/>
    </w:r>
    <w:r w:rsidR="00833E7A">
      <w:rPr>
        <w:rFonts w:ascii="Times New Roman" w:hAnsi="Times New Roman"/>
        <w:noProof/>
      </w:rPr>
      <w:t>7</w:t>
    </w:r>
    <w:r w:rsidRPr="00802BF7">
      <w:rPr>
        <w:rFonts w:ascii="Times New Roman" w:hAnsi="Times New Roman"/>
        <w:noProof/>
      </w:rPr>
      <w:fldChar w:fldCharType="end"/>
    </w:r>
  </w:p>
  <w:p w:rsidR="00800B38" w:rsidRDefault="0080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54"/>
    <w:multiLevelType w:val="hybridMultilevel"/>
    <w:tmpl w:val="BFCC9AD4"/>
    <w:lvl w:ilvl="0" w:tplc="0456A9E8">
      <w:start w:val="1"/>
      <w:numFmt w:val="bullet"/>
      <w:lvlText w:val="-"/>
      <w:lvlJc w:val="left"/>
      <w:pPr>
        <w:ind w:left="1067" w:hanging="360"/>
      </w:pPr>
      <w:rPr>
        <w:rFonts w:ascii="Times New Roman" w:eastAsia="Calibri" w:hAnsi="Times New Roman" w:cs="Times New Roman" w:hint="default"/>
      </w:rPr>
    </w:lvl>
    <w:lvl w:ilvl="1" w:tplc="04260003" w:tentative="1">
      <w:start w:val="1"/>
      <w:numFmt w:val="bullet"/>
      <w:lvlText w:val="o"/>
      <w:lvlJc w:val="left"/>
      <w:pPr>
        <w:ind w:left="1787" w:hanging="360"/>
      </w:pPr>
      <w:rPr>
        <w:rFonts w:ascii="Courier New" w:hAnsi="Courier New" w:cs="Courier New" w:hint="default"/>
      </w:rPr>
    </w:lvl>
    <w:lvl w:ilvl="2" w:tplc="04260005" w:tentative="1">
      <w:start w:val="1"/>
      <w:numFmt w:val="bullet"/>
      <w:lvlText w:val=""/>
      <w:lvlJc w:val="left"/>
      <w:pPr>
        <w:ind w:left="2507" w:hanging="360"/>
      </w:pPr>
      <w:rPr>
        <w:rFonts w:ascii="Wingdings" w:hAnsi="Wingdings" w:hint="default"/>
      </w:rPr>
    </w:lvl>
    <w:lvl w:ilvl="3" w:tplc="04260001" w:tentative="1">
      <w:start w:val="1"/>
      <w:numFmt w:val="bullet"/>
      <w:lvlText w:val=""/>
      <w:lvlJc w:val="left"/>
      <w:pPr>
        <w:ind w:left="3227" w:hanging="360"/>
      </w:pPr>
      <w:rPr>
        <w:rFonts w:ascii="Symbol" w:hAnsi="Symbol" w:hint="default"/>
      </w:rPr>
    </w:lvl>
    <w:lvl w:ilvl="4" w:tplc="04260003" w:tentative="1">
      <w:start w:val="1"/>
      <w:numFmt w:val="bullet"/>
      <w:lvlText w:val="o"/>
      <w:lvlJc w:val="left"/>
      <w:pPr>
        <w:ind w:left="3947" w:hanging="360"/>
      </w:pPr>
      <w:rPr>
        <w:rFonts w:ascii="Courier New" w:hAnsi="Courier New" w:cs="Courier New" w:hint="default"/>
      </w:rPr>
    </w:lvl>
    <w:lvl w:ilvl="5" w:tplc="04260005" w:tentative="1">
      <w:start w:val="1"/>
      <w:numFmt w:val="bullet"/>
      <w:lvlText w:val=""/>
      <w:lvlJc w:val="left"/>
      <w:pPr>
        <w:ind w:left="4667" w:hanging="360"/>
      </w:pPr>
      <w:rPr>
        <w:rFonts w:ascii="Wingdings" w:hAnsi="Wingdings" w:hint="default"/>
      </w:rPr>
    </w:lvl>
    <w:lvl w:ilvl="6" w:tplc="04260001" w:tentative="1">
      <w:start w:val="1"/>
      <w:numFmt w:val="bullet"/>
      <w:lvlText w:val=""/>
      <w:lvlJc w:val="left"/>
      <w:pPr>
        <w:ind w:left="5387" w:hanging="360"/>
      </w:pPr>
      <w:rPr>
        <w:rFonts w:ascii="Symbol" w:hAnsi="Symbol" w:hint="default"/>
      </w:rPr>
    </w:lvl>
    <w:lvl w:ilvl="7" w:tplc="04260003" w:tentative="1">
      <w:start w:val="1"/>
      <w:numFmt w:val="bullet"/>
      <w:lvlText w:val="o"/>
      <w:lvlJc w:val="left"/>
      <w:pPr>
        <w:ind w:left="6107" w:hanging="360"/>
      </w:pPr>
      <w:rPr>
        <w:rFonts w:ascii="Courier New" w:hAnsi="Courier New" w:cs="Courier New" w:hint="default"/>
      </w:rPr>
    </w:lvl>
    <w:lvl w:ilvl="8" w:tplc="04260005" w:tentative="1">
      <w:start w:val="1"/>
      <w:numFmt w:val="bullet"/>
      <w:lvlText w:val=""/>
      <w:lvlJc w:val="left"/>
      <w:pPr>
        <w:ind w:left="6827" w:hanging="360"/>
      </w:pPr>
      <w:rPr>
        <w:rFonts w:ascii="Wingdings" w:hAnsi="Wingdings" w:hint="default"/>
      </w:rPr>
    </w:lvl>
  </w:abstractNum>
  <w:abstractNum w:abstractNumId="1">
    <w:nsid w:val="308468D9"/>
    <w:multiLevelType w:val="hybridMultilevel"/>
    <w:tmpl w:val="8F9839A0"/>
    <w:lvl w:ilvl="0" w:tplc="5B86AC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500413"/>
    <w:multiLevelType w:val="hybridMultilevel"/>
    <w:tmpl w:val="F0D49006"/>
    <w:lvl w:ilvl="0" w:tplc="4D4248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CD4EA3"/>
    <w:multiLevelType w:val="hybridMultilevel"/>
    <w:tmpl w:val="073843F6"/>
    <w:lvl w:ilvl="0" w:tplc="18920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6F736D"/>
    <w:multiLevelType w:val="hybridMultilevel"/>
    <w:tmpl w:val="14E84900"/>
    <w:lvl w:ilvl="0" w:tplc="C234F4E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4FAC2F7B"/>
    <w:multiLevelType w:val="hybridMultilevel"/>
    <w:tmpl w:val="BEA8B93A"/>
    <w:lvl w:ilvl="0" w:tplc="527854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7DE4794C"/>
    <w:multiLevelType w:val="hybridMultilevel"/>
    <w:tmpl w:val="8FD67C9A"/>
    <w:lvl w:ilvl="0" w:tplc="A642A0D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A1"/>
    <w:rsid w:val="00060EC6"/>
    <w:rsid w:val="000627F8"/>
    <w:rsid w:val="00093D84"/>
    <w:rsid w:val="00094D4B"/>
    <w:rsid w:val="000A005E"/>
    <w:rsid w:val="000A13A9"/>
    <w:rsid w:val="000C385A"/>
    <w:rsid w:val="000C7CC1"/>
    <w:rsid w:val="000D762C"/>
    <w:rsid w:val="000F1CA1"/>
    <w:rsid w:val="0010051B"/>
    <w:rsid w:val="001145C6"/>
    <w:rsid w:val="00142175"/>
    <w:rsid w:val="00161069"/>
    <w:rsid w:val="00166D7E"/>
    <w:rsid w:val="00175F17"/>
    <w:rsid w:val="001F7CE5"/>
    <w:rsid w:val="00203751"/>
    <w:rsid w:val="00211EF8"/>
    <w:rsid w:val="00212C9C"/>
    <w:rsid w:val="0021503E"/>
    <w:rsid w:val="00266C5E"/>
    <w:rsid w:val="00282DBA"/>
    <w:rsid w:val="00287C8E"/>
    <w:rsid w:val="002A18AA"/>
    <w:rsid w:val="002E49E3"/>
    <w:rsid w:val="002F374D"/>
    <w:rsid w:val="00310999"/>
    <w:rsid w:val="00331BC2"/>
    <w:rsid w:val="003354DC"/>
    <w:rsid w:val="00356698"/>
    <w:rsid w:val="003B40AA"/>
    <w:rsid w:val="003C7AC3"/>
    <w:rsid w:val="003F7745"/>
    <w:rsid w:val="00416BAD"/>
    <w:rsid w:val="0041774D"/>
    <w:rsid w:val="004504F7"/>
    <w:rsid w:val="00463374"/>
    <w:rsid w:val="004843A9"/>
    <w:rsid w:val="004934B7"/>
    <w:rsid w:val="004936D3"/>
    <w:rsid w:val="004962F7"/>
    <w:rsid w:val="004F0DB5"/>
    <w:rsid w:val="00503C0D"/>
    <w:rsid w:val="005136A6"/>
    <w:rsid w:val="00563AC0"/>
    <w:rsid w:val="00571CC0"/>
    <w:rsid w:val="005735E1"/>
    <w:rsid w:val="00591D9D"/>
    <w:rsid w:val="005953CA"/>
    <w:rsid w:val="005B1873"/>
    <w:rsid w:val="005C5A61"/>
    <w:rsid w:val="005F1E78"/>
    <w:rsid w:val="006120DF"/>
    <w:rsid w:val="0062386E"/>
    <w:rsid w:val="006243C0"/>
    <w:rsid w:val="00631142"/>
    <w:rsid w:val="006350B2"/>
    <w:rsid w:val="0065544A"/>
    <w:rsid w:val="00667FD4"/>
    <w:rsid w:val="00672E7D"/>
    <w:rsid w:val="00690CFA"/>
    <w:rsid w:val="006B0856"/>
    <w:rsid w:val="006B35F6"/>
    <w:rsid w:val="006D4AA2"/>
    <w:rsid w:val="006E06EA"/>
    <w:rsid w:val="0070701A"/>
    <w:rsid w:val="007531EA"/>
    <w:rsid w:val="00753382"/>
    <w:rsid w:val="0077375A"/>
    <w:rsid w:val="00773CAA"/>
    <w:rsid w:val="0077726A"/>
    <w:rsid w:val="0078653F"/>
    <w:rsid w:val="00795685"/>
    <w:rsid w:val="007957BD"/>
    <w:rsid w:val="007A03B8"/>
    <w:rsid w:val="007B5E6F"/>
    <w:rsid w:val="007E0385"/>
    <w:rsid w:val="00800B38"/>
    <w:rsid w:val="00800DA7"/>
    <w:rsid w:val="00802BF7"/>
    <w:rsid w:val="0081034B"/>
    <w:rsid w:val="008240AC"/>
    <w:rsid w:val="008269C1"/>
    <w:rsid w:val="00833E7A"/>
    <w:rsid w:val="008404E1"/>
    <w:rsid w:val="008462F6"/>
    <w:rsid w:val="00857F67"/>
    <w:rsid w:val="00864D15"/>
    <w:rsid w:val="0086674A"/>
    <w:rsid w:val="00867DDB"/>
    <w:rsid w:val="008922BE"/>
    <w:rsid w:val="008B1384"/>
    <w:rsid w:val="008E5B97"/>
    <w:rsid w:val="00920FA1"/>
    <w:rsid w:val="00925B02"/>
    <w:rsid w:val="00925E18"/>
    <w:rsid w:val="00930652"/>
    <w:rsid w:val="00936236"/>
    <w:rsid w:val="0097668A"/>
    <w:rsid w:val="009866AA"/>
    <w:rsid w:val="009A5147"/>
    <w:rsid w:val="009C2C0B"/>
    <w:rsid w:val="009D0400"/>
    <w:rsid w:val="009E31AB"/>
    <w:rsid w:val="009F667F"/>
    <w:rsid w:val="009F6BA7"/>
    <w:rsid w:val="00A125A3"/>
    <w:rsid w:val="00A2319B"/>
    <w:rsid w:val="00A25833"/>
    <w:rsid w:val="00A31096"/>
    <w:rsid w:val="00A57681"/>
    <w:rsid w:val="00A601B8"/>
    <w:rsid w:val="00A67186"/>
    <w:rsid w:val="00A74221"/>
    <w:rsid w:val="00AA53B6"/>
    <w:rsid w:val="00AB5F1A"/>
    <w:rsid w:val="00AF1DFB"/>
    <w:rsid w:val="00B11A95"/>
    <w:rsid w:val="00B14740"/>
    <w:rsid w:val="00B21F0B"/>
    <w:rsid w:val="00B52087"/>
    <w:rsid w:val="00B71AAF"/>
    <w:rsid w:val="00B80830"/>
    <w:rsid w:val="00B95776"/>
    <w:rsid w:val="00BA67AC"/>
    <w:rsid w:val="00BA7966"/>
    <w:rsid w:val="00BC1464"/>
    <w:rsid w:val="00BE7613"/>
    <w:rsid w:val="00BF53AD"/>
    <w:rsid w:val="00C06B40"/>
    <w:rsid w:val="00C1283D"/>
    <w:rsid w:val="00C6530D"/>
    <w:rsid w:val="00C83FAA"/>
    <w:rsid w:val="00C93A24"/>
    <w:rsid w:val="00C93B35"/>
    <w:rsid w:val="00CB5E2F"/>
    <w:rsid w:val="00CC2C09"/>
    <w:rsid w:val="00CE3B81"/>
    <w:rsid w:val="00D52CB2"/>
    <w:rsid w:val="00D86F71"/>
    <w:rsid w:val="00DB5550"/>
    <w:rsid w:val="00DD3BDB"/>
    <w:rsid w:val="00DD4BAE"/>
    <w:rsid w:val="00DE1FAA"/>
    <w:rsid w:val="00DE487E"/>
    <w:rsid w:val="00E32AB4"/>
    <w:rsid w:val="00E332BE"/>
    <w:rsid w:val="00E36D45"/>
    <w:rsid w:val="00E70CE1"/>
    <w:rsid w:val="00E81B63"/>
    <w:rsid w:val="00E876C0"/>
    <w:rsid w:val="00EA10DA"/>
    <w:rsid w:val="00EA6EA2"/>
    <w:rsid w:val="00EB31B7"/>
    <w:rsid w:val="00EC3DB4"/>
    <w:rsid w:val="00ED1A72"/>
    <w:rsid w:val="00ED4240"/>
    <w:rsid w:val="00EF57DC"/>
    <w:rsid w:val="00F0379C"/>
    <w:rsid w:val="00F17118"/>
    <w:rsid w:val="00F306F3"/>
    <w:rsid w:val="00F55BE0"/>
    <w:rsid w:val="00F8624D"/>
    <w:rsid w:val="00FB4E31"/>
    <w:rsid w:val="00FC3E40"/>
    <w:rsid w:val="00FD2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A1"/>
    <w:rPr>
      <w:sz w:val="22"/>
      <w:szCs w:val="22"/>
      <w:lang w:eastAsia="en-US"/>
    </w:rPr>
  </w:style>
  <w:style w:type="paragraph" w:styleId="Header">
    <w:name w:val="header"/>
    <w:aliases w:val="18pt Bold"/>
    <w:basedOn w:val="Normal"/>
    <w:link w:val="HeaderChar"/>
    <w:uiPriority w:val="99"/>
    <w:unhideWhenUsed/>
    <w:rsid w:val="005C5A61"/>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5C5A61"/>
  </w:style>
  <w:style w:type="paragraph" w:styleId="Footer">
    <w:name w:val="footer"/>
    <w:basedOn w:val="Normal"/>
    <w:link w:val="FooterChar"/>
    <w:uiPriority w:val="99"/>
    <w:unhideWhenUsed/>
    <w:rsid w:val="005C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A61"/>
  </w:style>
  <w:style w:type="paragraph" w:customStyle="1" w:styleId="naiskr">
    <w:name w:val="naiskr"/>
    <w:basedOn w:val="Normal"/>
    <w:uiPriority w:val="99"/>
    <w:rsid w:val="00463374"/>
    <w:pPr>
      <w:spacing w:before="75" w:after="75" w:line="240" w:lineRule="auto"/>
    </w:pPr>
    <w:rPr>
      <w:rFonts w:ascii="Times New Roman" w:hAnsi="Times New Roman"/>
      <w:sz w:val="24"/>
      <w:szCs w:val="24"/>
      <w:lang w:eastAsia="lv-LV"/>
    </w:rPr>
  </w:style>
  <w:style w:type="paragraph" w:styleId="ListParagraph">
    <w:name w:val="List Paragraph"/>
    <w:basedOn w:val="Normal"/>
    <w:uiPriority w:val="34"/>
    <w:qFormat/>
    <w:rsid w:val="000627F8"/>
    <w:pPr>
      <w:ind w:left="720"/>
      <w:contextualSpacing/>
    </w:pPr>
    <w:rPr>
      <w:rFonts w:ascii="Times New Roman" w:eastAsia="Times New Roman" w:hAnsi="Times New Roman"/>
      <w:sz w:val="28"/>
    </w:rPr>
  </w:style>
  <w:style w:type="character" w:styleId="Hyperlink">
    <w:name w:val="Hyperlink"/>
    <w:uiPriority w:val="99"/>
    <w:rsid w:val="00FC3E40"/>
    <w:rPr>
      <w:rFonts w:cs="Times New Roman"/>
      <w:color w:val="0000FF"/>
      <w:u w:val="single"/>
    </w:rPr>
  </w:style>
  <w:style w:type="character" w:styleId="CommentReference">
    <w:name w:val="annotation reference"/>
    <w:uiPriority w:val="99"/>
    <w:semiHidden/>
    <w:unhideWhenUsed/>
    <w:rsid w:val="00C93A24"/>
    <w:rPr>
      <w:sz w:val="16"/>
      <w:szCs w:val="16"/>
    </w:rPr>
  </w:style>
  <w:style w:type="paragraph" w:styleId="CommentText">
    <w:name w:val="annotation text"/>
    <w:basedOn w:val="Normal"/>
    <w:link w:val="CommentTextChar"/>
    <w:uiPriority w:val="99"/>
    <w:semiHidden/>
    <w:unhideWhenUsed/>
    <w:rsid w:val="00C93A24"/>
    <w:pPr>
      <w:spacing w:line="240" w:lineRule="auto"/>
    </w:pPr>
    <w:rPr>
      <w:sz w:val="20"/>
      <w:szCs w:val="20"/>
    </w:rPr>
  </w:style>
  <w:style w:type="character" w:customStyle="1" w:styleId="CommentTextChar">
    <w:name w:val="Comment Text Char"/>
    <w:link w:val="CommentText"/>
    <w:uiPriority w:val="99"/>
    <w:semiHidden/>
    <w:rsid w:val="00C93A24"/>
    <w:rPr>
      <w:sz w:val="20"/>
      <w:szCs w:val="20"/>
    </w:rPr>
  </w:style>
  <w:style w:type="paragraph" w:styleId="CommentSubject">
    <w:name w:val="annotation subject"/>
    <w:basedOn w:val="CommentText"/>
    <w:next w:val="CommentText"/>
    <w:link w:val="CommentSubjectChar"/>
    <w:uiPriority w:val="99"/>
    <w:semiHidden/>
    <w:unhideWhenUsed/>
    <w:rsid w:val="00C93A24"/>
    <w:rPr>
      <w:b/>
      <w:bCs/>
    </w:rPr>
  </w:style>
  <w:style w:type="character" w:customStyle="1" w:styleId="CommentSubjectChar">
    <w:name w:val="Comment Subject Char"/>
    <w:link w:val="CommentSubject"/>
    <w:uiPriority w:val="99"/>
    <w:semiHidden/>
    <w:rsid w:val="00C93A24"/>
    <w:rPr>
      <w:b/>
      <w:bCs/>
      <w:sz w:val="20"/>
      <w:szCs w:val="20"/>
    </w:rPr>
  </w:style>
  <w:style w:type="paragraph" w:styleId="BalloonText">
    <w:name w:val="Balloon Text"/>
    <w:basedOn w:val="Normal"/>
    <w:link w:val="BalloonTextChar"/>
    <w:uiPriority w:val="99"/>
    <w:semiHidden/>
    <w:unhideWhenUsed/>
    <w:rsid w:val="00C93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A24"/>
    <w:rPr>
      <w:rFonts w:ascii="Tahoma" w:hAnsi="Tahoma" w:cs="Tahoma"/>
      <w:sz w:val="16"/>
      <w:szCs w:val="16"/>
    </w:rPr>
  </w:style>
  <w:style w:type="paragraph" w:styleId="PlainText">
    <w:name w:val="Plain Text"/>
    <w:basedOn w:val="Normal"/>
    <w:link w:val="PlainTextChar"/>
    <w:uiPriority w:val="99"/>
    <w:rsid w:val="00BE7613"/>
    <w:pPr>
      <w:snapToGrid w:val="0"/>
      <w:spacing w:after="0" w:line="240" w:lineRule="auto"/>
    </w:pPr>
    <w:rPr>
      <w:rFonts w:ascii="Courier New" w:eastAsia="Times New Roman" w:hAnsi="Courier New"/>
      <w:sz w:val="28"/>
      <w:szCs w:val="20"/>
    </w:rPr>
  </w:style>
  <w:style w:type="character" w:customStyle="1" w:styleId="PlainTextChar">
    <w:name w:val="Plain Text Char"/>
    <w:link w:val="PlainText"/>
    <w:uiPriority w:val="99"/>
    <w:rsid w:val="00BE7613"/>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A1"/>
    <w:rPr>
      <w:sz w:val="22"/>
      <w:szCs w:val="22"/>
      <w:lang w:eastAsia="en-US"/>
    </w:rPr>
  </w:style>
  <w:style w:type="paragraph" w:styleId="Header">
    <w:name w:val="header"/>
    <w:aliases w:val="18pt Bold"/>
    <w:basedOn w:val="Normal"/>
    <w:link w:val="HeaderChar"/>
    <w:uiPriority w:val="99"/>
    <w:unhideWhenUsed/>
    <w:rsid w:val="005C5A61"/>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5C5A61"/>
  </w:style>
  <w:style w:type="paragraph" w:styleId="Footer">
    <w:name w:val="footer"/>
    <w:basedOn w:val="Normal"/>
    <w:link w:val="FooterChar"/>
    <w:uiPriority w:val="99"/>
    <w:unhideWhenUsed/>
    <w:rsid w:val="005C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A61"/>
  </w:style>
  <w:style w:type="paragraph" w:customStyle="1" w:styleId="naiskr">
    <w:name w:val="naiskr"/>
    <w:basedOn w:val="Normal"/>
    <w:uiPriority w:val="99"/>
    <w:rsid w:val="00463374"/>
    <w:pPr>
      <w:spacing w:before="75" w:after="75" w:line="240" w:lineRule="auto"/>
    </w:pPr>
    <w:rPr>
      <w:rFonts w:ascii="Times New Roman" w:hAnsi="Times New Roman"/>
      <w:sz w:val="24"/>
      <w:szCs w:val="24"/>
      <w:lang w:eastAsia="lv-LV"/>
    </w:rPr>
  </w:style>
  <w:style w:type="paragraph" w:styleId="ListParagraph">
    <w:name w:val="List Paragraph"/>
    <w:basedOn w:val="Normal"/>
    <w:uiPriority w:val="34"/>
    <w:qFormat/>
    <w:rsid w:val="000627F8"/>
    <w:pPr>
      <w:ind w:left="720"/>
      <w:contextualSpacing/>
    </w:pPr>
    <w:rPr>
      <w:rFonts w:ascii="Times New Roman" w:eastAsia="Times New Roman" w:hAnsi="Times New Roman"/>
      <w:sz w:val="28"/>
    </w:rPr>
  </w:style>
  <w:style w:type="character" w:styleId="Hyperlink">
    <w:name w:val="Hyperlink"/>
    <w:uiPriority w:val="99"/>
    <w:rsid w:val="00FC3E40"/>
    <w:rPr>
      <w:rFonts w:cs="Times New Roman"/>
      <w:color w:val="0000FF"/>
      <w:u w:val="single"/>
    </w:rPr>
  </w:style>
  <w:style w:type="character" w:styleId="CommentReference">
    <w:name w:val="annotation reference"/>
    <w:uiPriority w:val="99"/>
    <w:semiHidden/>
    <w:unhideWhenUsed/>
    <w:rsid w:val="00C93A24"/>
    <w:rPr>
      <w:sz w:val="16"/>
      <w:szCs w:val="16"/>
    </w:rPr>
  </w:style>
  <w:style w:type="paragraph" w:styleId="CommentText">
    <w:name w:val="annotation text"/>
    <w:basedOn w:val="Normal"/>
    <w:link w:val="CommentTextChar"/>
    <w:uiPriority w:val="99"/>
    <w:semiHidden/>
    <w:unhideWhenUsed/>
    <w:rsid w:val="00C93A24"/>
    <w:pPr>
      <w:spacing w:line="240" w:lineRule="auto"/>
    </w:pPr>
    <w:rPr>
      <w:sz w:val="20"/>
      <w:szCs w:val="20"/>
    </w:rPr>
  </w:style>
  <w:style w:type="character" w:customStyle="1" w:styleId="CommentTextChar">
    <w:name w:val="Comment Text Char"/>
    <w:link w:val="CommentText"/>
    <w:uiPriority w:val="99"/>
    <w:semiHidden/>
    <w:rsid w:val="00C93A24"/>
    <w:rPr>
      <w:sz w:val="20"/>
      <w:szCs w:val="20"/>
    </w:rPr>
  </w:style>
  <w:style w:type="paragraph" w:styleId="CommentSubject">
    <w:name w:val="annotation subject"/>
    <w:basedOn w:val="CommentText"/>
    <w:next w:val="CommentText"/>
    <w:link w:val="CommentSubjectChar"/>
    <w:uiPriority w:val="99"/>
    <w:semiHidden/>
    <w:unhideWhenUsed/>
    <w:rsid w:val="00C93A24"/>
    <w:rPr>
      <w:b/>
      <w:bCs/>
    </w:rPr>
  </w:style>
  <w:style w:type="character" w:customStyle="1" w:styleId="CommentSubjectChar">
    <w:name w:val="Comment Subject Char"/>
    <w:link w:val="CommentSubject"/>
    <w:uiPriority w:val="99"/>
    <w:semiHidden/>
    <w:rsid w:val="00C93A24"/>
    <w:rPr>
      <w:b/>
      <w:bCs/>
      <w:sz w:val="20"/>
      <w:szCs w:val="20"/>
    </w:rPr>
  </w:style>
  <w:style w:type="paragraph" w:styleId="BalloonText">
    <w:name w:val="Balloon Text"/>
    <w:basedOn w:val="Normal"/>
    <w:link w:val="BalloonTextChar"/>
    <w:uiPriority w:val="99"/>
    <w:semiHidden/>
    <w:unhideWhenUsed/>
    <w:rsid w:val="00C93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A24"/>
    <w:rPr>
      <w:rFonts w:ascii="Tahoma" w:hAnsi="Tahoma" w:cs="Tahoma"/>
      <w:sz w:val="16"/>
      <w:szCs w:val="16"/>
    </w:rPr>
  </w:style>
  <w:style w:type="paragraph" w:styleId="PlainText">
    <w:name w:val="Plain Text"/>
    <w:basedOn w:val="Normal"/>
    <w:link w:val="PlainTextChar"/>
    <w:uiPriority w:val="99"/>
    <w:rsid w:val="00BE7613"/>
    <w:pPr>
      <w:snapToGrid w:val="0"/>
      <w:spacing w:after="0" w:line="240" w:lineRule="auto"/>
    </w:pPr>
    <w:rPr>
      <w:rFonts w:ascii="Courier New" w:eastAsia="Times New Roman" w:hAnsi="Courier New"/>
      <w:sz w:val="28"/>
      <w:szCs w:val="20"/>
    </w:rPr>
  </w:style>
  <w:style w:type="character" w:customStyle="1" w:styleId="PlainTextChar">
    <w:name w:val="Plain Text Char"/>
    <w:link w:val="PlainText"/>
    <w:uiPriority w:val="99"/>
    <w:rsid w:val="00BE7613"/>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522">
      <w:bodyDiv w:val="1"/>
      <w:marLeft w:val="0"/>
      <w:marRight w:val="0"/>
      <w:marTop w:val="0"/>
      <w:marBottom w:val="0"/>
      <w:divBdr>
        <w:top w:val="none" w:sz="0" w:space="0" w:color="auto"/>
        <w:left w:val="none" w:sz="0" w:space="0" w:color="auto"/>
        <w:bottom w:val="none" w:sz="0" w:space="0" w:color="auto"/>
        <w:right w:val="none" w:sz="0" w:space="0" w:color="auto"/>
      </w:divBdr>
    </w:div>
    <w:div w:id="294993194">
      <w:bodyDiv w:val="1"/>
      <w:marLeft w:val="0"/>
      <w:marRight w:val="0"/>
      <w:marTop w:val="0"/>
      <w:marBottom w:val="0"/>
      <w:divBdr>
        <w:top w:val="none" w:sz="0" w:space="0" w:color="auto"/>
        <w:left w:val="none" w:sz="0" w:space="0" w:color="auto"/>
        <w:bottom w:val="none" w:sz="0" w:space="0" w:color="auto"/>
        <w:right w:val="none" w:sz="0" w:space="0" w:color="auto"/>
      </w:divBdr>
    </w:div>
    <w:div w:id="1149516822">
      <w:bodyDiv w:val="1"/>
      <w:marLeft w:val="0"/>
      <w:marRight w:val="0"/>
      <w:marTop w:val="0"/>
      <w:marBottom w:val="0"/>
      <w:divBdr>
        <w:top w:val="none" w:sz="0" w:space="0" w:color="auto"/>
        <w:left w:val="none" w:sz="0" w:space="0" w:color="auto"/>
        <w:bottom w:val="none" w:sz="0" w:space="0" w:color="auto"/>
        <w:right w:val="none" w:sz="0" w:space="0" w:color="auto"/>
      </w:divBdr>
    </w:div>
    <w:div w:id="16401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ta.Kokorevic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Informatīvais ziņojums</Kategorija>
    <DKP xmlns="2e5bb04e-596e-45bd-9003-43ca78b1ba16">51</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F787-2616-4655-A38E-1BC227DBB0BC}">
  <ds:schemaRefs>
    <ds:schemaRef ds:uri="http://schemas.microsoft.com/sharepoint/v3/contenttype/forms"/>
  </ds:schemaRefs>
</ds:datastoreItem>
</file>

<file path=customXml/itemProps2.xml><?xml version="1.0" encoding="utf-8"?>
<ds:datastoreItem xmlns:ds="http://schemas.openxmlformats.org/officeDocument/2006/customXml" ds:itemID="{D7F2BDE7-2558-4B5C-8720-C2E696894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F44C24-35B7-48D2-865B-8BFA2F7F6F38}">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 ds:uri="2e5bb04e-596e-45bd-9003-43ca78b1ba16"/>
    <ds:schemaRef ds:uri="http://www.w3.org/XML/1998/namespace"/>
  </ds:schemaRefs>
</ds:datastoreItem>
</file>

<file path=customXml/itemProps4.xml><?xml version="1.0" encoding="utf-8"?>
<ds:datastoreItem xmlns:ds="http://schemas.openxmlformats.org/officeDocument/2006/customXml" ds:itemID="{D4B2039D-7E6D-46AD-B726-A48617F7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14967</Words>
  <Characters>8532</Characters>
  <Application>Microsoft Office Word</Application>
  <DocSecurity>4</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telpu gaisa dzesēšanas sistēmu izbūves Iekšlietu ministrijas ēku kompleksa, kas atrodas uz zemes vienības Čiekurkalna 1.līnijā 1 k-1, Rīgā, 1. un 4.korpusā nepieciešamību”</vt:lpstr>
      <vt:lpstr>Informatīvais ziņojums „Par telpu gaisa dzesēšanas sistēmu izbūves Iekšlietu ministrijas ēku kompleksa, kas atrodas uz zemes vienības Čiekurkalna 1.līnijā 1 k-1, Rīgā, 1. un 4.korpusā nepieciešamību”</vt:lpstr>
    </vt:vector>
  </TitlesOfParts>
  <Company/>
  <LinksUpToDate>false</LinksUpToDate>
  <CharactersWithSpaces>23453</CharactersWithSpaces>
  <SharedDoc>false</SharedDoc>
  <HLinks>
    <vt:vector size="6" baseType="variant">
      <vt:variant>
        <vt:i4>4849701</vt:i4>
      </vt:variant>
      <vt:variant>
        <vt:i4>3</vt:i4>
      </vt:variant>
      <vt:variant>
        <vt:i4>0</vt:i4>
      </vt:variant>
      <vt:variant>
        <vt:i4>5</vt:i4>
      </vt:variant>
      <vt:variant>
        <vt:lpwstr>mailto:Lita.Kokorevica@vni.lv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telpu gaisa dzesēšanas sistēmu izbūves Iekšlietu ministrijas ēku kompleksa, kas atrodas uz zemes vienības Čiekurkalna 1.līnijā 1 k-1, Rīgā, 1. un 4.korpusā nepieciešamību”</dc:title>
  <dc:creator>Lita Kokorēviča</dc:creator>
  <dc:description>Lita Kokorēviča, 67024955</dc:description>
  <cp:lastModifiedBy>Lita Kokorēviča</cp:lastModifiedBy>
  <cp:revision>2</cp:revision>
  <cp:lastPrinted>2015-05-27T12:51:00Z</cp:lastPrinted>
  <dcterms:created xsi:type="dcterms:W3CDTF">2015-06-27T11:46:00Z</dcterms:created>
  <dcterms:modified xsi:type="dcterms:W3CDTF">2015-06-27T11:46:00Z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