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71" w:rsidRPr="007D49D3" w:rsidRDefault="008B6F82" w:rsidP="00F54C85">
      <w:pPr>
        <w:pStyle w:val="NormalWeb"/>
        <w:spacing w:before="0" w:beforeAutospacing="0" w:after="0" w:afterAutospacing="0"/>
        <w:jc w:val="center"/>
        <w:rPr>
          <w:b/>
          <w:sz w:val="28"/>
          <w:szCs w:val="28"/>
        </w:rPr>
      </w:pPr>
      <w:bookmarkStart w:id="0" w:name="OLE_LINK5"/>
      <w:bookmarkStart w:id="1" w:name="OLE_LINK6"/>
      <w:r w:rsidRPr="007D49D3">
        <w:rPr>
          <w:b/>
          <w:sz w:val="28"/>
          <w:szCs w:val="28"/>
        </w:rPr>
        <w:t xml:space="preserve">Ministru kabineta </w:t>
      </w:r>
      <w:r w:rsidR="003A6A04" w:rsidRPr="007D49D3">
        <w:rPr>
          <w:b/>
          <w:sz w:val="28"/>
          <w:szCs w:val="28"/>
        </w:rPr>
        <w:t>rīkojuma projekta</w:t>
      </w:r>
      <w:r w:rsidRPr="007D49D3">
        <w:rPr>
          <w:b/>
          <w:sz w:val="28"/>
          <w:szCs w:val="28"/>
        </w:rPr>
        <w:t xml:space="preserve"> </w:t>
      </w:r>
    </w:p>
    <w:p w:rsidR="000F2F71" w:rsidRPr="007D49D3" w:rsidRDefault="003A6A04" w:rsidP="00F54C85">
      <w:pPr>
        <w:pStyle w:val="NormalWeb"/>
        <w:spacing w:before="0" w:beforeAutospacing="0" w:after="0" w:afterAutospacing="0"/>
        <w:jc w:val="center"/>
        <w:rPr>
          <w:b/>
          <w:sz w:val="28"/>
          <w:szCs w:val="28"/>
        </w:rPr>
      </w:pPr>
      <w:r w:rsidRPr="007D49D3">
        <w:rPr>
          <w:b/>
          <w:sz w:val="28"/>
          <w:szCs w:val="28"/>
        </w:rPr>
        <w:t>„</w:t>
      </w:r>
      <w:r w:rsidR="00490DC8" w:rsidRPr="007D49D3">
        <w:rPr>
          <w:b/>
          <w:bCs/>
          <w:sz w:val="28"/>
          <w:szCs w:val="28"/>
        </w:rPr>
        <w:t>Par</w:t>
      </w:r>
      <w:r w:rsidR="00462FB9" w:rsidRPr="007D49D3">
        <w:rPr>
          <w:b/>
          <w:bCs/>
          <w:sz w:val="28"/>
          <w:szCs w:val="28"/>
        </w:rPr>
        <w:t xml:space="preserve"> valsts budžeta</w:t>
      </w:r>
      <w:r w:rsidR="00490DC8" w:rsidRPr="007D49D3">
        <w:rPr>
          <w:b/>
          <w:bCs/>
          <w:sz w:val="28"/>
          <w:szCs w:val="28"/>
        </w:rPr>
        <w:t xml:space="preserve"> </w:t>
      </w:r>
      <w:r w:rsidR="00490DC8" w:rsidRPr="007D49D3">
        <w:rPr>
          <w:b/>
          <w:sz w:val="28"/>
          <w:szCs w:val="28"/>
        </w:rPr>
        <w:t>mērķdotācijas sadalījumu 2015.gadam to māksliniecisko kolektīvu vadītāju darba samaksai un valsts sociālās apdrošināšanas obligātajām iemaksām, kuru dibinātāji nav pašvaldība</w:t>
      </w:r>
      <w:r w:rsidR="00460C68" w:rsidRPr="007D49D3">
        <w:rPr>
          <w:b/>
          <w:sz w:val="28"/>
          <w:szCs w:val="28"/>
        </w:rPr>
        <w:t>s</w:t>
      </w:r>
      <w:r w:rsidRPr="007D49D3">
        <w:rPr>
          <w:b/>
          <w:sz w:val="28"/>
          <w:szCs w:val="28"/>
        </w:rPr>
        <w:t xml:space="preserve">” </w:t>
      </w:r>
      <w:r w:rsidR="008B6F82" w:rsidRPr="007D49D3">
        <w:rPr>
          <w:b/>
          <w:bCs/>
          <w:sz w:val="28"/>
          <w:szCs w:val="28"/>
        </w:rPr>
        <w:t>sākotnējās ietekmes novērtējuma ziņojums (anotācija)</w:t>
      </w:r>
    </w:p>
    <w:bookmarkEnd w:id="0"/>
    <w:bookmarkEnd w:id="1"/>
    <w:p w:rsidR="008B6F82" w:rsidRPr="007D49D3" w:rsidRDefault="008B6F82" w:rsidP="008B6F82">
      <w:pPr>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8B6F82" w:rsidRPr="007D49D3" w:rsidTr="00F54C85">
        <w:trPr>
          <w:trHeight w:val="53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7D49D3" w:rsidRDefault="008B6F82" w:rsidP="00490DC8">
            <w:pPr>
              <w:spacing w:before="100" w:beforeAutospacing="1" w:after="100" w:afterAutospacing="1"/>
              <w:jc w:val="center"/>
              <w:rPr>
                <w:sz w:val="28"/>
                <w:szCs w:val="28"/>
              </w:rPr>
            </w:pPr>
            <w:bookmarkStart w:id="2" w:name="OLE_LINK3"/>
            <w:bookmarkStart w:id="3" w:name="OLE_LINK1"/>
            <w:bookmarkStart w:id="4" w:name="OLE_LINK2"/>
            <w:bookmarkStart w:id="5" w:name="OLE_LINK4"/>
            <w:r w:rsidRPr="007D49D3">
              <w:rPr>
                <w:b/>
                <w:bCs/>
                <w:sz w:val="28"/>
                <w:szCs w:val="28"/>
              </w:rPr>
              <w:t>I. Tiesību akta projekta izstrādes nepieciešamība</w:t>
            </w:r>
          </w:p>
        </w:tc>
      </w:tr>
      <w:tr w:rsidR="008B6F82" w:rsidRPr="007D49D3" w:rsidTr="00F54C85">
        <w:trPr>
          <w:trHeight w:val="2078"/>
          <w:tblCellSpacing w:w="0" w:type="dxa"/>
        </w:trPr>
        <w:tc>
          <w:tcPr>
            <w:tcW w:w="242" w:type="pct"/>
            <w:tcBorders>
              <w:top w:val="outset" w:sz="6" w:space="0" w:color="auto"/>
              <w:left w:val="outset" w:sz="6" w:space="0" w:color="auto"/>
              <w:bottom w:val="outset" w:sz="6" w:space="0" w:color="auto"/>
              <w:right w:val="outset" w:sz="6" w:space="0" w:color="auto"/>
            </w:tcBorders>
          </w:tcPr>
          <w:p w:rsidR="008B6F82" w:rsidRPr="007D49D3" w:rsidRDefault="008B6F82" w:rsidP="00651B00">
            <w:pPr>
              <w:spacing w:before="100" w:beforeAutospacing="1" w:after="100" w:afterAutospacing="1"/>
              <w:jc w:val="center"/>
              <w:rPr>
                <w:sz w:val="28"/>
                <w:szCs w:val="28"/>
              </w:rPr>
            </w:pPr>
            <w:r w:rsidRPr="007D49D3">
              <w:rPr>
                <w:sz w:val="28"/>
                <w:szCs w:val="28"/>
              </w:rPr>
              <w:t>1.</w:t>
            </w:r>
          </w:p>
        </w:tc>
        <w:tc>
          <w:tcPr>
            <w:tcW w:w="1635" w:type="pct"/>
            <w:tcBorders>
              <w:top w:val="outset" w:sz="6" w:space="0" w:color="auto"/>
              <w:left w:val="outset" w:sz="6" w:space="0" w:color="auto"/>
              <w:bottom w:val="outset" w:sz="6" w:space="0" w:color="auto"/>
              <w:right w:val="outset" w:sz="6" w:space="0" w:color="auto"/>
            </w:tcBorders>
          </w:tcPr>
          <w:p w:rsidR="008B6F82" w:rsidRPr="007D49D3" w:rsidRDefault="008B6F82" w:rsidP="00C71066">
            <w:pPr>
              <w:spacing w:before="100" w:beforeAutospacing="1" w:after="100" w:afterAutospacing="1"/>
              <w:rPr>
                <w:sz w:val="28"/>
                <w:szCs w:val="28"/>
              </w:rPr>
            </w:pPr>
            <w:r w:rsidRPr="007D49D3">
              <w:rPr>
                <w:sz w:val="28"/>
                <w:szCs w:val="28"/>
              </w:rPr>
              <w:t> Pamatojums</w:t>
            </w:r>
          </w:p>
        </w:tc>
        <w:tc>
          <w:tcPr>
            <w:tcW w:w="3123" w:type="pct"/>
            <w:tcBorders>
              <w:top w:val="outset" w:sz="6" w:space="0" w:color="auto"/>
              <w:left w:val="outset" w:sz="6" w:space="0" w:color="auto"/>
              <w:bottom w:val="outset" w:sz="6" w:space="0" w:color="auto"/>
              <w:right w:val="outset" w:sz="6" w:space="0" w:color="auto"/>
            </w:tcBorders>
          </w:tcPr>
          <w:p w:rsidR="000F2F71" w:rsidRPr="007D49D3" w:rsidRDefault="008B6F82" w:rsidP="007C58AA">
            <w:pPr>
              <w:ind w:firstLine="408"/>
              <w:jc w:val="both"/>
              <w:rPr>
                <w:sz w:val="28"/>
                <w:szCs w:val="28"/>
              </w:rPr>
            </w:pPr>
            <w:r w:rsidRPr="007D49D3">
              <w:rPr>
                <w:sz w:val="28"/>
                <w:szCs w:val="28"/>
              </w:rPr>
              <w:t xml:space="preserve">Ministru kabineta </w:t>
            </w:r>
            <w:r w:rsidR="003A6A04" w:rsidRPr="007D49D3">
              <w:rPr>
                <w:sz w:val="28"/>
                <w:szCs w:val="28"/>
              </w:rPr>
              <w:t>rīkojuma</w:t>
            </w:r>
            <w:r w:rsidRPr="007D49D3">
              <w:rPr>
                <w:sz w:val="28"/>
                <w:szCs w:val="28"/>
              </w:rPr>
              <w:t xml:space="preserve"> </w:t>
            </w:r>
            <w:r w:rsidR="003A6A04" w:rsidRPr="007D49D3">
              <w:rPr>
                <w:sz w:val="28"/>
                <w:szCs w:val="28"/>
              </w:rPr>
              <w:t>projekts „</w:t>
            </w:r>
            <w:r w:rsidR="00490DC8" w:rsidRPr="007D49D3">
              <w:rPr>
                <w:sz w:val="28"/>
                <w:szCs w:val="28"/>
              </w:rPr>
              <w:t xml:space="preserve">Par </w:t>
            </w:r>
            <w:r w:rsidR="00462FB9" w:rsidRPr="007D49D3">
              <w:rPr>
                <w:sz w:val="28"/>
                <w:szCs w:val="28"/>
              </w:rPr>
              <w:t xml:space="preserve">valsts budžeta </w:t>
            </w:r>
            <w:r w:rsidR="00490DC8" w:rsidRPr="007D49D3">
              <w:rPr>
                <w:sz w:val="28"/>
                <w:szCs w:val="28"/>
              </w:rPr>
              <w:t>mērķdotācijas sadalījumu 2015.gadam to māksliniecisko kolektīvu vadītāju darba samaksai un valsts sociālās apdrošināšanas obligātajām iemaksām, kuru dibinātāji nav pašvaldība</w:t>
            </w:r>
            <w:r w:rsidR="00460C68" w:rsidRPr="007D49D3">
              <w:rPr>
                <w:sz w:val="28"/>
                <w:szCs w:val="28"/>
              </w:rPr>
              <w:t>s</w:t>
            </w:r>
            <w:r w:rsidR="003A6A04" w:rsidRPr="007D49D3">
              <w:rPr>
                <w:sz w:val="28"/>
                <w:szCs w:val="28"/>
              </w:rPr>
              <w:t xml:space="preserve">” </w:t>
            </w:r>
            <w:r w:rsidRPr="007D49D3">
              <w:rPr>
                <w:sz w:val="28"/>
                <w:szCs w:val="28"/>
              </w:rPr>
              <w:t xml:space="preserve">(turpmāk – Projekts) izstrādāts, pamatojoties uz </w:t>
            </w:r>
            <w:r w:rsidR="00CE35B3" w:rsidRPr="007D49D3">
              <w:rPr>
                <w:sz w:val="28"/>
                <w:szCs w:val="28"/>
              </w:rPr>
              <w:t>Ministru kabineta noteikumu „Kārtība, kādā tiek aprēķināta un sadalīta valsts budžeta mērķdotācija māksliniecisko kolektīvu, kuru dibinātāji nav pašvaldība</w:t>
            </w:r>
            <w:r w:rsidR="00460C68" w:rsidRPr="007D49D3">
              <w:rPr>
                <w:sz w:val="28"/>
                <w:szCs w:val="28"/>
              </w:rPr>
              <w:t>s</w:t>
            </w:r>
            <w:r w:rsidR="00CE35B3" w:rsidRPr="007D49D3">
              <w:rPr>
                <w:sz w:val="28"/>
                <w:szCs w:val="28"/>
              </w:rPr>
              <w:t xml:space="preserve">, vadītāju darba samaksai un valsts sociālās apdrošināšanas obligātajām iemaksām” </w:t>
            </w:r>
            <w:r w:rsidR="00766A44" w:rsidRPr="007D49D3">
              <w:rPr>
                <w:sz w:val="28"/>
                <w:szCs w:val="28"/>
              </w:rPr>
              <w:t xml:space="preserve">projekta </w:t>
            </w:r>
            <w:r w:rsidR="00956A4F" w:rsidRPr="007D49D3">
              <w:rPr>
                <w:sz w:val="28"/>
                <w:szCs w:val="28"/>
              </w:rPr>
              <w:t>1</w:t>
            </w:r>
            <w:r w:rsidR="00CB0BB9" w:rsidRPr="007D49D3">
              <w:rPr>
                <w:sz w:val="28"/>
                <w:szCs w:val="28"/>
              </w:rPr>
              <w:t>0</w:t>
            </w:r>
            <w:r w:rsidR="00CE35B3" w:rsidRPr="007D49D3">
              <w:rPr>
                <w:sz w:val="28"/>
                <w:szCs w:val="28"/>
              </w:rPr>
              <w:t>.punktu.</w:t>
            </w:r>
          </w:p>
        </w:tc>
      </w:tr>
      <w:tr w:rsidR="008B6F82" w:rsidRPr="007D49D3" w:rsidTr="00F54C85">
        <w:trPr>
          <w:trHeight w:val="472"/>
          <w:tblCellSpacing w:w="0" w:type="dxa"/>
        </w:trPr>
        <w:tc>
          <w:tcPr>
            <w:tcW w:w="242" w:type="pct"/>
            <w:tcBorders>
              <w:top w:val="outset" w:sz="6" w:space="0" w:color="auto"/>
              <w:left w:val="outset" w:sz="6" w:space="0" w:color="auto"/>
              <w:bottom w:val="outset" w:sz="6" w:space="0" w:color="auto"/>
              <w:right w:val="outset" w:sz="6" w:space="0" w:color="auto"/>
            </w:tcBorders>
          </w:tcPr>
          <w:p w:rsidR="008B6F82" w:rsidRPr="007D49D3" w:rsidRDefault="008B6F82" w:rsidP="00B80C60">
            <w:pPr>
              <w:spacing w:before="100" w:beforeAutospacing="1" w:after="100" w:afterAutospacing="1"/>
              <w:ind w:firstLine="408"/>
              <w:jc w:val="center"/>
              <w:rPr>
                <w:sz w:val="28"/>
                <w:szCs w:val="28"/>
              </w:rPr>
            </w:pPr>
            <w:r w:rsidRPr="007D49D3">
              <w:rPr>
                <w:sz w:val="28"/>
                <w:szCs w:val="28"/>
              </w:rPr>
              <w:t>2</w:t>
            </w:r>
            <w:r w:rsidR="00B80C60" w:rsidRPr="007D49D3">
              <w:rPr>
                <w:sz w:val="28"/>
                <w:szCs w:val="28"/>
              </w:rPr>
              <w:t>2</w:t>
            </w:r>
            <w:r w:rsidRPr="007D49D3">
              <w:rPr>
                <w:sz w:val="28"/>
                <w:szCs w:val="28"/>
              </w:rPr>
              <w:t>.</w:t>
            </w:r>
          </w:p>
        </w:tc>
        <w:tc>
          <w:tcPr>
            <w:tcW w:w="1635" w:type="pct"/>
            <w:tcBorders>
              <w:top w:val="outset" w:sz="6" w:space="0" w:color="auto"/>
              <w:left w:val="outset" w:sz="6" w:space="0" w:color="auto"/>
              <w:bottom w:val="outset" w:sz="6" w:space="0" w:color="auto"/>
              <w:right w:val="outset" w:sz="6" w:space="0" w:color="auto"/>
            </w:tcBorders>
          </w:tcPr>
          <w:p w:rsidR="008B6F82" w:rsidRPr="007D49D3" w:rsidRDefault="00F54C85" w:rsidP="009E7CB2">
            <w:pPr>
              <w:spacing w:before="100" w:beforeAutospacing="1" w:after="100" w:afterAutospacing="1"/>
              <w:rPr>
                <w:sz w:val="28"/>
                <w:szCs w:val="28"/>
              </w:rPr>
            </w:pPr>
            <w:r w:rsidRPr="007D49D3">
              <w:rPr>
                <w:sz w:val="28"/>
                <w:szCs w:val="28"/>
              </w:rPr>
              <w:t>Pašreizējā situācija un problēmas, kuru risināšanai tiesību akta projekts izstrādāts, tiesiskā regulējuma mērķis un būtība</w:t>
            </w:r>
          </w:p>
        </w:tc>
        <w:tc>
          <w:tcPr>
            <w:tcW w:w="3123" w:type="pct"/>
            <w:tcBorders>
              <w:top w:val="outset" w:sz="6" w:space="0" w:color="auto"/>
              <w:left w:val="outset" w:sz="6" w:space="0" w:color="auto"/>
              <w:bottom w:val="outset" w:sz="6" w:space="0" w:color="auto"/>
              <w:right w:val="outset" w:sz="6" w:space="0" w:color="auto"/>
            </w:tcBorders>
          </w:tcPr>
          <w:p w:rsidR="003D1521" w:rsidRPr="007D49D3" w:rsidRDefault="00334F5A" w:rsidP="00B80C60">
            <w:pPr>
              <w:ind w:firstLine="408"/>
              <w:jc w:val="both"/>
              <w:rPr>
                <w:sz w:val="28"/>
                <w:szCs w:val="28"/>
                <w:lang w:eastAsia="en-US" w:bidi="yi-Hebr"/>
              </w:rPr>
            </w:pPr>
            <w:r w:rsidRPr="007D49D3">
              <w:rPr>
                <w:sz w:val="28"/>
                <w:szCs w:val="28"/>
                <w:lang w:eastAsia="en-US" w:bidi="yi-Hebr"/>
              </w:rPr>
              <w:t xml:space="preserve">Kultūras ministrija ir izstrādājusi </w:t>
            </w:r>
            <w:r w:rsidRPr="007D49D3">
              <w:rPr>
                <w:sz w:val="28"/>
                <w:szCs w:val="28"/>
              </w:rPr>
              <w:t>Ministru kabineta noteikumu projektu „</w:t>
            </w:r>
            <w:r w:rsidRPr="007D49D3">
              <w:rPr>
                <w:bCs/>
                <w:sz w:val="28"/>
                <w:szCs w:val="28"/>
                <w:lang w:bidi="yi-Hebr"/>
              </w:rPr>
              <w:t>Kārtība, kādā tiek sadalīta valsts budžeta mērķdotācija to māksliniecisko kolektīvu vadītāju darba samaksai un valsts sociālās apdrošināšanas obligātajām iemaksām, kuru dibinātāji nav pašvaldības</w:t>
            </w:r>
            <w:r w:rsidRPr="007D49D3">
              <w:rPr>
                <w:sz w:val="28"/>
                <w:szCs w:val="28"/>
              </w:rPr>
              <w:t>”</w:t>
            </w:r>
            <w:r w:rsidR="004341C6" w:rsidRPr="007D49D3">
              <w:rPr>
                <w:sz w:val="28"/>
                <w:szCs w:val="28"/>
              </w:rPr>
              <w:t xml:space="preserve"> (turpmāk – MK noteikumu projekts)</w:t>
            </w:r>
            <w:r w:rsidRPr="007D49D3">
              <w:rPr>
                <w:sz w:val="28"/>
                <w:szCs w:val="28"/>
              </w:rPr>
              <w:t xml:space="preserve">, kas nosaka, ka mērķdotācijas sadalījumu apstiprina Ministru kabinetā. </w:t>
            </w:r>
            <w:r w:rsidRPr="007D49D3">
              <w:rPr>
                <w:sz w:val="28"/>
                <w:szCs w:val="28"/>
                <w:lang w:eastAsia="en-US" w:bidi="yi-Hebr"/>
              </w:rPr>
              <w:t>Dziesmu un deju svētku likuma 7.panta pirmās daļas 7.punkts nosaka, ka Ministru kabinets nosaka kārtību, kādā tiek sadalīta valsts mērķdotācija kolektīvu vadītāju darba samaksai un sociālā nodokļa samaksai, kā arī sadalīšanas kritērijus un 9.panta otrās daļas 9.punktā noteikts, ka valsts budžeta līdzekļi kārtējo Dziesmu un deju svētku starplaikā tiek izmantoti valsts mērķdotācijai kolektīvu vadītāju darba samaksai un sociālā nodokļa samaksai. Kārtību, kādā tiek sadalīta</w:t>
            </w:r>
            <w:r w:rsidRPr="007D49D3">
              <w:t xml:space="preserve"> </w:t>
            </w:r>
            <w:r w:rsidRPr="007D49D3">
              <w:rPr>
                <w:sz w:val="28"/>
                <w:szCs w:val="28"/>
                <w:lang w:eastAsia="en-US" w:bidi="yi-Hebr"/>
              </w:rPr>
              <w:t xml:space="preserve">valsts mērķdotācija kolektīvu vadītāju darba samaksai un sociālā nodokļa samaksai, līdz šim noteica Ministru kabineta 2012.gada 25.septembra noteikumi Nr.670 „Kārtība, kādā </w:t>
            </w:r>
            <w:r w:rsidRPr="007D49D3">
              <w:rPr>
                <w:sz w:val="28"/>
                <w:szCs w:val="28"/>
                <w:lang w:eastAsia="en-US" w:bidi="yi-Hebr"/>
              </w:rPr>
              <w:lastRenderedPageBreak/>
              <w:t>pašvaldībām tiek aprēķināta un sadalīta valsts budžeta mērķdotācija māksliniecisko kolektīvu vadītāju darba samaksai un valsts sociālās apdrošināšanas obligātajām iemaksām”</w:t>
            </w:r>
            <w:r w:rsidR="005069DD" w:rsidRPr="007D49D3">
              <w:rPr>
                <w:sz w:val="28"/>
                <w:szCs w:val="28"/>
                <w:lang w:eastAsia="en-US" w:bidi="yi-Hebr"/>
              </w:rPr>
              <w:t>, kas nosaka</w:t>
            </w:r>
            <w:r w:rsidRPr="007D49D3">
              <w:rPr>
                <w:sz w:val="28"/>
                <w:szCs w:val="28"/>
                <w:lang w:eastAsia="en-US" w:bidi="yi-Hebr"/>
              </w:rPr>
              <w:t xml:space="preserve">, ka valsts mērķdotāciju saņem pašvaldības par to teritorijā esošajiem kolektīviem. </w:t>
            </w:r>
            <w:r w:rsidR="008F52D4" w:rsidRPr="007D49D3">
              <w:rPr>
                <w:sz w:val="28"/>
                <w:szCs w:val="28"/>
                <w:lang w:eastAsia="en-US" w:bidi="yi-Hebr"/>
              </w:rPr>
              <w:t>M</w:t>
            </w:r>
            <w:r w:rsidR="005069DD" w:rsidRPr="007D49D3">
              <w:rPr>
                <w:sz w:val="28"/>
                <w:szCs w:val="28"/>
                <w:lang w:eastAsia="en-US" w:bidi="yi-Hebr"/>
              </w:rPr>
              <w:t>inēto noteikumu piemērošanas procesā</w:t>
            </w:r>
            <w:r w:rsidRPr="007D49D3">
              <w:rPr>
                <w:sz w:val="28"/>
                <w:szCs w:val="28"/>
                <w:lang w:eastAsia="en-US" w:bidi="yi-Hebr"/>
              </w:rPr>
              <w:t xml:space="preserve"> tika konstatēts, ka atsevišķām pašvaldībām nav tiesiskas attiecības ar konkrētu māksliniecisko kolektīvu vadītājiem</w:t>
            </w:r>
            <w:r w:rsidR="005069DD" w:rsidRPr="007D49D3">
              <w:rPr>
                <w:sz w:val="28"/>
                <w:szCs w:val="28"/>
                <w:lang w:eastAsia="en-US" w:bidi="yi-Hebr"/>
              </w:rPr>
              <w:t>.</w:t>
            </w:r>
            <w:r w:rsidR="00FA2CDE" w:rsidRPr="007D49D3">
              <w:rPr>
                <w:sz w:val="28"/>
                <w:szCs w:val="28"/>
                <w:lang w:eastAsia="en-US" w:bidi="yi-Hebr"/>
              </w:rPr>
              <w:t xml:space="preserve"> </w:t>
            </w:r>
          </w:p>
          <w:p w:rsidR="00334F5A" w:rsidRPr="007D49D3" w:rsidRDefault="005069DD" w:rsidP="003D1521">
            <w:pPr>
              <w:ind w:firstLine="408"/>
              <w:jc w:val="both"/>
              <w:rPr>
                <w:sz w:val="28"/>
                <w:szCs w:val="28"/>
                <w:lang w:eastAsia="en-US" w:bidi="yi-Hebr"/>
              </w:rPr>
            </w:pPr>
            <w:r w:rsidRPr="007D49D3">
              <w:rPr>
                <w:sz w:val="28"/>
                <w:szCs w:val="28"/>
                <w:lang w:eastAsia="en-US" w:bidi="yi-Hebr"/>
              </w:rPr>
              <w:t xml:space="preserve">Tā rezultātā Kultūras ministrija izstrādāja un Ministru kabinets 2014.gada </w:t>
            </w:r>
            <w:r w:rsidR="008F52D4" w:rsidRPr="007D49D3">
              <w:rPr>
                <w:sz w:val="28"/>
                <w:szCs w:val="28"/>
                <w:lang w:eastAsia="en-US" w:bidi="yi-Hebr"/>
              </w:rPr>
              <w:t xml:space="preserve">28.janvārī pieņēma noteikumus Nr.58 </w:t>
            </w:r>
            <w:r w:rsidR="008F52D4" w:rsidRPr="007D49D3">
              <w:rPr>
                <w:lang w:eastAsia="en-US" w:bidi="yi-Hebr"/>
              </w:rPr>
              <w:t>„</w:t>
            </w:r>
            <w:r w:rsidR="008F52D4" w:rsidRPr="007D49D3">
              <w:rPr>
                <w:bCs/>
                <w:sz w:val="28"/>
                <w:szCs w:val="28"/>
                <w:shd w:val="clear" w:color="auto" w:fill="FFFFFF"/>
              </w:rPr>
              <w:t>Kārtība, kādā tiek sadalīta valsts mērķdotācija to māksliniecisko kolektīvu vadītāju darba samaksai un valsts sociālās apdrošināšanas obligātajām iemaksām, kuru dibinātāji nav pašvaldības” (turpmāk – MK noteikumi Nr.58)</w:t>
            </w:r>
            <w:r w:rsidR="003D1521" w:rsidRPr="007D49D3">
              <w:rPr>
                <w:bCs/>
                <w:sz w:val="28"/>
                <w:szCs w:val="28"/>
                <w:shd w:val="clear" w:color="auto" w:fill="FFFFFF"/>
              </w:rPr>
              <w:t xml:space="preserve">, kuru </w:t>
            </w:r>
            <w:r w:rsidR="004341C6" w:rsidRPr="007D49D3">
              <w:rPr>
                <w:bCs/>
                <w:sz w:val="28"/>
                <w:szCs w:val="28"/>
                <w:shd w:val="clear" w:color="auto" w:fill="FFFFFF"/>
              </w:rPr>
              <w:t>piemērošanas procesā tika konstat</w:t>
            </w:r>
            <w:r w:rsidR="004849D5" w:rsidRPr="007D49D3">
              <w:rPr>
                <w:bCs/>
                <w:sz w:val="28"/>
                <w:szCs w:val="28"/>
                <w:shd w:val="clear" w:color="auto" w:fill="FFFFFF"/>
              </w:rPr>
              <w:t>ēta nepieciešamība</w:t>
            </w:r>
            <w:r w:rsidR="004341C6" w:rsidRPr="007D49D3">
              <w:rPr>
                <w:bCs/>
                <w:sz w:val="28"/>
                <w:szCs w:val="28"/>
                <w:shd w:val="clear" w:color="auto" w:fill="FFFFFF"/>
              </w:rPr>
              <w:t xml:space="preserve"> tos grozīt, taču, ņemot vērā</w:t>
            </w:r>
            <w:r w:rsidR="004341C6" w:rsidRPr="007D49D3">
              <w:rPr>
                <w:sz w:val="28"/>
                <w:szCs w:val="28"/>
              </w:rPr>
              <w:t xml:space="preserve"> </w:t>
            </w:r>
            <w:r w:rsidR="008F52D4" w:rsidRPr="007D49D3">
              <w:rPr>
                <w:sz w:val="28"/>
                <w:szCs w:val="28"/>
              </w:rPr>
              <w:t>grozījumu apjomu un atbilstoši Ministru kabineta 2009.gada 3.februāra noteikumu Nr.108 „Normatīvo aktu projektu sagat</w:t>
            </w:r>
            <w:r w:rsidR="003D1521" w:rsidRPr="007D49D3">
              <w:rPr>
                <w:sz w:val="28"/>
                <w:szCs w:val="28"/>
              </w:rPr>
              <w:t xml:space="preserve">avošanas noteikumi” 140.punktam, ir </w:t>
            </w:r>
            <w:r w:rsidR="008F52D4" w:rsidRPr="007D49D3">
              <w:rPr>
                <w:sz w:val="28"/>
                <w:szCs w:val="28"/>
              </w:rPr>
              <w:t xml:space="preserve">izstrādāts jauns </w:t>
            </w:r>
            <w:r w:rsidR="003E466D" w:rsidRPr="007D49D3">
              <w:rPr>
                <w:sz w:val="28"/>
                <w:szCs w:val="28"/>
              </w:rPr>
              <w:t>P</w:t>
            </w:r>
            <w:r w:rsidR="00FA2CDE" w:rsidRPr="007D49D3">
              <w:rPr>
                <w:sz w:val="28"/>
                <w:szCs w:val="28"/>
              </w:rPr>
              <w:t>rojekts</w:t>
            </w:r>
            <w:r w:rsidR="00334F5A" w:rsidRPr="007D49D3">
              <w:rPr>
                <w:sz w:val="28"/>
                <w:szCs w:val="28"/>
                <w:lang w:eastAsia="en-US" w:bidi="yi-Hebr"/>
              </w:rPr>
              <w:t>, kas noteiks kārtību, kādā tiek aprēķināta un sadalīta mērķdotācija</w:t>
            </w:r>
            <w:r w:rsidR="00567758" w:rsidRPr="007D49D3">
              <w:rPr>
                <w:sz w:val="28"/>
                <w:szCs w:val="28"/>
                <w:lang w:eastAsia="en-US" w:bidi="yi-Hebr"/>
              </w:rPr>
              <w:t xml:space="preserve"> to māksliniecisko korektīvu vadītāju darba samaksai un valsts sociālās apdrošināšanas obligātajām iemaksām, kuru dibinātāji nav pašvaldības.</w:t>
            </w:r>
          </w:p>
          <w:p w:rsidR="00956A4F" w:rsidRPr="007D49D3" w:rsidRDefault="007118B6" w:rsidP="005306C2">
            <w:pPr>
              <w:ind w:firstLine="408"/>
              <w:jc w:val="both"/>
              <w:rPr>
                <w:sz w:val="28"/>
                <w:szCs w:val="28"/>
                <w:lang w:eastAsia="en-US" w:bidi="yi-Hebr"/>
              </w:rPr>
            </w:pPr>
            <w:r w:rsidRPr="007D49D3">
              <w:rPr>
                <w:sz w:val="28"/>
                <w:szCs w:val="28"/>
                <w:lang w:eastAsia="en-US" w:bidi="yi-Hebr"/>
              </w:rPr>
              <w:t xml:space="preserve">Lai 2015.gadā mērķdotāciju varētu saņemt visi Projekta 1.pielikumā un 2.pielikumā iekļautie māksliniecisko kolektīvu vadītāji, Projekts sagatavots un virzīts izskatīšanai Ministru kabinetā vienlaikus ar </w:t>
            </w:r>
            <w:r w:rsidRPr="007D49D3">
              <w:rPr>
                <w:sz w:val="28"/>
                <w:szCs w:val="28"/>
              </w:rPr>
              <w:t xml:space="preserve">Ministru kabineta noteikumu „Kārtība, kādā tiek aprēķināta un sadalīta valsts budžeta mērķdotācija māksliniecisko kolektīvu, kuru dibinātāji nav pašvaldības, vadītāju darba samaksai un valsts sociālās apdrošināšanas obligātajām iemaksām” projektu. </w:t>
            </w:r>
          </w:p>
          <w:p w:rsidR="008B6F82" w:rsidRPr="007D49D3" w:rsidRDefault="00281388" w:rsidP="000A20E7">
            <w:pPr>
              <w:suppressAutoHyphens w:val="0"/>
              <w:ind w:firstLine="408"/>
              <w:jc w:val="both"/>
              <w:rPr>
                <w:sz w:val="28"/>
                <w:szCs w:val="28"/>
                <w:lang w:eastAsia="en-US" w:bidi="yi-Hebr"/>
              </w:rPr>
            </w:pPr>
            <w:r w:rsidRPr="007D49D3">
              <w:rPr>
                <w:sz w:val="28"/>
                <w:szCs w:val="28"/>
              </w:rPr>
              <w:t xml:space="preserve"> </w:t>
            </w:r>
            <w:r w:rsidR="007118B6" w:rsidRPr="007D49D3">
              <w:rPr>
                <w:sz w:val="28"/>
                <w:szCs w:val="28"/>
              </w:rPr>
              <w:t>Likumā „Par valsts budžetu 2015.gadam” iekļauta</w:t>
            </w:r>
            <w:r w:rsidR="003E466D" w:rsidRPr="007D49D3">
              <w:rPr>
                <w:sz w:val="28"/>
                <w:szCs w:val="28"/>
              </w:rPr>
              <w:t xml:space="preserve"> </w:t>
            </w:r>
            <w:r w:rsidRPr="007D49D3">
              <w:rPr>
                <w:sz w:val="28"/>
                <w:szCs w:val="28"/>
              </w:rPr>
              <w:t xml:space="preserve">valsts budžeta mērķdotācija māksliniecisko kolektīvu, kuru dibinātāji nav </w:t>
            </w:r>
            <w:r w:rsidRPr="007D49D3">
              <w:rPr>
                <w:sz w:val="28"/>
                <w:szCs w:val="28"/>
              </w:rPr>
              <w:lastRenderedPageBreak/>
              <w:t>pašvaldības, vadītāju darba samaksai un valsts sociālās apdrošināšanas obligātajām iemaksām Kultūras ministrijas programm</w:t>
            </w:r>
            <w:r w:rsidR="00D63A3C" w:rsidRPr="007D49D3">
              <w:rPr>
                <w:sz w:val="28"/>
                <w:szCs w:val="28"/>
              </w:rPr>
              <w:t>ā</w:t>
            </w:r>
            <w:r w:rsidRPr="007D49D3">
              <w:rPr>
                <w:sz w:val="28"/>
                <w:szCs w:val="28"/>
              </w:rPr>
              <w:t xml:space="preserve"> 21.00.00 „Kultūras mantojums”</w:t>
            </w:r>
            <w:r w:rsidR="00B55DEC" w:rsidRPr="007D49D3">
              <w:rPr>
                <w:sz w:val="28"/>
                <w:szCs w:val="28"/>
              </w:rPr>
              <w:t xml:space="preserve"> </w:t>
            </w:r>
            <w:r w:rsidR="00D63A3C" w:rsidRPr="007D49D3">
              <w:rPr>
                <w:sz w:val="28"/>
                <w:szCs w:val="28"/>
              </w:rPr>
              <w:t>95 563</w:t>
            </w:r>
            <w:r w:rsidR="00D63A3C" w:rsidRPr="007D49D3">
              <w:rPr>
                <w:i/>
                <w:sz w:val="28"/>
                <w:szCs w:val="28"/>
              </w:rPr>
              <w:t> euro</w:t>
            </w:r>
            <w:r w:rsidR="00D63A3C" w:rsidRPr="007D49D3">
              <w:rPr>
                <w:sz w:val="28"/>
                <w:szCs w:val="28"/>
              </w:rPr>
              <w:t xml:space="preserve"> apmērā.</w:t>
            </w:r>
            <w:r w:rsidR="00462FB9" w:rsidRPr="007D49D3">
              <w:rPr>
                <w:sz w:val="28"/>
                <w:szCs w:val="28"/>
              </w:rPr>
              <w:t xml:space="preserve"> </w:t>
            </w:r>
            <w:r w:rsidR="00DD3EC5" w:rsidRPr="007D49D3">
              <w:rPr>
                <w:sz w:val="28"/>
                <w:szCs w:val="28"/>
                <w:lang w:eastAsia="en-US" w:bidi="yi-Hebr"/>
              </w:rPr>
              <w:t xml:space="preserve">Latvijas Nacionālais kultūras centrs ir apkopojis informāciju par mākslinieciskajiem kolektīviem un to </w:t>
            </w:r>
            <w:r w:rsidR="00567758" w:rsidRPr="007D49D3">
              <w:rPr>
                <w:sz w:val="28"/>
                <w:szCs w:val="28"/>
                <w:lang w:eastAsia="en-US" w:bidi="yi-Hebr"/>
              </w:rPr>
              <w:t xml:space="preserve">tiesisko </w:t>
            </w:r>
            <w:r w:rsidR="00DD3EC5" w:rsidRPr="007D49D3">
              <w:rPr>
                <w:sz w:val="28"/>
                <w:szCs w:val="28"/>
                <w:lang w:eastAsia="en-US" w:bidi="yi-Hebr"/>
              </w:rPr>
              <w:t xml:space="preserve">statusu, kuru dibinātāji nav pašvaldības </w:t>
            </w:r>
            <w:r w:rsidR="001E4A23" w:rsidRPr="007D49D3">
              <w:rPr>
                <w:sz w:val="28"/>
                <w:szCs w:val="28"/>
                <w:lang w:eastAsia="en-US" w:bidi="yi-Hebr"/>
              </w:rPr>
              <w:t>(Projekta 1.pielikums un 2.pielikums)</w:t>
            </w:r>
            <w:r w:rsidR="00171DF4" w:rsidRPr="007D49D3">
              <w:rPr>
                <w:sz w:val="28"/>
                <w:szCs w:val="28"/>
                <w:lang w:eastAsia="en-US" w:bidi="yi-Hebr"/>
              </w:rPr>
              <w:t xml:space="preserve"> un kuriem </w:t>
            </w:r>
            <w:r w:rsidR="00D63A3C" w:rsidRPr="007D49D3">
              <w:rPr>
                <w:sz w:val="28"/>
                <w:szCs w:val="28"/>
                <w:lang w:eastAsia="en-US" w:bidi="yi-Hebr"/>
              </w:rPr>
              <w:t xml:space="preserve">noteikts </w:t>
            </w:r>
            <w:r w:rsidR="00171DF4" w:rsidRPr="007D49D3">
              <w:rPr>
                <w:sz w:val="28"/>
                <w:szCs w:val="28"/>
                <w:lang w:eastAsia="en-US" w:bidi="yi-Hebr"/>
              </w:rPr>
              <w:t>piešķirt valsts budžeta mērķdotācija</w:t>
            </w:r>
            <w:r w:rsidR="00D72521" w:rsidRPr="007D49D3">
              <w:rPr>
                <w:sz w:val="28"/>
                <w:szCs w:val="28"/>
                <w:lang w:eastAsia="en-US" w:bidi="yi-Hebr"/>
              </w:rPr>
              <w:t>s</w:t>
            </w:r>
            <w:r w:rsidR="001E4A23" w:rsidRPr="007D49D3">
              <w:rPr>
                <w:sz w:val="28"/>
                <w:szCs w:val="28"/>
                <w:lang w:eastAsia="en-US" w:bidi="yi-Hebr"/>
              </w:rPr>
              <w:t>.</w:t>
            </w:r>
          </w:p>
          <w:p w:rsidR="00CE6D77" w:rsidRPr="007D49D3" w:rsidRDefault="00453744" w:rsidP="00ED4699">
            <w:pPr>
              <w:suppressAutoHyphens w:val="0"/>
              <w:ind w:firstLine="408"/>
              <w:jc w:val="both"/>
              <w:rPr>
                <w:sz w:val="28"/>
                <w:szCs w:val="28"/>
                <w:lang w:eastAsia="en-US" w:bidi="yi-Hebr"/>
              </w:rPr>
            </w:pPr>
            <w:r w:rsidRPr="007D49D3">
              <w:rPr>
                <w:sz w:val="28"/>
                <w:szCs w:val="28"/>
                <w:lang w:eastAsia="en-US" w:bidi="yi-Hebr"/>
              </w:rPr>
              <w:t>Rezultātā no 2015.gadā piešķirt</w:t>
            </w:r>
            <w:r w:rsidR="00ED4699" w:rsidRPr="007D49D3">
              <w:rPr>
                <w:sz w:val="28"/>
                <w:szCs w:val="28"/>
                <w:lang w:eastAsia="en-US" w:bidi="yi-Hebr"/>
              </w:rPr>
              <w:t>aj</w:t>
            </w:r>
            <w:r w:rsidRPr="007D49D3">
              <w:rPr>
                <w:sz w:val="28"/>
                <w:szCs w:val="28"/>
                <w:lang w:eastAsia="en-US" w:bidi="yi-Hebr"/>
              </w:rPr>
              <w:t>iem finanšu līdzekļiem māksliniecisko kolektīvu</w:t>
            </w:r>
            <w:r w:rsidR="00B80C60" w:rsidRPr="007D49D3">
              <w:rPr>
                <w:sz w:val="28"/>
                <w:szCs w:val="28"/>
                <w:lang w:eastAsia="en-US" w:bidi="yi-Hebr"/>
              </w:rPr>
              <w:t xml:space="preserve"> vadītāju </w:t>
            </w:r>
            <w:r w:rsidRPr="007D49D3">
              <w:rPr>
                <w:sz w:val="28"/>
                <w:szCs w:val="28"/>
                <w:lang w:eastAsia="en-US" w:bidi="yi-Hebr"/>
              </w:rPr>
              <w:t xml:space="preserve">darba samaksas </w:t>
            </w:r>
            <w:r w:rsidR="00ED4699" w:rsidRPr="007D49D3">
              <w:rPr>
                <w:sz w:val="28"/>
                <w:szCs w:val="28"/>
                <w:lang w:eastAsia="en-US" w:bidi="yi-Hebr"/>
              </w:rPr>
              <w:t xml:space="preserve">un valsts sociālās apdrošināšanas obligātajām iemaksu </w:t>
            </w:r>
            <w:r w:rsidRPr="007D49D3">
              <w:rPr>
                <w:sz w:val="28"/>
                <w:szCs w:val="28"/>
                <w:lang w:eastAsia="en-US" w:bidi="yi-Hebr"/>
              </w:rPr>
              <w:t xml:space="preserve">nodrošināšanai izveidojies naudas līdzekļu atlikums 24 180 </w:t>
            </w:r>
            <w:r w:rsidR="00AD4157" w:rsidRPr="007D49D3">
              <w:rPr>
                <w:i/>
                <w:sz w:val="28"/>
                <w:szCs w:val="28"/>
                <w:lang w:eastAsia="en-US" w:bidi="yi-Hebr"/>
              </w:rPr>
              <w:t>euro</w:t>
            </w:r>
            <w:r w:rsidRPr="007D49D3">
              <w:rPr>
                <w:sz w:val="28"/>
                <w:szCs w:val="28"/>
                <w:lang w:eastAsia="en-US" w:bidi="yi-Hebr"/>
              </w:rPr>
              <w:t xml:space="preserve"> apmērā.</w:t>
            </w:r>
            <w:r w:rsidR="00622295" w:rsidRPr="007D49D3">
              <w:rPr>
                <w:sz w:val="28"/>
                <w:szCs w:val="28"/>
                <w:lang w:eastAsia="en-US" w:bidi="yi-Hebr"/>
              </w:rPr>
              <w:t xml:space="preserve"> </w:t>
            </w:r>
          </w:p>
          <w:p w:rsidR="000A20E7" w:rsidRPr="007D49D3" w:rsidRDefault="000A20E7" w:rsidP="000A20E7">
            <w:pPr>
              <w:tabs>
                <w:tab w:val="center" w:pos="4153"/>
                <w:tab w:val="right" w:pos="8460"/>
              </w:tabs>
              <w:ind w:right="34" w:firstLine="408"/>
              <w:jc w:val="both"/>
              <w:rPr>
                <w:rFonts w:asciiTheme="majorBidi" w:hAnsiTheme="majorBidi" w:cstheme="majorBidi"/>
                <w:sz w:val="28"/>
                <w:szCs w:val="28"/>
              </w:rPr>
            </w:pPr>
            <w:r w:rsidRPr="007D49D3">
              <w:rPr>
                <w:rFonts w:asciiTheme="majorBidi" w:hAnsiTheme="majorBidi" w:cstheme="majorBidi"/>
                <w:sz w:val="28"/>
                <w:szCs w:val="28"/>
              </w:rPr>
              <w:t>Sākotnēji 2015.gadā bija plānots piešķirt mērķdotāciju 173 kolektīviem, taču sakarā ar to, ka kolektīvu vadītājiem (pedagogiem), kuru darba algas un valsts sociālās apdrošināšanas obligātās iemaksas tiek nodrošinātas interešu izglītības programmu ietvaros, kas tiek finansētas atbilstoši Ministru kabineta 2001.gada 28.augusta noteikumiem Nr.382 „Interešu izglītības programmu finansēšanas kārtība”</w:t>
            </w:r>
            <w:r w:rsidR="003E466D" w:rsidRPr="007D49D3">
              <w:rPr>
                <w:rFonts w:asciiTheme="majorBidi" w:hAnsiTheme="majorBidi" w:cstheme="majorBidi"/>
                <w:sz w:val="28"/>
                <w:szCs w:val="28"/>
              </w:rPr>
              <w:t>,</w:t>
            </w:r>
            <w:r w:rsidRPr="007D49D3">
              <w:rPr>
                <w:rFonts w:asciiTheme="majorBidi" w:hAnsiTheme="majorBidi" w:cstheme="majorBidi"/>
                <w:sz w:val="28"/>
                <w:szCs w:val="28"/>
              </w:rPr>
              <w:t xml:space="preserve"> no mērķdotācijas pretendentu saraksta tika izņemti 38 izglītības iestāžu kolektīvi, t.sk. 37 G1 kolektīvi un 1 G2 kolektīvs.</w:t>
            </w:r>
          </w:p>
          <w:p w:rsidR="00953A15" w:rsidRPr="007D49D3" w:rsidRDefault="00953A15" w:rsidP="00953A15">
            <w:pPr>
              <w:tabs>
                <w:tab w:val="center" w:pos="4153"/>
                <w:tab w:val="right" w:pos="8460"/>
              </w:tabs>
              <w:spacing w:after="120"/>
              <w:ind w:right="34" w:firstLine="408"/>
              <w:jc w:val="both"/>
              <w:rPr>
                <w:rFonts w:asciiTheme="majorBidi" w:hAnsiTheme="majorBidi" w:cstheme="majorBidi"/>
                <w:sz w:val="28"/>
                <w:szCs w:val="28"/>
              </w:rPr>
            </w:pPr>
            <w:r w:rsidRPr="007D49D3">
              <w:rPr>
                <w:rFonts w:asciiTheme="majorBidi" w:hAnsiTheme="majorBidi" w:cstheme="majorBidi"/>
                <w:sz w:val="28"/>
                <w:szCs w:val="28"/>
              </w:rPr>
              <w:t>Kultūras ministrija ir izvērtējusi iespēju 2015.gadā piešķirtās valsts budžeta mērķdotācijas māksliniecisko kolektīvu, kuru dibinātāji nav pašvaldības, vadītāju darba samaksai un valsts sociālās apdrošināšanas obligātajām iemaksām 2015.gada atlikumu 24 180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apmērā ((37 </w:t>
            </w:r>
            <w:proofErr w:type="spellStart"/>
            <w:r w:rsidRPr="007D49D3">
              <w:rPr>
                <w:rFonts w:asciiTheme="majorBidi" w:hAnsiTheme="majorBidi" w:cstheme="majorBidi"/>
                <w:sz w:val="28"/>
                <w:szCs w:val="28"/>
              </w:rPr>
              <w:t>kol</w:t>
            </w:r>
            <w:proofErr w:type="spellEnd"/>
            <w:r w:rsidRPr="007D49D3">
              <w:rPr>
                <w:rFonts w:asciiTheme="majorBidi" w:hAnsiTheme="majorBidi" w:cstheme="majorBidi"/>
                <w:sz w:val="28"/>
                <w:szCs w:val="28"/>
              </w:rPr>
              <w:t xml:space="preserve">. x 322,40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x 2 </w:t>
            </w:r>
            <w:proofErr w:type="spellStart"/>
            <w:r w:rsidRPr="007D49D3">
              <w:rPr>
                <w:rFonts w:asciiTheme="majorBidi" w:hAnsiTheme="majorBidi" w:cstheme="majorBidi"/>
                <w:sz w:val="28"/>
                <w:szCs w:val="28"/>
              </w:rPr>
              <w:t>līdzd</w:t>
            </w:r>
            <w:proofErr w:type="spellEnd"/>
            <w:r w:rsidRPr="007D49D3">
              <w:rPr>
                <w:rFonts w:asciiTheme="majorBidi" w:hAnsiTheme="majorBidi" w:cstheme="majorBidi"/>
                <w:sz w:val="28"/>
                <w:szCs w:val="28"/>
              </w:rPr>
              <w:t xml:space="preserve">. </w:t>
            </w:r>
            <w:proofErr w:type="spellStart"/>
            <w:r w:rsidRPr="007D49D3">
              <w:rPr>
                <w:rFonts w:asciiTheme="majorBidi" w:hAnsiTheme="majorBidi" w:cstheme="majorBidi"/>
                <w:sz w:val="28"/>
                <w:szCs w:val="28"/>
              </w:rPr>
              <w:t>int.koef</w:t>
            </w:r>
            <w:proofErr w:type="spellEnd"/>
            <w:r w:rsidRPr="007D49D3">
              <w:rPr>
                <w:rFonts w:asciiTheme="majorBidi" w:hAnsiTheme="majorBidi" w:cstheme="majorBidi"/>
                <w:sz w:val="28"/>
                <w:szCs w:val="28"/>
              </w:rPr>
              <w:t xml:space="preserve">.) + (1 </w:t>
            </w:r>
            <w:proofErr w:type="spellStart"/>
            <w:r w:rsidRPr="007D49D3">
              <w:rPr>
                <w:rFonts w:asciiTheme="majorBidi" w:hAnsiTheme="majorBidi" w:cstheme="majorBidi"/>
                <w:sz w:val="28"/>
                <w:szCs w:val="28"/>
              </w:rPr>
              <w:t>kol</w:t>
            </w:r>
            <w:proofErr w:type="spellEnd"/>
            <w:r w:rsidRPr="007D49D3">
              <w:rPr>
                <w:rFonts w:asciiTheme="majorBidi" w:hAnsiTheme="majorBidi" w:cstheme="majorBidi"/>
                <w:sz w:val="28"/>
                <w:szCs w:val="28"/>
              </w:rPr>
              <w:t xml:space="preserve"> x 322,40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24 180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novirzīt izdevumu segšanai, kas radušies saistībā ar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organizēšanu, kā arī Dziesmu un deju svētku tradīcijas ilgtspējas nodrošināšanai, t.sk.:</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1. Izdevumu segšanai, kas radušies, nodrošinot neatliekamo medicīnisko palīdzību, kā arī drošību </w:t>
            </w:r>
            <w:proofErr w:type="spellStart"/>
            <w:r w:rsidRPr="007D49D3">
              <w:rPr>
                <w:rFonts w:asciiTheme="majorBidi" w:hAnsiTheme="majorBidi" w:cstheme="majorBidi"/>
                <w:sz w:val="28"/>
                <w:szCs w:val="28"/>
              </w:rPr>
              <w:lastRenderedPageBreak/>
              <w:t>VIII</w:t>
            </w:r>
            <w:proofErr w:type="spellEnd"/>
            <w:r w:rsidRPr="007D49D3">
              <w:rPr>
                <w:rFonts w:asciiTheme="majorBidi" w:hAnsiTheme="majorBidi" w:cstheme="majorBidi"/>
                <w:sz w:val="28"/>
                <w:szCs w:val="28"/>
              </w:rPr>
              <w:t xml:space="preserve"> Ziemeļu un Baltijas valstu Dziesmu un deju svētkos 2015.gadā- </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1.1. Veselības ministrijai 11 205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apmērā (uzturēšanas izdevumu transferts) par sniegto neatliekamo medicīnisko palīdzību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laikā;</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1.2. Iekšlietu ministrijai 5 833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i/>
                <w:sz w:val="28"/>
                <w:szCs w:val="28"/>
              </w:rPr>
              <w:t xml:space="preserve"> </w:t>
            </w:r>
            <w:r w:rsidRPr="007D49D3">
              <w:rPr>
                <w:rFonts w:asciiTheme="majorBidi" w:hAnsiTheme="majorBidi" w:cstheme="majorBidi"/>
                <w:iCs/>
                <w:sz w:val="28"/>
                <w:szCs w:val="28"/>
              </w:rPr>
              <w:t xml:space="preserve">apmērā </w:t>
            </w:r>
            <w:r w:rsidRPr="007D49D3">
              <w:rPr>
                <w:rFonts w:asciiTheme="majorBidi" w:hAnsiTheme="majorBidi" w:cstheme="majorBidi"/>
                <w:sz w:val="28"/>
                <w:szCs w:val="28"/>
              </w:rPr>
              <w:t xml:space="preserve">(uzturēšanas izdevumu transferts) par Valsts ugunsdzēsības un glābšanas dienesta nodrošinātajiem drošības pasākumiem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laikā;</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Šie izdevumi - pavisam kopā 17038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t>apmērā - atbilst Publisko izklaides un svētku pasākumu drošības likuma 10.panta otrās daļas 1.punktam un 4.punktam, kā arī Ministru kabineta 2006.gada 27.jūnija noteikumiem Nr.526 „Kārtība, kādā pasākuma organizators nodrošina neatliekamo medicīnisko palīdzību publiskā pasākumā”, kas nosaka, ka pasākuma organizatoram - šajā gadījumā - Latvijas Nacionālajam kultūras centram, pasākuma norises vietā jānodrošina neatliekamā medicīniskā palīdzība un jāievēro ugunsdrošības prasības;</w:t>
            </w:r>
          </w:p>
          <w:p w:rsidR="00A42E09" w:rsidRPr="007D49D3" w:rsidRDefault="00953A15" w:rsidP="00953A15">
            <w:pPr>
              <w:jc w:val="both"/>
              <w:rPr>
                <w:sz w:val="28"/>
                <w:szCs w:val="28"/>
                <w:lang w:eastAsia="en-US" w:bidi="yi-Hebr"/>
              </w:rPr>
            </w:pPr>
            <w:r w:rsidRPr="007D49D3">
              <w:rPr>
                <w:rFonts w:asciiTheme="majorBidi" w:hAnsiTheme="majorBidi" w:cstheme="majorBidi"/>
                <w:sz w:val="28"/>
                <w:szCs w:val="28"/>
              </w:rPr>
              <w:t>2. Latvijas Nacionālajam kultūras centram 7142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t xml:space="preserve">apmērā Dziesmu un deju svētku tradīcijas saglabāšanas un attīstības pasākumiem 2015.gadā: tautas lietišķās mākslas izstādei „Lina dvieļi un māla krūzes” (kopā 1517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t>t.sk. atlīdzība 167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preces un pakalpojumi 1350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un </w:t>
            </w:r>
            <w:proofErr w:type="gramStart"/>
            <w:r w:rsidRPr="007D49D3">
              <w:rPr>
                <w:rFonts w:asciiTheme="majorBidi" w:hAnsiTheme="majorBidi" w:cstheme="majorBidi"/>
                <w:sz w:val="28"/>
                <w:szCs w:val="28"/>
              </w:rPr>
              <w:t>starptautiska mēroga pasākumam „</w:t>
            </w:r>
            <w:proofErr w:type="spellStart"/>
            <w:r w:rsidRPr="007D49D3">
              <w:rPr>
                <w:rFonts w:asciiTheme="majorBidi" w:hAnsiTheme="majorBidi" w:cstheme="majorBidi"/>
                <w:sz w:val="28"/>
                <w:szCs w:val="28"/>
              </w:rPr>
              <w:t>VII</w:t>
            </w:r>
            <w:proofErr w:type="spellEnd"/>
            <w:r w:rsidRPr="007D49D3">
              <w:rPr>
                <w:rFonts w:asciiTheme="majorBidi" w:hAnsiTheme="majorBidi" w:cstheme="majorBidi"/>
                <w:sz w:val="28"/>
                <w:szCs w:val="28"/>
              </w:rPr>
              <w:t xml:space="preserve"> Baltijas valstu pūtēju orķestru diriģentu un ansambļu vadītāju forums”</w:t>
            </w:r>
            <w:proofErr w:type="gramEnd"/>
            <w:r w:rsidRPr="007D49D3">
              <w:rPr>
                <w:rFonts w:asciiTheme="majorBidi" w:hAnsiTheme="majorBidi" w:cstheme="majorBidi"/>
                <w:sz w:val="28"/>
                <w:szCs w:val="28"/>
              </w:rPr>
              <w:t xml:space="preserve"> (kopā 5625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t.sk. atlīdzība 2110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preces un pakalpojumi  3515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w:t>
            </w:r>
          </w:p>
        </w:tc>
      </w:tr>
      <w:tr w:rsidR="008B6F82" w:rsidRPr="007D49D3" w:rsidTr="00F54C85">
        <w:trPr>
          <w:trHeight w:val="476"/>
          <w:tblCellSpacing w:w="0" w:type="dxa"/>
        </w:trPr>
        <w:tc>
          <w:tcPr>
            <w:tcW w:w="242" w:type="pct"/>
            <w:tcBorders>
              <w:top w:val="outset" w:sz="6" w:space="0" w:color="auto"/>
              <w:left w:val="outset" w:sz="6" w:space="0" w:color="auto"/>
              <w:bottom w:val="outset" w:sz="6" w:space="0" w:color="auto"/>
              <w:right w:val="outset" w:sz="6" w:space="0" w:color="auto"/>
            </w:tcBorders>
          </w:tcPr>
          <w:p w:rsidR="008B6F82" w:rsidRPr="007D49D3" w:rsidRDefault="00F54C85" w:rsidP="00651B00">
            <w:pPr>
              <w:spacing w:before="100" w:beforeAutospacing="1" w:after="100" w:afterAutospacing="1"/>
              <w:jc w:val="center"/>
              <w:rPr>
                <w:sz w:val="28"/>
                <w:szCs w:val="28"/>
              </w:rPr>
            </w:pPr>
            <w:r w:rsidRPr="007D49D3">
              <w:rPr>
                <w:sz w:val="28"/>
                <w:szCs w:val="28"/>
              </w:rPr>
              <w:lastRenderedPageBreak/>
              <w:t>3</w:t>
            </w:r>
            <w:r w:rsidR="008B6F82" w:rsidRPr="007D49D3">
              <w:rPr>
                <w:sz w:val="28"/>
                <w:szCs w:val="28"/>
              </w:rPr>
              <w:t>.</w:t>
            </w:r>
          </w:p>
        </w:tc>
        <w:tc>
          <w:tcPr>
            <w:tcW w:w="1635" w:type="pct"/>
            <w:tcBorders>
              <w:top w:val="outset" w:sz="6" w:space="0" w:color="auto"/>
              <w:left w:val="outset" w:sz="6" w:space="0" w:color="auto"/>
              <w:bottom w:val="outset" w:sz="6" w:space="0" w:color="auto"/>
              <w:right w:val="outset" w:sz="6" w:space="0" w:color="auto"/>
            </w:tcBorders>
          </w:tcPr>
          <w:p w:rsidR="008B6F82" w:rsidRPr="007D49D3" w:rsidRDefault="008B6F82" w:rsidP="00C71066">
            <w:pPr>
              <w:spacing w:before="100" w:beforeAutospacing="1" w:after="100" w:afterAutospacing="1"/>
              <w:rPr>
                <w:sz w:val="28"/>
                <w:szCs w:val="28"/>
              </w:rPr>
            </w:pPr>
            <w:r w:rsidRPr="007D49D3">
              <w:rPr>
                <w:sz w:val="28"/>
                <w:szCs w:val="28"/>
              </w:rPr>
              <w:t> Projekta izstrādē iesaistītās institūcijas</w:t>
            </w:r>
          </w:p>
        </w:tc>
        <w:tc>
          <w:tcPr>
            <w:tcW w:w="3123" w:type="pct"/>
            <w:tcBorders>
              <w:top w:val="outset" w:sz="6" w:space="0" w:color="auto"/>
              <w:left w:val="outset" w:sz="6" w:space="0" w:color="auto"/>
              <w:bottom w:val="outset" w:sz="6" w:space="0" w:color="auto"/>
              <w:right w:val="outset" w:sz="6" w:space="0" w:color="auto"/>
            </w:tcBorders>
          </w:tcPr>
          <w:p w:rsidR="008B6F82" w:rsidRPr="007D49D3" w:rsidRDefault="008B6F82" w:rsidP="003E466D">
            <w:pPr>
              <w:ind w:left="57" w:right="57"/>
              <w:jc w:val="both"/>
              <w:rPr>
                <w:sz w:val="28"/>
                <w:szCs w:val="28"/>
              </w:rPr>
            </w:pPr>
            <w:r w:rsidRPr="007D49D3">
              <w:rPr>
                <w:sz w:val="28"/>
                <w:szCs w:val="28"/>
              </w:rPr>
              <w:t xml:space="preserve">Kultūras ministrija, </w:t>
            </w:r>
            <w:r w:rsidR="00DD3EC5" w:rsidRPr="007D49D3">
              <w:rPr>
                <w:sz w:val="28"/>
                <w:szCs w:val="28"/>
              </w:rPr>
              <w:t>Latvijas Nacionālais kultūras centrs</w:t>
            </w:r>
            <w:r w:rsidR="003E466D" w:rsidRPr="007D49D3">
              <w:rPr>
                <w:sz w:val="28"/>
                <w:szCs w:val="28"/>
              </w:rPr>
              <w:t>.</w:t>
            </w:r>
          </w:p>
        </w:tc>
      </w:tr>
      <w:tr w:rsidR="008B6F82" w:rsidRPr="007D49D3" w:rsidTr="00F54C85">
        <w:trPr>
          <w:trHeight w:val="506"/>
          <w:tblCellSpacing w:w="0" w:type="dxa"/>
        </w:trPr>
        <w:tc>
          <w:tcPr>
            <w:tcW w:w="242" w:type="pct"/>
            <w:tcBorders>
              <w:top w:val="outset" w:sz="6" w:space="0" w:color="auto"/>
              <w:left w:val="outset" w:sz="6" w:space="0" w:color="auto"/>
              <w:bottom w:val="outset" w:sz="6" w:space="0" w:color="auto"/>
              <w:right w:val="outset" w:sz="6" w:space="0" w:color="auto"/>
            </w:tcBorders>
          </w:tcPr>
          <w:p w:rsidR="008B6F82" w:rsidRPr="007D49D3" w:rsidRDefault="00F54C85" w:rsidP="00651B00">
            <w:pPr>
              <w:spacing w:before="100" w:beforeAutospacing="1" w:after="100" w:afterAutospacing="1"/>
              <w:jc w:val="center"/>
              <w:rPr>
                <w:sz w:val="28"/>
                <w:szCs w:val="28"/>
              </w:rPr>
            </w:pPr>
            <w:r w:rsidRPr="007D49D3">
              <w:rPr>
                <w:sz w:val="28"/>
                <w:szCs w:val="28"/>
              </w:rPr>
              <w:t>4</w:t>
            </w:r>
            <w:r w:rsidR="008B6F82" w:rsidRPr="007D49D3">
              <w:rPr>
                <w:sz w:val="28"/>
                <w:szCs w:val="28"/>
              </w:rPr>
              <w:t>.</w:t>
            </w:r>
          </w:p>
        </w:tc>
        <w:tc>
          <w:tcPr>
            <w:tcW w:w="1635" w:type="pct"/>
            <w:tcBorders>
              <w:top w:val="outset" w:sz="6" w:space="0" w:color="auto"/>
              <w:left w:val="outset" w:sz="6" w:space="0" w:color="auto"/>
              <w:bottom w:val="outset" w:sz="6" w:space="0" w:color="auto"/>
              <w:right w:val="outset" w:sz="6" w:space="0" w:color="auto"/>
            </w:tcBorders>
          </w:tcPr>
          <w:p w:rsidR="008B6F82" w:rsidRPr="007D49D3" w:rsidRDefault="008B6F82" w:rsidP="00C71066">
            <w:pPr>
              <w:spacing w:before="100" w:beforeAutospacing="1" w:after="100" w:afterAutospacing="1"/>
              <w:rPr>
                <w:sz w:val="28"/>
                <w:szCs w:val="28"/>
              </w:rPr>
            </w:pPr>
            <w:r w:rsidRPr="007D49D3">
              <w:rPr>
                <w:sz w:val="28"/>
                <w:szCs w:val="28"/>
              </w:rPr>
              <w:t> Cita informācija</w:t>
            </w:r>
          </w:p>
        </w:tc>
        <w:tc>
          <w:tcPr>
            <w:tcW w:w="3123" w:type="pct"/>
            <w:tcBorders>
              <w:top w:val="outset" w:sz="6" w:space="0" w:color="auto"/>
              <w:left w:val="outset" w:sz="6" w:space="0" w:color="auto"/>
              <w:bottom w:val="outset" w:sz="6" w:space="0" w:color="auto"/>
              <w:right w:val="outset" w:sz="6" w:space="0" w:color="auto"/>
            </w:tcBorders>
          </w:tcPr>
          <w:p w:rsidR="008B6F82" w:rsidRPr="007D49D3" w:rsidRDefault="008B6F82" w:rsidP="00F54C85">
            <w:pPr>
              <w:jc w:val="both"/>
              <w:rPr>
                <w:sz w:val="28"/>
                <w:szCs w:val="28"/>
              </w:rPr>
            </w:pPr>
            <w:r w:rsidRPr="007D49D3">
              <w:rPr>
                <w:sz w:val="28"/>
                <w:szCs w:val="28"/>
              </w:rPr>
              <w:t xml:space="preserve"> </w:t>
            </w:r>
            <w:r w:rsidR="00F54C85" w:rsidRPr="007D49D3">
              <w:rPr>
                <w:sz w:val="28"/>
                <w:szCs w:val="28"/>
              </w:rPr>
              <w:t>Nav</w:t>
            </w:r>
            <w:r w:rsidR="0011787C" w:rsidRPr="007D49D3">
              <w:rPr>
                <w:sz w:val="28"/>
                <w:szCs w:val="28"/>
              </w:rPr>
              <w:t>.</w:t>
            </w:r>
          </w:p>
        </w:tc>
      </w:tr>
    </w:tbl>
    <w:p w:rsidR="008B6F82" w:rsidRPr="007D49D3" w:rsidRDefault="008B6F82" w:rsidP="008B6F82">
      <w:pPr>
        <w:jc w:val="both"/>
        <w:rPr>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621"/>
        <w:gridCol w:w="2290"/>
        <w:gridCol w:w="6376"/>
      </w:tblGrid>
      <w:tr w:rsidR="005506B5" w:rsidRPr="007D49D3" w:rsidTr="003E466D">
        <w:trPr>
          <w:trHeight w:val="652"/>
          <w:jc w:val="center"/>
        </w:trPr>
        <w:tc>
          <w:tcPr>
            <w:tcW w:w="500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506B5" w:rsidRPr="007D49D3" w:rsidRDefault="005506B5" w:rsidP="00605A2E">
            <w:pPr>
              <w:pStyle w:val="naisnod"/>
              <w:spacing w:before="0" w:after="0"/>
              <w:jc w:val="center"/>
              <w:rPr>
                <w:b/>
                <w:sz w:val="28"/>
                <w:szCs w:val="28"/>
              </w:rPr>
            </w:pPr>
            <w:r w:rsidRPr="007D49D3">
              <w:rPr>
                <w:b/>
                <w:sz w:val="28"/>
                <w:szCs w:val="28"/>
              </w:rPr>
              <w:lastRenderedPageBreak/>
              <w:t>II. Tiesību akta projekta ietekme uz sabiedrību, tautsaimniecības attīstību un administratīvo slogu</w:t>
            </w:r>
          </w:p>
        </w:tc>
      </w:tr>
      <w:tr w:rsidR="005506B5" w:rsidRPr="007D49D3" w:rsidTr="00176453">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6"/>
          <w:tblCellSpacing w:w="0" w:type="dxa"/>
          <w:jc w:val="center"/>
        </w:trPr>
        <w:tc>
          <w:tcPr>
            <w:tcW w:w="334"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jc w:val="center"/>
              <w:rPr>
                <w:sz w:val="28"/>
                <w:szCs w:val="28"/>
              </w:rPr>
            </w:pPr>
            <w:r w:rsidRPr="007D49D3">
              <w:rPr>
                <w:sz w:val="28"/>
                <w:szCs w:val="28"/>
              </w:rPr>
              <w:t>1.</w:t>
            </w:r>
          </w:p>
        </w:tc>
        <w:tc>
          <w:tcPr>
            <w:tcW w:w="1233"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rPr>
                <w:sz w:val="28"/>
                <w:szCs w:val="28"/>
              </w:rPr>
            </w:pPr>
            <w:r w:rsidRPr="007D49D3">
              <w:rPr>
                <w:sz w:val="28"/>
                <w:szCs w:val="28"/>
              </w:rPr>
              <w:t> Sabiedrības mērķgrupas, kuras tiesiskais regulējums ietekmē vai varētu ietekmēt</w:t>
            </w:r>
          </w:p>
        </w:tc>
        <w:tc>
          <w:tcPr>
            <w:tcW w:w="3433" w:type="pct"/>
            <w:tcBorders>
              <w:top w:val="outset" w:sz="6" w:space="0" w:color="auto"/>
              <w:left w:val="outset" w:sz="6" w:space="0" w:color="auto"/>
              <w:bottom w:val="outset" w:sz="6" w:space="0" w:color="auto"/>
              <w:right w:val="outset" w:sz="6" w:space="0" w:color="auto"/>
            </w:tcBorders>
            <w:hideMark/>
          </w:tcPr>
          <w:p w:rsidR="00E94DDE" w:rsidRPr="007D49D3" w:rsidRDefault="005506B5">
            <w:pPr>
              <w:spacing w:before="100" w:beforeAutospacing="1" w:after="100" w:afterAutospacing="1"/>
              <w:jc w:val="both"/>
              <w:rPr>
                <w:sz w:val="28"/>
                <w:szCs w:val="28"/>
              </w:rPr>
            </w:pPr>
            <w:r w:rsidRPr="007D49D3">
              <w:rPr>
                <w:sz w:val="28"/>
                <w:szCs w:val="28"/>
              </w:rPr>
              <w:t>Māksliniecisko kolektīvu dibinātāji, kas nav pašvaldības, proti,</w:t>
            </w:r>
            <w:r w:rsidR="006E00DE" w:rsidRPr="007D49D3">
              <w:rPr>
                <w:sz w:val="28"/>
                <w:szCs w:val="28"/>
              </w:rPr>
              <w:t xml:space="preserve"> </w:t>
            </w:r>
            <w:r w:rsidRPr="007D49D3">
              <w:rPr>
                <w:sz w:val="28"/>
                <w:szCs w:val="28"/>
              </w:rPr>
              <w:t xml:space="preserve">privāto tiesību juridiskas personas, </w:t>
            </w:r>
            <w:r w:rsidR="00EB78EE" w:rsidRPr="007D49D3">
              <w:rPr>
                <w:sz w:val="28"/>
                <w:szCs w:val="28"/>
              </w:rPr>
              <w:t xml:space="preserve">Kultūras ministrijas vai </w:t>
            </w:r>
            <w:r w:rsidRPr="007D49D3">
              <w:rPr>
                <w:sz w:val="28"/>
                <w:szCs w:val="28"/>
              </w:rPr>
              <w:t>citas ministrijas padotībā esošas valsts budžeta iestādes</w:t>
            </w:r>
            <w:r w:rsidR="006E00DE" w:rsidRPr="007D49D3">
              <w:rPr>
                <w:sz w:val="28"/>
                <w:szCs w:val="28"/>
              </w:rPr>
              <w:t>, publisko tiesību atvasinātas personas un to iestādes</w:t>
            </w:r>
            <w:r w:rsidR="00B57A0D" w:rsidRPr="007D49D3">
              <w:rPr>
                <w:sz w:val="28"/>
                <w:szCs w:val="28"/>
              </w:rPr>
              <w:t>,</w:t>
            </w:r>
            <w:r w:rsidRPr="007D49D3">
              <w:rPr>
                <w:sz w:val="28"/>
                <w:szCs w:val="28"/>
              </w:rPr>
              <w:t xml:space="preserve"> fiziskas personas, t.sk. tās, kuras reģistrējušās kā saimnieciskās darbības veicējas, kā arī māksliniecisko kolektīvu, kuru dibinātāji nav pašvaldības, vadītāji.</w:t>
            </w:r>
          </w:p>
        </w:tc>
      </w:tr>
      <w:tr w:rsidR="005506B5" w:rsidRPr="007D49D3" w:rsidTr="00176453">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23"/>
          <w:tblCellSpacing w:w="0" w:type="dxa"/>
          <w:jc w:val="center"/>
        </w:trPr>
        <w:tc>
          <w:tcPr>
            <w:tcW w:w="334"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jc w:val="center"/>
              <w:rPr>
                <w:sz w:val="28"/>
                <w:szCs w:val="28"/>
              </w:rPr>
            </w:pPr>
            <w:r w:rsidRPr="007D49D3">
              <w:rPr>
                <w:sz w:val="28"/>
                <w:szCs w:val="28"/>
              </w:rPr>
              <w:t>2.</w:t>
            </w:r>
          </w:p>
        </w:tc>
        <w:tc>
          <w:tcPr>
            <w:tcW w:w="1233"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rPr>
                <w:sz w:val="28"/>
                <w:szCs w:val="28"/>
              </w:rPr>
            </w:pPr>
            <w:r w:rsidRPr="007D49D3">
              <w:rPr>
                <w:sz w:val="28"/>
                <w:szCs w:val="28"/>
              </w:rPr>
              <w:t> Tiesiskā regulējuma ietekme uz tautsaimniecību un administratīvo slogu</w:t>
            </w:r>
          </w:p>
        </w:tc>
        <w:tc>
          <w:tcPr>
            <w:tcW w:w="3433" w:type="pct"/>
            <w:tcBorders>
              <w:top w:val="outset" w:sz="6" w:space="0" w:color="auto"/>
              <w:left w:val="outset" w:sz="6" w:space="0" w:color="auto"/>
              <w:bottom w:val="outset" w:sz="6" w:space="0" w:color="auto"/>
              <w:right w:val="outset" w:sz="6" w:space="0" w:color="auto"/>
            </w:tcBorders>
          </w:tcPr>
          <w:p w:rsidR="005506B5" w:rsidRPr="007D49D3" w:rsidRDefault="005506B5" w:rsidP="00EA6CA4">
            <w:pPr>
              <w:jc w:val="both"/>
              <w:rPr>
                <w:sz w:val="28"/>
                <w:szCs w:val="28"/>
              </w:rPr>
            </w:pPr>
            <w:r w:rsidRPr="007D49D3">
              <w:rPr>
                <w:sz w:val="28"/>
                <w:szCs w:val="28"/>
              </w:rPr>
              <w:t> Projekts šo jomu neskar.</w:t>
            </w:r>
          </w:p>
        </w:tc>
      </w:tr>
      <w:tr w:rsidR="005506B5" w:rsidRPr="007D49D3" w:rsidTr="00176453">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17"/>
          <w:tblCellSpacing w:w="0" w:type="dxa"/>
          <w:jc w:val="center"/>
        </w:trPr>
        <w:tc>
          <w:tcPr>
            <w:tcW w:w="334"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jc w:val="center"/>
              <w:rPr>
                <w:sz w:val="28"/>
                <w:szCs w:val="28"/>
              </w:rPr>
            </w:pPr>
            <w:r w:rsidRPr="007D49D3">
              <w:rPr>
                <w:sz w:val="28"/>
                <w:szCs w:val="28"/>
              </w:rPr>
              <w:t>3.</w:t>
            </w:r>
          </w:p>
        </w:tc>
        <w:tc>
          <w:tcPr>
            <w:tcW w:w="1233"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rPr>
                <w:sz w:val="28"/>
                <w:szCs w:val="28"/>
              </w:rPr>
            </w:pPr>
            <w:r w:rsidRPr="007D49D3">
              <w:rPr>
                <w:sz w:val="28"/>
                <w:szCs w:val="28"/>
              </w:rPr>
              <w:t> Administratīvo izmaksu monetārs novērtējums</w:t>
            </w:r>
          </w:p>
        </w:tc>
        <w:tc>
          <w:tcPr>
            <w:tcW w:w="3433" w:type="pct"/>
            <w:tcBorders>
              <w:top w:val="outset" w:sz="6" w:space="0" w:color="auto"/>
              <w:left w:val="outset" w:sz="6" w:space="0" w:color="auto"/>
              <w:bottom w:val="outset" w:sz="6" w:space="0" w:color="auto"/>
              <w:right w:val="outset" w:sz="6" w:space="0" w:color="auto"/>
            </w:tcBorders>
          </w:tcPr>
          <w:p w:rsidR="005506B5" w:rsidRPr="007D49D3" w:rsidRDefault="005506B5" w:rsidP="00EA6CA4">
            <w:pPr>
              <w:jc w:val="both"/>
              <w:rPr>
                <w:b/>
                <w:sz w:val="28"/>
                <w:szCs w:val="28"/>
              </w:rPr>
            </w:pPr>
            <w:r w:rsidRPr="007D49D3">
              <w:rPr>
                <w:sz w:val="28"/>
                <w:szCs w:val="28"/>
              </w:rPr>
              <w:t> Projekts šo jomu neskar.</w:t>
            </w:r>
          </w:p>
        </w:tc>
      </w:tr>
      <w:tr w:rsidR="005506B5" w:rsidRPr="007D49D3" w:rsidTr="00176453">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17"/>
          <w:tblCellSpacing w:w="0" w:type="dxa"/>
          <w:jc w:val="center"/>
        </w:trPr>
        <w:tc>
          <w:tcPr>
            <w:tcW w:w="334"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jc w:val="center"/>
              <w:rPr>
                <w:sz w:val="28"/>
                <w:szCs w:val="28"/>
              </w:rPr>
            </w:pPr>
            <w:r w:rsidRPr="007D49D3">
              <w:rPr>
                <w:sz w:val="28"/>
                <w:szCs w:val="28"/>
              </w:rPr>
              <w:t>4.</w:t>
            </w:r>
          </w:p>
        </w:tc>
        <w:tc>
          <w:tcPr>
            <w:tcW w:w="1233"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rPr>
                <w:sz w:val="28"/>
                <w:szCs w:val="28"/>
              </w:rPr>
            </w:pPr>
            <w:r w:rsidRPr="007D49D3">
              <w:rPr>
                <w:sz w:val="28"/>
                <w:szCs w:val="28"/>
              </w:rPr>
              <w:t> Cita informācija</w:t>
            </w:r>
          </w:p>
        </w:tc>
        <w:tc>
          <w:tcPr>
            <w:tcW w:w="3433" w:type="pct"/>
            <w:tcBorders>
              <w:top w:val="outset" w:sz="6" w:space="0" w:color="auto"/>
              <w:left w:val="outset" w:sz="6" w:space="0" w:color="auto"/>
              <w:bottom w:val="outset" w:sz="6" w:space="0" w:color="auto"/>
              <w:right w:val="outset" w:sz="6" w:space="0" w:color="auto"/>
            </w:tcBorders>
            <w:hideMark/>
          </w:tcPr>
          <w:p w:rsidR="005506B5" w:rsidRPr="007D49D3" w:rsidRDefault="005506B5" w:rsidP="00EA6CA4">
            <w:pPr>
              <w:spacing w:before="100" w:beforeAutospacing="1" w:after="100" w:afterAutospacing="1"/>
              <w:rPr>
                <w:sz w:val="28"/>
                <w:szCs w:val="28"/>
              </w:rPr>
            </w:pPr>
            <w:r w:rsidRPr="007D49D3">
              <w:rPr>
                <w:sz w:val="28"/>
                <w:szCs w:val="28"/>
              </w:rPr>
              <w:t> Nav</w:t>
            </w:r>
          </w:p>
        </w:tc>
      </w:tr>
    </w:tbl>
    <w:p w:rsidR="00176453" w:rsidRPr="007D49D3" w:rsidRDefault="00176453" w:rsidP="008B6F82">
      <w:pPr>
        <w:jc w:val="both"/>
        <w:rPr>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345"/>
        <w:gridCol w:w="1716"/>
        <w:gridCol w:w="1308"/>
        <w:gridCol w:w="1306"/>
        <w:gridCol w:w="1306"/>
        <w:gridCol w:w="1306"/>
      </w:tblGrid>
      <w:tr w:rsidR="00176453" w:rsidRPr="007D49D3" w:rsidTr="00E13F46">
        <w:trPr>
          <w:trHeight w:val="652"/>
          <w:jc w:val="center"/>
        </w:trPr>
        <w:tc>
          <w:tcPr>
            <w:tcW w:w="5000" w:type="pct"/>
            <w:gridSpan w:val="6"/>
          </w:tcPr>
          <w:p w:rsidR="00176453" w:rsidRPr="007D49D3" w:rsidRDefault="00176453" w:rsidP="00E13F46">
            <w:pPr>
              <w:pStyle w:val="naisnod"/>
              <w:spacing w:before="0" w:after="0"/>
              <w:jc w:val="center"/>
              <w:rPr>
                <w:b/>
                <w:i/>
                <w:sz w:val="28"/>
                <w:szCs w:val="28"/>
              </w:rPr>
            </w:pPr>
            <w:r w:rsidRPr="007D49D3">
              <w:rPr>
                <w:b/>
                <w:sz w:val="28"/>
                <w:szCs w:val="28"/>
              </w:rPr>
              <w:br w:type="page"/>
              <w:t>III. Tiesību akta projekta ietekme uz valsts budžetu un pašvaldību budžetiem</w:t>
            </w:r>
          </w:p>
        </w:tc>
      </w:tr>
      <w:tr w:rsidR="00176453" w:rsidRPr="007D49D3" w:rsidTr="00E13F46">
        <w:trPr>
          <w:jc w:val="center"/>
        </w:trPr>
        <w:tc>
          <w:tcPr>
            <w:tcW w:w="1263" w:type="pct"/>
            <w:vMerge w:val="restart"/>
            <w:vAlign w:val="center"/>
          </w:tcPr>
          <w:p w:rsidR="00176453" w:rsidRPr="007D49D3" w:rsidRDefault="00176453" w:rsidP="00E13F46">
            <w:pPr>
              <w:pStyle w:val="naisf"/>
              <w:spacing w:before="0" w:after="0"/>
              <w:ind w:firstLine="0"/>
              <w:jc w:val="center"/>
              <w:rPr>
                <w:b/>
                <w:sz w:val="28"/>
                <w:szCs w:val="28"/>
              </w:rPr>
            </w:pPr>
            <w:r w:rsidRPr="007D49D3">
              <w:rPr>
                <w:b/>
                <w:sz w:val="28"/>
                <w:szCs w:val="28"/>
              </w:rPr>
              <w:t>Rādītāji</w:t>
            </w:r>
          </w:p>
        </w:tc>
        <w:tc>
          <w:tcPr>
            <w:tcW w:w="1628" w:type="pct"/>
            <w:gridSpan w:val="2"/>
            <w:vMerge w:val="restart"/>
            <w:vAlign w:val="center"/>
          </w:tcPr>
          <w:p w:rsidR="00176453" w:rsidRPr="007D49D3" w:rsidRDefault="00176453" w:rsidP="00E13F46">
            <w:pPr>
              <w:pStyle w:val="naisf"/>
              <w:spacing w:before="0" w:after="0"/>
              <w:ind w:firstLine="0"/>
              <w:jc w:val="center"/>
              <w:rPr>
                <w:b/>
                <w:sz w:val="28"/>
                <w:szCs w:val="28"/>
              </w:rPr>
            </w:pPr>
            <w:r w:rsidRPr="007D49D3">
              <w:rPr>
                <w:b/>
                <w:sz w:val="28"/>
                <w:szCs w:val="28"/>
              </w:rPr>
              <w:t>2015.gads</w:t>
            </w:r>
          </w:p>
        </w:tc>
        <w:tc>
          <w:tcPr>
            <w:tcW w:w="2109" w:type="pct"/>
            <w:gridSpan w:val="3"/>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Turpmākie trīs gadi (</w:t>
            </w:r>
            <w:r w:rsidRPr="007D49D3">
              <w:rPr>
                <w:i/>
                <w:sz w:val="28"/>
                <w:szCs w:val="28"/>
              </w:rPr>
              <w:t>euro</w:t>
            </w:r>
            <w:r w:rsidRPr="007D49D3">
              <w:rPr>
                <w:sz w:val="28"/>
                <w:szCs w:val="28"/>
              </w:rPr>
              <w:t>)</w:t>
            </w:r>
          </w:p>
        </w:tc>
      </w:tr>
      <w:tr w:rsidR="00176453" w:rsidRPr="007D49D3" w:rsidTr="00E13F46">
        <w:trPr>
          <w:jc w:val="center"/>
        </w:trPr>
        <w:tc>
          <w:tcPr>
            <w:tcW w:w="1263" w:type="pct"/>
            <w:vMerge/>
            <w:vAlign w:val="center"/>
          </w:tcPr>
          <w:p w:rsidR="00176453" w:rsidRPr="007D49D3" w:rsidRDefault="00176453" w:rsidP="00E13F46">
            <w:pPr>
              <w:pStyle w:val="naisf"/>
              <w:spacing w:before="0" w:after="0"/>
              <w:ind w:firstLine="0"/>
              <w:jc w:val="center"/>
              <w:rPr>
                <w:b/>
                <w:i/>
                <w:sz w:val="28"/>
                <w:szCs w:val="28"/>
              </w:rPr>
            </w:pPr>
          </w:p>
        </w:tc>
        <w:tc>
          <w:tcPr>
            <w:tcW w:w="1628" w:type="pct"/>
            <w:gridSpan w:val="2"/>
            <w:vMerge/>
            <w:vAlign w:val="center"/>
          </w:tcPr>
          <w:p w:rsidR="00176453" w:rsidRPr="007D49D3" w:rsidRDefault="00176453" w:rsidP="00E13F46">
            <w:pPr>
              <w:pStyle w:val="naisf"/>
              <w:spacing w:before="0" w:after="0"/>
              <w:ind w:firstLine="0"/>
              <w:jc w:val="center"/>
              <w:rPr>
                <w:b/>
                <w:i/>
                <w:sz w:val="28"/>
                <w:szCs w:val="28"/>
              </w:rPr>
            </w:pP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b/>
                <w:bCs/>
                <w:sz w:val="28"/>
                <w:szCs w:val="28"/>
              </w:rPr>
              <w:t>2016</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b/>
                <w:bCs/>
                <w:sz w:val="28"/>
                <w:szCs w:val="28"/>
              </w:rPr>
              <w:t>2017</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b/>
                <w:bCs/>
                <w:sz w:val="28"/>
                <w:szCs w:val="28"/>
              </w:rPr>
              <w:t>2018</w:t>
            </w:r>
          </w:p>
        </w:tc>
      </w:tr>
      <w:tr w:rsidR="00176453" w:rsidRPr="007D49D3" w:rsidTr="00E13F46">
        <w:trPr>
          <w:jc w:val="center"/>
        </w:trPr>
        <w:tc>
          <w:tcPr>
            <w:tcW w:w="1263" w:type="pct"/>
            <w:vMerge/>
            <w:vAlign w:val="center"/>
          </w:tcPr>
          <w:p w:rsidR="00176453" w:rsidRPr="007D49D3" w:rsidRDefault="00176453" w:rsidP="00E13F46">
            <w:pPr>
              <w:pStyle w:val="naisf"/>
              <w:spacing w:before="0" w:after="0"/>
              <w:ind w:firstLine="0"/>
              <w:jc w:val="center"/>
              <w:rPr>
                <w:b/>
                <w:i/>
                <w:sz w:val="28"/>
                <w:szCs w:val="28"/>
              </w:rPr>
            </w:pPr>
          </w:p>
        </w:tc>
        <w:tc>
          <w:tcPr>
            <w:tcW w:w="924" w:type="pct"/>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Saskaņā ar valsts budžetu kārtējam gadam</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Izmaiņas kārtējā gadā, salīdzinot ar budžetu kārtējam gadam</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Izmaiņas, salīdzinot ar kārtējo (2015) gadu</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Izmaiņas, salīdzinot ar kārtējo (2015) gadu</w:t>
            </w:r>
          </w:p>
        </w:tc>
        <w:tc>
          <w:tcPr>
            <w:tcW w:w="703" w:type="pct"/>
            <w:vAlign w:val="center"/>
          </w:tcPr>
          <w:p w:rsidR="00176453" w:rsidRPr="007D49D3" w:rsidRDefault="00176453" w:rsidP="00E13F46">
            <w:pPr>
              <w:pStyle w:val="naisf"/>
              <w:spacing w:before="0" w:after="0"/>
              <w:ind w:firstLine="0"/>
              <w:jc w:val="center"/>
              <w:rPr>
                <w:b/>
                <w:i/>
                <w:sz w:val="28"/>
                <w:szCs w:val="28"/>
              </w:rPr>
            </w:pPr>
            <w:r w:rsidRPr="007D49D3">
              <w:rPr>
                <w:sz w:val="28"/>
                <w:szCs w:val="28"/>
              </w:rPr>
              <w:t>Izmaiņas, salīdzinot ar kārtējo (2015) gadu</w:t>
            </w:r>
          </w:p>
        </w:tc>
      </w:tr>
      <w:tr w:rsidR="00176453" w:rsidRPr="007D49D3" w:rsidTr="00E13F46">
        <w:trPr>
          <w:jc w:val="center"/>
        </w:trPr>
        <w:tc>
          <w:tcPr>
            <w:tcW w:w="1263"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1</w:t>
            </w:r>
          </w:p>
        </w:tc>
        <w:tc>
          <w:tcPr>
            <w:tcW w:w="924"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2</w:t>
            </w:r>
          </w:p>
        </w:tc>
        <w:tc>
          <w:tcPr>
            <w:tcW w:w="703"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3</w:t>
            </w:r>
          </w:p>
        </w:tc>
        <w:tc>
          <w:tcPr>
            <w:tcW w:w="703"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4</w:t>
            </w:r>
          </w:p>
        </w:tc>
        <w:tc>
          <w:tcPr>
            <w:tcW w:w="703"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5</w:t>
            </w:r>
          </w:p>
        </w:tc>
        <w:tc>
          <w:tcPr>
            <w:tcW w:w="703" w:type="pct"/>
            <w:vAlign w:val="center"/>
          </w:tcPr>
          <w:p w:rsidR="00176453" w:rsidRPr="007D49D3" w:rsidRDefault="00176453" w:rsidP="00E13F46">
            <w:pPr>
              <w:pStyle w:val="naisf"/>
              <w:spacing w:before="0" w:after="0"/>
              <w:ind w:firstLine="0"/>
              <w:jc w:val="center"/>
              <w:rPr>
                <w:bCs/>
                <w:sz w:val="28"/>
                <w:szCs w:val="28"/>
              </w:rPr>
            </w:pPr>
            <w:r w:rsidRPr="007D49D3">
              <w:rPr>
                <w:bCs/>
                <w:sz w:val="28"/>
                <w:szCs w:val="28"/>
              </w:rPr>
              <w:t>6</w:t>
            </w:r>
          </w:p>
        </w:tc>
      </w:tr>
      <w:tr w:rsidR="00176453" w:rsidRPr="007D49D3" w:rsidTr="00E13F46">
        <w:trPr>
          <w:jc w:val="center"/>
        </w:trPr>
        <w:tc>
          <w:tcPr>
            <w:tcW w:w="1263" w:type="pct"/>
            <w:shd w:val="clear" w:color="auto" w:fill="auto"/>
          </w:tcPr>
          <w:p w:rsidR="00176453" w:rsidRPr="007D49D3" w:rsidRDefault="00176453" w:rsidP="00E13F46">
            <w:pPr>
              <w:pStyle w:val="naisf"/>
              <w:spacing w:before="0" w:after="0"/>
              <w:ind w:firstLine="0"/>
              <w:jc w:val="left"/>
              <w:rPr>
                <w:i/>
                <w:sz w:val="28"/>
                <w:szCs w:val="28"/>
              </w:rPr>
            </w:pPr>
            <w:r w:rsidRPr="007D49D3">
              <w:rPr>
                <w:sz w:val="28"/>
                <w:szCs w:val="28"/>
              </w:rPr>
              <w:t>1. Budžeta ieņēmumi:</w:t>
            </w:r>
          </w:p>
        </w:tc>
        <w:tc>
          <w:tcPr>
            <w:tcW w:w="924"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95 563</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-24 180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shd w:val="clear" w:color="auto" w:fill="auto"/>
          </w:tcPr>
          <w:p w:rsidR="00176453" w:rsidRPr="007D49D3" w:rsidRDefault="00176453" w:rsidP="00E13F46">
            <w:pPr>
              <w:pStyle w:val="naisf"/>
              <w:spacing w:before="0" w:after="0"/>
              <w:ind w:firstLine="0"/>
              <w:jc w:val="left"/>
              <w:rPr>
                <w:i/>
                <w:sz w:val="28"/>
                <w:szCs w:val="28"/>
              </w:rPr>
            </w:pPr>
            <w:r w:rsidRPr="007D49D3">
              <w:rPr>
                <w:sz w:val="28"/>
                <w:szCs w:val="28"/>
              </w:rPr>
              <w:t xml:space="preserve">1.1. valsts pamatbudžets, tai skaitā ieņēmumi no maksas pakalpo-jumiem un citi pašu </w:t>
            </w:r>
            <w:r w:rsidRPr="007D49D3">
              <w:rPr>
                <w:sz w:val="28"/>
                <w:szCs w:val="28"/>
              </w:rPr>
              <w:lastRenderedPageBreak/>
              <w:t>ieņēmumi</w:t>
            </w:r>
          </w:p>
        </w:tc>
        <w:tc>
          <w:tcPr>
            <w:tcW w:w="924"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lastRenderedPageBreak/>
              <w:t>95 563</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-24 180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pStyle w:val="naisf"/>
              <w:spacing w:before="0" w:after="0"/>
              <w:ind w:firstLine="0"/>
              <w:jc w:val="left"/>
              <w:rPr>
                <w:i/>
                <w:sz w:val="28"/>
                <w:szCs w:val="28"/>
              </w:rPr>
            </w:pPr>
            <w:r w:rsidRPr="007D49D3">
              <w:rPr>
                <w:sz w:val="28"/>
                <w:szCs w:val="28"/>
              </w:rPr>
              <w:lastRenderedPageBreak/>
              <w:t>1.2. valsts speciālais budžets</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pStyle w:val="naisf"/>
              <w:spacing w:before="0" w:after="0"/>
              <w:ind w:firstLine="0"/>
              <w:jc w:val="left"/>
              <w:rPr>
                <w:i/>
                <w:sz w:val="28"/>
                <w:szCs w:val="28"/>
              </w:rPr>
            </w:pPr>
            <w:r w:rsidRPr="007D49D3">
              <w:rPr>
                <w:sz w:val="28"/>
                <w:szCs w:val="28"/>
              </w:rPr>
              <w:t>1.3. pašvaldību budžets</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2. Budžeta izdevumi:</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95 563</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-24 180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2.1. valsts pamatbudžets</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95 563</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-24 180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2.2. valsts speciālais budžets</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 xml:space="preserve">2.3. pašvaldību budžets </w:t>
            </w:r>
          </w:p>
        </w:tc>
        <w:tc>
          <w:tcPr>
            <w:tcW w:w="924"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3. Finansiālā ietekme:</w:t>
            </w:r>
          </w:p>
        </w:tc>
        <w:tc>
          <w:tcPr>
            <w:tcW w:w="924"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3.1. valsts pamatbudžets</w:t>
            </w:r>
          </w:p>
        </w:tc>
        <w:tc>
          <w:tcPr>
            <w:tcW w:w="924" w:type="pct"/>
            <w:shd w:val="clear" w:color="auto" w:fill="auto"/>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gridAfter w:val="4"/>
          <w:wAfter w:w="2813" w:type="pct"/>
          <w:jc w:val="center"/>
        </w:trPr>
        <w:tc>
          <w:tcPr>
            <w:tcW w:w="1263" w:type="pct"/>
          </w:tcPr>
          <w:p w:rsidR="00176453" w:rsidRPr="007D49D3" w:rsidRDefault="00176453" w:rsidP="00E13F46">
            <w:pPr>
              <w:rPr>
                <w:sz w:val="28"/>
                <w:szCs w:val="28"/>
              </w:rPr>
            </w:pPr>
            <w:r w:rsidRPr="007D49D3">
              <w:rPr>
                <w:sz w:val="28"/>
                <w:szCs w:val="28"/>
              </w:rPr>
              <w:t>3.2. speciālais budžets</w:t>
            </w:r>
          </w:p>
        </w:tc>
        <w:tc>
          <w:tcPr>
            <w:tcW w:w="924" w:type="pct"/>
            <w:shd w:val="clear" w:color="auto" w:fill="auto"/>
          </w:tcPr>
          <w:p w:rsidR="00176453" w:rsidRPr="007D49D3" w:rsidRDefault="00176453" w:rsidP="00E13F46">
            <w:pPr>
              <w:pStyle w:val="naisf"/>
              <w:spacing w:before="0" w:after="0"/>
              <w:ind w:firstLine="0"/>
              <w:jc w:val="left"/>
              <w:rPr>
                <w:iCs/>
                <w:sz w:val="28"/>
                <w:szCs w:val="28"/>
              </w:rPr>
            </w:pPr>
            <w:r w:rsidRPr="007D49D3">
              <w:rPr>
                <w:iCs/>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 xml:space="preserve">3.3. pašvaldību budžets </w:t>
            </w:r>
          </w:p>
        </w:tc>
        <w:tc>
          <w:tcPr>
            <w:tcW w:w="924" w:type="pct"/>
            <w:shd w:val="clear" w:color="auto" w:fill="auto"/>
          </w:tcPr>
          <w:p w:rsidR="00176453" w:rsidRPr="007D49D3" w:rsidRDefault="00176453" w:rsidP="00E13F46">
            <w:pPr>
              <w:pStyle w:val="naisf"/>
              <w:spacing w:before="0" w:after="0"/>
              <w:ind w:firstLine="0"/>
              <w:jc w:val="left"/>
              <w:rPr>
                <w:iCs/>
                <w:sz w:val="28"/>
                <w:szCs w:val="28"/>
              </w:rPr>
            </w:pPr>
            <w:r w:rsidRPr="007D49D3">
              <w:rPr>
                <w:iCs/>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trHeight w:val="2254"/>
          <w:jc w:val="center"/>
        </w:trPr>
        <w:tc>
          <w:tcPr>
            <w:tcW w:w="1263" w:type="pct"/>
          </w:tcPr>
          <w:p w:rsidR="00176453" w:rsidRPr="007D49D3" w:rsidRDefault="00176453" w:rsidP="00E13F46">
            <w:pPr>
              <w:rPr>
                <w:sz w:val="28"/>
                <w:szCs w:val="28"/>
              </w:rPr>
            </w:pPr>
            <w:r w:rsidRPr="007D49D3">
              <w:rPr>
                <w:sz w:val="28"/>
                <w:szCs w:val="28"/>
              </w:rPr>
              <w:t>4. Finanšu līdzekļi papildu izde</w:t>
            </w:r>
            <w:r w:rsidRPr="007D49D3">
              <w:rPr>
                <w:sz w:val="28"/>
                <w:szCs w:val="28"/>
              </w:rPr>
              <w:softHyphen/>
              <w:t>vumu finansēšanai (kompensējošu izdevumu samazinājumu norāda ar "+" zīmi)</w:t>
            </w:r>
          </w:p>
        </w:tc>
        <w:tc>
          <w:tcPr>
            <w:tcW w:w="924" w:type="pct"/>
          </w:tcPr>
          <w:p w:rsidR="00176453" w:rsidRPr="007D49D3" w:rsidRDefault="00176453" w:rsidP="00E13F46">
            <w:pPr>
              <w:pStyle w:val="naisf"/>
              <w:spacing w:before="0" w:after="0"/>
              <w:ind w:firstLine="0"/>
              <w:jc w:val="left"/>
              <w:rPr>
                <w:i/>
                <w:sz w:val="28"/>
                <w:szCs w:val="28"/>
              </w:rPr>
            </w:pPr>
            <w:r w:rsidRPr="007D49D3">
              <w:rPr>
                <w:sz w:val="28"/>
                <w:szCs w:val="28"/>
              </w:rPr>
              <w:t>X</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5. Precizēta finansiālā ietekme:</w:t>
            </w:r>
          </w:p>
        </w:tc>
        <w:tc>
          <w:tcPr>
            <w:tcW w:w="924" w:type="pct"/>
            <w:vMerge w:val="restart"/>
          </w:tcPr>
          <w:p w:rsidR="00176453" w:rsidRPr="007D49D3" w:rsidRDefault="00176453" w:rsidP="00E13F46">
            <w:pPr>
              <w:pStyle w:val="naisf"/>
              <w:spacing w:before="0" w:after="0"/>
              <w:ind w:firstLine="0"/>
              <w:jc w:val="left"/>
              <w:rPr>
                <w:i/>
                <w:sz w:val="28"/>
                <w:szCs w:val="28"/>
              </w:rPr>
            </w:pPr>
            <w:r w:rsidRPr="007D49D3">
              <w:rPr>
                <w:sz w:val="28"/>
                <w:szCs w:val="28"/>
              </w:rPr>
              <w:t>X</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5.1. valsts pamatbudžets</w:t>
            </w:r>
          </w:p>
        </w:tc>
        <w:tc>
          <w:tcPr>
            <w:tcW w:w="924" w:type="pct"/>
            <w:vMerge/>
            <w:vAlign w:val="center"/>
          </w:tcPr>
          <w:p w:rsidR="00176453" w:rsidRPr="007D49D3" w:rsidRDefault="00176453" w:rsidP="00E13F46">
            <w:pPr>
              <w:pStyle w:val="naisf"/>
              <w:spacing w:before="0" w:after="0"/>
              <w:ind w:firstLine="0"/>
              <w:jc w:val="left"/>
              <w:rPr>
                <w:i/>
                <w:sz w:val="28"/>
                <w:szCs w:val="28"/>
              </w:rPr>
            </w:pP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5.2. speciālais budžets</w:t>
            </w:r>
          </w:p>
        </w:tc>
        <w:tc>
          <w:tcPr>
            <w:tcW w:w="924" w:type="pct"/>
            <w:vMerge/>
            <w:vAlign w:val="center"/>
          </w:tcPr>
          <w:p w:rsidR="00176453" w:rsidRPr="007D49D3" w:rsidRDefault="00176453" w:rsidP="00E13F46">
            <w:pPr>
              <w:pStyle w:val="naisf"/>
              <w:spacing w:before="0" w:after="0"/>
              <w:ind w:firstLine="0"/>
              <w:jc w:val="left"/>
              <w:rPr>
                <w:i/>
                <w:sz w:val="28"/>
                <w:szCs w:val="28"/>
              </w:rPr>
            </w:pP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 xml:space="preserve">5.3. pašvaldību budžets </w:t>
            </w:r>
          </w:p>
        </w:tc>
        <w:tc>
          <w:tcPr>
            <w:tcW w:w="924" w:type="pct"/>
            <w:vMerge/>
            <w:vAlign w:val="center"/>
          </w:tcPr>
          <w:p w:rsidR="00176453" w:rsidRPr="007D49D3" w:rsidRDefault="00176453" w:rsidP="00E13F46">
            <w:pPr>
              <w:pStyle w:val="naisf"/>
              <w:spacing w:before="0" w:after="0"/>
              <w:ind w:firstLine="0"/>
              <w:jc w:val="left"/>
              <w:rPr>
                <w:i/>
                <w:sz w:val="28"/>
                <w:szCs w:val="28"/>
              </w:rPr>
            </w:pP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c>
          <w:tcPr>
            <w:tcW w:w="703" w:type="pct"/>
          </w:tcPr>
          <w:p w:rsidR="00176453" w:rsidRPr="007D49D3" w:rsidRDefault="00176453" w:rsidP="00E13F46">
            <w:pPr>
              <w:pStyle w:val="naisf"/>
              <w:spacing w:before="0" w:after="0"/>
              <w:ind w:firstLine="0"/>
              <w:jc w:val="left"/>
              <w:rPr>
                <w:sz w:val="28"/>
                <w:szCs w:val="28"/>
              </w:rPr>
            </w:pPr>
            <w:r w:rsidRPr="007D49D3">
              <w:rPr>
                <w:sz w:val="28"/>
                <w:szCs w:val="28"/>
              </w:rPr>
              <w:t>0</w:t>
            </w:r>
          </w:p>
        </w:tc>
      </w:tr>
      <w:tr w:rsidR="00176453" w:rsidRPr="007D49D3" w:rsidTr="00E13F46">
        <w:trPr>
          <w:jc w:val="center"/>
        </w:trPr>
        <w:tc>
          <w:tcPr>
            <w:tcW w:w="1263" w:type="pct"/>
          </w:tcPr>
          <w:p w:rsidR="00176453" w:rsidRPr="007D49D3" w:rsidRDefault="00176453" w:rsidP="00E13F46">
            <w:pPr>
              <w:rPr>
                <w:sz w:val="28"/>
                <w:szCs w:val="28"/>
              </w:rPr>
            </w:pPr>
            <w:r w:rsidRPr="007D49D3">
              <w:rPr>
                <w:sz w:val="28"/>
                <w:szCs w:val="28"/>
              </w:rPr>
              <w:t>6. Detalizēts ieņēmumu un izdevu</w:t>
            </w:r>
            <w:r w:rsidRPr="007D49D3">
              <w:rPr>
                <w:sz w:val="28"/>
                <w:szCs w:val="28"/>
              </w:rPr>
              <w:softHyphen/>
              <w:t xml:space="preserve">mu aprēķins (ja nepieciešams, </w:t>
            </w:r>
            <w:r w:rsidRPr="007D49D3">
              <w:rPr>
                <w:sz w:val="28"/>
                <w:szCs w:val="28"/>
              </w:rPr>
              <w:lastRenderedPageBreak/>
              <w:t>detalizētu ieņēmumu un izdevumu aprēķinu var pievienot anotācijas pielikumā):</w:t>
            </w:r>
          </w:p>
        </w:tc>
        <w:tc>
          <w:tcPr>
            <w:tcW w:w="3737" w:type="pct"/>
            <w:gridSpan w:val="5"/>
            <w:vMerge w:val="restart"/>
            <w:vAlign w:val="center"/>
          </w:tcPr>
          <w:p w:rsidR="00B75ECF" w:rsidRPr="007D49D3" w:rsidRDefault="00176453" w:rsidP="00B75ECF">
            <w:pPr>
              <w:tabs>
                <w:tab w:val="center" w:pos="4153"/>
                <w:tab w:val="right" w:pos="8460"/>
              </w:tabs>
              <w:ind w:right="34" w:firstLine="408"/>
              <w:jc w:val="both"/>
              <w:rPr>
                <w:rFonts w:asciiTheme="majorBidi" w:hAnsiTheme="majorBidi" w:cstheme="majorBidi"/>
                <w:sz w:val="28"/>
                <w:szCs w:val="28"/>
              </w:rPr>
            </w:pPr>
            <w:r w:rsidRPr="007D49D3">
              <w:rPr>
                <w:sz w:val="28"/>
                <w:szCs w:val="28"/>
              </w:rPr>
              <w:lastRenderedPageBreak/>
              <w:t xml:space="preserve"> </w:t>
            </w:r>
            <w:r w:rsidR="00B75ECF" w:rsidRPr="007D49D3">
              <w:rPr>
                <w:rFonts w:asciiTheme="majorBidi" w:hAnsiTheme="majorBidi" w:cstheme="majorBidi"/>
                <w:sz w:val="28"/>
                <w:szCs w:val="28"/>
              </w:rPr>
              <w:t xml:space="preserve">Sākotnēji 2015.gadā bija plānots piešķirt mērķdotāciju 173 kolektīviem, taču sakarā ar to, ka kolektīvu vadītājiem (pedagogiem), kuru darba algas un valsts sociālās apdrošināšanas obligātās iemaksas tiek nodrošinātas </w:t>
            </w:r>
            <w:r w:rsidR="00B75ECF" w:rsidRPr="007D49D3">
              <w:rPr>
                <w:rFonts w:asciiTheme="majorBidi" w:hAnsiTheme="majorBidi" w:cstheme="majorBidi"/>
                <w:sz w:val="28"/>
                <w:szCs w:val="28"/>
              </w:rPr>
              <w:lastRenderedPageBreak/>
              <w:t>interešu izglītības programmu ietvaros, kas tiek finansētas atbilstoši Ministru kabineta 2001.gada 28.augusta noteikumiem Nr.382 „Interešu izglītības programmu finansēšanas kārtība” no mērķdotācijas pretendentu saraksta tika izņemti 38 izglītības iestāžu kolektīvi, t.sk. 37 G1 kolektīvi un 1 G2 kolektīvs.</w:t>
            </w:r>
          </w:p>
          <w:p w:rsidR="00953A15" w:rsidRPr="007D49D3" w:rsidRDefault="00953A15" w:rsidP="00953A15">
            <w:pPr>
              <w:tabs>
                <w:tab w:val="center" w:pos="4153"/>
                <w:tab w:val="right" w:pos="8460"/>
              </w:tabs>
              <w:spacing w:after="120"/>
              <w:ind w:right="34" w:firstLine="408"/>
              <w:jc w:val="both"/>
              <w:rPr>
                <w:rFonts w:asciiTheme="majorBidi" w:hAnsiTheme="majorBidi" w:cstheme="majorBidi"/>
                <w:sz w:val="28"/>
                <w:szCs w:val="28"/>
              </w:rPr>
            </w:pPr>
            <w:r w:rsidRPr="007D49D3">
              <w:rPr>
                <w:rFonts w:asciiTheme="majorBidi" w:hAnsiTheme="majorBidi" w:cstheme="majorBidi"/>
                <w:sz w:val="28"/>
                <w:szCs w:val="28"/>
              </w:rPr>
              <w:t>Kultūras ministrija ir izvērtējusi iespēju 2015.gadā piešķirtās valsts budžeta mērķdotācijas māksliniecisko kolektīvu, kuru dibinātāji nav pašvaldības, vadītāju darba samaksai un valsts sociālās apdrošināšanas obligātajām iemaksām 2015.gada atlikumu 24 180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apmērā ((37 </w:t>
            </w:r>
            <w:proofErr w:type="spellStart"/>
            <w:r w:rsidRPr="007D49D3">
              <w:rPr>
                <w:rFonts w:asciiTheme="majorBidi" w:hAnsiTheme="majorBidi" w:cstheme="majorBidi"/>
                <w:sz w:val="28"/>
                <w:szCs w:val="28"/>
              </w:rPr>
              <w:t>kol</w:t>
            </w:r>
            <w:proofErr w:type="spellEnd"/>
            <w:r w:rsidRPr="007D49D3">
              <w:rPr>
                <w:rFonts w:asciiTheme="majorBidi" w:hAnsiTheme="majorBidi" w:cstheme="majorBidi"/>
                <w:sz w:val="28"/>
                <w:szCs w:val="28"/>
              </w:rPr>
              <w:t xml:space="preserve">. x 322,40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x 2 </w:t>
            </w:r>
            <w:proofErr w:type="spellStart"/>
            <w:r w:rsidRPr="007D49D3">
              <w:rPr>
                <w:rFonts w:asciiTheme="majorBidi" w:hAnsiTheme="majorBidi" w:cstheme="majorBidi"/>
                <w:sz w:val="28"/>
                <w:szCs w:val="28"/>
              </w:rPr>
              <w:t>līdzd</w:t>
            </w:r>
            <w:proofErr w:type="spellEnd"/>
            <w:r w:rsidRPr="007D49D3">
              <w:rPr>
                <w:rFonts w:asciiTheme="majorBidi" w:hAnsiTheme="majorBidi" w:cstheme="majorBidi"/>
                <w:sz w:val="28"/>
                <w:szCs w:val="28"/>
              </w:rPr>
              <w:t xml:space="preserve">. </w:t>
            </w:r>
            <w:proofErr w:type="spellStart"/>
            <w:r w:rsidRPr="007D49D3">
              <w:rPr>
                <w:rFonts w:asciiTheme="majorBidi" w:hAnsiTheme="majorBidi" w:cstheme="majorBidi"/>
                <w:sz w:val="28"/>
                <w:szCs w:val="28"/>
              </w:rPr>
              <w:t>int.koef</w:t>
            </w:r>
            <w:proofErr w:type="spellEnd"/>
            <w:r w:rsidRPr="007D49D3">
              <w:rPr>
                <w:rFonts w:asciiTheme="majorBidi" w:hAnsiTheme="majorBidi" w:cstheme="majorBidi"/>
                <w:sz w:val="28"/>
                <w:szCs w:val="28"/>
              </w:rPr>
              <w:t xml:space="preserve">.) + (1 </w:t>
            </w:r>
            <w:proofErr w:type="spellStart"/>
            <w:r w:rsidRPr="007D49D3">
              <w:rPr>
                <w:rFonts w:asciiTheme="majorBidi" w:hAnsiTheme="majorBidi" w:cstheme="majorBidi"/>
                <w:sz w:val="28"/>
                <w:szCs w:val="28"/>
              </w:rPr>
              <w:t>kol</w:t>
            </w:r>
            <w:proofErr w:type="spellEnd"/>
            <w:r w:rsidRPr="007D49D3">
              <w:rPr>
                <w:rFonts w:asciiTheme="majorBidi" w:hAnsiTheme="majorBidi" w:cstheme="majorBidi"/>
                <w:sz w:val="28"/>
                <w:szCs w:val="28"/>
              </w:rPr>
              <w:t xml:space="preserve"> x 322,40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24 180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novirzīt izdevumu segšanai, kas radušies saistībā ar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organizēšanu, kā arī Dziesmu un deju svētku tradīcijas ilgtspējas nodrošināšanai, t.sk.:</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1. Izdevumu segšanai, kas radušies, nodrošinot neatliekamo medicīnisko palīdzību, kā arī drošību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svētkos 2015.gadā- </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1.1. Veselības ministrijai 11 205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sz w:val="28"/>
                <w:szCs w:val="28"/>
              </w:rPr>
              <w:t xml:space="preserve"> apmērā (uzturēšanas izdevumu transferts) par sniegto neatliekamo medicīnisko palīdzību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laikā;</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1.2. Iekšlietu ministrijai 5 833 </w:t>
            </w:r>
            <w:proofErr w:type="spellStart"/>
            <w:r w:rsidRPr="007D49D3">
              <w:rPr>
                <w:rFonts w:asciiTheme="majorBidi" w:hAnsiTheme="majorBidi" w:cstheme="majorBidi"/>
                <w:i/>
                <w:sz w:val="28"/>
                <w:szCs w:val="28"/>
              </w:rPr>
              <w:t>euro</w:t>
            </w:r>
            <w:proofErr w:type="spellEnd"/>
            <w:r w:rsidRPr="007D49D3">
              <w:rPr>
                <w:rFonts w:asciiTheme="majorBidi" w:hAnsiTheme="majorBidi" w:cstheme="majorBidi"/>
                <w:i/>
                <w:sz w:val="28"/>
                <w:szCs w:val="28"/>
              </w:rPr>
              <w:t xml:space="preserve"> </w:t>
            </w:r>
            <w:r w:rsidRPr="007D49D3">
              <w:rPr>
                <w:rFonts w:asciiTheme="majorBidi" w:hAnsiTheme="majorBidi" w:cstheme="majorBidi"/>
                <w:iCs/>
                <w:sz w:val="28"/>
                <w:szCs w:val="28"/>
              </w:rPr>
              <w:t xml:space="preserve">apmērā </w:t>
            </w:r>
            <w:r w:rsidRPr="007D49D3">
              <w:rPr>
                <w:rFonts w:asciiTheme="majorBidi" w:hAnsiTheme="majorBidi" w:cstheme="majorBidi"/>
                <w:sz w:val="28"/>
                <w:szCs w:val="28"/>
              </w:rPr>
              <w:t xml:space="preserve">(uzturēšanas izdevumu transferts) par Valsts ugunsdzēsības un glābšanas dienesta nodrošinātajiem drošības pasākumiem </w:t>
            </w:r>
            <w:proofErr w:type="spellStart"/>
            <w:r w:rsidRPr="007D49D3">
              <w:rPr>
                <w:rFonts w:asciiTheme="majorBidi" w:hAnsiTheme="majorBidi" w:cstheme="majorBidi"/>
                <w:sz w:val="28"/>
                <w:szCs w:val="28"/>
              </w:rPr>
              <w:t>VIII</w:t>
            </w:r>
            <w:proofErr w:type="spellEnd"/>
            <w:r w:rsidRPr="007D49D3">
              <w:rPr>
                <w:rFonts w:asciiTheme="majorBidi" w:hAnsiTheme="majorBidi" w:cstheme="majorBidi"/>
                <w:sz w:val="28"/>
                <w:szCs w:val="28"/>
              </w:rPr>
              <w:t xml:space="preserve"> Ziemeļu un Baltijas valstu dziesmu un deju svētku laikā;</w:t>
            </w:r>
          </w:p>
          <w:p w:rsidR="00953A15" w:rsidRPr="007D49D3" w:rsidRDefault="00953A15" w:rsidP="00953A15">
            <w:pPr>
              <w:tabs>
                <w:tab w:val="center" w:pos="4153"/>
                <w:tab w:val="right" w:pos="8460"/>
              </w:tabs>
              <w:spacing w:after="120"/>
              <w:ind w:right="34"/>
              <w:jc w:val="both"/>
              <w:rPr>
                <w:rFonts w:asciiTheme="majorBidi" w:hAnsiTheme="majorBidi" w:cstheme="majorBidi"/>
                <w:sz w:val="28"/>
                <w:szCs w:val="28"/>
              </w:rPr>
            </w:pPr>
            <w:r w:rsidRPr="007D49D3">
              <w:rPr>
                <w:rFonts w:asciiTheme="majorBidi" w:hAnsiTheme="majorBidi" w:cstheme="majorBidi"/>
                <w:sz w:val="28"/>
                <w:szCs w:val="28"/>
              </w:rPr>
              <w:t xml:space="preserve">Šie izdevumi - pavisam kopā 17038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t>apmērā - atbilst Publisko izklaides un svētku pasākumu drošības likuma 10.panta otrās daļas 1.punktam un 4.punktam, kā arī Ministru kabineta 2006.gada 27.jūnija noteikumiem Nr.526 „Kārtība, kādā pasākuma organizators nodrošina neatliekamo medicīnisko palīdzību publiskā pasākumā”, kas nosaka, ka pasākuma organizatoram - šajā gadījumā - Latvijas Nacionālajam kultūras centram, pasākuma norises vietā jānodrošina neatliekamā medicīniskā palīdzība un jāievēro ugunsdrošības prasības;</w:t>
            </w:r>
          </w:p>
          <w:p w:rsidR="00176453" w:rsidRPr="007D49D3" w:rsidRDefault="00953A15" w:rsidP="00953A15">
            <w:pPr>
              <w:pStyle w:val="naisf"/>
              <w:tabs>
                <w:tab w:val="left" w:pos="4644"/>
              </w:tabs>
              <w:spacing w:after="0"/>
              <w:ind w:firstLine="0"/>
              <w:rPr>
                <w:b/>
                <w:i/>
                <w:sz w:val="28"/>
                <w:szCs w:val="28"/>
              </w:rPr>
            </w:pPr>
            <w:r w:rsidRPr="007D49D3">
              <w:rPr>
                <w:rFonts w:asciiTheme="majorBidi" w:hAnsiTheme="majorBidi" w:cstheme="majorBidi"/>
                <w:sz w:val="28"/>
                <w:szCs w:val="28"/>
              </w:rPr>
              <w:t>2. Latvijas Nacionālajam kultūras centram 7142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lastRenderedPageBreak/>
              <w:t xml:space="preserve">apmērā Dziesmu un deju svētku tradīcijas saglabāšanas un attīstības pasākumiem 2015.gadā: tautas lietišķās mākslas izstādei „Lina dvieļi un māla krūzes” (kopā 1517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i/>
                <w:iCs/>
                <w:sz w:val="28"/>
                <w:szCs w:val="28"/>
              </w:rPr>
              <w:t xml:space="preserve">, </w:t>
            </w:r>
            <w:r w:rsidRPr="007D49D3">
              <w:rPr>
                <w:rFonts w:asciiTheme="majorBidi" w:hAnsiTheme="majorBidi" w:cstheme="majorBidi"/>
                <w:sz w:val="28"/>
                <w:szCs w:val="28"/>
              </w:rPr>
              <w:t>t.sk. atlīdzība 167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preces un pakalpojumi 1350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un </w:t>
            </w:r>
            <w:proofErr w:type="gramStart"/>
            <w:r w:rsidRPr="007D49D3">
              <w:rPr>
                <w:rFonts w:asciiTheme="majorBidi" w:hAnsiTheme="majorBidi" w:cstheme="majorBidi"/>
                <w:sz w:val="28"/>
                <w:szCs w:val="28"/>
              </w:rPr>
              <w:t>starptautiska mēroga pasākumam „</w:t>
            </w:r>
            <w:proofErr w:type="spellStart"/>
            <w:r w:rsidRPr="007D49D3">
              <w:rPr>
                <w:rFonts w:asciiTheme="majorBidi" w:hAnsiTheme="majorBidi" w:cstheme="majorBidi"/>
                <w:sz w:val="28"/>
                <w:szCs w:val="28"/>
              </w:rPr>
              <w:t>VII</w:t>
            </w:r>
            <w:proofErr w:type="spellEnd"/>
            <w:r w:rsidRPr="007D49D3">
              <w:rPr>
                <w:rFonts w:asciiTheme="majorBidi" w:hAnsiTheme="majorBidi" w:cstheme="majorBidi"/>
                <w:sz w:val="28"/>
                <w:szCs w:val="28"/>
              </w:rPr>
              <w:t xml:space="preserve"> Baltijas valstu pūtēju orķestru diriģentu un ansambļu vadītāju forums”</w:t>
            </w:r>
            <w:proofErr w:type="gramEnd"/>
            <w:r w:rsidRPr="007D49D3">
              <w:rPr>
                <w:rFonts w:asciiTheme="majorBidi" w:hAnsiTheme="majorBidi" w:cstheme="majorBidi"/>
                <w:sz w:val="28"/>
                <w:szCs w:val="28"/>
              </w:rPr>
              <w:t xml:space="preserve"> (kopā 5625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t.sk. atlīdzība 2110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 xml:space="preserve">,   preces un pakalpojumi  3515 </w:t>
            </w:r>
            <w:proofErr w:type="spellStart"/>
            <w:r w:rsidRPr="007D49D3">
              <w:rPr>
                <w:rFonts w:asciiTheme="majorBidi" w:hAnsiTheme="majorBidi" w:cstheme="majorBidi"/>
                <w:i/>
                <w:iCs/>
                <w:sz w:val="28"/>
                <w:szCs w:val="28"/>
              </w:rPr>
              <w:t>euro</w:t>
            </w:r>
            <w:proofErr w:type="spellEnd"/>
            <w:r w:rsidRPr="007D49D3">
              <w:rPr>
                <w:rFonts w:asciiTheme="majorBidi" w:hAnsiTheme="majorBidi" w:cstheme="majorBidi"/>
                <w:sz w:val="28"/>
                <w:szCs w:val="28"/>
              </w:rPr>
              <w:t>).</w:t>
            </w:r>
          </w:p>
        </w:tc>
      </w:tr>
      <w:tr w:rsidR="00176453" w:rsidRPr="007D49D3" w:rsidTr="00E13F46">
        <w:trPr>
          <w:jc w:val="center"/>
        </w:trPr>
        <w:tc>
          <w:tcPr>
            <w:tcW w:w="1263" w:type="pct"/>
          </w:tcPr>
          <w:p w:rsidR="00176453" w:rsidRPr="007D49D3" w:rsidRDefault="00176453" w:rsidP="00E13F46">
            <w:pPr>
              <w:jc w:val="both"/>
              <w:rPr>
                <w:sz w:val="28"/>
                <w:szCs w:val="28"/>
              </w:rPr>
            </w:pPr>
            <w:r w:rsidRPr="007D49D3">
              <w:rPr>
                <w:sz w:val="28"/>
                <w:szCs w:val="28"/>
              </w:rPr>
              <w:lastRenderedPageBreak/>
              <w:t>6.1. detalizēts ieņēmumu aprēķins</w:t>
            </w:r>
          </w:p>
        </w:tc>
        <w:tc>
          <w:tcPr>
            <w:tcW w:w="3737" w:type="pct"/>
            <w:gridSpan w:val="5"/>
            <w:vMerge/>
          </w:tcPr>
          <w:p w:rsidR="00176453" w:rsidRPr="007D49D3" w:rsidRDefault="00176453" w:rsidP="00E13F46">
            <w:pPr>
              <w:pStyle w:val="naisf"/>
              <w:tabs>
                <w:tab w:val="left" w:pos="4644"/>
              </w:tabs>
              <w:spacing w:after="0"/>
              <w:ind w:firstLine="357"/>
              <w:rPr>
                <w:b/>
                <w:i/>
                <w:sz w:val="28"/>
                <w:szCs w:val="28"/>
              </w:rPr>
            </w:pPr>
          </w:p>
        </w:tc>
      </w:tr>
      <w:tr w:rsidR="00176453" w:rsidRPr="007D49D3" w:rsidTr="00E13F46">
        <w:trPr>
          <w:jc w:val="center"/>
        </w:trPr>
        <w:tc>
          <w:tcPr>
            <w:tcW w:w="1263" w:type="pct"/>
          </w:tcPr>
          <w:p w:rsidR="00176453" w:rsidRPr="007D49D3" w:rsidRDefault="00176453" w:rsidP="00E13F46">
            <w:pPr>
              <w:jc w:val="both"/>
              <w:rPr>
                <w:sz w:val="28"/>
                <w:szCs w:val="28"/>
              </w:rPr>
            </w:pPr>
            <w:r w:rsidRPr="007D49D3">
              <w:rPr>
                <w:sz w:val="28"/>
                <w:szCs w:val="28"/>
              </w:rPr>
              <w:t>6.2. detalizēts izdevumu aprēķins</w:t>
            </w:r>
          </w:p>
        </w:tc>
        <w:tc>
          <w:tcPr>
            <w:tcW w:w="3737" w:type="pct"/>
            <w:gridSpan w:val="5"/>
            <w:vMerge/>
          </w:tcPr>
          <w:p w:rsidR="00176453" w:rsidRPr="007D49D3" w:rsidRDefault="00176453" w:rsidP="00E13F46">
            <w:pPr>
              <w:pStyle w:val="naisf"/>
              <w:tabs>
                <w:tab w:val="left" w:pos="4644"/>
              </w:tabs>
              <w:spacing w:before="0" w:after="0"/>
              <w:ind w:firstLine="357"/>
              <w:rPr>
                <w:sz w:val="28"/>
                <w:szCs w:val="28"/>
              </w:rPr>
            </w:pPr>
          </w:p>
        </w:tc>
      </w:tr>
      <w:tr w:rsidR="00176453" w:rsidRPr="007D49D3" w:rsidTr="00E13F46">
        <w:trPr>
          <w:trHeight w:val="473"/>
          <w:jc w:val="center"/>
        </w:trPr>
        <w:tc>
          <w:tcPr>
            <w:tcW w:w="1263" w:type="pct"/>
          </w:tcPr>
          <w:p w:rsidR="00176453" w:rsidRPr="007D49D3" w:rsidRDefault="00176453" w:rsidP="00E13F46">
            <w:pPr>
              <w:jc w:val="both"/>
              <w:rPr>
                <w:sz w:val="28"/>
                <w:szCs w:val="28"/>
              </w:rPr>
            </w:pPr>
            <w:r w:rsidRPr="007D49D3">
              <w:rPr>
                <w:sz w:val="28"/>
                <w:szCs w:val="28"/>
              </w:rPr>
              <w:lastRenderedPageBreak/>
              <w:t>7. Cita informācija</w:t>
            </w:r>
          </w:p>
        </w:tc>
        <w:tc>
          <w:tcPr>
            <w:tcW w:w="3737" w:type="pct"/>
            <w:gridSpan w:val="5"/>
          </w:tcPr>
          <w:p w:rsidR="00B75ECF" w:rsidRPr="007D49D3" w:rsidRDefault="00B75ECF" w:rsidP="00B75ECF">
            <w:pPr>
              <w:tabs>
                <w:tab w:val="center" w:pos="4153"/>
                <w:tab w:val="right" w:pos="8460"/>
              </w:tabs>
              <w:ind w:right="34" w:firstLine="386"/>
              <w:jc w:val="both"/>
              <w:rPr>
                <w:rFonts w:asciiTheme="majorBidi" w:hAnsiTheme="majorBidi" w:cstheme="majorBidi"/>
                <w:sz w:val="28"/>
                <w:szCs w:val="28"/>
              </w:rPr>
            </w:pPr>
            <w:r w:rsidRPr="007D49D3">
              <w:rPr>
                <w:rFonts w:asciiTheme="majorBidi" w:hAnsiTheme="majorBidi" w:cstheme="majorBidi"/>
                <w:sz w:val="28"/>
                <w:szCs w:val="28"/>
              </w:rPr>
              <w:t xml:space="preserve">2015.gada sadalījumā iekļauto kolektīvu vadītāju darba samaksai un valsts sociālās apdrošināšanas obligātajām iemaksām, kuru dibinātāji nav pašvaldības, piemērojot bāzes finansējumu vienam kolektīvam 323 </w:t>
            </w:r>
            <w:r w:rsidRPr="007D49D3">
              <w:rPr>
                <w:rFonts w:asciiTheme="majorBidi" w:hAnsiTheme="majorBidi" w:cstheme="majorBidi"/>
                <w:i/>
                <w:sz w:val="28"/>
                <w:szCs w:val="28"/>
              </w:rPr>
              <w:t>euro</w:t>
            </w:r>
            <w:r w:rsidRPr="007D49D3">
              <w:rPr>
                <w:rFonts w:asciiTheme="majorBidi" w:hAnsiTheme="majorBidi" w:cstheme="majorBidi"/>
                <w:sz w:val="28"/>
                <w:szCs w:val="28"/>
              </w:rPr>
              <w:t xml:space="preserve">, 2015.gadam nepieciešamā summa 135 kolektīvu vadītāju darba samaksai un valsts sociālās apdrošināšanas obligātajām iemaksām pavisam kopā ir 71 383 </w:t>
            </w:r>
            <w:r w:rsidRPr="007D49D3">
              <w:rPr>
                <w:rFonts w:asciiTheme="majorBidi" w:hAnsiTheme="majorBidi" w:cstheme="majorBidi"/>
                <w:i/>
                <w:sz w:val="28"/>
                <w:szCs w:val="28"/>
              </w:rPr>
              <w:t>euro</w:t>
            </w:r>
            <w:r w:rsidRPr="007D49D3">
              <w:rPr>
                <w:rFonts w:asciiTheme="majorBidi" w:hAnsiTheme="majorBidi" w:cstheme="majorBidi"/>
                <w:sz w:val="28"/>
                <w:szCs w:val="28"/>
              </w:rPr>
              <w:t xml:space="preserve">. </w:t>
            </w:r>
          </w:p>
          <w:p w:rsidR="00176453" w:rsidRPr="007D49D3" w:rsidRDefault="00B75ECF" w:rsidP="00B75ECF">
            <w:pPr>
              <w:pStyle w:val="naisf"/>
              <w:tabs>
                <w:tab w:val="left" w:pos="4644"/>
              </w:tabs>
              <w:spacing w:before="0" w:after="0"/>
              <w:ind w:firstLine="408"/>
              <w:rPr>
                <w:sz w:val="28"/>
                <w:szCs w:val="28"/>
              </w:rPr>
            </w:pPr>
            <w:r w:rsidRPr="007D49D3">
              <w:rPr>
                <w:rFonts w:asciiTheme="majorBidi" w:hAnsiTheme="majorBidi" w:cstheme="majorBidi"/>
                <w:sz w:val="28"/>
                <w:szCs w:val="28"/>
              </w:rPr>
              <w:t xml:space="preserve">Aprēķini veikti ņemot par pamatu 2015.gada bāzes finansējumu viena kolektīva vadītāja atlīdzībai 323 </w:t>
            </w:r>
            <w:r w:rsidRPr="007D49D3">
              <w:rPr>
                <w:rFonts w:asciiTheme="majorBidi" w:hAnsiTheme="majorBidi" w:cstheme="majorBidi"/>
                <w:i/>
                <w:sz w:val="28"/>
                <w:szCs w:val="28"/>
              </w:rPr>
              <w:t>euro</w:t>
            </w:r>
            <w:r w:rsidRPr="007D49D3">
              <w:rPr>
                <w:rFonts w:asciiTheme="majorBidi" w:hAnsiTheme="majorBidi" w:cstheme="majorBidi"/>
                <w:sz w:val="28"/>
                <w:szCs w:val="28"/>
              </w:rPr>
              <w:t xml:space="preserve">, kas G1 grupas kolektīviem ir reizināts ar līdzdalības intensitātes koeficientu, kas 2015.gadā ir 2. </w:t>
            </w:r>
            <w:r w:rsidRPr="007D49D3">
              <w:rPr>
                <w:rFonts w:asciiTheme="majorBidi" w:hAnsiTheme="majorBidi" w:cstheme="majorBidi"/>
                <w:bCs/>
                <w:sz w:val="28"/>
                <w:szCs w:val="28"/>
              </w:rPr>
              <w:t>Intensitātes koeficients ir noteikts, ņemot vērā Projekta 8.punktā ietverto līdzdalības intensitātes koeficienta aprēķina formulu un pamatojoties uz centra 2014.gada 29.decembra rīkojumu Nr.227 „Par valsts mērķdotācijas aprēķināšanu 2015.gadam”. Proti, 2015.gadā koeficients „2” iegūts, ņemot vērā centra 2014.gadā īstenoto Dziesmu un deju svētku starplaika pasākumu kopskaitu – 153, no tiem G1 grupai tika īstenoti 102 (P1), G2 – 51(P2) pasākums.</w:t>
            </w:r>
          </w:p>
        </w:tc>
      </w:tr>
    </w:tbl>
    <w:p w:rsidR="00176453" w:rsidRPr="007D49D3" w:rsidRDefault="00176453" w:rsidP="008B6F82">
      <w:pPr>
        <w:jc w:val="both"/>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3258"/>
        <w:gridCol w:w="5662"/>
      </w:tblGrid>
      <w:tr w:rsidR="008B6F82" w:rsidRPr="007D49D3" w:rsidTr="002F1AD0">
        <w:trPr>
          <w:trHeight w:val="472"/>
          <w:tblCellSpacing w:w="0" w:type="dxa"/>
        </w:trPr>
        <w:tc>
          <w:tcPr>
            <w:tcW w:w="5000" w:type="pct"/>
            <w:gridSpan w:val="3"/>
            <w:tcBorders>
              <w:top w:val="outset" w:sz="6" w:space="0" w:color="auto"/>
              <w:left w:val="outset" w:sz="2" w:space="0" w:color="auto"/>
              <w:bottom w:val="outset" w:sz="6" w:space="0" w:color="auto"/>
            </w:tcBorders>
            <w:vAlign w:val="center"/>
          </w:tcPr>
          <w:p w:rsidR="008B6F82" w:rsidRPr="007D49D3" w:rsidRDefault="008B6F82" w:rsidP="00C71066">
            <w:pPr>
              <w:pStyle w:val="naisnod"/>
              <w:jc w:val="center"/>
              <w:rPr>
                <w:b/>
                <w:sz w:val="28"/>
                <w:szCs w:val="28"/>
              </w:rPr>
            </w:pPr>
            <w:r w:rsidRPr="007D49D3">
              <w:rPr>
                <w:b/>
                <w:sz w:val="28"/>
                <w:szCs w:val="28"/>
              </w:rPr>
              <w:t>IV. Tiesību akta projekta ietekme uz spēkā esošo tiesību normu sistēmu</w:t>
            </w:r>
          </w:p>
        </w:tc>
      </w:tr>
      <w:tr w:rsidR="008B6F82" w:rsidRPr="007D49D3" w:rsidTr="00651B00">
        <w:trPr>
          <w:trHeight w:val="405"/>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7D49D3" w:rsidRDefault="008B6F82" w:rsidP="00651B00">
            <w:pPr>
              <w:pStyle w:val="naiskr"/>
              <w:jc w:val="center"/>
              <w:rPr>
                <w:sz w:val="28"/>
                <w:szCs w:val="28"/>
              </w:rPr>
            </w:pPr>
            <w:r w:rsidRPr="007D49D3">
              <w:rPr>
                <w:sz w:val="28"/>
                <w:szCs w:val="28"/>
              </w:rPr>
              <w:t>1.</w:t>
            </w:r>
          </w:p>
        </w:tc>
        <w:tc>
          <w:tcPr>
            <w:tcW w:w="1743" w:type="pct"/>
            <w:tcBorders>
              <w:top w:val="outset" w:sz="6" w:space="0" w:color="auto"/>
              <w:left w:val="outset" w:sz="6" w:space="0" w:color="auto"/>
              <w:bottom w:val="outset" w:sz="6" w:space="0" w:color="auto"/>
              <w:right w:val="outset" w:sz="6" w:space="0" w:color="auto"/>
            </w:tcBorders>
          </w:tcPr>
          <w:p w:rsidR="008B6F82" w:rsidRPr="007D49D3" w:rsidRDefault="008B6F82" w:rsidP="00391CB8">
            <w:pPr>
              <w:pStyle w:val="naiskr"/>
              <w:ind w:left="117"/>
              <w:rPr>
                <w:sz w:val="28"/>
                <w:szCs w:val="28"/>
              </w:rPr>
            </w:pPr>
            <w:r w:rsidRPr="007D49D3">
              <w:rPr>
                <w:sz w:val="28"/>
                <w:szCs w:val="28"/>
              </w:rPr>
              <w:t>Nepieciešamie saistītie tiesību aktu projekti</w:t>
            </w:r>
          </w:p>
        </w:tc>
        <w:tc>
          <w:tcPr>
            <w:tcW w:w="3029" w:type="pct"/>
            <w:tcBorders>
              <w:top w:val="outset" w:sz="6" w:space="0" w:color="auto"/>
              <w:left w:val="outset" w:sz="6" w:space="0" w:color="auto"/>
              <w:bottom w:val="outset" w:sz="6" w:space="0" w:color="auto"/>
            </w:tcBorders>
          </w:tcPr>
          <w:p w:rsidR="00E94DDE" w:rsidRPr="007D49D3" w:rsidRDefault="002F1AD0">
            <w:pPr>
              <w:ind w:right="142"/>
              <w:contextualSpacing/>
              <w:jc w:val="both"/>
              <w:outlineLvl w:val="3"/>
              <w:rPr>
                <w:sz w:val="28"/>
                <w:szCs w:val="28"/>
              </w:rPr>
            </w:pPr>
            <w:r w:rsidRPr="007D49D3">
              <w:rPr>
                <w:sz w:val="28"/>
                <w:szCs w:val="28"/>
              </w:rPr>
              <w:t>Kultūras ministrija</w:t>
            </w:r>
            <w:r w:rsidR="003E7E7B" w:rsidRPr="007D49D3">
              <w:rPr>
                <w:sz w:val="28"/>
                <w:szCs w:val="28"/>
              </w:rPr>
              <w:t xml:space="preserve"> vienlaikus ar Projektu virz</w:t>
            </w:r>
            <w:r w:rsidR="00CE35B3" w:rsidRPr="007D49D3">
              <w:rPr>
                <w:sz w:val="28"/>
                <w:szCs w:val="28"/>
              </w:rPr>
              <w:t xml:space="preserve">a izskatīšanai </w:t>
            </w:r>
            <w:r w:rsidR="00766A44" w:rsidRPr="007D49D3">
              <w:rPr>
                <w:sz w:val="28"/>
                <w:szCs w:val="28"/>
              </w:rPr>
              <w:t>Ministru kabineta noteikumu</w:t>
            </w:r>
            <w:r w:rsidR="005713BF" w:rsidRPr="007D49D3">
              <w:rPr>
                <w:sz w:val="28"/>
                <w:szCs w:val="28"/>
              </w:rPr>
              <w:t xml:space="preserve"> </w:t>
            </w:r>
            <w:r w:rsidR="00C8151D" w:rsidRPr="007D49D3">
              <w:rPr>
                <w:sz w:val="28"/>
                <w:szCs w:val="28"/>
              </w:rPr>
              <w:t xml:space="preserve">projektu </w:t>
            </w:r>
            <w:r w:rsidR="005713BF" w:rsidRPr="007D49D3">
              <w:rPr>
                <w:sz w:val="28"/>
                <w:szCs w:val="28"/>
              </w:rPr>
              <w:t>„Kārtība, kādā tiek aprēķināta un sadalīta valsts budžeta mērķdotācija māksliniecisko kolektīvu, kuru dibinātāji nav pašvaldība, vadītāju darba samaksai un valsts sociālās apdrošināšanas obligātajām iemaksām”</w:t>
            </w:r>
            <w:r w:rsidR="009A4290" w:rsidRPr="007D49D3">
              <w:rPr>
                <w:sz w:val="28"/>
                <w:szCs w:val="28"/>
              </w:rPr>
              <w:t xml:space="preserve"> (</w:t>
            </w:r>
            <w:r w:rsidR="00A5324F" w:rsidRPr="007D49D3">
              <w:rPr>
                <w:iCs/>
                <w:sz w:val="28"/>
                <w:szCs w:val="28"/>
              </w:rPr>
              <w:t xml:space="preserve">izsludināts Valsts sekretāru sanāksmē 2015.gada 5.martā (VSS </w:t>
            </w:r>
            <w:r w:rsidR="00A5324F" w:rsidRPr="007D49D3">
              <w:rPr>
                <w:sz w:val="28"/>
                <w:szCs w:val="28"/>
              </w:rPr>
              <w:t>prot. Nr.9 14.§) (VSS – 198)</w:t>
            </w:r>
            <w:r w:rsidR="009A4290" w:rsidRPr="007D49D3">
              <w:rPr>
                <w:sz w:val="28"/>
                <w:szCs w:val="28"/>
              </w:rPr>
              <w:t>)</w:t>
            </w:r>
            <w:r w:rsidR="005713BF" w:rsidRPr="007D49D3">
              <w:rPr>
                <w:sz w:val="28"/>
                <w:szCs w:val="28"/>
              </w:rPr>
              <w:t>.</w:t>
            </w:r>
          </w:p>
        </w:tc>
      </w:tr>
      <w:tr w:rsidR="00490DC8" w:rsidRPr="007D49D3" w:rsidTr="00651B00">
        <w:trPr>
          <w:trHeight w:val="405"/>
          <w:tblCellSpacing w:w="0" w:type="dxa"/>
        </w:trPr>
        <w:tc>
          <w:tcPr>
            <w:tcW w:w="228" w:type="pct"/>
            <w:tcBorders>
              <w:top w:val="outset" w:sz="6" w:space="0" w:color="auto"/>
              <w:left w:val="outset" w:sz="2" w:space="0" w:color="auto"/>
              <w:bottom w:val="outset" w:sz="6" w:space="0" w:color="auto"/>
              <w:right w:val="outset" w:sz="6" w:space="0" w:color="auto"/>
            </w:tcBorders>
          </w:tcPr>
          <w:p w:rsidR="00490DC8" w:rsidRPr="007D49D3" w:rsidRDefault="00490DC8" w:rsidP="00651B00">
            <w:pPr>
              <w:pStyle w:val="naiskr"/>
              <w:jc w:val="center"/>
              <w:rPr>
                <w:sz w:val="28"/>
                <w:szCs w:val="28"/>
              </w:rPr>
            </w:pPr>
            <w:r w:rsidRPr="007D49D3">
              <w:rPr>
                <w:bCs/>
                <w:sz w:val="28"/>
                <w:szCs w:val="28"/>
              </w:rPr>
              <w:t>2.</w:t>
            </w:r>
          </w:p>
        </w:tc>
        <w:tc>
          <w:tcPr>
            <w:tcW w:w="1743" w:type="pct"/>
            <w:tcBorders>
              <w:top w:val="outset" w:sz="6" w:space="0" w:color="auto"/>
              <w:left w:val="outset" w:sz="6" w:space="0" w:color="auto"/>
              <w:bottom w:val="outset" w:sz="6" w:space="0" w:color="auto"/>
              <w:right w:val="outset" w:sz="6" w:space="0" w:color="auto"/>
            </w:tcBorders>
          </w:tcPr>
          <w:p w:rsidR="00490DC8" w:rsidRPr="007D49D3" w:rsidRDefault="00490DC8" w:rsidP="00391CB8">
            <w:pPr>
              <w:pStyle w:val="naiskr"/>
              <w:ind w:left="117"/>
              <w:rPr>
                <w:sz w:val="28"/>
                <w:szCs w:val="28"/>
              </w:rPr>
            </w:pPr>
            <w:r w:rsidRPr="007D49D3">
              <w:rPr>
                <w:sz w:val="28"/>
                <w:szCs w:val="28"/>
              </w:rPr>
              <w:t xml:space="preserve">Atbildīgā institūcija </w:t>
            </w:r>
          </w:p>
        </w:tc>
        <w:tc>
          <w:tcPr>
            <w:tcW w:w="3029" w:type="pct"/>
            <w:tcBorders>
              <w:top w:val="outset" w:sz="6" w:space="0" w:color="auto"/>
              <w:left w:val="outset" w:sz="6" w:space="0" w:color="auto"/>
              <w:bottom w:val="outset" w:sz="6" w:space="0" w:color="auto"/>
            </w:tcBorders>
          </w:tcPr>
          <w:p w:rsidR="00490DC8" w:rsidRPr="007D49D3" w:rsidRDefault="00490DC8" w:rsidP="00490DC8">
            <w:pPr>
              <w:ind w:right="142"/>
              <w:contextualSpacing/>
              <w:jc w:val="both"/>
              <w:outlineLvl w:val="3"/>
              <w:rPr>
                <w:sz w:val="28"/>
                <w:szCs w:val="28"/>
              </w:rPr>
            </w:pPr>
            <w:r w:rsidRPr="007D49D3">
              <w:rPr>
                <w:sz w:val="28"/>
                <w:szCs w:val="28"/>
              </w:rPr>
              <w:t xml:space="preserve"> Kultūras ministrija.</w:t>
            </w:r>
          </w:p>
        </w:tc>
      </w:tr>
      <w:tr w:rsidR="008B6F82" w:rsidRPr="007D49D3" w:rsidTr="00651B00">
        <w:trPr>
          <w:trHeight w:val="450"/>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7D49D3" w:rsidRDefault="00490DC8" w:rsidP="00651B00">
            <w:pPr>
              <w:pStyle w:val="naiskr"/>
              <w:jc w:val="center"/>
              <w:rPr>
                <w:sz w:val="28"/>
                <w:szCs w:val="28"/>
              </w:rPr>
            </w:pPr>
            <w:r w:rsidRPr="007D49D3">
              <w:rPr>
                <w:sz w:val="28"/>
                <w:szCs w:val="28"/>
              </w:rPr>
              <w:lastRenderedPageBreak/>
              <w:t>3</w:t>
            </w:r>
            <w:r w:rsidR="008B6F82" w:rsidRPr="007D49D3">
              <w:rPr>
                <w:sz w:val="28"/>
                <w:szCs w:val="28"/>
              </w:rPr>
              <w:t>.</w:t>
            </w:r>
          </w:p>
        </w:tc>
        <w:tc>
          <w:tcPr>
            <w:tcW w:w="1743" w:type="pct"/>
            <w:tcBorders>
              <w:top w:val="outset" w:sz="6" w:space="0" w:color="auto"/>
              <w:left w:val="outset" w:sz="6" w:space="0" w:color="auto"/>
              <w:bottom w:val="outset" w:sz="6" w:space="0" w:color="auto"/>
              <w:right w:val="outset" w:sz="6" w:space="0" w:color="auto"/>
            </w:tcBorders>
          </w:tcPr>
          <w:p w:rsidR="008B6F82" w:rsidRPr="007D49D3" w:rsidRDefault="008B6F82" w:rsidP="00391CB8">
            <w:pPr>
              <w:pStyle w:val="naiskr"/>
              <w:ind w:left="117"/>
              <w:rPr>
                <w:sz w:val="28"/>
                <w:szCs w:val="28"/>
              </w:rPr>
            </w:pPr>
            <w:r w:rsidRPr="007D49D3">
              <w:rPr>
                <w:sz w:val="28"/>
                <w:szCs w:val="28"/>
              </w:rPr>
              <w:t>Cita informācija</w:t>
            </w:r>
          </w:p>
        </w:tc>
        <w:tc>
          <w:tcPr>
            <w:tcW w:w="3029" w:type="pct"/>
            <w:tcBorders>
              <w:top w:val="outset" w:sz="6" w:space="0" w:color="auto"/>
              <w:left w:val="outset" w:sz="6" w:space="0" w:color="auto"/>
              <w:bottom w:val="outset" w:sz="6" w:space="0" w:color="auto"/>
            </w:tcBorders>
          </w:tcPr>
          <w:p w:rsidR="000F2F71" w:rsidRPr="007D49D3" w:rsidRDefault="00C8151D" w:rsidP="00F54C85">
            <w:pPr>
              <w:pStyle w:val="naiskr"/>
              <w:rPr>
                <w:sz w:val="28"/>
                <w:szCs w:val="28"/>
              </w:rPr>
            </w:pPr>
            <w:r w:rsidRPr="007D49D3">
              <w:rPr>
                <w:sz w:val="28"/>
                <w:szCs w:val="28"/>
              </w:rPr>
              <w:t xml:space="preserve"> </w:t>
            </w:r>
            <w:r w:rsidR="008B6F82" w:rsidRPr="007D49D3">
              <w:rPr>
                <w:sz w:val="28"/>
                <w:szCs w:val="28"/>
              </w:rPr>
              <w:t>Nav</w:t>
            </w:r>
          </w:p>
        </w:tc>
      </w:tr>
    </w:tbl>
    <w:p w:rsidR="008B6F82" w:rsidRPr="007D49D3" w:rsidRDefault="008B6F82" w:rsidP="008B6F82">
      <w:pPr>
        <w:jc w:val="both"/>
        <w:rPr>
          <w:i/>
          <w:sz w:val="28"/>
          <w:szCs w:val="28"/>
        </w:rPr>
      </w:pPr>
    </w:p>
    <w:p w:rsidR="008B6F82" w:rsidRPr="007D49D3" w:rsidRDefault="008B6F82" w:rsidP="00FC638D">
      <w:pPr>
        <w:jc w:val="both"/>
        <w:rPr>
          <w:i/>
          <w:sz w:val="28"/>
          <w:szCs w:val="28"/>
        </w:rPr>
      </w:pPr>
      <w:r w:rsidRPr="007D49D3">
        <w:rPr>
          <w:i/>
          <w:sz w:val="28"/>
          <w:szCs w:val="28"/>
        </w:rPr>
        <w:t xml:space="preserve">Anotācijas </w:t>
      </w:r>
      <w:r w:rsidR="00CE35B3" w:rsidRPr="007D49D3">
        <w:rPr>
          <w:i/>
          <w:sz w:val="28"/>
          <w:szCs w:val="28"/>
        </w:rPr>
        <w:t xml:space="preserve">V </w:t>
      </w:r>
      <w:r w:rsidRPr="007D49D3">
        <w:rPr>
          <w:i/>
          <w:sz w:val="28"/>
          <w:szCs w:val="28"/>
        </w:rPr>
        <w:t>sadaļa – projekts šīs jomas neskar.</w:t>
      </w:r>
    </w:p>
    <w:p w:rsidR="003E466D" w:rsidRPr="007D49D3" w:rsidRDefault="003E466D" w:rsidP="00FC638D">
      <w:pPr>
        <w:jc w:val="both"/>
        <w:rPr>
          <w:i/>
          <w:sz w:val="28"/>
          <w:szCs w:val="28"/>
        </w:rPr>
      </w:pPr>
    </w:p>
    <w:tbl>
      <w:tblPr>
        <w:tblW w:w="5016" w:type="pct"/>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
        <w:gridCol w:w="526"/>
        <w:gridCol w:w="3873"/>
        <w:gridCol w:w="4689"/>
        <w:gridCol w:w="16"/>
      </w:tblGrid>
      <w:tr w:rsidR="00DB07A4" w:rsidRPr="007D49D3" w:rsidTr="00C675B0">
        <w:trPr>
          <w:gridBefore w:val="1"/>
          <w:wBefore w:w="14" w:type="pct"/>
          <w:tblCellSpacing w:w="0" w:type="dxa"/>
        </w:trPr>
        <w:tc>
          <w:tcPr>
            <w:tcW w:w="4986" w:type="pct"/>
            <w:gridSpan w:val="4"/>
            <w:tcBorders>
              <w:top w:val="outset" w:sz="6" w:space="0" w:color="auto"/>
              <w:left w:val="outset" w:sz="6" w:space="0" w:color="auto"/>
              <w:bottom w:val="outset" w:sz="6" w:space="0" w:color="auto"/>
              <w:right w:val="outset" w:sz="6" w:space="0" w:color="auto"/>
            </w:tcBorders>
            <w:vAlign w:val="center"/>
          </w:tcPr>
          <w:p w:rsidR="00DB07A4" w:rsidRPr="007D49D3" w:rsidRDefault="00DB07A4" w:rsidP="00DB07A4">
            <w:pPr>
              <w:jc w:val="center"/>
              <w:rPr>
                <w:b/>
                <w:bCs/>
                <w:sz w:val="28"/>
                <w:szCs w:val="28"/>
              </w:rPr>
            </w:pPr>
            <w:r w:rsidRPr="007D49D3">
              <w:rPr>
                <w:b/>
                <w:bCs/>
                <w:sz w:val="28"/>
                <w:szCs w:val="28"/>
              </w:rPr>
              <w:t xml:space="preserve">VI. </w:t>
            </w:r>
            <w:r w:rsidR="00C675B0" w:rsidRPr="007D49D3">
              <w:rPr>
                <w:b/>
                <w:sz w:val="28"/>
                <w:szCs w:val="28"/>
              </w:rPr>
              <w:t>Sabiedrības līdzdalība un komunikācijas aktivitātes</w:t>
            </w:r>
          </w:p>
        </w:tc>
      </w:tr>
      <w:tr w:rsidR="00904D12" w:rsidRPr="007D49D3" w:rsidTr="00C675B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pct"/>
          <w:trHeight w:val="553"/>
          <w:jc w:val="center"/>
        </w:trPr>
        <w:tc>
          <w:tcPr>
            <w:tcW w:w="302" w:type="pct"/>
            <w:gridSpan w:val="2"/>
            <w:hideMark/>
          </w:tcPr>
          <w:p w:rsidR="00DB07A4" w:rsidRPr="007D49D3" w:rsidRDefault="00DB07A4" w:rsidP="00EA6CA4">
            <w:pPr>
              <w:pStyle w:val="naiskr"/>
              <w:spacing w:before="0" w:after="0"/>
              <w:ind w:left="57" w:right="57"/>
              <w:jc w:val="center"/>
              <w:rPr>
                <w:bCs/>
                <w:sz w:val="28"/>
                <w:szCs w:val="28"/>
              </w:rPr>
            </w:pPr>
            <w:r w:rsidRPr="007D49D3">
              <w:rPr>
                <w:bCs/>
                <w:sz w:val="28"/>
                <w:szCs w:val="28"/>
              </w:rPr>
              <w:t>1.</w:t>
            </w:r>
          </w:p>
        </w:tc>
        <w:tc>
          <w:tcPr>
            <w:tcW w:w="2121" w:type="pct"/>
            <w:hideMark/>
          </w:tcPr>
          <w:p w:rsidR="00DB07A4" w:rsidRPr="007D49D3" w:rsidRDefault="00C675B0" w:rsidP="00EA6CA4">
            <w:pPr>
              <w:pStyle w:val="naiskr"/>
              <w:tabs>
                <w:tab w:val="left" w:pos="170"/>
              </w:tabs>
              <w:spacing w:before="0" w:after="0"/>
              <w:ind w:left="57" w:right="57"/>
              <w:rPr>
                <w:sz w:val="28"/>
                <w:szCs w:val="28"/>
              </w:rPr>
            </w:pPr>
            <w:r w:rsidRPr="007D49D3">
              <w:rPr>
                <w:sz w:val="28"/>
                <w:szCs w:val="28"/>
              </w:rPr>
              <w:t>Plānotās sabiedrības līdzdalības un komunikācijas aktivitātes saistībā ar projektu</w:t>
            </w:r>
          </w:p>
        </w:tc>
        <w:tc>
          <w:tcPr>
            <w:tcW w:w="2568" w:type="pct"/>
            <w:hideMark/>
          </w:tcPr>
          <w:p w:rsidR="00DB07A4" w:rsidRPr="007D49D3" w:rsidRDefault="00DB07A4" w:rsidP="002E120E">
            <w:pPr>
              <w:ind w:left="-1" w:firstLine="408"/>
              <w:jc w:val="both"/>
              <w:rPr>
                <w:sz w:val="28"/>
                <w:szCs w:val="28"/>
              </w:rPr>
            </w:pPr>
            <w:r w:rsidRPr="007D49D3">
              <w:rPr>
                <w:sz w:val="28"/>
                <w:szCs w:val="28"/>
              </w:rPr>
              <w:t> Projekta izstrādes laikā centrs 2015.gada  27.februarī rīkoja informatīvu semināru ar  māksliniecisko kolektīvu vadītāju,  dibinātāju, t.sk. nevalstisko organizāciju  piedalīšanos (kopā – 26 dalībnieki).</w:t>
            </w:r>
          </w:p>
        </w:tc>
      </w:tr>
      <w:tr w:rsidR="00904D12" w:rsidRPr="007D49D3" w:rsidTr="00C675B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pct"/>
          <w:trHeight w:val="339"/>
          <w:jc w:val="center"/>
        </w:trPr>
        <w:tc>
          <w:tcPr>
            <w:tcW w:w="302" w:type="pct"/>
            <w:gridSpan w:val="2"/>
            <w:hideMark/>
          </w:tcPr>
          <w:p w:rsidR="00DB07A4" w:rsidRPr="007D49D3" w:rsidRDefault="00DB07A4" w:rsidP="00EA6CA4">
            <w:pPr>
              <w:pStyle w:val="naiskr"/>
              <w:spacing w:before="0" w:after="0"/>
              <w:ind w:left="57" w:right="57"/>
              <w:jc w:val="center"/>
              <w:rPr>
                <w:bCs/>
                <w:sz w:val="28"/>
                <w:szCs w:val="28"/>
              </w:rPr>
            </w:pPr>
            <w:r w:rsidRPr="007D49D3">
              <w:rPr>
                <w:bCs/>
                <w:sz w:val="28"/>
                <w:szCs w:val="28"/>
              </w:rPr>
              <w:t>2.</w:t>
            </w:r>
          </w:p>
        </w:tc>
        <w:tc>
          <w:tcPr>
            <w:tcW w:w="2121" w:type="pct"/>
            <w:hideMark/>
          </w:tcPr>
          <w:p w:rsidR="00DB07A4" w:rsidRPr="007D49D3" w:rsidRDefault="00C675B0" w:rsidP="00EA6CA4">
            <w:pPr>
              <w:pStyle w:val="naiskr"/>
              <w:spacing w:before="0" w:after="0"/>
              <w:ind w:left="57" w:right="57"/>
              <w:rPr>
                <w:sz w:val="28"/>
                <w:szCs w:val="28"/>
              </w:rPr>
            </w:pPr>
            <w:r w:rsidRPr="007D49D3">
              <w:rPr>
                <w:sz w:val="28"/>
                <w:szCs w:val="28"/>
              </w:rPr>
              <w:t>Sabiedrības līdzdalība projekta izstrādē</w:t>
            </w:r>
          </w:p>
        </w:tc>
        <w:tc>
          <w:tcPr>
            <w:tcW w:w="2568" w:type="pct"/>
            <w:hideMark/>
          </w:tcPr>
          <w:p w:rsidR="00DB07A4" w:rsidRPr="007D49D3" w:rsidRDefault="00DB07A4" w:rsidP="003732AA">
            <w:pPr>
              <w:ind w:left="-1" w:firstLine="408"/>
              <w:jc w:val="both"/>
              <w:rPr>
                <w:sz w:val="28"/>
                <w:szCs w:val="28"/>
              </w:rPr>
            </w:pPr>
            <w:r w:rsidRPr="007D49D3">
              <w:rPr>
                <w:sz w:val="28"/>
                <w:szCs w:val="28"/>
              </w:rPr>
              <w:t> </w:t>
            </w:r>
            <w:r w:rsidR="00C675B0" w:rsidRPr="007D49D3">
              <w:rPr>
                <w:sz w:val="28"/>
                <w:szCs w:val="28"/>
              </w:rPr>
              <w:t xml:space="preserve">Projekta izstrādes laikā tika organizēts informatīvs seminārs, kurā piedalījās </w:t>
            </w:r>
            <w:r w:rsidR="003732AA" w:rsidRPr="007D49D3">
              <w:rPr>
                <w:sz w:val="28"/>
                <w:szCs w:val="28"/>
              </w:rPr>
              <w:t>m</w:t>
            </w:r>
            <w:r w:rsidR="00C675B0" w:rsidRPr="007D49D3">
              <w:rPr>
                <w:sz w:val="28"/>
                <w:szCs w:val="28"/>
              </w:rPr>
              <w:t>āksliniecisko kolektīvu dibinātāji, vadītāji  un nozares nevalstiskās organizācijas. Tāpat arī nozares eksperti izteikuši viedokli</w:t>
            </w:r>
            <w:r w:rsidRPr="007D49D3">
              <w:rPr>
                <w:sz w:val="28"/>
                <w:szCs w:val="28"/>
              </w:rPr>
              <w:t>.</w:t>
            </w:r>
          </w:p>
        </w:tc>
      </w:tr>
      <w:tr w:rsidR="00904D12" w:rsidRPr="007D49D3" w:rsidTr="00C675B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pct"/>
          <w:trHeight w:val="375"/>
          <w:jc w:val="center"/>
        </w:trPr>
        <w:tc>
          <w:tcPr>
            <w:tcW w:w="302" w:type="pct"/>
            <w:gridSpan w:val="2"/>
            <w:hideMark/>
          </w:tcPr>
          <w:p w:rsidR="00DB07A4" w:rsidRPr="007D49D3" w:rsidRDefault="00DB07A4" w:rsidP="00EA6CA4">
            <w:pPr>
              <w:pStyle w:val="naiskr"/>
              <w:spacing w:before="0" w:after="0"/>
              <w:ind w:left="57" w:right="57"/>
              <w:jc w:val="center"/>
              <w:rPr>
                <w:bCs/>
                <w:sz w:val="28"/>
                <w:szCs w:val="28"/>
              </w:rPr>
            </w:pPr>
            <w:r w:rsidRPr="007D49D3">
              <w:rPr>
                <w:bCs/>
                <w:sz w:val="28"/>
                <w:szCs w:val="28"/>
              </w:rPr>
              <w:t>3.</w:t>
            </w:r>
          </w:p>
        </w:tc>
        <w:tc>
          <w:tcPr>
            <w:tcW w:w="2121" w:type="pct"/>
            <w:hideMark/>
          </w:tcPr>
          <w:p w:rsidR="00DB07A4" w:rsidRPr="007D49D3" w:rsidRDefault="00C675B0" w:rsidP="00EA6CA4">
            <w:pPr>
              <w:pStyle w:val="naiskr"/>
              <w:spacing w:before="0" w:after="0"/>
              <w:ind w:left="57" w:right="57"/>
              <w:rPr>
                <w:sz w:val="28"/>
                <w:szCs w:val="28"/>
              </w:rPr>
            </w:pPr>
            <w:r w:rsidRPr="007D49D3">
              <w:rPr>
                <w:sz w:val="28"/>
                <w:szCs w:val="28"/>
              </w:rPr>
              <w:t>Sabiedrības līdzdalības rezultāti</w:t>
            </w:r>
          </w:p>
        </w:tc>
        <w:tc>
          <w:tcPr>
            <w:tcW w:w="2568" w:type="pct"/>
            <w:hideMark/>
          </w:tcPr>
          <w:p w:rsidR="00DB07A4" w:rsidRPr="007D49D3" w:rsidRDefault="00C675B0" w:rsidP="003732AA">
            <w:pPr>
              <w:pStyle w:val="naiskr"/>
              <w:spacing w:before="0" w:beforeAutospacing="0" w:after="0" w:afterAutospacing="0"/>
              <w:ind w:left="57" w:right="57" w:firstLine="408"/>
              <w:jc w:val="both"/>
              <w:rPr>
                <w:sz w:val="28"/>
                <w:szCs w:val="28"/>
              </w:rPr>
            </w:pPr>
            <w:r w:rsidRPr="007D49D3">
              <w:rPr>
                <w:sz w:val="28"/>
                <w:szCs w:val="28"/>
              </w:rPr>
              <w:t>Sabiedrības pārstāvji atbalsta projekta tālāku virzību. Saņemts tikai viens sabiedrības pārstāvja priekšlikums, kas paredz atsevišķi noteikt par dibinātāju tādu, kas n</w:t>
            </w:r>
            <w:r w:rsidR="003732AA" w:rsidRPr="007D49D3">
              <w:rPr>
                <w:sz w:val="28"/>
                <w:szCs w:val="28"/>
              </w:rPr>
              <w:t>av nosakāms vai jautājums par tā</w:t>
            </w:r>
            <w:r w:rsidRPr="007D49D3">
              <w:rPr>
                <w:sz w:val="28"/>
                <w:szCs w:val="28"/>
              </w:rPr>
              <w:t xml:space="preserve"> noteikšanu ir strīdū</w:t>
            </w:r>
            <w:r w:rsidR="003732AA" w:rsidRPr="007D49D3">
              <w:rPr>
                <w:sz w:val="28"/>
                <w:szCs w:val="28"/>
              </w:rPr>
              <w:t>, proti, par dibinātāja un kolektīva darba tiesiskajām attiecībām notiek tiesvedība</w:t>
            </w:r>
            <w:r w:rsidRPr="007D49D3">
              <w:rPr>
                <w:sz w:val="28"/>
                <w:szCs w:val="28"/>
              </w:rPr>
              <w:t>. Ņemot vērā, ka mērķdotāciju piešķiršana iespējama konkrēti identificējamiem māksliniecisko kolektīvu dibinātājiem, šāds vispārīgs regulējums nav atbalstāms, līdz ar to priekšlikums netika ņemts vērā. Savukārt nozares eksperti atbalsta noteikumu projekta tālāko virzību</w:t>
            </w:r>
            <w:r w:rsidR="00DB07A4" w:rsidRPr="007D49D3">
              <w:rPr>
                <w:sz w:val="28"/>
                <w:szCs w:val="28"/>
              </w:rPr>
              <w:t>.</w:t>
            </w:r>
          </w:p>
        </w:tc>
      </w:tr>
      <w:tr w:rsidR="00904D12" w:rsidRPr="007D49D3" w:rsidTr="00C675B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pct"/>
          <w:trHeight w:val="419"/>
          <w:jc w:val="center"/>
        </w:trPr>
        <w:tc>
          <w:tcPr>
            <w:tcW w:w="302" w:type="pct"/>
            <w:gridSpan w:val="2"/>
            <w:hideMark/>
          </w:tcPr>
          <w:p w:rsidR="00DB07A4" w:rsidRPr="007D49D3" w:rsidRDefault="00C675B0" w:rsidP="00EA6CA4">
            <w:pPr>
              <w:pStyle w:val="naiskr"/>
              <w:spacing w:before="0" w:after="0"/>
              <w:ind w:left="57" w:right="57"/>
              <w:jc w:val="center"/>
              <w:rPr>
                <w:bCs/>
                <w:sz w:val="28"/>
                <w:szCs w:val="28"/>
              </w:rPr>
            </w:pPr>
            <w:r w:rsidRPr="007D49D3">
              <w:rPr>
                <w:bCs/>
                <w:sz w:val="28"/>
                <w:szCs w:val="28"/>
              </w:rPr>
              <w:t>4</w:t>
            </w:r>
            <w:r w:rsidR="00DB07A4" w:rsidRPr="007D49D3">
              <w:rPr>
                <w:bCs/>
                <w:sz w:val="28"/>
                <w:szCs w:val="28"/>
              </w:rPr>
              <w:t>.</w:t>
            </w:r>
          </w:p>
        </w:tc>
        <w:tc>
          <w:tcPr>
            <w:tcW w:w="2121" w:type="pct"/>
            <w:hideMark/>
          </w:tcPr>
          <w:p w:rsidR="00DB07A4" w:rsidRPr="007D49D3" w:rsidRDefault="00DB07A4" w:rsidP="00EA6CA4">
            <w:pPr>
              <w:pStyle w:val="naiskr"/>
              <w:spacing w:before="0" w:after="0"/>
              <w:ind w:left="57" w:right="57"/>
              <w:rPr>
                <w:sz w:val="28"/>
                <w:szCs w:val="28"/>
              </w:rPr>
            </w:pPr>
            <w:r w:rsidRPr="007D49D3">
              <w:rPr>
                <w:sz w:val="28"/>
                <w:szCs w:val="28"/>
              </w:rPr>
              <w:t>Cita informācija</w:t>
            </w:r>
          </w:p>
        </w:tc>
        <w:tc>
          <w:tcPr>
            <w:tcW w:w="2568" w:type="pct"/>
            <w:hideMark/>
          </w:tcPr>
          <w:p w:rsidR="00DB07A4" w:rsidRPr="007D49D3" w:rsidRDefault="00DB07A4" w:rsidP="00EA6CA4">
            <w:pPr>
              <w:pStyle w:val="naiskr"/>
              <w:spacing w:before="0" w:after="0"/>
              <w:ind w:left="57" w:right="57"/>
              <w:jc w:val="both"/>
              <w:rPr>
                <w:sz w:val="28"/>
                <w:szCs w:val="28"/>
              </w:rPr>
            </w:pPr>
            <w:r w:rsidRPr="007D49D3">
              <w:rPr>
                <w:iCs/>
                <w:sz w:val="28"/>
                <w:szCs w:val="28"/>
              </w:rPr>
              <w:t>Nav</w:t>
            </w:r>
          </w:p>
        </w:tc>
      </w:tr>
      <w:bookmarkEnd w:id="2"/>
      <w:bookmarkEnd w:id="3"/>
      <w:bookmarkEnd w:id="4"/>
      <w:bookmarkEnd w:id="5"/>
    </w:tbl>
    <w:p w:rsidR="00176453" w:rsidRPr="007D49D3" w:rsidRDefault="00176453" w:rsidP="008B6F82">
      <w:pPr>
        <w:jc w:val="both"/>
        <w:rPr>
          <w:sz w:val="28"/>
          <w:szCs w:val="28"/>
        </w:rPr>
      </w:pPr>
    </w:p>
    <w:tbl>
      <w:tblPr>
        <w:tblW w:w="5016" w:type="pct"/>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2"/>
        <w:gridCol w:w="3884"/>
        <w:gridCol w:w="4704"/>
      </w:tblGrid>
      <w:tr w:rsidR="00176453" w:rsidRPr="007D49D3" w:rsidTr="00E13F46">
        <w:trPr>
          <w:tblCellSpacing w:w="0" w:type="dxa"/>
        </w:trPr>
        <w:tc>
          <w:tcPr>
            <w:tcW w:w="4986" w:type="pct"/>
            <w:gridSpan w:val="3"/>
            <w:tcBorders>
              <w:top w:val="outset" w:sz="6" w:space="0" w:color="auto"/>
              <w:left w:val="outset" w:sz="6" w:space="0" w:color="auto"/>
              <w:bottom w:val="outset" w:sz="6" w:space="0" w:color="auto"/>
              <w:right w:val="outset" w:sz="6" w:space="0" w:color="auto"/>
            </w:tcBorders>
            <w:vAlign w:val="center"/>
          </w:tcPr>
          <w:p w:rsidR="00176453" w:rsidRPr="007D49D3" w:rsidRDefault="00176453" w:rsidP="00E13F46">
            <w:pPr>
              <w:jc w:val="center"/>
              <w:rPr>
                <w:sz w:val="28"/>
                <w:szCs w:val="28"/>
              </w:rPr>
            </w:pPr>
            <w:r w:rsidRPr="007D49D3">
              <w:rPr>
                <w:b/>
                <w:bCs/>
                <w:sz w:val="28"/>
                <w:szCs w:val="28"/>
              </w:rPr>
              <w:t>VII. Tiesību akta projekta izpildes nodrošināšana un tās ietekme uz institūcijām</w:t>
            </w:r>
          </w:p>
        </w:tc>
      </w:tr>
      <w:tr w:rsidR="00176453" w:rsidRPr="007D49D3" w:rsidTr="00E13F46">
        <w:trPr>
          <w:trHeight w:val="427"/>
          <w:tblCellSpacing w:w="0" w:type="dxa"/>
        </w:trPr>
        <w:tc>
          <w:tcPr>
            <w:tcW w:w="296"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jc w:val="center"/>
              <w:rPr>
                <w:sz w:val="28"/>
                <w:szCs w:val="28"/>
              </w:rPr>
            </w:pPr>
            <w:r w:rsidRPr="007D49D3">
              <w:rPr>
                <w:sz w:val="28"/>
                <w:szCs w:val="28"/>
              </w:rPr>
              <w:t>1.</w:t>
            </w:r>
          </w:p>
        </w:tc>
        <w:tc>
          <w:tcPr>
            <w:tcW w:w="2121"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rPr>
                <w:sz w:val="28"/>
                <w:szCs w:val="28"/>
              </w:rPr>
            </w:pPr>
            <w:r w:rsidRPr="007D49D3">
              <w:rPr>
                <w:sz w:val="28"/>
                <w:szCs w:val="28"/>
              </w:rPr>
              <w:t> Projekta izpildē iesaistītās institūcijas</w:t>
            </w:r>
          </w:p>
        </w:tc>
        <w:tc>
          <w:tcPr>
            <w:tcW w:w="2568" w:type="pct"/>
            <w:tcBorders>
              <w:top w:val="outset" w:sz="6" w:space="0" w:color="auto"/>
              <w:left w:val="outset" w:sz="6" w:space="0" w:color="auto"/>
              <w:bottom w:val="outset" w:sz="6" w:space="0" w:color="auto"/>
              <w:right w:val="outset" w:sz="6" w:space="0" w:color="auto"/>
            </w:tcBorders>
            <w:vAlign w:val="center"/>
          </w:tcPr>
          <w:p w:rsidR="00176453" w:rsidRPr="007D49D3" w:rsidRDefault="00176453" w:rsidP="00E13F46">
            <w:pPr>
              <w:ind w:left="-17" w:right="125"/>
              <w:jc w:val="both"/>
              <w:rPr>
                <w:sz w:val="28"/>
                <w:szCs w:val="28"/>
              </w:rPr>
            </w:pPr>
            <w:r w:rsidRPr="007D49D3">
              <w:rPr>
                <w:sz w:val="28"/>
                <w:szCs w:val="28"/>
              </w:rPr>
              <w:t>Kultūras ministrija, Latvijas Nacionālais kultūras centrs.</w:t>
            </w:r>
          </w:p>
        </w:tc>
      </w:tr>
      <w:tr w:rsidR="00176453" w:rsidRPr="007D49D3" w:rsidTr="00E13F46">
        <w:trPr>
          <w:trHeight w:val="725"/>
          <w:tblCellSpacing w:w="0" w:type="dxa"/>
        </w:trPr>
        <w:tc>
          <w:tcPr>
            <w:tcW w:w="296"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jc w:val="center"/>
              <w:rPr>
                <w:sz w:val="28"/>
                <w:szCs w:val="28"/>
              </w:rPr>
            </w:pPr>
            <w:r w:rsidRPr="007D49D3">
              <w:rPr>
                <w:sz w:val="28"/>
                <w:szCs w:val="28"/>
              </w:rPr>
              <w:lastRenderedPageBreak/>
              <w:t>2.</w:t>
            </w:r>
          </w:p>
        </w:tc>
        <w:tc>
          <w:tcPr>
            <w:tcW w:w="2121"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rPr>
                <w:sz w:val="28"/>
                <w:szCs w:val="28"/>
              </w:rPr>
            </w:pPr>
            <w:r w:rsidRPr="007D49D3">
              <w:rPr>
                <w:sz w:val="28"/>
                <w:szCs w:val="28"/>
              </w:rPr>
              <w:t> Projekta izpildes ietekme uz pārvaldes funkcijām un institucionālo struktūru.</w:t>
            </w:r>
          </w:p>
          <w:p w:rsidR="00176453" w:rsidRPr="007D49D3" w:rsidRDefault="00176453" w:rsidP="00E13F46">
            <w:pPr>
              <w:rPr>
                <w:sz w:val="28"/>
                <w:szCs w:val="28"/>
              </w:rPr>
            </w:pPr>
          </w:p>
          <w:p w:rsidR="00176453" w:rsidRPr="007D49D3" w:rsidRDefault="00176453" w:rsidP="00E13F46">
            <w:pPr>
              <w:rPr>
                <w:sz w:val="28"/>
                <w:szCs w:val="28"/>
              </w:rPr>
            </w:pPr>
            <w:r w:rsidRPr="007D49D3">
              <w:rPr>
                <w:sz w:val="28"/>
                <w:szCs w:val="28"/>
              </w:rPr>
              <w:t>Jaunu institūciju izveide, esošo institūciju likvidācija vai reorganizācija, to ietekme uz institūcijas cilvēkresursiem</w:t>
            </w:r>
          </w:p>
        </w:tc>
        <w:tc>
          <w:tcPr>
            <w:tcW w:w="2568"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ind w:left="-19" w:right="57"/>
              <w:jc w:val="both"/>
              <w:rPr>
                <w:sz w:val="28"/>
                <w:szCs w:val="28"/>
              </w:rPr>
            </w:pPr>
            <w:r w:rsidRPr="007D49D3">
              <w:rPr>
                <w:sz w:val="28"/>
                <w:szCs w:val="28"/>
              </w:rPr>
              <w:t xml:space="preserve"> Projekts šo jomu neskar.</w:t>
            </w:r>
          </w:p>
        </w:tc>
      </w:tr>
      <w:tr w:rsidR="00176453" w:rsidRPr="007D49D3" w:rsidTr="00E13F46">
        <w:trPr>
          <w:trHeight w:val="476"/>
          <w:tblCellSpacing w:w="0" w:type="dxa"/>
        </w:trPr>
        <w:tc>
          <w:tcPr>
            <w:tcW w:w="296"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jc w:val="center"/>
              <w:rPr>
                <w:sz w:val="28"/>
                <w:szCs w:val="28"/>
              </w:rPr>
            </w:pPr>
            <w:r w:rsidRPr="007D49D3">
              <w:rPr>
                <w:sz w:val="28"/>
                <w:szCs w:val="28"/>
              </w:rPr>
              <w:t>3.</w:t>
            </w:r>
          </w:p>
        </w:tc>
        <w:tc>
          <w:tcPr>
            <w:tcW w:w="2121"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rPr>
                <w:sz w:val="28"/>
                <w:szCs w:val="28"/>
              </w:rPr>
            </w:pPr>
            <w:r w:rsidRPr="007D49D3">
              <w:rPr>
                <w:sz w:val="28"/>
                <w:szCs w:val="28"/>
              </w:rPr>
              <w:t> Cita informācija</w:t>
            </w:r>
          </w:p>
        </w:tc>
        <w:tc>
          <w:tcPr>
            <w:tcW w:w="2568" w:type="pct"/>
            <w:tcBorders>
              <w:top w:val="outset" w:sz="6" w:space="0" w:color="auto"/>
              <w:left w:val="outset" w:sz="6" w:space="0" w:color="auto"/>
              <w:bottom w:val="outset" w:sz="6" w:space="0" w:color="auto"/>
              <w:right w:val="outset" w:sz="6" w:space="0" w:color="auto"/>
            </w:tcBorders>
          </w:tcPr>
          <w:p w:rsidR="00176453" w:rsidRPr="007D49D3" w:rsidRDefault="00176453" w:rsidP="00E13F46">
            <w:pPr>
              <w:ind w:left="-19"/>
              <w:rPr>
                <w:sz w:val="28"/>
                <w:szCs w:val="28"/>
              </w:rPr>
            </w:pPr>
            <w:r w:rsidRPr="007D49D3">
              <w:rPr>
                <w:sz w:val="28"/>
                <w:szCs w:val="28"/>
              </w:rPr>
              <w:t xml:space="preserve"> Nav</w:t>
            </w:r>
          </w:p>
        </w:tc>
      </w:tr>
    </w:tbl>
    <w:p w:rsidR="00176453" w:rsidRPr="007D49D3" w:rsidRDefault="00176453" w:rsidP="008B6F82">
      <w:pPr>
        <w:jc w:val="both"/>
        <w:rPr>
          <w:sz w:val="28"/>
          <w:szCs w:val="28"/>
        </w:rPr>
      </w:pPr>
    </w:p>
    <w:p w:rsidR="008B6F82" w:rsidRPr="007D49D3" w:rsidRDefault="008B6F82" w:rsidP="00490DC8">
      <w:pPr>
        <w:ind w:left="142"/>
        <w:rPr>
          <w:sz w:val="28"/>
          <w:szCs w:val="28"/>
        </w:rPr>
      </w:pPr>
      <w:r w:rsidRPr="007D49D3">
        <w:rPr>
          <w:sz w:val="28"/>
          <w:szCs w:val="28"/>
        </w:rPr>
        <w:t xml:space="preserve">Kultūras </w:t>
      </w:r>
      <w:r w:rsidR="001D5FA5" w:rsidRPr="007D49D3">
        <w:rPr>
          <w:sz w:val="28"/>
          <w:szCs w:val="28"/>
        </w:rPr>
        <w:t>ministre</w:t>
      </w:r>
      <w:r w:rsidRPr="007D49D3">
        <w:rPr>
          <w:sz w:val="28"/>
          <w:szCs w:val="28"/>
        </w:rPr>
        <w:tab/>
      </w:r>
      <w:r w:rsidRPr="007D49D3">
        <w:rPr>
          <w:sz w:val="28"/>
          <w:szCs w:val="28"/>
        </w:rPr>
        <w:tab/>
      </w:r>
      <w:r w:rsidR="001D5FA5" w:rsidRPr="007D49D3">
        <w:rPr>
          <w:sz w:val="28"/>
          <w:szCs w:val="28"/>
        </w:rPr>
        <w:tab/>
      </w:r>
      <w:r w:rsidR="001D5FA5" w:rsidRPr="007D49D3">
        <w:rPr>
          <w:sz w:val="28"/>
          <w:szCs w:val="28"/>
        </w:rPr>
        <w:tab/>
      </w:r>
      <w:r w:rsidR="001D5FA5" w:rsidRPr="007D49D3">
        <w:rPr>
          <w:sz w:val="28"/>
          <w:szCs w:val="28"/>
        </w:rPr>
        <w:tab/>
      </w:r>
      <w:r w:rsidR="001D5FA5" w:rsidRPr="007D49D3">
        <w:rPr>
          <w:sz w:val="28"/>
          <w:szCs w:val="28"/>
        </w:rPr>
        <w:tab/>
      </w:r>
      <w:r w:rsidR="001D5FA5" w:rsidRPr="007D49D3">
        <w:rPr>
          <w:sz w:val="28"/>
          <w:szCs w:val="28"/>
        </w:rPr>
        <w:tab/>
        <w:t>D.Melbārde</w:t>
      </w:r>
    </w:p>
    <w:p w:rsidR="003E466D" w:rsidRPr="007D49D3" w:rsidRDefault="003E466D" w:rsidP="00490DC8">
      <w:pPr>
        <w:ind w:left="142"/>
        <w:rPr>
          <w:sz w:val="28"/>
          <w:szCs w:val="28"/>
        </w:rPr>
      </w:pPr>
    </w:p>
    <w:p w:rsidR="00490DC8" w:rsidRPr="007D49D3" w:rsidRDefault="008B6F82" w:rsidP="003D1521">
      <w:pPr>
        <w:ind w:left="142"/>
        <w:rPr>
          <w:rFonts w:eastAsia="Calibri"/>
          <w:sz w:val="22"/>
          <w:szCs w:val="22"/>
          <w:lang w:eastAsia="en-US"/>
        </w:rPr>
      </w:pPr>
      <w:r w:rsidRPr="007D49D3">
        <w:rPr>
          <w:sz w:val="28"/>
          <w:szCs w:val="28"/>
        </w:rPr>
        <w:t xml:space="preserve">Vīza: Valsts </w:t>
      </w:r>
      <w:r w:rsidR="003D1521" w:rsidRPr="007D49D3">
        <w:rPr>
          <w:sz w:val="28"/>
          <w:szCs w:val="28"/>
        </w:rPr>
        <w:t>sekretāra p.i.</w:t>
      </w:r>
      <w:r w:rsidRPr="007D49D3">
        <w:rPr>
          <w:sz w:val="28"/>
          <w:szCs w:val="28"/>
        </w:rPr>
        <w:tab/>
      </w:r>
      <w:r w:rsidRPr="007D49D3">
        <w:rPr>
          <w:sz w:val="28"/>
          <w:szCs w:val="28"/>
        </w:rPr>
        <w:tab/>
      </w:r>
      <w:r w:rsidRPr="007D49D3">
        <w:rPr>
          <w:sz w:val="28"/>
          <w:szCs w:val="28"/>
        </w:rPr>
        <w:tab/>
      </w:r>
      <w:r w:rsidRPr="007D49D3">
        <w:rPr>
          <w:sz w:val="28"/>
          <w:szCs w:val="28"/>
        </w:rPr>
        <w:tab/>
      </w:r>
      <w:r w:rsidRPr="007D49D3">
        <w:rPr>
          <w:sz w:val="28"/>
          <w:szCs w:val="28"/>
        </w:rPr>
        <w:tab/>
      </w:r>
      <w:r w:rsidR="003D1521" w:rsidRPr="007D49D3">
        <w:rPr>
          <w:sz w:val="28"/>
          <w:szCs w:val="28"/>
        </w:rPr>
        <w:t>B.Zakevica</w:t>
      </w:r>
    </w:p>
    <w:p w:rsidR="003E466D" w:rsidRPr="007D49D3" w:rsidRDefault="003E466D" w:rsidP="001D5FA5">
      <w:pPr>
        <w:suppressAutoHyphens w:val="0"/>
        <w:rPr>
          <w:rFonts w:eastAsia="Calibri"/>
          <w:sz w:val="22"/>
          <w:szCs w:val="22"/>
          <w:lang w:eastAsia="en-US"/>
        </w:rPr>
      </w:pPr>
    </w:p>
    <w:p w:rsidR="003E466D" w:rsidRPr="007D49D3" w:rsidRDefault="003E466D" w:rsidP="001D5FA5">
      <w:pPr>
        <w:suppressAutoHyphens w:val="0"/>
        <w:rPr>
          <w:rFonts w:eastAsia="Calibri"/>
          <w:sz w:val="22"/>
          <w:szCs w:val="22"/>
          <w:lang w:eastAsia="en-US"/>
        </w:rPr>
      </w:pPr>
    </w:p>
    <w:p w:rsidR="00D44FA3" w:rsidRPr="007D49D3" w:rsidRDefault="00D44FA3" w:rsidP="001D5FA5">
      <w:pPr>
        <w:suppressAutoHyphens w:val="0"/>
        <w:rPr>
          <w:rFonts w:eastAsia="Calibri"/>
          <w:sz w:val="22"/>
          <w:szCs w:val="22"/>
          <w:lang w:eastAsia="en-US"/>
        </w:rPr>
      </w:pPr>
    </w:p>
    <w:p w:rsidR="007174D8" w:rsidRPr="007D49D3" w:rsidRDefault="007174D8" w:rsidP="002F62C6">
      <w:pPr>
        <w:rPr>
          <w:sz w:val="22"/>
          <w:szCs w:val="22"/>
        </w:rPr>
      </w:pPr>
    </w:p>
    <w:p w:rsidR="007174D8" w:rsidRPr="007D49D3" w:rsidRDefault="001E60E4" w:rsidP="002F62C6">
      <w:pPr>
        <w:rPr>
          <w:sz w:val="22"/>
          <w:szCs w:val="22"/>
        </w:rPr>
      </w:pPr>
      <w:r w:rsidRPr="007D49D3">
        <w:rPr>
          <w:sz w:val="22"/>
          <w:szCs w:val="22"/>
        </w:rPr>
        <w:t>10</w:t>
      </w:r>
      <w:r w:rsidR="007174D8" w:rsidRPr="007D49D3">
        <w:rPr>
          <w:sz w:val="22"/>
          <w:szCs w:val="22"/>
        </w:rPr>
        <w:t>.07.2015. 9:06</w:t>
      </w:r>
    </w:p>
    <w:p w:rsidR="002F62C6" w:rsidRPr="007D49D3" w:rsidRDefault="00953A15" w:rsidP="002F62C6">
      <w:pPr>
        <w:rPr>
          <w:sz w:val="22"/>
          <w:szCs w:val="22"/>
        </w:rPr>
      </w:pPr>
      <w:r w:rsidRPr="007D49D3">
        <w:rPr>
          <w:sz w:val="22"/>
          <w:szCs w:val="22"/>
        </w:rPr>
        <w:t>1 955</w:t>
      </w:r>
    </w:p>
    <w:p w:rsidR="002F62C6" w:rsidRPr="007D49D3" w:rsidRDefault="007118B6" w:rsidP="002F62C6">
      <w:pPr>
        <w:rPr>
          <w:sz w:val="22"/>
          <w:szCs w:val="22"/>
        </w:rPr>
      </w:pPr>
      <w:bookmarkStart w:id="6" w:name="OLE_LINK7"/>
      <w:bookmarkStart w:id="7" w:name="OLE_LINK8"/>
      <w:r w:rsidRPr="007D49D3">
        <w:rPr>
          <w:sz w:val="22"/>
          <w:szCs w:val="22"/>
        </w:rPr>
        <w:t>S.Pujāte</w:t>
      </w:r>
    </w:p>
    <w:p w:rsidR="002F62C6" w:rsidRPr="007D49D3" w:rsidRDefault="007118B6" w:rsidP="002F62C6">
      <w:pPr>
        <w:tabs>
          <w:tab w:val="center" w:pos="4153"/>
          <w:tab w:val="right" w:pos="8306"/>
        </w:tabs>
        <w:suppressAutoHyphens w:val="0"/>
        <w:rPr>
          <w:rFonts w:eastAsia="Calibri"/>
          <w:sz w:val="22"/>
          <w:szCs w:val="22"/>
          <w:lang w:eastAsia="en-US"/>
        </w:rPr>
      </w:pPr>
      <w:bookmarkStart w:id="8" w:name="OLE_LINK9"/>
      <w:bookmarkStart w:id="9" w:name="OLE_LINK10"/>
      <w:bookmarkEnd w:id="6"/>
      <w:bookmarkEnd w:id="7"/>
      <w:r w:rsidRPr="007D49D3">
        <w:rPr>
          <w:rFonts w:eastAsia="Calibri"/>
          <w:sz w:val="22"/>
          <w:szCs w:val="22"/>
          <w:lang w:eastAsia="en-US"/>
        </w:rPr>
        <w:t>Tālr.67228985; fakss 67227405</w:t>
      </w:r>
    </w:p>
    <w:p w:rsidR="00117AF5" w:rsidRPr="007D49D3" w:rsidRDefault="00352110" w:rsidP="005713BF">
      <w:pPr>
        <w:suppressAutoHyphens w:val="0"/>
        <w:rPr>
          <w:sz w:val="22"/>
          <w:szCs w:val="22"/>
        </w:rPr>
      </w:pPr>
      <w:hyperlink r:id="rId8" w:history="1">
        <w:r w:rsidR="007118B6" w:rsidRPr="007D49D3">
          <w:rPr>
            <w:rStyle w:val="Hyperlink"/>
            <w:rFonts w:eastAsia="Calibri"/>
            <w:color w:val="auto"/>
            <w:sz w:val="22"/>
            <w:szCs w:val="22"/>
            <w:lang w:eastAsia="en-US"/>
          </w:rPr>
          <w:t>Signe.Pujate@lnkc.gov.lv</w:t>
        </w:r>
      </w:hyperlink>
      <w:bookmarkEnd w:id="8"/>
      <w:bookmarkEnd w:id="9"/>
    </w:p>
    <w:sectPr w:rsidR="00117AF5" w:rsidRPr="007D49D3" w:rsidSect="00C71066">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4E" w:rsidRDefault="00904A4E" w:rsidP="00DD3EC5">
      <w:r>
        <w:separator/>
      </w:r>
    </w:p>
  </w:endnote>
  <w:endnote w:type="continuationSeparator" w:id="0">
    <w:p w:rsidR="00904A4E" w:rsidRDefault="00904A4E" w:rsidP="00DD3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C8" w:rsidRPr="003A6A04" w:rsidRDefault="00490DC8" w:rsidP="00FD6908">
    <w:pPr>
      <w:pStyle w:val="Footer"/>
      <w:tabs>
        <w:tab w:val="clear" w:pos="8306"/>
        <w:tab w:val="right" w:pos="9072"/>
      </w:tabs>
      <w:jc w:val="both"/>
    </w:pPr>
    <w:r w:rsidRPr="00C71066">
      <w:rPr>
        <w:sz w:val="22"/>
        <w:szCs w:val="22"/>
      </w:rPr>
      <w:t>KMAnot_</w:t>
    </w:r>
    <w:r w:rsidR="001E60E4">
      <w:rPr>
        <w:sz w:val="22"/>
        <w:szCs w:val="22"/>
      </w:rPr>
      <w:t>10</w:t>
    </w:r>
    <w:r w:rsidR="003D1521">
      <w:rPr>
        <w:sz w:val="22"/>
        <w:szCs w:val="22"/>
      </w:rPr>
      <w:t>07</w:t>
    </w:r>
    <w:r>
      <w:rPr>
        <w:sz w:val="22"/>
        <w:szCs w:val="22"/>
      </w:rPr>
      <w:t>15</w:t>
    </w:r>
    <w:r w:rsidRPr="00C71066">
      <w:rPr>
        <w:sz w:val="22"/>
        <w:szCs w:val="22"/>
      </w:rPr>
      <w:t>_citi_dib_merkdot</w:t>
    </w:r>
    <w:r w:rsidRPr="00DD3EC5">
      <w:rPr>
        <w:sz w:val="22"/>
        <w:szCs w:val="22"/>
      </w:rPr>
      <w:t xml:space="preserve">; </w:t>
    </w:r>
    <w:r w:rsidRPr="003D08B5">
      <w:rPr>
        <w:sz w:val="22"/>
        <w:szCs w:val="22"/>
      </w:rPr>
      <w:t>Min</w:t>
    </w:r>
    <w:r>
      <w:rPr>
        <w:sz w:val="22"/>
        <w:szCs w:val="22"/>
      </w:rPr>
      <w:t>istru kabineta rīkojuma projekta</w:t>
    </w:r>
    <w:r w:rsidRPr="003D08B5">
      <w:rPr>
        <w:sz w:val="22"/>
        <w:szCs w:val="22"/>
      </w:rPr>
      <w:t xml:space="preserve"> „Par </w:t>
    </w:r>
    <w:r w:rsidR="00462FB9">
      <w:rPr>
        <w:sz w:val="22"/>
        <w:szCs w:val="22"/>
      </w:rPr>
      <w:t xml:space="preserve">valsts budžeta </w:t>
    </w:r>
    <w:r>
      <w:rPr>
        <w:sz w:val="22"/>
        <w:szCs w:val="22"/>
      </w:rPr>
      <w:t>mērķdotācijas</w:t>
    </w:r>
    <w:r w:rsidRPr="003D08B5">
      <w:rPr>
        <w:sz w:val="22"/>
        <w:szCs w:val="22"/>
      </w:rPr>
      <w:t xml:space="preserve"> sadalījumu </w:t>
    </w:r>
    <w:r>
      <w:rPr>
        <w:sz w:val="22"/>
        <w:szCs w:val="22"/>
      </w:rPr>
      <w:t>2015</w:t>
    </w:r>
    <w:r w:rsidRPr="003D08B5">
      <w:rPr>
        <w:sz w:val="22"/>
        <w:szCs w:val="22"/>
      </w:rPr>
      <w:t xml:space="preserve">.gadam </w:t>
    </w:r>
    <w:r>
      <w:rPr>
        <w:sz w:val="22"/>
        <w:szCs w:val="22"/>
      </w:rPr>
      <w:t xml:space="preserve">to </w:t>
    </w:r>
    <w:r w:rsidRPr="003D08B5">
      <w:rPr>
        <w:sz w:val="22"/>
        <w:szCs w:val="22"/>
      </w:rPr>
      <w:t>māksliniecisko kolektīvu vadītāju darba samaksai un valsts sociālās apdrošin</w:t>
    </w:r>
    <w:r>
      <w:rPr>
        <w:sz w:val="22"/>
        <w:szCs w:val="22"/>
      </w:rPr>
      <w:t>āšanas obligātajām iemaksām, kuru dibinātāji nav pašvaldība</w:t>
    </w:r>
    <w:r w:rsidR="00460C68">
      <w:rPr>
        <w:sz w:val="22"/>
        <w:szCs w:val="22"/>
      </w:rPr>
      <w:t>s</w:t>
    </w:r>
    <w:r w:rsidRPr="003D08B5">
      <w:rPr>
        <w:sz w:val="22"/>
        <w:szCs w:val="22"/>
      </w:rPr>
      <w:t>”</w:t>
    </w:r>
    <w:r>
      <w:rPr>
        <w:sz w:val="22"/>
        <w:szCs w:val="22"/>
      </w:rPr>
      <w:t xml:space="preserve"> </w:t>
    </w:r>
    <w:r w:rsidRPr="00DD3EC5">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C8" w:rsidRPr="00DD3EC5" w:rsidRDefault="00490DC8" w:rsidP="00C71066">
    <w:pPr>
      <w:pStyle w:val="Footer"/>
      <w:tabs>
        <w:tab w:val="clear" w:pos="8306"/>
        <w:tab w:val="right" w:pos="9072"/>
      </w:tabs>
      <w:jc w:val="both"/>
    </w:pPr>
    <w:r w:rsidRPr="00C71066">
      <w:rPr>
        <w:sz w:val="22"/>
        <w:szCs w:val="22"/>
      </w:rPr>
      <w:t>KMAnot_</w:t>
    </w:r>
    <w:r w:rsidR="001E60E4">
      <w:rPr>
        <w:sz w:val="22"/>
        <w:szCs w:val="22"/>
      </w:rPr>
      <w:t>10</w:t>
    </w:r>
    <w:r w:rsidR="00D5540A">
      <w:rPr>
        <w:sz w:val="22"/>
        <w:szCs w:val="22"/>
      </w:rPr>
      <w:t>07</w:t>
    </w:r>
    <w:r>
      <w:rPr>
        <w:sz w:val="22"/>
        <w:szCs w:val="22"/>
      </w:rPr>
      <w:t>15</w:t>
    </w:r>
    <w:r w:rsidRPr="00C71066">
      <w:rPr>
        <w:sz w:val="22"/>
        <w:szCs w:val="22"/>
      </w:rPr>
      <w:t>_citi_dib_merkdot</w:t>
    </w:r>
    <w:r w:rsidRPr="00DD3EC5">
      <w:rPr>
        <w:sz w:val="22"/>
        <w:szCs w:val="22"/>
      </w:rPr>
      <w:t xml:space="preserve">; </w:t>
    </w:r>
    <w:r w:rsidRPr="003D08B5">
      <w:rPr>
        <w:sz w:val="22"/>
        <w:szCs w:val="22"/>
      </w:rPr>
      <w:t>Min</w:t>
    </w:r>
    <w:r>
      <w:rPr>
        <w:sz w:val="22"/>
        <w:szCs w:val="22"/>
      </w:rPr>
      <w:t>istru kabineta rīkojuma projekta</w:t>
    </w:r>
    <w:r w:rsidRPr="003D08B5">
      <w:rPr>
        <w:sz w:val="22"/>
        <w:szCs w:val="22"/>
      </w:rPr>
      <w:t xml:space="preserve"> „Par</w:t>
    </w:r>
    <w:r w:rsidR="00462FB9">
      <w:rPr>
        <w:sz w:val="22"/>
        <w:szCs w:val="22"/>
      </w:rPr>
      <w:t xml:space="preserve"> valsts budžeta</w:t>
    </w:r>
    <w:r w:rsidRPr="003D08B5">
      <w:rPr>
        <w:sz w:val="22"/>
        <w:szCs w:val="22"/>
      </w:rPr>
      <w:t xml:space="preserve"> </w:t>
    </w:r>
    <w:r>
      <w:rPr>
        <w:sz w:val="22"/>
        <w:szCs w:val="22"/>
      </w:rPr>
      <w:t>mērķdotācijas</w:t>
    </w:r>
    <w:r w:rsidRPr="003D08B5">
      <w:rPr>
        <w:sz w:val="22"/>
        <w:szCs w:val="22"/>
      </w:rPr>
      <w:t xml:space="preserve"> sadalījumu </w:t>
    </w:r>
    <w:r>
      <w:rPr>
        <w:sz w:val="22"/>
        <w:szCs w:val="22"/>
      </w:rPr>
      <w:t>2015</w:t>
    </w:r>
    <w:r w:rsidRPr="003D08B5">
      <w:rPr>
        <w:sz w:val="22"/>
        <w:szCs w:val="22"/>
      </w:rPr>
      <w:t xml:space="preserve">.gadam </w:t>
    </w:r>
    <w:r>
      <w:rPr>
        <w:sz w:val="22"/>
        <w:szCs w:val="22"/>
      </w:rPr>
      <w:t xml:space="preserve">to </w:t>
    </w:r>
    <w:r w:rsidRPr="003D08B5">
      <w:rPr>
        <w:sz w:val="22"/>
        <w:szCs w:val="22"/>
      </w:rPr>
      <w:t>māksliniecisko kolektīvu vadītāju darba samaksai un valsts sociālās apdrošin</w:t>
    </w:r>
    <w:r>
      <w:rPr>
        <w:sz w:val="22"/>
        <w:szCs w:val="22"/>
      </w:rPr>
      <w:t>āšanas obligātajām iemaksām, kuru dibinātāji nav pašvaldība</w:t>
    </w:r>
    <w:r w:rsidR="00460C68">
      <w:rPr>
        <w:sz w:val="22"/>
        <w:szCs w:val="22"/>
      </w:rPr>
      <w:t>s</w:t>
    </w:r>
    <w:r w:rsidRPr="003D08B5">
      <w:rPr>
        <w:sz w:val="22"/>
        <w:szCs w:val="22"/>
      </w:rPr>
      <w:t>”</w:t>
    </w:r>
    <w:r>
      <w:rPr>
        <w:sz w:val="22"/>
        <w:szCs w:val="22"/>
      </w:rPr>
      <w:t xml:space="preserve"> </w:t>
    </w:r>
    <w:r w:rsidRPr="00DD3EC5">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4E" w:rsidRDefault="00904A4E" w:rsidP="00DD3EC5">
      <w:r>
        <w:separator/>
      </w:r>
    </w:p>
  </w:footnote>
  <w:footnote w:type="continuationSeparator" w:id="0">
    <w:p w:rsidR="00904A4E" w:rsidRDefault="00904A4E" w:rsidP="00DD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490DC8" w:rsidRDefault="00352110">
        <w:pPr>
          <w:pStyle w:val="Header"/>
          <w:jc w:val="center"/>
        </w:pPr>
        <w:r w:rsidRPr="00C71066">
          <w:rPr>
            <w:sz w:val="22"/>
            <w:szCs w:val="22"/>
          </w:rPr>
          <w:fldChar w:fldCharType="begin"/>
        </w:r>
        <w:r w:rsidR="00490DC8" w:rsidRPr="00C71066">
          <w:rPr>
            <w:sz w:val="22"/>
            <w:szCs w:val="22"/>
          </w:rPr>
          <w:instrText xml:space="preserve"> PAGE   \* MERGEFORMAT </w:instrText>
        </w:r>
        <w:r w:rsidRPr="00C71066">
          <w:rPr>
            <w:sz w:val="22"/>
            <w:szCs w:val="22"/>
          </w:rPr>
          <w:fldChar w:fldCharType="separate"/>
        </w:r>
        <w:r w:rsidR="007D49D3">
          <w:rPr>
            <w:noProof/>
            <w:sz w:val="22"/>
            <w:szCs w:val="22"/>
          </w:rPr>
          <w:t>8</w:t>
        </w:r>
        <w:r w:rsidRPr="00C71066">
          <w:rPr>
            <w:noProof/>
            <w:sz w:val="22"/>
            <w:szCs w:val="22"/>
          </w:rPr>
          <w:fldChar w:fldCharType="end"/>
        </w:r>
      </w:p>
    </w:sdtContent>
  </w:sdt>
  <w:p w:rsidR="00490DC8" w:rsidRDefault="00490D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76E"/>
    <w:multiLevelType w:val="hybridMultilevel"/>
    <w:tmpl w:val="F0EAD03E"/>
    <w:lvl w:ilvl="0" w:tplc="5D90D6A6">
      <w:start w:val="1"/>
      <w:numFmt w:val="decimal"/>
      <w:lvlText w:val="%1."/>
      <w:lvlJc w:val="left"/>
      <w:pPr>
        <w:ind w:left="360" w:hanging="360"/>
      </w:pPr>
      <w:rPr>
        <w:rFonts w:asciiTheme="majorBidi" w:eastAsia="Times New Roman" w:hAnsiTheme="majorBidi" w:cstheme="majorBidi"/>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11274E"/>
    <w:multiLevelType w:val="multilevel"/>
    <w:tmpl w:val="03B235AA"/>
    <w:lvl w:ilvl="0">
      <w:start w:val="1"/>
      <w:numFmt w:val="decimal"/>
      <w:lvlText w:val="%1."/>
      <w:lvlJc w:val="left"/>
      <w:pPr>
        <w:ind w:left="450" w:hanging="450"/>
      </w:pPr>
      <w:rPr>
        <w:rFonts w:asciiTheme="majorBidi" w:hAnsiTheme="majorBidi" w:cstheme="majorBidi"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038A6"/>
    <w:rsid w:val="00044018"/>
    <w:rsid w:val="00056B5F"/>
    <w:rsid w:val="00061C57"/>
    <w:rsid w:val="000645FA"/>
    <w:rsid w:val="00091D19"/>
    <w:rsid w:val="000A20E7"/>
    <w:rsid w:val="000A38B9"/>
    <w:rsid w:val="000A3B03"/>
    <w:rsid w:val="000B619A"/>
    <w:rsid w:val="000B7EEB"/>
    <w:rsid w:val="000D3A06"/>
    <w:rsid w:val="000D74ED"/>
    <w:rsid w:val="000E45DD"/>
    <w:rsid w:val="000E5A42"/>
    <w:rsid w:val="000F2F71"/>
    <w:rsid w:val="000F5762"/>
    <w:rsid w:val="00102DD2"/>
    <w:rsid w:val="0011048B"/>
    <w:rsid w:val="00111604"/>
    <w:rsid w:val="0011787C"/>
    <w:rsid w:val="00117AF5"/>
    <w:rsid w:val="00164129"/>
    <w:rsid w:val="00171DF4"/>
    <w:rsid w:val="00176453"/>
    <w:rsid w:val="00180793"/>
    <w:rsid w:val="001836FE"/>
    <w:rsid w:val="00192041"/>
    <w:rsid w:val="001A03FF"/>
    <w:rsid w:val="001A5910"/>
    <w:rsid w:val="001D5FA5"/>
    <w:rsid w:val="001E2378"/>
    <w:rsid w:val="001E4A23"/>
    <w:rsid w:val="001E60E4"/>
    <w:rsid w:val="00200394"/>
    <w:rsid w:val="002102FC"/>
    <w:rsid w:val="00214214"/>
    <w:rsid w:val="00222272"/>
    <w:rsid w:val="00254C79"/>
    <w:rsid w:val="0026752E"/>
    <w:rsid w:val="0027078D"/>
    <w:rsid w:val="00272D4A"/>
    <w:rsid w:val="00281388"/>
    <w:rsid w:val="002838A6"/>
    <w:rsid w:val="002C144E"/>
    <w:rsid w:val="002E120E"/>
    <w:rsid w:val="002F1AD0"/>
    <w:rsid w:val="002F62C6"/>
    <w:rsid w:val="0031619D"/>
    <w:rsid w:val="00334F5A"/>
    <w:rsid w:val="00352110"/>
    <w:rsid w:val="003548F5"/>
    <w:rsid w:val="003671B9"/>
    <w:rsid w:val="003732AA"/>
    <w:rsid w:val="00375202"/>
    <w:rsid w:val="003760AD"/>
    <w:rsid w:val="0038713A"/>
    <w:rsid w:val="00391CB8"/>
    <w:rsid w:val="003A6A04"/>
    <w:rsid w:val="003C6296"/>
    <w:rsid w:val="003D1521"/>
    <w:rsid w:val="003E0269"/>
    <w:rsid w:val="003E21B0"/>
    <w:rsid w:val="003E466D"/>
    <w:rsid w:val="003E7E7B"/>
    <w:rsid w:val="004151A0"/>
    <w:rsid w:val="004341C6"/>
    <w:rsid w:val="00453744"/>
    <w:rsid w:val="00460C68"/>
    <w:rsid w:val="00462FB9"/>
    <w:rsid w:val="00474CE4"/>
    <w:rsid w:val="004849D5"/>
    <w:rsid w:val="00487990"/>
    <w:rsid w:val="00490DC8"/>
    <w:rsid w:val="004920B1"/>
    <w:rsid w:val="00492D44"/>
    <w:rsid w:val="004B5342"/>
    <w:rsid w:val="004C05DB"/>
    <w:rsid w:val="004D35D0"/>
    <w:rsid w:val="004F6B27"/>
    <w:rsid w:val="005069DD"/>
    <w:rsid w:val="0051395A"/>
    <w:rsid w:val="005306C2"/>
    <w:rsid w:val="00534ECB"/>
    <w:rsid w:val="005506B5"/>
    <w:rsid w:val="00567758"/>
    <w:rsid w:val="005713BF"/>
    <w:rsid w:val="005A0D11"/>
    <w:rsid w:val="005A58F9"/>
    <w:rsid w:val="005A5D85"/>
    <w:rsid w:val="005E0226"/>
    <w:rsid w:val="005E2735"/>
    <w:rsid w:val="005E73C9"/>
    <w:rsid w:val="00605A2E"/>
    <w:rsid w:val="00622295"/>
    <w:rsid w:val="00642D4A"/>
    <w:rsid w:val="006467DC"/>
    <w:rsid w:val="00651B00"/>
    <w:rsid w:val="00655AED"/>
    <w:rsid w:val="0067610C"/>
    <w:rsid w:val="006978AA"/>
    <w:rsid w:val="006C6F50"/>
    <w:rsid w:val="006D0383"/>
    <w:rsid w:val="006E00DE"/>
    <w:rsid w:val="007118B6"/>
    <w:rsid w:val="00711BD7"/>
    <w:rsid w:val="007174D8"/>
    <w:rsid w:val="00752A54"/>
    <w:rsid w:val="00766A44"/>
    <w:rsid w:val="00772300"/>
    <w:rsid w:val="0077767F"/>
    <w:rsid w:val="00785FE6"/>
    <w:rsid w:val="00790D49"/>
    <w:rsid w:val="00795460"/>
    <w:rsid w:val="00797FC8"/>
    <w:rsid w:val="007A41D3"/>
    <w:rsid w:val="007C2AD2"/>
    <w:rsid w:val="007C58AA"/>
    <w:rsid w:val="007D49D3"/>
    <w:rsid w:val="00800150"/>
    <w:rsid w:val="00852BF4"/>
    <w:rsid w:val="00867D91"/>
    <w:rsid w:val="00875254"/>
    <w:rsid w:val="00887B8F"/>
    <w:rsid w:val="00894634"/>
    <w:rsid w:val="008A4E68"/>
    <w:rsid w:val="008B6F82"/>
    <w:rsid w:val="008C531E"/>
    <w:rsid w:val="008D06A3"/>
    <w:rsid w:val="008D4760"/>
    <w:rsid w:val="008E0D6B"/>
    <w:rsid w:val="008E216A"/>
    <w:rsid w:val="008F1EAF"/>
    <w:rsid w:val="008F52D4"/>
    <w:rsid w:val="00904A4E"/>
    <w:rsid w:val="00904D12"/>
    <w:rsid w:val="00907A8D"/>
    <w:rsid w:val="00916CFF"/>
    <w:rsid w:val="009372D7"/>
    <w:rsid w:val="009433C5"/>
    <w:rsid w:val="00953A15"/>
    <w:rsid w:val="00956A4F"/>
    <w:rsid w:val="009611FA"/>
    <w:rsid w:val="00965DED"/>
    <w:rsid w:val="00971E8E"/>
    <w:rsid w:val="009759AC"/>
    <w:rsid w:val="00976C54"/>
    <w:rsid w:val="009A4290"/>
    <w:rsid w:val="009B7F13"/>
    <w:rsid w:val="009C4B31"/>
    <w:rsid w:val="009D1EB0"/>
    <w:rsid w:val="009E5C52"/>
    <w:rsid w:val="009E7CB2"/>
    <w:rsid w:val="009F6BBA"/>
    <w:rsid w:val="00A12A5D"/>
    <w:rsid w:val="00A16B9C"/>
    <w:rsid w:val="00A22DBE"/>
    <w:rsid w:val="00A300C6"/>
    <w:rsid w:val="00A42E09"/>
    <w:rsid w:val="00A46D81"/>
    <w:rsid w:val="00A5324F"/>
    <w:rsid w:val="00A64C66"/>
    <w:rsid w:val="00A67042"/>
    <w:rsid w:val="00A77223"/>
    <w:rsid w:val="00AB5E63"/>
    <w:rsid w:val="00AD0409"/>
    <w:rsid w:val="00AD4157"/>
    <w:rsid w:val="00AE253E"/>
    <w:rsid w:val="00B10B9E"/>
    <w:rsid w:val="00B12166"/>
    <w:rsid w:val="00B25DFE"/>
    <w:rsid w:val="00B3342C"/>
    <w:rsid w:val="00B555CE"/>
    <w:rsid w:val="00B55DEC"/>
    <w:rsid w:val="00B57A0D"/>
    <w:rsid w:val="00B75ECF"/>
    <w:rsid w:val="00B80C60"/>
    <w:rsid w:val="00BB3A0F"/>
    <w:rsid w:val="00BC44F9"/>
    <w:rsid w:val="00BC4F52"/>
    <w:rsid w:val="00BE3399"/>
    <w:rsid w:val="00BF3EFE"/>
    <w:rsid w:val="00C256F4"/>
    <w:rsid w:val="00C27AEB"/>
    <w:rsid w:val="00C31EDB"/>
    <w:rsid w:val="00C43219"/>
    <w:rsid w:val="00C45A2F"/>
    <w:rsid w:val="00C50BCE"/>
    <w:rsid w:val="00C62449"/>
    <w:rsid w:val="00C675B0"/>
    <w:rsid w:val="00C704A4"/>
    <w:rsid w:val="00C71066"/>
    <w:rsid w:val="00C8151D"/>
    <w:rsid w:val="00C85C45"/>
    <w:rsid w:val="00C94F7A"/>
    <w:rsid w:val="00CA1089"/>
    <w:rsid w:val="00CB0BB9"/>
    <w:rsid w:val="00CB67C0"/>
    <w:rsid w:val="00CE35B3"/>
    <w:rsid w:val="00CE3E6F"/>
    <w:rsid w:val="00CE63F7"/>
    <w:rsid w:val="00CE6D77"/>
    <w:rsid w:val="00D03FB5"/>
    <w:rsid w:val="00D11823"/>
    <w:rsid w:val="00D3626E"/>
    <w:rsid w:val="00D3760D"/>
    <w:rsid w:val="00D44FA3"/>
    <w:rsid w:val="00D5540A"/>
    <w:rsid w:val="00D56683"/>
    <w:rsid w:val="00D61C88"/>
    <w:rsid w:val="00D624A6"/>
    <w:rsid w:val="00D63A3C"/>
    <w:rsid w:val="00D648AF"/>
    <w:rsid w:val="00D72521"/>
    <w:rsid w:val="00D9004F"/>
    <w:rsid w:val="00DB07A4"/>
    <w:rsid w:val="00DD3EC5"/>
    <w:rsid w:val="00DD466B"/>
    <w:rsid w:val="00DE643D"/>
    <w:rsid w:val="00DF3DF5"/>
    <w:rsid w:val="00E05B6E"/>
    <w:rsid w:val="00E309F7"/>
    <w:rsid w:val="00E55011"/>
    <w:rsid w:val="00E70084"/>
    <w:rsid w:val="00E77636"/>
    <w:rsid w:val="00E92D85"/>
    <w:rsid w:val="00E94DDE"/>
    <w:rsid w:val="00EA3161"/>
    <w:rsid w:val="00EA69BB"/>
    <w:rsid w:val="00EB78EE"/>
    <w:rsid w:val="00ED4699"/>
    <w:rsid w:val="00ED7B9F"/>
    <w:rsid w:val="00EE131F"/>
    <w:rsid w:val="00EE4E9A"/>
    <w:rsid w:val="00EF78EA"/>
    <w:rsid w:val="00F03678"/>
    <w:rsid w:val="00F04C5C"/>
    <w:rsid w:val="00F1007D"/>
    <w:rsid w:val="00F40C07"/>
    <w:rsid w:val="00F47244"/>
    <w:rsid w:val="00F522B4"/>
    <w:rsid w:val="00F53ED7"/>
    <w:rsid w:val="00F54C85"/>
    <w:rsid w:val="00F6381B"/>
    <w:rsid w:val="00F749EA"/>
    <w:rsid w:val="00FA2CDE"/>
    <w:rsid w:val="00FC638D"/>
    <w:rsid w:val="00FD6908"/>
    <w:rsid w:val="00FD708B"/>
    <w:rsid w:val="00FF218E"/>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semiHidden/>
    <w:unhideWhenUsed/>
    <w:rsid w:val="00651B00"/>
    <w:rPr>
      <w:sz w:val="20"/>
      <w:szCs w:val="20"/>
    </w:rPr>
  </w:style>
  <w:style w:type="character" w:customStyle="1" w:styleId="CommentTextChar">
    <w:name w:val="Comment Text Char"/>
    <w:basedOn w:val="DefaultParagraphFont"/>
    <w:link w:val="CommentText"/>
    <w:uiPriority w:val="99"/>
    <w:semiHidden/>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490DC8"/>
    <w:pPr>
      <w:suppressAutoHyphens w:val="0"/>
      <w:spacing w:before="100" w:beforeAutospacing="1" w:after="100" w:afterAutospacing="1"/>
    </w:pPr>
    <w:rPr>
      <w:lang w:eastAsia="lv-LV"/>
    </w:rPr>
  </w:style>
  <w:style w:type="paragraph" w:styleId="ListParagraph">
    <w:name w:val="List Paragraph"/>
    <w:basedOn w:val="Normal"/>
    <w:uiPriority w:val="34"/>
    <w:qFormat/>
    <w:rsid w:val="007174D8"/>
    <w:pPr>
      <w:suppressAutoHyphens w:val="0"/>
      <w:ind w:left="720"/>
    </w:pPr>
    <w:rPr>
      <w:rFonts w:ascii="Calibri" w:eastAsia="Calibri" w:hAnsi="Calibri"/>
      <w:sz w:val="22"/>
      <w:szCs w:val="22"/>
      <w:lang w:eastAsia="lv-LV"/>
    </w:rPr>
  </w:style>
  <w:style w:type="paragraph" w:customStyle="1" w:styleId="naisc">
    <w:name w:val="naisc"/>
    <w:basedOn w:val="Normal"/>
    <w:rsid w:val="00B75ECF"/>
    <w:pPr>
      <w:suppressAutoHyphens w:val="0"/>
      <w:spacing w:before="75" w:after="75"/>
      <w:jc w:val="center"/>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semiHidden/>
    <w:unhideWhenUsed/>
    <w:rsid w:val="00651B00"/>
    <w:rPr>
      <w:sz w:val="20"/>
      <w:szCs w:val="20"/>
    </w:rPr>
  </w:style>
  <w:style w:type="character" w:customStyle="1" w:styleId="CommentTextChar">
    <w:name w:val="Comment Text Char"/>
    <w:basedOn w:val="DefaultParagraphFont"/>
    <w:link w:val="CommentText"/>
    <w:uiPriority w:val="99"/>
    <w:semiHidden/>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490DC8"/>
    <w:pPr>
      <w:suppressAutoHyphens w:val="0"/>
      <w:spacing w:before="100" w:beforeAutospacing="1" w:after="100" w:afterAutospacing="1"/>
    </w:pPr>
    <w:rPr>
      <w:lang w:eastAsia="lv-LV"/>
    </w:rPr>
  </w:style>
  <w:style w:type="paragraph" w:styleId="ListParagraph">
    <w:name w:val="List Paragraph"/>
    <w:basedOn w:val="Normal"/>
    <w:uiPriority w:val="34"/>
    <w:qFormat/>
    <w:rsid w:val="007174D8"/>
    <w:pPr>
      <w:suppressAutoHyphens w:val="0"/>
      <w:ind w:left="720"/>
    </w:pPr>
    <w:rPr>
      <w:rFonts w:ascii="Calibri" w:eastAsia="Calibri" w:hAnsi="Calibri"/>
      <w:sz w:val="22"/>
      <w:szCs w:val="22"/>
      <w:lang w:eastAsia="lv-LV"/>
    </w:rPr>
  </w:style>
</w:styles>
</file>

<file path=word/webSettings.xml><?xml version="1.0" encoding="utf-8"?>
<w:webSettings xmlns:r="http://schemas.openxmlformats.org/officeDocument/2006/relationships" xmlns:w="http://schemas.openxmlformats.org/wordprocessingml/2006/main">
  <w:divs>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7699-1057-45B7-B867-E79BC17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10019</Words>
  <Characters>5712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budžeta mērķdotācijas sadalījumu 2015.gadam to māksliniecisko kolektīvu vadītāju darba samaksai un valsts sociālās apdrošināšanas obligātajām iemaksām, kuru dibinātāji nav pašvaldības” sākotnējās ietekmes no</vt:lpstr>
      <vt:lpstr/>
    </vt:vector>
  </TitlesOfParts>
  <Company>Birojs</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mērķdotācijas sadalījumu 2015.gadam to māksliniecisko kolektīvu vadītāju darba samaksai un valsts sociālās apdrošināšanas obligātajām iemaksām, kuru dibinātāji nav pašvaldības” sākotnējās ietekmes novērtējuma ziņojums (anotācija)</dc:title>
  <dc:subject>anotācija</dc:subject>
  <dc:creator>S.Pujāte</dc:creator>
  <dc:description>Tālr.67228985; fakss 67227405
Signe.Pujate@lnkc.gov.lv</dc:description>
  <cp:lastModifiedBy>Pujate Signe</cp:lastModifiedBy>
  <cp:revision>8</cp:revision>
  <cp:lastPrinted>2015-07-10T09:33:00Z</cp:lastPrinted>
  <dcterms:created xsi:type="dcterms:W3CDTF">2015-07-09T13:49:00Z</dcterms:created>
  <dcterms:modified xsi:type="dcterms:W3CDTF">2015-07-10T09:35:00Z</dcterms:modified>
</cp:coreProperties>
</file>