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62" w:rsidRPr="003E5C72" w:rsidRDefault="000811A3" w:rsidP="00DF5E93">
      <w:pPr>
        <w:pStyle w:val="naisc"/>
        <w:spacing w:before="0" w:after="0"/>
        <w:rPr>
          <w:b/>
          <w:lang w:val="lv-LV"/>
        </w:rPr>
      </w:pPr>
      <w:bookmarkStart w:id="0" w:name="OLE_LINK1"/>
      <w:bookmarkStart w:id="1" w:name="OLE_LINK2"/>
      <w:r w:rsidRPr="003E5C72">
        <w:rPr>
          <w:b/>
          <w:lang w:val="lv-LV"/>
        </w:rPr>
        <w:t>Ministru kabineta noteikumu projekta</w:t>
      </w:r>
    </w:p>
    <w:p w:rsidR="003A7689" w:rsidRDefault="000811A3" w:rsidP="00DF5E93">
      <w:pPr>
        <w:pStyle w:val="naisc"/>
        <w:spacing w:before="0" w:after="0"/>
        <w:rPr>
          <w:b/>
          <w:bCs/>
          <w:lang w:val="lv-LV"/>
        </w:rPr>
      </w:pPr>
      <w:r w:rsidRPr="003E5C72">
        <w:rPr>
          <w:b/>
          <w:lang w:val="lv-LV"/>
        </w:rPr>
        <w:t>„</w:t>
      </w:r>
      <w:r w:rsidR="0006432A" w:rsidRPr="003E5C72">
        <w:rPr>
          <w:b/>
          <w:bCs/>
          <w:lang w:val="lv-LV"/>
        </w:rPr>
        <w:t>Profesionālās izglītības kompetences centra statusa piešķiršanas un anulēšanas kārtība mākslā, mūzikā vai dejā</w:t>
      </w:r>
      <w:r w:rsidR="00C9002A">
        <w:rPr>
          <w:b/>
          <w:lang w:val="lv-LV"/>
        </w:rPr>
        <w:t xml:space="preserve">” </w:t>
      </w:r>
      <w:r w:rsidRPr="003E5C72">
        <w:rPr>
          <w:b/>
          <w:bCs/>
          <w:lang w:val="lv-LV"/>
        </w:rPr>
        <w:t xml:space="preserve">sākotnējās ietekmes novērtējuma </w:t>
      </w:r>
    </w:p>
    <w:p w:rsidR="000811A3" w:rsidRPr="003E5C72" w:rsidRDefault="000811A3" w:rsidP="00DF5E93">
      <w:pPr>
        <w:pStyle w:val="naisc"/>
        <w:spacing w:before="0" w:after="0"/>
        <w:rPr>
          <w:b/>
          <w:bCs/>
          <w:lang w:val="lv-LV"/>
        </w:rPr>
      </w:pPr>
      <w:smartTag w:uri="schemas-tilde-lv/tildestengine" w:element="veidnes">
        <w:smartTagPr>
          <w:attr w:name="id" w:val="-1"/>
          <w:attr w:name="baseform" w:val="zi￲ojums"/>
          <w:attr w:name="text" w:val="ziņojums"/>
        </w:smartTagPr>
        <w:r w:rsidRPr="003E5C72">
          <w:rPr>
            <w:b/>
            <w:bCs/>
            <w:lang w:val="lv-LV"/>
          </w:rPr>
          <w:t>ziņojums</w:t>
        </w:r>
      </w:smartTag>
      <w:r w:rsidRPr="003E5C72">
        <w:rPr>
          <w:b/>
          <w:bCs/>
          <w:lang w:val="lv-LV"/>
        </w:rPr>
        <w:t xml:space="preserve"> (anotācija)</w:t>
      </w:r>
    </w:p>
    <w:bookmarkEnd w:id="0"/>
    <w:bookmarkEnd w:id="1"/>
    <w:p w:rsidR="000811A3" w:rsidRPr="003E5C72" w:rsidRDefault="000811A3" w:rsidP="00DF5E93">
      <w:pPr>
        <w:pStyle w:val="naisc"/>
        <w:spacing w:before="0" w:after="0"/>
        <w:rPr>
          <w:b/>
          <w:bCs/>
          <w:lang w:val="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03"/>
        <w:gridCol w:w="2950"/>
        <w:gridCol w:w="5534"/>
      </w:tblGrid>
      <w:tr w:rsidR="00BC2D71" w:rsidRPr="003E5C72" w:rsidTr="00BC2D71">
        <w:trPr>
          <w:trHeight w:val="498"/>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BC2D71" w:rsidRPr="003E5C72" w:rsidRDefault="00BC2D71" w:rsidP="00BC2D71">
            <w:pPr>
              <w:spacing w:after="0" w:line="240" w:lineRule="auto"/>
              <w:jc w:val="center"/>
              <w:rPr>
                <w:rFonts w:ascii="Times New Roman" w:eastAsia="Times New Roman" w:hAnsi="Times New Roman" w:cs="Times New Roman"/>
                <w:b/>
                <w:bCs/>
                <w:sz w:val="24"/>
                <w:szCs w:val="24"/>
              </w:rPr>
            </w:pPr>
            <w:r w:rsidRPr="003E5C72">
              <w:rPr>
                <w:rFonts w:ascii="Times New Roman" w:hAnsi="Times New Roman" w:cs="Times New Roman"/>
                <w:b/>
                <w:bCs/>
                <w:sz w:val="24"/>
                <w:szCs w:val="24"/>
              </w:rPr>
              <w:t>I. Tiesību akta projekta izstrādes nepieciešamība</w:t>
            </w:r>
          </w:p>
        </w:tc>
      </w:tr>
      <w:tr w:rsidR="000811A3" w:rsidRPr="003E5C72" w:rsidTr="00DF5308">
        <w:tc>
          <w:tcPr>
            <w:tcW w:w="332" w:type="pct"/>
            <w:tcBorders>
              <w:top w:val="outset" w:sz="6" w:space="0" w:color="000000"/>
              <w:left w:val="outset" w:sz="6" w:space="0" w:color="000000"/>
              <w:bottom w:val="outset" w:sz="6" w:space="0" w:color="000000"/>
              <w:right w:val="single" w:sz="4" w:space="0" w:color="auto"/>
            </w:tcBorders>
            <w:hideMark/>
          </w:tcPr>
          <w:p w:rsidR="008638A3" w:rsidRPr="003E5C72" w:rsidRDefault="000811A3">
            <w:pPr>
              <w:spacing w:after="0" w:line="240" w:lineRule="auto"/>
              <w:jc w:val="center"/>
              <w:rPr>
                <w:rFonts w:ascii="Times New Roman" w:eastAsia="Times New Roman" w:hAnsi="Times New Roman" w:cs="Times New Roman"/>
                <w:sz w:val="24"/>
                <w:szCs w:val="24"/>
              </w:rPr>
            </w:pPr>
            <w:r w:rsidRPr="003E5C72">
              <w:rPr>
                <w:rFonts w:ascii="Times New Roman" w:eastAsia="Times New Roman" w:hAnsi="Times New Roman" w:cs="Times New Roman"/>
                <w:sz w:val="24"/>
                <w:szCs w:val="24"/>
              </w:rPr>
              <w:t>1.</w:t>
            </w:r>
          </w:p>
          <w:p w:rsidR="000811A3" w:rsidRPr="003E5C72" w:rsidRDefault="000811A3" w:rsidP="00DF5E93">
            <w:pPr>
              <w:spacing w:after="0" w:line="240" w:lineRule="auto"/>
              <w:rPr>
                <w:rFonts w:ascii="Times New Roman" w:eastAsia="Times New Roman" w:hAnsi="Times New Roman" w:cs="Times New Roman"/>
                <w:sz w:val="24"/>
                <w:szCs w:val="24"/>
              </w:rPr>
            </w:pPr>
          </w:p>
        </w:tc>
        <w:tc>
          <w:tcPr>
            <w:tcW w:w="1623" w:type="pct"/>
            <w:tcBorders>
              <w:top w:val="outset" w:sz="6" w:space="0" w:color="000000"/>
              <w:left w:val="single" w:sz="4" w:space="0" w:color="auto"/>
              <w:bottom w:val="outset" w:sz="6" w:space="0" w:color="000000"/>
              <w:right w:val="outset" w:sz="6" w:space="0" w:color="000000"/>
            </w:tcBorders>
          </w:tcPr>
          <w:p w:rsidR="000811A3" w:rsidRPr="003E5C72" w:rsidRDefault="00EC6B18" w:rsidP="00DF5E93">
            <w:pPr>
              <w:spacing w:after="0" w:line="240" w:lineRule="auto"/>
              <w:rPr>
                <w:rFonts w:ascii="Times New Roman" w:eastAsia="Times New Roman" w:hAnsi="Times New Roman" w:cs="Times New Roman"/>
                <w:sz w:val="24"/>
                <w:szCs w:val="24"/>
              </w:rPr>
            </w:pPr>
            <w:r w:rsidRPr="003E5C72">
              <w:rPr>
                <w:rFonts w:ascii="Times New Roman" w:hAnsi="Times New Roman" w:cs="Times New Roman"/>
                <w:sz w:val="24"/>
                <w:szCs w:val="24"/>
              </w:rPr>
              <w:t>Pamatojums</w:t>
            </w:r>
          </w:p>
        </w:tc>
        <w:tc>
          <w:tcPr>
            <w:tcW w:w="3046" w:type="pct"/>
            <w:tcBorders>
              <w:top w:val="outset" w:sz="6" w:space="0" w:color="000000"/>
              <w:left w:val="outset" w:sz="6" w:space="0" w:color="000000"/>
              <w:bottom w:val="outset" w:sz="6" w:space="0" w:color="000000"/>
              <w:right w:val="outset" w:sz="6" w:space="0" w:color="000000"/>
            </w:tcBorders>
            <w:hideMark/>
          </w:tcPr>
          <w:p w:rsidR="00492F6B" w:rsidRPr="003E5C72" w:rsidRDefault="0006432A" w:rsidP="00851346">
            <w:pPr>
              <w:pStyle w:val="Pamatteksts"/>
              <w:rPr>
                <w:iCs/>
              </w:rPr>
            </w:pPr>
            <w:r w:rsidRPr="003E5C72">
              <w:t>Ministru kabineta noteikumu projekts „</w:t>
            </w:r>
            <w:r w:rsidRPr="003E5C72">
              <w:rPr>
                <w:bCs/>
              </w:rPr>
              <w:t>Profesionālās izglītības kompetences centra statusa piešķiršanas un anulēšanas kārtība mākslā, mūzikā vai dejā</w:t>
            </w:r>
            <w:r w:rsidR="00492F6B" w:rsidRPr="003E5C72">
              <w:t>” (turpmāk – P</w:t>
            </w:r>
            <w:r w:rsidRPr="003E5C72">
              <w:t xml:space="preserve">rojekts) izstrādāts </w:t>
            </w:r>
            <w:r w:rsidR="00492F6B" w:rsidRPr="003E5C72">
              <w:t xml:space="preserve">saskaņā ar Profesionālās izglītības likuma </w:t>
            </w:r>
            <w:r w:rsidR="00470070">
              <w:t>7.panta 11.</w:t>
            </w:r>
            <w:r w:rsidR="00ED1F96">
              <w:t>punktu</w:t>
            </w:r>
            <w:r w:rsidR="00470070">
              <w:t xml:space="preserve"> un </w:t>
            </w:r>
            <w:r w:rsidR="0031084E" w:rsidRPr="006A6EDC">
              <w:rPr>
                <w:rFonts w:eastAsia="Calibri"/>
              </w:rPr>
              <w:t>15.</w:t>
            </w:r>
            <w:r w:rsidR="0031084E" w:rsidRPr="006A6EDC">
              <w:rPr>
                <w:rFonts w:eastAsia="Calibri"/>
                <w:vertAlign w:val="superscript"/>
              </w:rPr>
              <w:t xml:space="preserve">1 </w:t>
            </w:r>
            <w:r w:rsidR="0031084E" w:rsidRPr="006A6EDC">
              <w:rPr>
                <w:iCs/>
              </w:rPr>
              <w:t>panta 1.</w:t>
            </w:r>
            <w:r w:rsidR="0031084E" w:rsidRPr="006A6EDC">
              <w:rPr>
                <w:iCs/>
                <w:vertAlign w:val="superscript"/>
              </w:rPr>
              <w:t>1</w:t>
            </w:r>
            <w:r w:rsidR="0031084E" w:rsidRPr="006A6EDC">
              <w:rPr>
                <w:i/>
                <w:iCs/>
                <w:vertAlign w:val="superscript"/>
              </w:rPr>
              <w:t xml:space="preserve"> </w:t>
            </w:r>
            <w:r w:rsidR="0031084E" w:rsidRPr="006A6EDC">
              <w:rPr>
                <w:iCs/>
              </w:rPr>
              <w:t>daļu</w:t>
            </w:r>
            <w:r w:rsidR="0031084E" w:rsidRPr="00906888">
              <w:rPr>
                <w:iCs/>
              </w:rPr>
              <w:t xml:space="preserve"> </w:t>
            </w:r>
            <w:r w:rsidR="005E656B" w:rsidRPr="003E5C72">
              <w:rPr>
                <w:iCs/>
              </w:rPr>
              <w:t>(</w:t>
            </w:r>
            <w:r w:rsidR="00227E4F">
              <w:rPr>
                <w:iCs/>
              </w:rPr>
              <w:t>likums</w:t>
            </w:r>
            <w:r w:rsidR="00227E4F" w:rsidRPr="003E5C72">
              <w:rPr>
                <w:iCs/>
              </w:rPr>
              <w:t xml:space="preserve"> </w:t>
            </w:r>
            <w:r w:rsidR="004336C6" w:rsidRPr="003E5C72">
              <w:rPr>
                <w:iCs/>
              </w:rPr>
              <w:t xml:space="preserve">„Grozījumi Profesionālās izglītības likumā” </w:t>
            </w:r>
            <w:r w:rsidR="00003C62">
              <w:rPr>
                <w:iCs/>
              </w:rPr>
              <w:t>stājies spēkā 2015.gada 15.maijā</w:t>
            </w:r>
            <w:r w:rsidR="005E656B" w:rsidRPr="003E5C72">
              <w:rPr>
                <w:iCs/>
              </w:rPr>
              <w:t>)</w:t>
            </w:r>
            <w:r w:rsidR="00492F6B" w:rsidRPr="003E5C72">
              <w:rPr>
                <w:iCs/>
              </w:rPr>
              <w:t>.</w:t>
            </w:r>
          </w:p>
          <w:p w:rsidR="00E8108B" w:rsidRPr="003E5C72" w:rsidRDefault="00E8108B" w:rsidP="00851346">
            <w:pPr>
              <w:pStyle w:val="Pamatteksts"/>
              <w:rPr>
                <w:iCs/>
              </w:rPr>
            </w:pPr>
          </w:p>
          <w:p w:rsidR="00D110E4" w:rsidRPr="003E5C72" w:rsidRDefault="00AA2841" w:rsidP="00F057FE">
            <w:pPr>
              <w:spacing w:after="0" w:line="240" w:lineRule="auto"/>
              <w:jc w:val="both"/>
              <w:rPr>
                <w:rFonts w:ascii="Times New Roman" w:hAnsi="Times New Roman" w:cs="Times New Roman"/>
                <w:sz w:val="24"/>
                <w:szCs w:val="24"/>
              </w:rPr>
            </w:pPr>
            <w:r w:rsidRPr="003E5C72">
              <w:rPr>
                <w:rFonts w:ascii="Times New Roman" w:hAnsi="Times New Roman" w:cs="Times New Roman"/>
                <w:iCs/>
                <w:sz w:val="24"/>
                <w:szCs w:val="24"/>
              </w:rPr>
              <w:t>Ministru kabineta 2015.gada 4.marta rīkojums Nr.110 „</w:t>
            </w:r>
            <w:r w:rsidRPr="003E5C72">
              <w:rPr>
                <w:rFonts w:ascii="Times New Roman" w:hAnsi="Times New Roman" w:cs="Times New Roman"/>
                <w:sz w:val="24"/>
                <w:szCs w:val="24"/>
              </w:rPr>
              <w:t>Par Kultūras ministrijas padotībā esošo profesionālās vidējās kultūrizglītības iestāžu attīstības koncepciju</w:t>
            </w:r>
            <w:r w:rsidRPr="003E5C72">
              <w:rPr>
                <w:rFonts w:ascii="Times New Roman" w:hAnsi="Times New Roman" w:cs="Times New Roman"/>
                <w:iCs/>
                <w:sz w:val="24"/>
                <w:szCs w:val="24"/>
              </w:rPr>
              <w:t xml:space="preserve">” nosaka Kultūras ministriju (turpmāk – ministrija) par atbildīgo institūciju </w:t>
            </w:r>
            <w:r w:rsidR="0048302B" w:rsidRPr="003E5C72">
              <w:rPr>
                <w:rFonts w:ascii="Times New Roman" w:hAnsi="Times New Roman" w:cs="Times New Roman"/>
                <w:sz w:val="24"/>
                <w:szCs w:val="24"/>
              </w:rPr>
              <w:t>ministrijas padotībā esošo profesionālās vidējās kultūrizglītības iestāžu attīstības koncepcija</w:t>
            </w:r>
            <w:r w:rsidR="00E8108B" w:rsidRPr="003E5C72">
              <w:rPr>
                <w:rFonts w:ascii="Times New Roman" w:hAnsi="Times New Roman" w:cs="Times New Roman"/>
                <w:sz w:val="24"/>
                <w:szCs w:val="24"/>
              </w:rPr>
              <w:t>s</w:t>
            </w:r>
            <w:r w:rsidRPr="003E5C72">
              <w:rPr>
                <w:rFonts w:ascii="Times New Roman" w:hAnsi="Times New Roman" w:cs="Times New Roman"/>
                <w:sz w:val="24"/>
                <w:szCs w:val="24"/>
              </w:rPr>
              <w:t xml:space="preserve"> (turpmāk – koncepcija) īstenošanā, nodrošinot </w:t>
            </w:r>
            <w:r w:rsidR="0074559B" w:rsidRPr="003E5C72">
              <w:rPr>
                <w:rFonts w:ascii="Times New Roman" w:hAnsi="Times New Roman" w:cs="Times New Roman"/>
                <w:sz w:val="24"/>
                <w:szCs w:val="24"/>
              </w:rPr>
              <w:t xml:space="preserve">laika posmā līdz 2020.gadam Latvijā izveidot </w:t>
            </w:r>
            <w:r w:rsidR="0074559B" w:rsidRPr="00B8047B">
              <w:rPr>
                <w:rFonts w:ascii="Times New Roman" w:hAnsi="Times New Roman" w:cs="Times New Roman"/>
                <w:sz w:val="24"/>
                <w:szCs w:val="24"/>
              </w:rPr>
              <w:t>sešus</w:t>
            </w:r>
            <w:r w:rsidR="0074559B" w:rsidRPr="003E5C72">
              <w:rPr>
                <w:rFonts w:ascii="Times New Roman" w:hAnsi="Times New Roman" w:cs="Times New Roman"/>
                <w:sz w:val="24"/>
                <w:szCs w:val="24"/>
              </w:rPr>
              <w:t xml:space="preserve"> profesionālās kultūrizglītības profesionālās izglītības kompetences centrus, kas turpinās sagatavot izcilību veidošanas procesu profesionālās vidējās kultūrizglītības posmā, īpašu uzsvaru liekot uz reģionu mākslas un mūzikas vidusskolām.</w:t>
            </w:r>
          </w:p>
          <w:p w:rsidR="00E8108B" w:rsidRPr="003E5C72" w:rsidRDefault="00E8108B" w:rsidP="00F057FE">
            <w:pPr>
              <w:spacing w:after="0" w:line="240" w:lineRule="auto"/>
              <w:jc w:val="both"/>
              <w:rPr>
                <w:rFonts w:ascii="Times New Roman" w:hAnsi="Times New Roman" w:cs="Times New Roman"/>
                <w:sz w:val="24"/>
                <w:szCs w:val="24"/>
              </w:rPr>
            </w:pPr>
          </w:p>
          <w:p w:rsidR="008638A3" w:rsidRPr="003E5C72" w:rsidRDefault="00F057FE" w:rsidP="00BE0277">
            <w:pPr>
              <w:pStyle w:val="Pamatteksts"/>
            </w:pPr>
            <w:r w:rsidRPr="003E5C72">
              <w:t>Ministru kabineta 2014.gada 29.jūlija rīkojums Nr.401 „Par kultūrpolitikas pamatnostādnēm 2014.</w:t>
            </w:r>
            <w:r w:rsidR="00E8108B" w:rsidRPr="003E5C72">
              <w:t xml:space="preserve"> – </w:t>
            </w:r>
            <w:r w:rsidRPr="003E5C72">
              <w:t xml:space="preserve">2020.gadam „Radošā Latvija”” </w:t>
            </w:r>
            <w:r w:rsidR="002B028E" w:rsidRPr="003E5C72">
              <w:t xml:space="preserve">nosaka ministriju par atbildīgo institūciju </w:t>
            </w:r>
            <w:r w:rsidR="0048302B" w:rsidRPr="003E5C72">
              <w:t>Kultūrpolitikas pamatnostād</w:t>
            </w:r>
            <w:r w:rsidR="00E8108B" w:rsidRPr="003E5C72">
              <w:t>ņu</w:t>
            </w:r>
            <w:r w:rsidR="0048302B" w:rsidRPr="003E5C72">
              <w:t xml:space="preserve"> 2014.</w:t>
            </w:r>
            <w:r w:rsidR="00E8108B" w:rsidRPr="003E5C72">
              <w:t xml:space="preserve"> – </w:t>
            </w:r>
            <w:r w:rsidR="0048302B" w:rsidRPr="003E5C72">
              <w:t>2020.gadam „Radošā Latvija”</w:t>
            </w:r>
            <w:r w:rsidR="002B028E" w:rsidRPr="003E5C72">
              <w:t xml:space="preserve"> (turpmāk </w:t>
            </w:r>
            <w:r w:rsidR="00E8108B" w:rsidRPr="003E5C72">
              <w:t>–</w:t>
            </w:r>
            <w:r w:rsidR="002B028E" w:rsidRPr="003E5C72">
              <w:t xml:space="preserve"> pamatnostādnes) īstenošanā</w:t>
            </w:r>
            <w:r w:rsidR="00D110E4" w:rsidRPr="003E5C72">
              <w:t>,</w:t>
            </w:r>
            <w:r w:rsidR="002B028E" w:rsidRPr="003E5C72">
              <w:t xml:space="preserve"> nodrošinot</w:t>
            </w:r>
            <w:r w:rsidR="00ED1F96">
              <w:t xml:space="preserve"> </w:t>
            </w:r>
            <w:r w:rsidR="002B028E" w:rsidRPr="003E5C72">
              <w:t>pamatnostādņu</w:t>
            </w:r>
            <w:r w:rsidR="00D110E4" w:rsidRPr="003E5C72">
              <w:t xml:space="preserve"> 5.2.</w:t>
            </w:r>
            <w:r w:rsidR="00BC2D71" w:rsidRPr="003E5C72">
              <w:t>nodaļas „</w:t>
            </w:r>
            <w:bookmarkStart w:id="2" w:name="_Toc393961937"/>
            <w:r w:rsidR="00BC2D71" w:rsidRPr="003E5C72">
              <w:rPr>
                <w:bCs/>
              </w:rPr>
              <w:t>Radošums mūžizglītībā un uz darba tirgu orientēta kultūrizglītība</w:t>
            </w:r>
            <w:bookmarkEnd w:id="2"/>
            <w:r w:rsidR="00BC2D71" w:rsidRPr="003E5C72">
              <w:rPr>
                <w:bCs/>
              </w:rPr>
              <w:t xml:space="preserve">” </w:t>
            </w:r>
            <w:r w:rsidR="00D110E4" w:rsidRPr="003E5C72">
              <w:t>5.2.6.</w:t>
            </w:r>
            <w:r w:rsidR="00BC2D71" w:rsidRPr="003E5C72">
              <w:t>apakšnodaļas „Prioritātes rīcības virzienu ietvaros veicamie uzdevumi un aktivitātes” 2. </w:t>
            </w:r>
            <w:r w:rsidR="00D110E4" w:rsidRPr="003E5C72">
              <w:t xml:space="preserve">Rīcības virziena „Kvalitāte un izcilība profesionālajā kultūrizglītībā” </w:t>
            </w:r>
            <w:r w:rsidR="00BC2D71" w:rsidRPr="003E5C72">
              <w:t>2.1.1.uzdevuma „</w:t>
            </w:r>
            <w:r w:rsidR="00BC2D71" w:rsidRPr="003E5C72">
              <w:rPr>
                <w:bCs/>
              </w:rPr>
              <w:t>Izveidot atbalsta sistēmu talantu atklāšanai un izcilības izkopšanai</w:t>
            </w:r>
            <w:r w:rsidR="00BC2D71" w:rsidRPr="003E5C72">
              <w:t>”</w:t>
            </w:r>
            <w:r w:rsidR="00ED1F96">
              <w:t xml:space="preserve"> </w:t>
            </w:r>
            <w:r w:rsidR="00BC2D71" w:rsidRPr="003E5C72">
              <w:t xml:space="preserve">ietvaros noteikto pasākumu </w:t>
            </w:r>
            <w:r w:rsidR="00D110E4" w:rsidRPr="003E5C72">
              <w:t xml:space="preserve">„Izveidot konkurētspējīgus, mūsdienu darba tirgus prasībām atbilstošus profesionālās izglītības kompetences centrus </w:t>
            </w:r>
            <w:r w:rsidR="00BC2D71" w:rsidRPr="003E5C72">
              <w:t xml:space="preserve">(PIKC) </w:t>
            </w:r>
            <w:r w:rsidR="00D110E4" w:rsidRPr="003E5C72">
              <w:t xml:space="preserve">kā bāzi izcilību attīstībai” </w:t>
            </w:r>
            <w:r w:rsidR="00C93EE4" w:rsidRPr="003E5C72">
              <w:t>īstenošanu.</w:t>
            </w:r>
            <w:r w:rsidR="00B059BE">
              <w:t xml:space="preserve"> Koncepcija paredz, ka katrs jaunveidojamais PIKC specializēsies savā darbības nišā atbilstoši izglītības iestādes iestrādnēm un tradīcijām, kā arī lai pēc iespējas samazinātu līdzīgu izglītības programmu dublēšanos un pēc iespējas vairāk nodrošinātu izglītojamo </w:t>
            </w:r>
            <w:r w:rsidR="00B059BE">
              <w:lastRenderedPageBreak/>
              <w:t>konkurētspēju.</w:t>
            </w:r>
          </w:p>
        </w:tc>
      </w:tr>
      <w:tr w:rsidR="000811A3" w:rsidRPr="003E5C72" w:rsidTr="00DF5308">
        <w:tc>
          <w:tcPr>
            <w:tcW w:w="332" w:type="pct"/>
            <w:tcBorders>
              <w:top w:val="outset" w:sz="6" w:space="0" w:color="000000"/>
              <w:left w:val="outset" w:sz="6" w:space="0" w:color="000000"/>
              <w:bottom w:val="outset" w:sz="6" w:space="0" w:color="000000"/>
              <w:right w:val="single" w:sz="4" w:space="0" w:color="auto"/>
            </w:tcBorders>
            <w:hideMark/>
          </w:tcPr>
          <w:p w:rsidR="008638A3" w:rsidRPr="003E5C72" w:rsidRDefault="000811A3">
            <w:pPr>
              <w:spacing w:after="0" w:line="240" w:lineRule="auto"/>
              <w:jc w:val="center"/>
              <w:rPr>
                <w:rFonts w:ascii="Times New Roman" w:eastAsia="Times New Roman" w:hAnsi="Times New Roman" w:cs="Times New Roman"/>
                <w:sz w:val="24"/>
                <w:szCs w:val="24"/>
              </w:rPr>
            </w:pPr>
            <w:r w:rsidRPr="003E5C72">
              <w:rPr>
                <w:rFonts w:ascii="Times New Roman" w:hAnsi="Times New Roman" w:cs="Times New Roman"/>
                <w:sz w:val="24"/>
                <w:szCs w:val="24"/>
              </w:rPr>
              <w:lastRenderedPageBreak/>
              <w:t>2.</w:t>
            </w:r>
          </w:p>
        </w:tc>
        <w:tc>
          <w:tcPr>
            <w:tcW w:w="1623" w:type="pct"/>
            <w:tcBorders>
              <w:top w:val="outset" w:sz="6" w:space="0" w:color="000000"/>
              <w:left w:val="single" w:sz="4" w:space="0" w:color="auto"/>
              <w:bottom w:val="outset" w:sz="6" w:space="0" w:color="000000"/>
              <w:right w:val="outset" w:sz="6" w:space="0" w:color="000000"/>
            </w:tcBorders>
          </w:tcPr>
          <w:p w:rsidR="000811A3" w:rsidRPr="003E5C72" w:rsidRDefault="00EC6B18" w:rsidP="00DF5E93">
            <w:pPr>
              <w:spacing w:after="0" w:line="240" w:lineRule="auto"/>
              <w:rPr>
                <w:rFonts w:ascii="Times New Roman" w:eastAsia="Times New Roman" w:hAnsi="Times New Roman" w:cs="Times New Roman"/>
                <w:sz w:val="24"/>
                <w:szCs w:val="24"/>
              </w:rPr>
            </w:pPr>
            <w:r w:rsidRPr="003E5C72">
              <w:rPr>
                <w:rFonts w:ascii="Times New Roman" w:hAnsi="Times New Roman" w:cs="Times New Roman"/>
                <w:sz w:val="24"/>
                <w:szCs w:val="24"/>
              </w:rPr>
              <w:t>Pašreizējā situācija un problēmas, kuru risināšanai tiesību akta projekts izstrādāts, tiesiskā regulējuma mērķis un būtība</w:t>
            </w:r>
          </w:p>
        </w:tc>
        <w:tc>
          <w:tcPr>
            <w:tcW w:w="3046" w:type="pct"/>
            <w:tcBorders>
              <w:top w:val="outset" w:sz="6" w:space="0" w:color="000000"/>
              <w:left w:val="outset" w:sz="6" w:space="0" w:color="000000"/>
              <w:bottom w:val="outset" w:sz="6" w:space="0" w:color="000000"/>
              <w:right w:val="outset" w:sz="6" w:space="0" w:color="000000"/>
            </w:tcBorders>
            <w:hideMark/>
          </w:tcPr>
          <w:p w:rsidR="00950326" w:rsidRDefault="0031084E" w:rsidP="0045328E">
            <w:pPr>
              <w:pStyle w:val="Default"/>
              <w:jc w:val="both"/>
            </w:pPr>
            <w:r w:rsidRPr="003E5C72">
              <w:rPr>
                <w:iCs/>
              </w:rPr>
              <w:t xml:space="preserve"> </w:t>
            </w:r>
            <w:r>
              <w:rPr>
                <w:iCs/>
              </w:rPr>
              <w:t>Ar likumu</w:t>
            </w:r>
            <w:r w:rsidRPr="003E5C72">
              <w:rPr>
                <w:iCs/>
              </w:rPr>
              <w:t xml:space="preserve"> „Grozījumi Profesionālās izglītības likumā”</w:t>
            </w:r>
            <w:r>
              <w:rPr>
                <w:iCs/>
              </w:rPr>
              <w:t xml:space="preserve"> (stājies spēkā 2015.gada 15.maijā</w:t>
            </w:r>
            <w:r w:rsidRPr="003E5C72">
              <w:rPr>
                <w:iCs/>
              </w:rPr>
              <w:t>)</w:t>
            </w:r>
            <w:r>
              <w:rPr>
                <w:iCs/>
              </w:rPr>
              <w:t xml:space="preserve"> </w:t>
            </w:r>
            <w:r>
              <w:t xml:space="preserve">ir izdarīti grozījumi </w:t>
            </w:r>
            <w:r w:rsidRPr="003E5C72">
              <w:t>Profesionālās izglītības likum</w:t>
            </w:r>
            <w:r w:rsidR="001F1333">
              <w:t>ā</w:t>
            </w:r>
            <w:r w:rsidR="0045328E">
              <w:t>.</w:t>
            </w:r>
            <w:r w:rsidRPr="003E5C72">
              <w:t xml:space="preserve"> </w:t>
            </w:r>
            <w:r w:rsidR="0045328E" w:rsidRPr="003E5C72">
              <w:rPr>
                <w:color w:val="auto"/>
              </w:rPr>
              <w:t>Profesionālās izglītības likuma</w:t>
            </w:r>
            <w:r w:rsidR="0045328E">
              <w:rPr>
                <w:color w:val="auto"/>
              </w:rPr>
              <w:t xml:space="preserve"> </w:t>
            </w:r>
            <w:r w:rsidR="0045328E" w:rsidRPr="006A6EDC">
              <w:rPr>
                <w:rFonts w:eastAsia="Calibri"/>
              </w:rPr>
              <w:t>15.</w:t>
            </w:r>
            <w:r w:rsidR="0045328E" w:rsidRPr="006A6EDC">
              <w:rPr>
                <w:rFonts w:eastAsia="Calibri"/>
                <w:vertAlign w:val="superscript"/>
              </w:rPr>
              <w:t xml:space="preserve">1 </w:t>
            </w:r>
            <w:r w:rsidR="0045328E" w:rsidRPr="006A6EDC">
              <w:rPr>
                <w:iCs/>
              </w:rPr>
              <w:t>panta 1.</w:t>
            </w:r>
            <w:r w:rsidR="0045328E" w:rsidRPr="006A6EDC">
              <w:rPr>
                <w:iCs/>
                <w:vertAlign w:val="superscript"/>
              </w:rPr>
              <w:t>1</w:t>
            </w:r>
            <w:r w:rsidR="0045328E" w:rsidRPr="006A6EDC">
              <w:rPr>
                <w:i/>
                <w:iCs/>
                <w:vertAlign w:val="superscript"/>
              </w:rPr>
              <w:t xml:space="preserve"> </w:t>
            </w:r>
            <w:r w:rsidR="0045328E">
              <w:rPr>
                <w:iCs/>
              </w:rPr>
              <w:t>daļa</w:t>
            </w:r>
            <w:r w:rsidR="0045328E" w:rsidRPr="00906888">
              <w:rPr>
                <w:iCs/>
              </w:rPr>
              <w:t xml:space="preserve"> </w:t>
            </w:r>
            <w:r w:rsidR="0045328E" w:rsidRPr="003E5C72">
              <w:t>nosaka, ka p</w:t>
            </w:r>
            <w:r w:rsidR="0045328E" w:rsidRPr="003E5C72">
              <w:rPr>
                <w:color w:val="auto"/>
              </w:rPr>
              <w:t xml:space="preserve">rofesionālās izglītības iestāde, kura īsteno tikai mākslas, mūzikas vai dejas profesionālās vidējās izglītības programmas, kas dod iespēju iegūt trešo profesionālās kvalifikācijas līmeni, un papildus veic reģionālā vai nozares metodiskā centra, pedagogu tālākizglītības centra un ārpus formālās izglītības sistēmas iegūtās profesionālās kompetences novērtēšanas funkcijas, ir tiesīga iegūt </w:t>
            </w:r>
            <w:r w:rsidR="0045328E">
              <w:rPr>
                <w:color w:val="auto"/>
              </w:rPr>
              <w:t>PIKC</w:t>
            </w:r>
            <w:r w:rsidR="0045328E" w:rsidRPr="003E5C72">
              <w:rPr>
                <w:color w:val="auto"/>
              </w:rPr>
              <w:t xml:space="preserve"> statusu mākslas, mūzikas vai dejas jomā, ja tā atbilst Ministru kabineta noteiktajiem kritērijiem </w:t>
            </w:r>
            <w:r w:rsidR="0045328E">
              <w:rPr>
                <w:color w:val="auto"/>
              </w:rPr>
              <w:t xml:space="preserve">PIKC </w:t>
            </w:r>
            <w:r w:rsidR="0045328E" w:rsidRPr="003E5C72">
              <w:rPr>
                <w:color w:val="auto"/>
              </w:rPr>
              <w:t>statusa iegūšanai un statusa anulēšanas kārtībai mākslas, mūzikas vai dejas jomā.</w:t>
            </w:r>
            <w:r w:rsidR="0045328E">
              <w:rPr>
                <w:color w:val="auto"/>
              </w:rPr>
              <w:t xml:space="preserve"> </w:t>
            </w:r>
            <w:r w:rsidR="001574E2">
              <w:rPr>
                <w:iCs/>
              </w:rPr>
              <w:t xml:space="preserve">Balstoties uz deleģējumu Profesionālās izglītības likumā, ministrija ir sagatavojusi Ministru kabineta noteikumu </w:t>
            </w:r>
            <w:r w:rsidR="0045328E" w:rsidRPr="005623EA">
              <w:t>„</w:t>
            </w:r>
            <w:r w:rsidR="0045328E" w:rsidRPr="005623EA">
              <w:rPr>
                <w:bCs/>
              </w:rPr>
              <w:t>Profesionālās izglītības kompetences centra statusa piešķiršanas un anulēšanas kārtība mākslā, mūzikā vai dejā</w:t>
            </w:r>
            <w:r w:rsidR="0045328E" w:rsidRPr="005623EA">
              <w:t xml:space="preserve">” </w:t>
            </w:r>
            <w:r w:rsidR="001574E2">
              <w:rPr>
                <w:iCs/>
              </w:rPr>
              <w:t>projektu</w:t>
            </w:r>
            <w:r w:rsidR="0045328E">
              <w:rPr>
                <w:iCs/>
              </w:rPr>
              <w:t xml:space="preserve"> (turpmāk – </w:t>
            </w:r>
            <w:r w:rsidR="00024383">
              <w:rPr>
                <w:iCs/>
              </w:rPr>
              <w:t>P</w:t>
            </w:r>
            <w:r w:rsidR="0045328E">
              <w:rPr>
                <w:iCs/>
              </w:rPr>
              <w:t>rojekts)</w:t>
            </w:r>
            <w:r w:rsidR="001574E2">
              <w:rPr>
                <w:iCs/>
              </w:rPr>
              <w:t xml:space="preserve">, kas nosaka kritērijus, kurus izpildot, izglītības iestāde var pretendēt uz PIKC statusu mākslā, mūzikā vai dejā. Atšķirībā no spēkā esošajiem </w:t>
            </w:r>
            <w:r w:rsidR="002A5B58" w:rsidRPr="003E5C72">
              <w:t>Ministru kabineta 2013.gada 19.marta noteikumi</w:t>
            </w:r>
            <w:r w:rsidR="001574E2">
              <w:t>em</w:t>
            </w:r>
            <w:r w:rsidR="002A5B58" w:rsidRPr="003E5C72">
              <w:t xml:space="preserve"> Nr.144 „Profesionālās izglītības kompetences centra statusa piešķiršanas un anulēšanas kārtība” (turpmāk – MK Noteikumi Nr.144)</w:t>
            </w:r>
            <w:r w:rsidR="001574E2">
              <w:t xml:space="preserve"> </w:t>
            </w:r>
            <w:r w:rsidR="00024383">
              <w:t>P</w:t>
            </w:r>
            <w:r w:rsidR="001574E2">
              <w:t>rojektā tiek ņemt</w:t>
            </w:r>
            <w:r w:rsidR="0045328E">
              <w:t xml:space="preserve">i </w:t>
            </w:r>
            <w:r w:rsidR="001574E2">
              <w:t xml:space="preserve">vērā </w:t>
            </w:r>
            <w:r w:rsidR="0006432A" w:rsidRPr="003E5C72">
              <w:t>kritēriji</w:t>
            </w:r>
            <w:r w:rsidR="0045328E">
              <w:t>, kas</w:t>
            </w:r>
            <w:r w:rsidR="0006432A" w:rsidRPr="003E5C72">
              <w:t xml:space="preserve"> atbilst mākslas un mūzikas nozares profesionālo vidējo izglītības iestāžu darbības specifikai.</w:t>
            </w:r>
            <w:r w:rsidR="00546531">
              <w:t xml:space="preserve"> </w:t>
            </w:r>
            <w:r w:rsidR="00950326" w:rsidRPr="003E5C72">
              <w:t>MK Noteikum</w:t>
            </w:r>
            <w:r w:rsidR="00A7647C">
              <w:t>os</w:t>
            </w:r>
            <w:r w:rsidR="00950326" w:rsidRPr="003E5C72">
              <w:t xml:space="preserve"> Nr.144 </w:t>
            </w:r>
            <w:r w:rsidR="009976BF">
              <w:t>noteikt</w:t>
            </w:r>
            <w:r w:rsidR="0045328E">
              <w:t>ie</w:t>
            </w:r>
            <w:r w:rsidR="002C4EA8">
              <w:t xml:space="preserve"> </w:t>
            </w:r>
            <w:r w:rsidR="00A7647C">
              <w:t>izglītojamo</w:t>
            </w:r>
            <w:r w:rsidR="00950326">
              <w:t xml:space="preserve"> skaita kritērij</w:t>
            </w:r>
            <w:r w:rsidR="0045328E">
              <w:t xml:space="preserve">i pilnībā neatbilst </w:t>
            </w:r>
            <w:r w:rsidR="0045328E" w:rsidRPr="003E5C72">
              <w:t>mākslas un mūzikas nozares profesionālo vidējo izglītības iestāžu darbības specifikai</w:t>
            </w:r>
            <w:r w:rsidR="00950326">
              <w:t>, jo tajās ir neliels audzēkņu skaits</w:t>
            </w:r>
            <w:r w:rsidR="00A7647C">
              <w:t>. Tāds skaits</w:t>
            </w:r>
            <w:r w:rsidR="00950326">
              <w:t xml:space="preserve"> ir izveidojies</w:t>
            </w:r>
            <w:r w:rsidR="00A7647C">
              <w:t>,</w:t>
            </w:r>
            <w:r w:rsidR="00950326">
              <w:t xml:space="preserve"> vēsturiski mijiedarbojoties izglītības iestādei ar kultūras un mākslas darba tirgus pieprasījumu</w:t>
            </w:r>
            <w:r w:rsidR="00AA35D0">
              <w:t>,</w:t>
            </w:r>
            <w:r w:rsidR="0045328E">
              <w:t xml:space="preserve"> vienlaikus nelielais audzēkņu skaits pilnībā nodrošina izcilības sagatavošanu mākslas un mūzikas vidusskolās, un lielāks skaits nav nepieciešams. </w:t>
            </w:r>
            <w:r w:rsidR="00024383">
              <w:t>Arī P</w:t>
            </w:r>
            <w:r w:rsidR="0045328E">
              <w:t>rojektā noteiktie kvalitātes kritēriji uzsver kultūrizglītības nozares atšķirību no citu nozaru profesionālajām vidusskolām un tajās sniegtās profesionālās vidējās izglītības.</w:t>
            </w:r>
          </w:p>
          <w:p w:rsidR="00476F7E" w:rsidRPr="00937DC6" w:rsidRDefault="00132002" w:rsidP="00476F7E">
            <w:pPr>
              <w:spacing w:after="0" w:line="240" w:lineRule="auto"/>
              <w:jc w:val="both"/>
              <w:rPr>
                <w:rFonts w:ascii="Times New Roman" w:hAnsi="Times New Roman" w:cs="Times New Roman"/>
                <w:sz w:val="24"/>
                <w:szCs w:val="24"/>
                <w:u w:val="single"/>
              </w:rPr>
            </w:pPr>
            <w:r w:rsidRPr="003E5C72">
              <w:rPr>
                <w:rFonts w:ascii="Times New Roman" w:hAnsi="Times New Roman" w:cs="Times New Roman"/>
                <w:sz w:val="24"/>
                <w:szCs w:val="24"/>
              </w:rPr>
              <w:t>Projekts izstrādāts, p</w:t>
            </w:r>
            <w:r w:rsidR="00B46AA9" w:rsidRPr="003E5C72">
              <w:rPr>
                <w:rFonts w:ascii="Times New Roman" w:hAnsi="Times New Roman" w:cs="Times New Roman"/>
                <w:sz w:val="24"/>
                <w:szCs w:val="24"/>
              </w:rPr>
              <w:t xml:space="preserve">amatojoties uz </w:t>
            </w:r>
            <w:r w:rsidR="0006432A" w:rsidRPr="003E5C72">
              <w:rPr>
                <w:rFonts w:ascii="Times New Roman" w:hAnsi="Times New Roman" w:cs="Times New Roman"/>
                <w:sz w:val="24"/>
                <w:szCs w:val="24"/>
              </w:rPr>
              <w:t>Profesionālās izglītības likum</w:t>
            </w:r>
            <w:r w:rsidRPr="003E5C72">
              <w:rPr>
                <w:rFonts w:ascii="Times New Roman" w:hAnsi="Times New Roman" w:cs="Times New Roman"/>
                <w:sz w:val="24"/>
                <w:szCs w:val="24"/>
              </w:rPr>
              <w:t>a</w:t>
            </w:r>
            <w:r w:rsidR="0006432A" w:rsidRPr="003E5C72">
              <w:rPr>
                <w:rFonts w:ascii="Times New Roman" w:hAnsi="Times New Roman" w:cs="Times New Roman"/>
                <w:sz w:val="24"/>
                <w:szCs w:val="24"/>
              </w:rPr>
              <w:t xml:space="preserve"> 15.</w:t>
            </w:r>
            <w:r w:rsidR="0006432A" w:rsidRPr="003E5C72">
              <w:rPr>
                <w:rFonts w:ascii="Times New Roman" w:hAnsi="Times New Roman" w:cs="Times New Roman"/>
                <w:sz w:val="24"/>
                <w:szCs w:val="24"/>
                <w:vertAlign w:val="superscript"/>
              </w:rPr>
              <w:t>1</w:t>
            </w:r>
            <w:r w:rsidR="003B14BB" w:rsidRPr="003E5C72">
              <w:rPr>
                <w:rFonts w:ascii="Times New Roman" w:hAnsi="Times New Roman" w:cs="Times New Roman"/>
                <w:sz w:val="24"/>
                <w:szCs w:val="24"/>
                <w:vertAlign w:val="superscript"/>
              </w:rPr>
              <w:t> </w:t>
            </w:r>
            <w:r w:rsidR="0006432A" w:rsidRPr="003E5C72">
              <w:rPr>
                <w:rFonts w:ascii="Times New Roman" w:hAnsi="Times New Roman" w:cs="Times New Roman"/>
                <w:sz w:val="24"/>
                <w:szCs w:val="24"/>
              </w:rPr>
              <w:t>pant</w:t>
            </w:r>
            <w:r w:rsidR="00B46AA9" w:rsidRPr="003E5C72">
              <w:rPr>
                <w:rFonts w:ascii="Times New Roman" w:hAnsi="Times New Roman" w:cs="Times New Roman"/>
                <w:sz w:val="24"/>
                <w:szCs w:val="24"/>
              </w:rPr>
              <w:t>ā</w:t>
            </w:r>
            <w:r w:rsidR="00F01E0F">
              <w:rPr>
                <w:rFonts w:ascii="Times New Roman" w:hAnsi="Times New Roman" w:cs="Times New Roman"/>
                <w:sz w:val="24"/>
                <w:szCs w:val="24"/>
              </w:rPr>
              <w:t xml:space="preserve"> </w:t>
            </w:r>
            <w:r w:rsidR="00B46AA9" w:rsidRPr="003E5C72">
              <w:rPr>
                <w:rFonts w:ascii="Times New Roman" w:hAnsi="Times New Roman" w:cs="Times New Roman"/>
                <w:sz w:val="24"/>
                <w:szCs w:val="24"/>
              </w:rPr>
              <w:t>noteikto</w:t>
            </w:r>
            <w:r w:rsidRPr="003E5C72">
              <w:rPr>
                <w:rFonts w:ascii="Times New Roman" w:hAnsi="Times New Roman" w:cs="Times New Roman"/>
                <w:sz w:val="24"/>
                <w:szCs w:val="24"/>
              </w:rPr>
              <w:t xml:space="preserve"> un </w:t>
            </w:r>
            <w:r w:rsidR="00CD0F0F" w:rsidRPr="003E5C72">
              <w:rPr>
                <w:rFonts w:ascii="Times New Roman" w:hAnsi="Times New Roman" w:cs="Times New Roman"/>
                <w:sz w:val="24"/>
                <w:szCs w:val="24"/>
              </w:rPr>
              <w:t>ievērojot</w:t>
            </w:r>
            <w:r w:rsidR="0006432A" w:rsidRPr="003E5C72">
              <w:rPr>
                <w:rFonts w:ascii="Times New Roman" w:hAnsi="Times New Roman" w:cs="Times New Roman"/>
                <w:sz w:val="24"/>
                <w:szCs w:val="24"/>
              </w:rPr>
              <w:t xml:space="preserve"> kultūrizglītības</w:t>
            </w:r>
            <w:r w:rsidR="00B46AA9" w:rsidRPr="003E5C72">
              <w:rPr>
                <w:rFonts w:ascii="Times New Roman" w:hAnsi="Times New Roman" w:cs="Times New Roman"/>
                <w:sz w:val="24"/>
                <w:szCs w:val="24"/>
              </w:rPr>
              <w:t xml:space="preserve"> profesionāl</w:t>
            </w:r>
            <w:r w:rsidR="00CD0F0F" w:rsidRPr="003E5C72">
              <w:rPr>
                <w:rFonts w:ascii="Times New Roman" w:hAnsi="Times New Roman" w:cs="Times New Roman"/>
                <w:sz w:val="24"/>
                <w:szCs w:val="24"/>
              </w:rPr>
              <w:t>ās</w:t>
            </w:r>
            <w:r w:rsidR="00B46AA9" w:rsidRPr="003E5C72">
              <w:rPr>
                <w:rFonts w:ascii="Times New Roman" w:hAnsi="Times New Roman" w:cs="Times New Roman"/>
                <w:sz w:val="24"/>
                <w:szCs w:val="24"/>
              </w:rPr>
              <w:t xml:space="preserve"> izglītības iestāžu</w:t>
            </w:r>
            <w:r w:rsidR="00CD0F0F" w:rsidRPr="003E5C72">
              <w:rPr>
                <w:rFonts w:ascii="Times New Roman" w:hAnsi="Times New Roman" w:cs="Times New Roman"/>
                <w:sz w:val="24"/>
                <w:szCs w:val="24"/>
              </w:rPr>
              <w:t xml:space="preserve"> specifiku</w:t>
            </w:r>
            <w:r w:rsidRPr="003E5C72">
              <w:rPr>
                <w:rFonts w:ascii="Times New Roman" w:hAnsi="Times New Roman" w:cs="Times New Roman"/>
                <w:sz w:val="24"/>
                <w:szCs w:val="24"/>
              </w:rPr>
              <w:t>.</w:t>
            </w:r>
            <w:r w:rsidR="00546531">
              <w:rPr>
                <w:rFonts w:ascii="Times New Roman" w:hAnsi="Times New Roman" w:cs="Times New Roman"/>
                <w:sz w:val="24"/>
                <w:szCs w:val="24"/>
              </w:rPr>
              <w:t xml:space="preserve"> </w:t>
            </w:r>
            <w:r w:rsidRPr="003E5C72">
              <w:rPr>
                <w:rFonts w:ascii="Times New Roman" w:hAnsi="Times New Roman" w:cs="Times New Roman"/>
                <w:sz w:val="24"/>
                <w:szCs w:val="24"/>
              </w:rPr>
              <w:t>Projekts</w:t>
            </w:r>
            <w:r w:rsidR="0006432A" w:rsidRPr="003E5C72">
              <w:rPr>
                <w:rFonts w:ascii="Times New Roman" w:hAnsi="Times New Roman" w:cs="Times New Roman"/>
                <w:sz w:val="24"/>
                <w:szCs w:val="24"/>
              </w:rPr>
              <w:t xml:space="preserve"> paredz vairākas būtiskas atšķirības, salīdzinot ar MK Noteikumos Nr.144 noteikto tiesisko regulējumu.</w:t>
            </w:r>
            <w:r w:rsidR="00F7139C" w:rsidRPr="003E5C72">
              <w:rPr>
                <w:rFonts w:ascii="Times New Roman" w:hAnsi="Times New Roman" w:cs="Times New Roman"/>
                <w:sz w:val="24"/>
                <w:szCs w:val="24"/>
              </w:rPr>
              <w:t xml:space="preserve"> Līdzīgi kā MK Noteikumos Nr.144 ir noteikti kritēriji </w:t>
            </w:r>
            <w:r w:rsidR="00DF6F72">
              <w:rPr>
                <w:rFonts w:ascii="Times New Roman" w:hAnsi="Times New Roman" w:cs="Times New Roman"/>
                <w:sz w:val="24"/>
                <w:szCs w:val="24"/>
              </w:rPr>
              <w:t>PIKC</w:t>
            </w:r>
            <w:r w:rsidR="00F7139C" w:rsidRPr="003E5C72">
              <w:rPr>
                <w:rFonts w:ascii="Times New Roman" w:hAnsi="Times New Roman" w:cs="Times New Roman"/>
                <w:sz w:val="24"/>
                <w:szCs w:val="24"/>
              </w:rPr>
              <w:t xml:space="preserve"> statusa iegūšanai, </w:t>
            </w:r>
            <w:r w:rsidR="00F7139C" w:rsidRPr="003E5C72">
              <w:rPr>
                <w:rFonts w:ascii="Times New Roman" w:hAnsi="Times New Roman" w:cs="Times New Roman"/>
                <w:sz w:val="24"/>
                <w:szCs w:val="24"/>
                <w:u w:val="single"/>
              </w:rPr>
              <w:t>Projekt</w:t>
            </w:r>
            <w:r w:rsidR="00980804" w:rsidRPr="003E5C72">
              <w:rPr>
                <w:rFonts w:ascii="Times New Roman" w:hAnsi="Times New Roman" w:cs="Times New Roman"/>
                <w:sz w:val="24"/>
                <w:szCs w:val="24"/>
                <w:u w:val="single"/>
              </w:rPr>
              <w:t>a mērķis ir</w:t>
            </w:r>
            <w:r w:rsidR="00F7139C" w:rsidRPr="003E5C72">
              <w:rPr>
                <w:rFonts w:ascii="Times New Roman" w:hAnsi="Times New Roman" w:cs="Times New Roman"/>
                <w:sz w:val="24"/>
                <w:szCs w:val="24"/>
                <w:u w:val="single"/>
              </w:rPr>
              <w:t xml:space="preserve"> no</w:t>
            </w:r>
            <w:r w:rsidR="00980804" w:rsidRPr="003E5C72">
              <w:rPr>
                <w:rFonts w:ascii="Times New Roman" w:hAnsi="Times New Roman" w:cs="Times New Roman"/>
                <w:sz w:val="24"/>
                <w:szCs w:val="24"/>
                <w:u w:val="single"/>
              </w:rPr>
              <w:t>teikt</w:t>
            </w:r>
            <w:r w:rsidR="00F7139C" w:rsidRPr="003E5C72">
              <w:rPr>
                <w:rFonts w:ascii="Times New Roman" w:hAnsi="Times New Roman" w:cs="Times New Roman"/>
                <w:sz w:val="24"/>
                <w:szCs w:val="24"/>
                <w:u w:val="single"/>
              </w:rPr>
              <w:t xml:space="preserve"> jaunas, kultūrizglītības nozares izglītības iestāžu specifikai atbilstošas prasības</w:t>
            </w:r>
            <w:r w:rsidR="00F7139C" w:rsidRPr="003E5C72">
              <w:rPr>
                <w:rFonts w:ascii="Times New Roman" w:hAnsi="Times New Roman" w:cs="Times New Roman"/>
                <w:sz w:val="24"/>
                <w:szCs w:val="24"/>
              </w:rPr>
              <w:t xml:space="preserve">, kuras profesionālās </w:t>
            </w:r>
            <w:r w:rsidR="00F7139C" w:rsidRPr="003E5C72">
              <w:rPr>
                <w:rFonts w:ascii="Times New Roman" w:hAnsi="Times New Roman" w:cs="Times New Roman"/>
                <w:sz w:val="24"/>
                <w:szCs w:val="24"/>
              </w:rPr>
              <w:lastRenderedPageBreak/>
              <w:t xml:space="preserve">vidējās izglītības iestādei jānodrošina, pretendējot uz </w:t>
            </w:r>
            <w:r w:rsidR="00FF396D">
              <w:rPr>
                <w:rFonts w:ascii="Times New Roman" w:hAnsi="Times New Roman" w:cs="Times New Roman"/>
                <w:sz w:val="24"/>
                <w:szCs w:val="24"/>
              </w:rPr>
              <w:t>PIKC</w:t>
            </w:r>
            <w:r w:rsidR="00F7139C" w:rsidRPr="003E5C72">
              <w:rPr>
                <w:rFonts w:ascii="Times New Roman" w:hAnsi="Times New Roman" w:cs="Times New Roman"/>
                <w:sz w:val="24"/>
                <w:szCs w:val="24"/>
              </w:rPr>
              <w:t xml:space="preserve"> statusu.</w:t>
            </w:r>
            <w:r w:rsidR="00B4377B">
              <w:rPr>
                <w:rFonts w:ascii="Times New Roman" w:hAnsi="Times New Roman" w:cs="Times New Roman"/>
                <w:sz w:val="24"/>
                <w:szCs w:val="24"/>
              </w:rPr>
              <w:t xml:space="preserve"> Šīs prasības ietver gan </w:t>
            </w:r>
            <w:r w:rsidR="00B4377B" w:rsidRPr="000403BE">
              <w:rPr>
                <w:rFonts w:ascii="Times New Roman" w:hAnsi="Times New Roman" w:cs="Times New Roman"/>
                <w:sz w:val="24"/>
                <w:szCs w:val="24"/>
              </w:rPr>
              <w:t>kvantitatīvos rādītājus (</w:t>
            </w:r>
            <w:r w:rsidR="006025E3">
              <w:rPr>
                <w:rFonts w:ascii="Times New Roman" w:hAnsi="Times New Roman" w:cs="Times New Roman"/>
                <w:sz w:val="24"/>
                <w:szCs w:val="24"/>
              </w:rPr>
              <w:t>izglītojamo</w:t>
            </w:r>
            <w:r w:rsidR="00B4377B" w:rsidRPr="000403BE">
              <w:rPr>
                <w:rFonts w:ascii="Times New Roman" w:hAnsi="Times New Roman" w:cs="Times New Roman"/>
                <w:sz w:val="24"/>
                <w:szCs w:val="24"/>
              </w:rPr>
              <w:t xml:space="preserve"> skaitu), gan kvalitatīvos rādītājus,</w:t>
            </w:r>
            <w:r w:rsidR="00B4377B">
              <w:rPr>
                <w:rFonts w:ascii="Times New Roman" w:hAnsi="Times New Roman" w:cs="Times New Roman"/>
                <w:sz w:val="24"/>
                <w:szCs w:val="24"/>
              </w:rPr>
              <w:t xml:space="preserve"> kas ir raksturīgi kultūrizglītības specifikai un kas uzskatāmi par izglītības iestādes darbības kvalitātes apliecinājumu (</w:t>
            </w:r>
            <w:r w:rsidR="006265CE">
              <w:rPr>
                <w:rFonts w:ascii="Times New Roman" w:hAnsi="Times New Roman" w:cs="Times New Roman"/>
                <w:sz w:val="24"/>
                <w:szCs w:val="24"/>
              </w:rPr>
              <w:t xml:space="preserve">sekmes centralizētajos un profesionālās kvalifikācijas eksāmenos, dalība starptautiskajos konkursos un festivālos, absolventu </w:t>
            </w:r>
            <w:r w:rsidR="00926B06">
              <w:rPr>
                <w:rFonts w:ascii="Times New Roman" w:hAnsi="Times New Roman" w:cs="Times New Roman"/>
                <w:sz w:val="24"/>
                <w:szCs w:val="24"/>
              </w:rPr>
              <w:t xml:space="preserve">skaits, kas turpina iegūt izglītību augstākās izglītības iestādēs </w:t>
            </w:r>
            <w:r w:rsidR="00054C52">
              <w:rPr>
                <w:rFonts w:ascii="Times New Roman" w:hAnsi="Times New Roman" w:cs="Times New Roman"/>
                <w:sz w:val="24"/>
                <w:szCs w:val="24"/>
              </w:rPr>
              <w:t xml:space="preserve">vai strādā nozarē </w:t>
            </w:r>
            <w:r w:rsidR="00926B06">
              <w:rPr>
                <w:rFonts w:ascii="Times New Roman" w:hAnsi="Times New Roman" w:cs="Times New Roman"/>
                <w:sz w:val="24"/>
                <w:szCs w:val="24"/>
              </w:rPr>
              <w:t>u.tml.)</w:t>
            </w:r>
            <w:r w:rsidR="00571F7C">
              <w:rPr>
                <w:rFonts w:ascii="Times New Roman" w:hAnsi="Times New Roman" w:cs="Times New Roman"/>
                <w:sz w:val="24"/>
                <w:szCs w:val="24"/>
              </w:rPr>
              <w:t xml:space="preserve">. </w:t>
            </w:r>
            <w:r w:rsidR="00476F7E" w:rsidRPr="00937DC6">
              <w:rPr>
                <w:rFonts w:ascii="Times New Roman" w:hAnsi="Times New Roman" w:cs="Times New Roman"/>
                <w:sz w:val="24"/>
                <w:szCs w:val="24"/>
                <w:u w:val="single"/>
              </w:rPr>
              <w:t>Ir paredzēts izveidot triju veidu PIK</w:t>
            </w:r>
            <w:r w:rsidR="00476F7E">
              <w:rPr>
                <w:rFonts w:ascii="Times New Roman" w:hAnsi="Times New Roman" w:cs="Times New Roman"/>
                <w:sz w:val="24"/>
                <w:szCs w:val="24"/>
                <w:u w:val="single"/>
              </w:rPr>
              <w:t>C</w:t>
            </w:r>
            <w:r w:rsidR="00476F7E" w:rsidRPr="00937DC6">
              <w:rPr>
                <w:rFonts w:ascii="Times New Roman" w:hAnsi="Times New Roman" w:cs="Times New Roman"/>
                <w:sz w:val="24"/>
                <w:szCs w:val="24"/>
                <w:u w:val="single"/>
              </w:rPr>
              <w:t>: 1.</w:t>
            </w:r>
            <w:r w:rsidR="00476F7E">
              <w:rPr>
                <w:rFonts w:ascii="Times New Roman" w:hAnsi="Times New Roman" w:cs="Times New Roman"/>
                <w:sz w:val="24"/>
                <w:szCs w:val="24"/>
                <w:u w:val="single"/>
              </w:rPr>
              <w:t xml:space="preserve"> </w:t>
            </w:r>
            <w:r w:rsidR="00476F7E" w:rsidRPr="00937DC6">
              <w:rPr>
                <w:rFonts w:ascii="Times New Roman" w:hAnsi="Times New Roman" w:cs="Times New Roman"/>
                <w:sz w:val="24"/>
                <w:szCs w:val="24"/>
                <w:u w:val="single"/>
              </w:rPr>
              <w:t>mākslā vai dizainā; 2.</w:t>
            </w:r>
            <w:r w:rsidR="00476F7E">
              <w:rPr>
                <w:rFonts w:ascii="Times New Roman" w:hAnsi="Times New Roman" w:cs="Times New Roman"/>
                <w:sz w:val="24"/>
                <w:szCs w:val="24"/>
                <w:u w:val="single"/>
              </w:rPr>
              <w:t xml:space="preserve"> </w:t>
            </w:r>
            <w:r w:rsidR="00476F7E" w:rsidRPr="00937DC6">
              <w:rPr>
                <w:rFonts w:ascii="Times New Roman" w:hAnsi="Times New Roman" w:cs="Times New Roman"/>
                <w:sz w:val="24"/>
                <w:szCs w:val="24"/>
                <w:u w:val="single"/>
              </w:rPr>
              <w:t xml:space="preserve">mūzikā (ietverot arī </w:t>
            </w:r>
            <w:r w:rsidR="00476F7E">
              <w:rPr>
                <w:rFonts w:ascii="Times New Roman" w:hAnsi="Times New Roman" w:cs="Times New Roman"/>
                <w:sz w:val="24"/>
                <w:szCs w:val="24"/>
                <w:u w:val="single"/>
              </w:rPr>
              <w:t xml:space="preserve">teātra </w:t>
            </w:r>
            <w:r w:rsidR="00476F7E" w:rsidRPr="00937DC6">
              <w:rPr>
                <w:rFonts w:ascii="Times New Roman" w:hAnsi="Times New Roman" w:cs="Times New Roman"/>
                <w:sz w:val="24"/>
                <w:szCs w:val="24"/>
                <w:u w:val="single"/>
              </w:rPr>
              <w:t>mākslu) vai dejā; 3</w:t>
            </w:r>
            <w:r w:rsidR="00476F7E">
              <w:rPr>
                <w:rFonts w:ascii="Times New Roman" w:hAnsi="Times New Roman" w:cs="Times New Roman"/>
                <w:sz w:val="24"/>
                <w:szCs w:val="24"/>
                <w:u w:val="single"/>
              </w:rPr>
              <w:t>. PIKC, kas paredz īstenot izglītības programmas divās vai vairāk nozarēs - mākslā, dizainā, mūzikā, ieskaitot teātra mākslu, dejā</w:t>
            </w:r>
            <w:r w:rsidR="00476F7E" w:rsidRPr="00937DC6">
              <w:rPr>
                <w:rFonts w:ascii="Times New Roman" w:hAnsi="Times New Roman" w:cs="Times New Roman"/>
                <w:sz w:val="24"/>
                <w:szCs w:val="24"/>
                <w:u w:val="single"/>
              </w:rPr>
              <w:t>.</w:t>
            </w:r>
          </w:p>
          <w:p w:rsidR="00476F7E" w:rsidRDefault="00476F7E" w:rsidP="000213CF">
            <w:pPr>
              <w:spacing w:after="0" w:line="240" w:lineRule="auto"/>
              <w:jc w:val="both"/>
              <w:rPr>
                <w:rFonts w:ascii="Times New Roman" w:hAnsi="Times New Roman" w:cs="Times New Roman"/>
                <w:sz w:val="24"/>
                <w:szCs w:val="24"/>
              </w:rPr>
            </w:pPr>
          </w:p>
          <w:p w:rsidR="000213CF" w:rsidRPr="003E5C72" w:rsidRDefault="000213CF" w:rsidP="000213CF">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1. </w:t>
            </w:r>
            <w:r w:rsidR="003E1FCA" w:rsidRPr="003E5C72">
              <w:rPr>
                <w:rFonts w:ascii="Times New Roman" w:hAnsi="Times New Roman" w:cs="Times New Roman"/>
                <w:sz w:val="24"/>
                <w:szCs w:val="24"/>
              </w:rPr>
              <w:t>Projekta 1.punktā</w:t>
            </w:r>
            <w:r w:rsidR="0045328E">
              <w:rPr>
                <w:rFonts w:ascii="Times New Roman" w:hAnsi="Times New Roman" w:cs="Times New Roman"/>
                <w:sz w:val="24"/>
                <w:szCs w:val="24"/>
              </w:rPr>
              <w:t xml:space="preserve"> </w:t>
            </w:r>
            <w:r w:rsidR="000E4A76" w:rsidRPr="003E5C72">
              <w:rPr>
                <w:rFonts w:ascii="Times New Roman" w:hAnsi="Times New Roman" w:cs="Times New Roman"/>
                <w:sz w:val="24"/>
                <w:szCs w:val="24"/>
              </w:rPr>
              <w:t xml:space="preserve">ir </w:t>
            </w:r>
            <w:r w:rsidR="0006432A" w:rsidRPr="003E5C72">
              <w:rPr>
                <w:rFonts w:ascii="Times New Roman" w:hAnsi="Times New Roman" w:cs="Times New Roman"/>
                <w:sz w:val="24"/>
                <w:szCs w:val="24"/>
              </w:rPr>
              <w:t>no</w:t>
            </w:r>
            <w:r w:rsidR="003E1FCA" w:rsidRPr="003E5C72">
              <w:rPr>
                <w:rFonts w:ascii="Times New Roman" w:hAnsi="Times New Roman" w:cs="Times New Roman"/>
                <w:sz w:val="24"/>
                <w:szCs w:val="24"/>
              </w:rPr>
              <w:t>teikts,</w:t>
            </w:r>
            <w:r w:rsidR="0006432A" w:rsidRPr="003E5C72">
              <w:rPr>
                <w:rFonts w:ascii="Times New Roman" w:hAnsi="Times New Roman" w:cs="Times New Roman"/>
                <w:sz w:val="24"/>
                <w:szCs w:val="24"/>
              </w:rPr>
              <w:t xml:space="preserve"> ka </w:t>
            </w:r>
            <w:r w:rsidR="003837B3">
              <w:rPr>
                <w:rFonts w:ascii="Times New Roman" w:hAnsi="Times New Roman" w:cs="Times New Roman"/>
                <w:sz w:val="24"/>
                <w:szCs w:val="24"/>
              </w:rPr>
              <w:t>PIKC</w:t>
            </w:r>
            <w:r w:rsidR="0006432A" w:rsidRPr="003E5C72">
              <w:rPr>
                <w:rFonts w:ascii="Times New Roman" w:hAnsi="Times New Roman" w:cs="Times New Roman"/>
                <w:sz w:val="24"/>
                <w:szCs w:val="24"/>
              </w:rPr>
              <w:t xml:space="preserve"> statusu izglītības iestāde</w:t>
            </w:r>
            <w:r w:rsidR="003E1FCA" w:rsidRPr="003E5C72">
              <w:rPr>
                <w:rFonts w:ascii="Times New Roman" w:hAnsi="Times New Roman" w:cs="Times New Roman"/>
                <w:sz w:val="24"/>
                <w:szCs w:val="24"/>
              </w:rPr>
              <w:t>, kura īsteno mākslas un mūzikas profesionālās vidējās izglītības programmas,</w:t>
            </w:r>
            <w:r w:rsidR="0006432A" w:rsidRPr="003E5C72">
              <w:rPr>
                <w:rFonts w:ascii="Times New Roman" w:hAnsi="Times New Roman" w:cs="Times New Roman"/>
                <w:sz w:val="24"/>
                <w:szCs w:val="24"/>
              </w:rPr>
              <w:t xml:space="preserve"> var iegūt arī tad, ja tā īsteno būtisku profesionālās kultūrizglītības sastāvdaļu – profesionālā</w:t>
            </w:r>
            <w:r w:rsidR="000E4A76" w:rsidRPr="003E5C72">
              <w:rPr>
                <w:rFonts w:ascii="Times New Roman" w:hAnsi="Times New Roman" w:cs="Times New Roman"/>
                <w:sz w:val="24"/>
                <w:szCs w:val="24"/>
              </w:rPr>
              <w:t>s ievirzes izglītības programmas</w:t>
            </w:r>
            <w:r w:rsidR="0006432A" w:rsidRPr="003E5C72">
              <w:rPr>
                <w:rFonts w:ascii="Times New Roman" w:hAnsi="Times New Roman" w:cs="Times New Roman"/>
                <w:sz w:val="24"/>
                <w:szCs w:val="24"/>
              </w:rPr>
              <w:t xml:space="preserve"> mūzi</w:t>
            </w:r>
            <w:r w:rsidR="003B14BB" w:rsidRPr="003E5C72">
              <w:rPr>
                <w:rFonts w:ascii="Times New Roman" w:hAnsi="Times New Roman" w:cs="Times New Roman"/>
                <w:sz w:val="24"/>
                <w:szCs w:val="24"/>
              </w:rPr>
              <w:t>kā, mākslā vai skatuves mākslā. </w:t>
            </w:r>
            <w:r w:rsidR="0006432A" w:rsidRPr="003E5C72">
              <w:rPr>
                <w:rFonts w:ascii="Times New Roman" w:hAnsi="Times New Roman" w:cs="Times New Roman"/>
                <w:sz w:val="24"/>
                <w:szCs w:val="24"/>
              </w:rPr>
              <w:t xml:space="preserve">Profesionālās ievirzes izglītības programmu uzdevums ir mērķtiecīgi un atbilstoši nozarei un izglītojamo vecumam sagatavot izglītojamos, lai viņi varētu turpināt </w:t>
            </w:r>
            <w:r w:rsidR="00730CDA" w:rsidRPr="003E5C72">
              <w:rPr>
                <w:rFonts w:ascii="Times New Roman" w:hAnsi="Times New Roman" w:cs="Times New Roman"/>
                <w:sz w:val="24"/>
                <w:szCs w:val="24"/>
              </w:rPr>
              <w:t xml:space="preserve">iegūt </w:t>
            </w:r>
            <w:r w:rsidR="0006432A" w:rsidRPr="003E5C72">
              <w:rPr>
                <w:rFonts w:ascii="Times New Roman" w:hAnsi="Times New Roman" w:cs="Times New Roman"/>
                <w:sz w:val="24"/>
                <w:szCs w:val="24"/>
              </w:rPr>
              <w:t>izglītību mākslas vai mūzikas profesionālās vidējās izglītības iestādēs profesionālās vidējās izglītības programmās trešajā profesionālās kvalifikācijas līmenī.</w:t>
            </w:r>
            <w:r w:rsidR="006025E3">
              <w:rPr>
                <w:rFonts w:ascii="Times New Roman" w:hAnsi="Times New Roman" w:cs="Times New Roman"/>
                <w:sz w:val="24"/>
                <w:szCs w:val="24"/>
              </w:rPr>
              <w:t xml:space="preserve"> Mākslas un dizaina, bet īpaši mūzikas un dejas profesionālā vidējā izglītība nav ieg</w:t>
            </w:r>
            <w:r w:rsidR="001423CA">
              <w:rPr>
                <w:rFonts w:ascii="Times New Roman" w:hAnsi="Times New Roman" w:cs="Times New Roman"/>
                <w:sz w:val="24"/>
                <w:szCs w:val="24"/>
              </w:rPr>
              <w:t>ūstama, j</w:t>
            </w:r>
            <w:r w:rsidR="006025E3">
              <w:rPr>
                <w:rFonts w:ascii="Times New Roman" w:hAnsi="Times New Roman" w:cs="Times New Roman"/>
                <w:sz w:val="24"/>
                <w:szCs w:val="24"/>
              </w:rPr>
              <w:t xml:space="preserve">a izglītojamais nav mācījies </w:t>
            </w:r>
            <w:r w:rsidR="006025E3" w:rsidRPr="003E5C72">
              <w:rPr>
                <w:rFonts w:ascii="Times New Roman" w:hAnsi="Times New Roman" w:cs="Times New Roman"/>
                <w:sz w:val="24"/>
                <w:szCs w:val="24"/>
              </w:rPr>
              <w:t>profesionālās ievirzes izglītības progra</w:t>
            </w:r>
            <w:r w:rsidR="006025E3">
              <w:rPr>
                <w:rFonts w:ascii="Times New Roman" w:hAnsi="Times New Roman" w:cs="Times New Roman"/>
                <w:sz w:val="24"/>
                <w:szCs w:val="24"/>
              </w:rPr>
              <w:t>mmā.</w:t>
            </w:r>
            <w:r w:rsidR="00546531">
              <w:rPr>
                <w:rFonts w:ascii="Times New Roman" w:hAnsi="Times New Roman" w:cs="Times New Roman"/>
                <w:sz w:val="24"/>
                <w:szCs w:val="24"/>
              </w:rPr>
              <w:t xml:space="preserve"> </w:t>
            </w:r>
            <w:r w:rsidR="004C2078">
              <w:rPr>
                <w:rFonts w:ascii="Times New Roman" w:hAnsi="Times New Roman" w:cs="Times New Roman"/>
                <w:sz w:val="24"/>
                <w:szCs w:val="24"/>
              </w:rPr>
              <w:t>Profesionālās ievirzes un profesionālās vidējās izglītības nodarbības notiek vienās un tajās pašās telpās, izmantojot to pašu</w:t>
            </w:r>
            <w:r w:rsidR="00546531">
              <w:rPr>
                <w:rFonts w:ascii="Times New Roman" w:hAnsi="Times New Roman" w:cs="Times New Roman"/>
                <w:sz w:val="24"/>
                <w:szCs w:val="24"/>
              </w:rPr>
              <w:t xml:space="preserve"> </w:t>
            </w:r>
            <w:r w:rsidR="00C32DF8">
              <w:rPr>
                <w:rFonts w:ascii="Times New Roman" w:hAnsi="Times New Roman" w:cs="Times New Roman"/>
                <w:sz w:val="24"/>
                <w:szCs w:val="24"/>
              </w:rPr>
              <w:t xml:space="preserve">materiāli tehnisko bāzi un </w:t>
            </w:r>
            <w:r w:rsidR="004C2078">
              <w:rPr>
                <w:rFonts w:ascii="Times New Roman" w:hAnsi="Times New Roman" w:cs="Times New Roman"/>
                <w:sz w:val="24"/>
                <w:szCs w:val="24"/>
              </w:rPr>
              <w:t xml:space="preserve">infrastruktūru. Vienīgi profesionālā vidējā izglītība izmanto telpas un mācību līdzekļus priekšpusdienā, bet profesionālā ievirze – pēcpusdienā. </w:t>
            </w:r>
            <w:r w:rsidR="00B91898" w:rsidRPr="003E5C72">
              <w:rPr>
                <w:rFonts w:ascii="Times New Roman" w:hAnsi="Times New Roman" w:cs="Times New Roman"/>
                <w:sz w:val="24"/>
                <w:szCs w:val="24"/>
              </w:rPr>
              <w:t>Ar ievirzes izglītības apguvi ir saistīta secīga pāreja katrā nākamajā izglītības pakāpē – vidējā un augstākajā izglītības pakāpē. Izveidotā trīspakāpju izglītības sistēma uzrāda labus rezultātus un liels procents mākslas un mūzikas vidusskolu absolventu (2014.gadā vidēji vi</w:t>
            </w:r>
            <w:r w:rsidR="004D0BFF" w:rsidRPr="003E5C72">
              <w:rPr>
                <w:rFonts w:ascii="Times New Roman" w:hAnsi="Times New Roman" w:cs="Times New Roman"/>
                <w:sz w:val="24"/>
                <w:szCs w:val="24"/>
              </w:rPr>
              <w:t>rs 50%, atsevišķos gadījumos 89–</w:t>
            </w:r>
            <w:r w:rsidR="00B91898" w:rsidRPr="003E5C72">
              <w:rPr>
                <w:rFonts w:ascii="Times New Roman" w:hAnsi="Times New Roman" w:cs="Times New Roman"/>
                <w:sz w:val="24"/>
                <w:szCs w:val="24"/>
              </w:rPr>
              <w:t>92% absolventu) iestājas kādā no Latvijas nozares augstskolām (Latvijas Mākslas akadēmija, Jāzepa Vītola Latvijas Mūzikas akadēmija, Latvijas Kultūras akadēmija</w:t>
            </w:r>
            <w:r w:rsidR="004336C6" w:rsidRPr="003E5C72">
              <w:rPr>
                <w:rFonts w:ascii="Times New Roman" w:hAnsi="Times New Roman" w:cs="Times New Roman"/>
                <w:sz w:val="24"/>
                <w:szCs w:val="24"/>
              </w:rPr>
              <w:t>)</w:t>
            </w:r>
            <w:r w:rsidR="00B91898" w:rsidRPr="003E5C72">
              <w:rPr>
                <w:rFonts w:ascii="Times New Roman" w:hAnsi="Times New Roman" w:cs="Times New Roman"/>
                <w:sz w:val="24"/>
                <w:szCs w:val="24"/>
              </w:rPr>
              <w:t>, kā arī tād</w:t>
            </w:r>
            <w:r w:rsidR="004336C6" w:rsidRPr="003E5C72">
              <w:rPr>
                <w:rFonts w:ascii="Times New Roman" w:hAnsi="Times New Roman" w:cs="Times New Roman"/>
                <w:sz w:val="24"/>
                <w:szCs w:val="24"/>
              </w:rPr>
              <w:t>ās augstskolā</w:t>
            </w:r>
            <w:r w:rsidR="00B91898" w:rsidRPr="003E5C72">
              <w:rPr>
                <w:rFonts w:ascii="Times New Roman" w:hAnsi="Times New Roman" w:cs="Times New Roman"/>
                <w:sz w:val="24"/>
                <w:szCs w:val="24"/>
              </w:rPr>
              <w:t xml:space="preserve">s kā Rīgas Tehniskā universitāte, Rīgas Pedagoģijas un vadības augstskola, Liepājas </w:t>
            </w:r>
            <w:r w:rsidR="00135B12">
              <w:rPr>
                <w:rFonts w:ascii="Times New Roman" w:hAnsi="Times New Roman" w:cs="Times New Roman"/>
                <w:sz w:val="24"/>
                <w:szCs w:val="24"/>
              </w:rPr>
              <w:t>U</w:t>
            </w:r>
            <w:r w:rsidR="00B91898" w:rsidRPr="003E5C72">
              <w:rPr>
                <w:rFonts w:ascii="Times New Roman" w:hAnsi="Times New Roman" w:cs="Times New Roman"/>
                <w:sz w:val="24"/>
                <w:szCs w:val="24"/>
              </w:rPr>
              <w:t xml:space="preserve">niversitāte, Daugavpils </w:t>
            </w:r>
            <w:r w:rsidR="00135B12">
              <w:rPr>
                <w:rFonts w:ascii="Times New Roman" w:hAnsi="Times New Roman" w:cs="Times New Roman"/>
                <w:sz w:val="24"/>
                <w:szCs w:val="24"/>
              </w:rPr>
              <w:t>U</w:t>
            </w:r>
            <w:r w:rsidR="00B91898" w:rsidRPr="003E5C72">
              <w:rPr>
                <w:rFonts w:ascii="Times New Roman" w:hAnsi="Times New Roman" w:cs="Times New Roman"/>
                <w:sz w:val="24"/>
                <w:szCs w:val="24"/>
              </w:rPr>
              <w:t>niversitāte u.c., kurās iespējams apgūt dizaina, mākslas, pedagoga u.tml. programmas), kā arī studē attiecīgā</w:t>
            </w:r>
            <w:r w:rsidR="004C2078">
              <w:rPr>
                <w:rFonts w:ascii="Times New Roman" w:hAnsi="Times New Roman" w:cs="Times New Roman"/>
                <w:sz w:val="24"/>
                <w:szCs w:val="24"/>
              </w:rPr>
              <w:t xml:space="preserve">s nozares augstskolās </w:t>
            </w:r>
            <w:r w:rsidR="00B91898" w:rsidRPr="003E5C72">
              <w:rPr>
                <w:rFonts w:ascii="Times New Roman" w:hAnsi="Times New Roman" w:cs="Times New Roman"/>
                <w:sz w:val="24"/>
                <w:szCs w:val="24"/>
              </w:rPr>
              <w:t xml:space="preserve">ārvalstīs. </w:t>
            </w:r>
          </w:p>
          <w:p w:rsidR="000213CF" w:rsidRPr="003E5C72" w:rsidRDefault="000213CF" w:rsidP="000213CF">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lastRenderedPageBreak/>
              <w:t xml:space="preserve">2. MK Noteikumu Nr.144 4.punktā profesionālās izglītības kompetences centra statusa iegūšanai noteiktie izglītojamo skaita kritēriji attiecībā uz </w:t>
            </w:r>
            <w:r w:rsidR="004C2078">
              <w:rPr>
                <w:rFonts w:ascii="Times New Roman" w:hAnsi="Times New Roman" w:cs="Times New Roman"/>
                <w:sz w:val="24"/>
                <w:szCs w:val="24"/>
              </w:rPr>
              <w:t>ministrijas padotības</w:t>
            </w:r>
            <w:r w:rsidRPr="003E5C72">
              <w:rPr>
                <w:rFonts w:ascii="Times New Roman" w:hAnsi="Times New Roman" w:cs="Times New Roman"/>
                <w:sz w:val="24"/>
                <w:szCs w:val="24"/>
              </w:rPr>
              <w:t xml:space="preserve"> profesionālām vidējām izglītības iestādēm nosaka pārāk augstas un neizpildāmas prasības, nosakot, ka </w:t>
            </w:r>
            <w:r w:rsidR="003837B3">
              <w:rPr>
                <w:rFonts w:ascii="Times New Roman" w:hAnsi="Times New Roman" w:cs="Times New Roman"/>
                <w:sz w:val="24"/>
                <w:szCs w:val="24"/>
              </w:rPr>
              <w:t>PIKC</w:t>
            </w:r>
            <w:r w:rsidRPr="003E5C72">
              <w:rPr>
                <w:rFonts w:ascii="Times New Roman" w:hAnsi="Times New Roman" w:cs="Times New Roman"/>
                <w:sz w:val="24"/>
                <w:szCs w:val="24"/>
              </w:rPr>
              <w:t xml:space="preserve"> statusu izglītības iestāde var iegūt, ja tajā profesionālo vidējo izglītību iegūst:</w:t>
            </w:r>
          </w:p>
          <w:p w:rsidR="000213CF" w:rsidRPr="003E5C72" w:rsidRDefault="000213CF" w:rsidP="000213CF">
            <w:pPr>
              <w:pStyle w:val="Sarakstarindkopa"/>
              <w:numPr>
                <w:ilvl w:val="0"/>
                <w:numId w:val="6"/>
              </w:num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mākslas un dizaina izglītības programmās ne mazāk par 300 izglītojamiem;</w:t>
            </w:r>
          </w:p>
          <w:p w:rsidR="000213CF" w:rsidRPr="003E5C72" w:rsidRDefault="000213CF" w:rsidP="000213CF">
            <w:pPr>
              <w:pStyle w:val="Sarakstarindkopa"/>
              <w:numPr>
                <w:ilvl w:val="0"/>
                <w:numId w:val="6"/>
              </w:num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mūzikas un skatuves mākslas izglītības programmās ne mazāk par 200 izglītojamiem;</w:t>
            </w:r>
          </w:p>
          <w:p w:rsidR="000213CF" w:rsidRPr="003E5C72" w:rsidRDefault="000213CF" w:rsidP="000213CF">
            <w:pPr>
              <w:pStyle w:val="Sarakstarindkopa"/>
              <w:numPr>
                <w:ilvl w:val="0"/>
                <w:numId w:val="6"/>
              </w:num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ne mazāk par 300 izglītojamiem profesionālās vidējās izglītības iestādē, kurā iegūst starpnozaru izglītības programmas.</w:t>
            </w:r>
          </w:p>
          <w:p w:rsidR="000213CF" w:rsidRPr="003E5C72" w:rsidRDefault="000213CF" w:rsidP="000213CF">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No visām ministrijas padotības profesionālās vidējās izglītības iestādēm </w:t>
            </w:r>
            <w:r w:rsidR="00F623E5" w:rsidRPr="003E5C72">
              <w:rPr>
                <w:rFonts w:ascii="Times New Roman" w:hAnsi="Times New Roman" w:cs="Times New Roman"/>
                <w:sz w:val="24"/>
                <w:szCs w:val="24"/>
              </w:rPr>
              <w:t xml:space="preserve">šobrīd </w:t>
            </w:r>
            <w:r w:rsidRPr="003E5C72">
              <w:rPr>
                <w:rFonts w:ascii="Times New Roman" w:hAnsi="Times New Roman" w:cs="Times New Roman"/>
                <w:sz w:val="24"/>
                <w:szCs w:val="24"/>
              </w:rPr>
              <w:t>tikai Rīgas Dizaina un mākslas vidusskola, kurā profesionālo vidējo izglītību iegūst 481 izglītojam</w:t>
            </w:r>
            <w:r w:rsidR="00E16145" w:rsidRPr="003E5C72">
              <w:rPr>
                <w:rFonts w:ascii="Times New Roman" w:hAnsi="Times New Roman" w:cs="Times New Roman"/>
                <w:sz w:val="24"/>
                <w:szCs w:val="24"/>
              </w:rPr>
              <w:t>ais</w:t>
            </w:r>
            <w:r w:rsidRPr="003E5C72">
              <w:rPr>
                <w:rFonts w:ascii="Times New Roman" w:hAnsi="Times New Roman" w:cs="Times New Roman"/>
                <w:sz w:val="24"/>
                <w:szCs w:val="24"/>
              </w:rPr>
              <w:t xml:space="preserve">, atbilst MK Noteikumu Nr.144 4.punktā noteiktajiem kritērijiem. Pārējās 13 ministrijas padotības mākslas un mūzikas profesionālajās vidējās izglītības iestādēs Rīgā un reģionos ir ievērojami mazāks izglītojamo skaits, kas liedz ministrijas padotības profesionālās vidējās izglītības iestādēm pretendēt uz </w:t>
            </w:r>
            <w:r w:rsidR="003837B3">
              <w:rPr>
                <w:rFonts w:ascii="Times New Roman" w:hAnsi="Times New Roman" w:cs="Times New Roman"/>
                <w:sz w:val="24"/>
                <w:szCs w:val="24"/>
              </w:rPr>
              <w:t>PIKC</w:t>
            </w:r>
            <w:r w:rsidRPr="003E5C72">
              <w:rPr>
                <w:rFonts w:ascii="Times New Roman" w:hAnsi="Times New Roman" w:cs="Times New Roman"/>
                <w:sz w:val="24"/>
                <w:szCs w:val="24"/>
              </w:rPr>
              <w:t xml:space="preserve"> statusu iegūšanu atbilstoši MK noteikumos Nr.144 noteiktajām prasībām. Atbilstoši ministrijas</w:t>
            </w:r>
            <w:r w:rsidR="004336C6" w:rsidRPr="003E5C72">
              <w:rPr>
                <w:rFonts w:ascii="Times New Roman" w:hAnsi="Times New Roman" w:cs="Times New Roman"/>
                <w:sz w:val="24"/>
                <w:szCs w:val="24"/>
              </w:rPr>
              <w:t xml:space="preserve"> statistikas datiem</w:t>
            </w:r>
            <w:r w:rsidR="00024383">
              <w:rPr>
                <w:rFonts w:ascii="Times New Roman" w:hAnsi="Times New Roman" w:cs="Times New Roman"/>
                <w:sz w:val="24"/>
                <w:szCs w:val="24"/>
              </w:rPr>
              <w:t xml:space="preserve"> </w:t>
            </w:r>
            <w:r w:rsidR="003051CB" w:rsidRPr="003E5C72">
              <w:rPr>
                <w:rFonts w:ascii="Times New Roman" w:hAnsi="Times New Roman" w:cs="Times New Roman"/>
                <w:sz w:val="24"/>
                <w:szCs w:val="24"/>
              </w:rPr>
              <w:t xml:space="preserve">2014./2015.mācību gadā 9 mūzikas profesionālās vidējās izglītības iestādēs izglītību iegūst vidēji 70 izglītojamie, bet 4 mākslas profesionālajās vidējās izglītības iestādēs vidēji </w:t>
            </w:r>
            <w:r w:rsidR="004D0BFF" w:rsidRPr="003E5C72">
              <w:rPr>
                <w:rFonts w:ascii="Times New Roman" w:hAnsi="Times New Roman" w:cs="Times New Roman"/>
                <w:sz w:val="24"/>
                <w:szCs w:val="24"/>
              </w:rPr>
              <w:t>–</w:t>
            </w:r>
            <w:r w:rsidR="003051CB" w:rsidRPr="003E5C72">
              <w:rPr>
                <w:rFonts w:ascii="Times New Roman" w:hAnsi="Times New Roman" w:cs="Times New Roman"/>
                <w:sz w:val="24"/>
                <w:szCs w:val="24"/>
              </w:rPr>
              <w:t xml:space="preserve"> 231 izglītojamie. Kopumā 14 ministrijas padotības profesionālās vidējās izglītības iestādēs 2014./2015.mācību gadā profesionālo vidējo izglītību ieg</w:t>
            </w:r>
            <w:r w:rsidR="00A85338" w:rsidRPr="003E5C72">
              <w:rPr>
                <w:rFonts w:ascii="Times New Roman" w:hAnsi="Times New Roman" w:cs="Times New Roman"/>
                <w:sz w:val="24"/>
                <w:szCs w:val="24"/>
              </w:rPr>
              <w:t>ūst</w:t>
            </w:r>
            <w:r w:rsidR="003051CB" w:rsidRPr="003E5C72">
              <w:rPr>
                <w:rFonts w:ascii="Times New Roman" w:hAnsi="Times New Roman" w:cs="Times New Roman"/>
                <w:sz w:val="24"/>
                <w:szCs w:val="24"/>
              </w:rPr>
              <w:t xml:space="preserve"> 1570 izglītojamie. </w:t>
            </w:r>
            <w:r w:rsidRPr="003E5C72">
              <w:rPr>
                <w:rFonts w:ascii="Times New Roman" w:hAnsi="Times New Roman" w:cs="Times New Roman"/>
                <w:sz w:val="24"/>
                <w:szCs w:val="24"/>
              </w:rPr>
              <w:t>Ievērojot norādītos apstākļus un MK Noteikumos Nr.144 un spēku zaudējušajos Ministru kabineta 2011.gada 22.februāra noteikumos Nr.148 „</w:t>
            </w:r>
            <w:r w:rsidRPr="003E5C72">
              <w:rPr>
                <w:rFonts w:ascii="Times New Roman" w:hAnsi="Times New Roman" w:cs="Times New Roman"/>
                <w:bCs/>
                <w:sz w:val="24"/>
                <w:szCs w:val="24"/>
              </w:rPr>
              <w:t>Profesionālās izglītības kompetences centra statusa piešķiršanas un anulēšanas kārtība”</w:t>
            </w:r>
            <w:r w:rsidRPr="003E5C72">
              <w:rPr>
                <w:rFonts w:ascii="Times New Roman" w:hAnsi="Times New Roman" w:cs="Times New Roman"/>
                <w:sz w:val="24"/>
                <w:szCs w:val="24"/>
              </w:rPr>
              <w:t xml:space="preserve"> noteikto tiesisko regulējumu, līdz šim brīdim un no MK Noteikumu Nr.144 spēkā stāšanās brīža, profesionālās vidējās izglītības kompetences centra statuss </w:t>
            </w:r>
            <w:r w:rsidRPr="00794ACC">
              <w:rPr>
                <w:rFonts w:ascii="Times New Roman" w:hAnsi="Times New Roman" w:cs="Times New Roman"/>
                <w:sz w:val="24"/>
                <w:szCs w:val="24"/>
              </w:rPr>
              <w:t>nav piešķirts nevienai</w:t>
            </w:r>
            <w:r w:rsidRPr="003E5C72">
              <w:rPr>
                <w:rFonts w:ascii="Times New Roman" w:hAnsi="Times New Roman" w:cs="Times New Roman"/>
                <w:sz w:val="24"/>
                <w:szCs w:val="24"/>
              </w:rPr>
              <w:t xml:space="preserve"> ministrijas padotībā esošai mākslas un mūzikas profesionālās vidējās izglītības iestādei. </w:t>
            </w:r>
          </w:p>
          <w:p w:rsidR="00476F7E" w:rsidRDefault="0006432A" w:rsidP="0006432A">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Kultūrizglītības </w:t>
            </w:r>
            <w:r w:rsidR="000213CF" w:rsidRPr="003E5C72">
              <w:rPr>
                <w:rFonts w:ascii="Times New Roman" w:hAnsi="Times New Roman" w:cs="Times New Roman"/>
                <w:sz w:val="24"/>
                <w:szCs w:val="24"/>
              </w:rPr>
              <w:t xml:space="preserve">profesionālās </w:t>
            </w:r>
            <w:r w:rsidRPr="003E5C72">
              <w:rPr>
                <w:rFonts w:ascii="Times New Roman" w:hAnsi="Times New Roman" w:cs="Times New Roman"/>
                <w:sz w:val="24"/>
                <w:szCs w:val="24"/>
              </w:rPr>
              <w:t xml:space="preserve">izglītības iestāžu segmenta īpatnība ir salīdzinoši mazs izglītojamo skaits, kas apgūst mākslas vai mūzikas profesionālās vidējās izglītības programmas, salīdzinot ar Izglītības un zinātnes ministrijas padotībā esošo profesionālās vidējās izglītības iestāžu izglītojamo skaitu. </w:t>
            </w:r>
            <w:r w:rsidR="00002670" w:rsidRPr="003E5C72">
              <w:rPr>
                <w:rFonts w:ascii="Times New Roman" w:hAnsi="Times New Roman" w:cs="Times New Roman"/>
                <w:sz w:val="24"/>
                <w:szCs w:val="24"/>
              </w:rPr>
              <w:t>Izglītojamo skaitu profesionālās mākslas un mūzikas profesionālās izglītības iestādēs</w:t>
            </w:r>
            <w:r w:rsidRPr="003E5C72">
              <w:rPr>
                <w:rFonts w:ascii="Times New Roman" w:hAnsi="Times New Roman" w:cs="Times New Roman"/>
                <w:sz w:val="24"/>
                <w:szCs w:val="24"/>
              </w:rPr>
              <w:t xml:space="preserve"> nosaka profesionālās kultūrizglītības </w:t>
            </w:r>
            <w:r w:rsidRPr="003E5C72">
              <w:rPr>
                <w:rFonts w:ascii="Times New Roman" w:hAnsi="Times New Roman" w:cs="Times New Roman"/>
                <w:sz w:val="24"/>
                <w:szCs w:val="24"/>
              </w:rPr>
              <w:lastRenderedPageBreak/>
              <w:t>galvenais uzdevums – nodrošināt bērnu un jauniešu talantu izkopšanu, veicināt radošo izcilību veidošanos, uzturēt Latvijas profesionālās mākslas un tautas mākslas tradīciju nepārtrauktību un kvalitāti. Izglītojamo skaits mākslas un mūzikas profesionālās izglītības iestādēs ir saistīts</w:t>
            </w:r>
            <w:r w:rsidR="000A2B9B" w:rsidRPr="003E5C72">
              <w:rPr>
                <w:rFonts w:ascii="Times New Roman" w:hAnsi="Times New Roman" w:cs="Times New Roman"/>
                <w:sz w:val="24"/>
                <w:szCs w:val="24"/>
              </w:rPr>
              <w:t xml:space="preserve"> arī</w:t>
            </w:r>
            <w:r w:rsidRPr="003E5C72">
              <w:rPr>
                <w:rFonts w:ascii="Times New Roman" w:hAnsi="Times New Roman" w:cs="Times New Roman"/>
                <w:sz w:val="24"/>
                <w:szCs w:val="24"/>
              </w:rPr>
              <w:t xml:space="preserve"> ar Latvijas kultūras nozares nelielo darba tirgus piedāvājumu.</w:t>
            </w:r>
            <w:r w:rsidR="00546531">
              <w:rPr>
                <w:rFonts w:ascii="Times New Roman" w:hAnsi="Times New Roman" w:cs="Times New Roman"/>
                <w:sz w:val="24"/>
                <w:szCs w:val="24"/>
              </w:rPr>
              <w:t xml:space="preserve"> </w:t>
            </w:r>
            <w:r w:rsidRPr="003E5C72">
              <w:rPr>
                <w:rFonts w:ascii="Times New Roman" w:hAnsi="Times New Roman" w:cs="Times New Roman"/>
                <w:sz w:val="24"/>
                <w:szCs w:val="24"/>
              </w:rPr>
              <w:t>Latvijas mūzikas nozarē nodarbinātības iespējas profesionālās vidējās izglītības iestāžu un Jāzepa Vītola Latvijas Mūzikas akadēmijas absolventiem piedāvā profesionālie simfoniskie orķestri (Latvijas Nacionālais simfoniskais orķestris, Latvijas Nacionālās operas orķestris, Liepājas simfoniskais orķestris, „Sinfonietta Rīga”, pūtēju orķestris „Rīga”), trīs profesionālie kori (Valsts Akadēmiskais koris „Latvija”, Latvijas Radio koris, Latvijas Nacionālās operas koris), iespēja iekļauties Dziesmu un deju svētku tradīcijas saglabāšanas pasākumos, vadot korus, orķestrus, kapelas, deju kolektīvus u.c., kā arī nodarbinātības iespējas pedagoga darbā mūzikas izglītības</w:t>
            </w:r>
            <w:r w:rsidR="000A2B9B" w:rsidRPr="003E5C72">
              <w:rPr>
                <w:rFonts w:ascii="Times New Roman" w:hAnsi="Times New Roman" w:cs="Times New Roman"/>
                <w:sz w:val="24"/>
                <w:szCs w:val="24"/>
              </w:rPr>
              <w:t xml:space="preserve"> iestādēs</w:t>
            </w:r>
            <w:r w:rsidRPr="003E5C72">
              <w:rPr>
                <w:rFonts w:ascii="Times New Roman" w:hAnsi="Times New Roman" w:cs="Times New Roman"/>
                <w:sz w:val="24"/>
                <w:szCs w:val="24"/>
              </w:rPr>
              <w:t>. Savukārt mākslas un dizaina nozares darba tirgus specifika ir mikrouzņēmumi, kā arī pašnodarbinātas personas</w:t>
            </w:r>
            <w:r w:rsidR="00C54E7A" w:rsidRPr="003E5C72">
              <w:rPr>
                <w:rFonts w:ascii="Times New Roman" w:hAnsi="Times New Roman" w:cs="Times New Roman"/>
                <w:sz w:val="24"/>
                <w:szCs w:val="24"/>
              </w:rPr>
              <w:t xml:space="preserve"> statuss</w:t>
            </w:r>
            <w:r w:rsidRPr="003E5C72">
              <w:rPr>
                <w:rFonts w:ascii="Times New Roman" w:hAnsi="Times New Roman" w:cs="Times New Roman"/>
                <w:sz w:val="24"/>
                <w:szCs w:val="24"/>
              </w:rPr>
              <w:t>.</w:t>
            </w:r>
            <w:r w:rsidR="00A81228" w:rsidRPr="003E5C72">
              <w:rPr>
                <w:rFonts w:ascii="Times New Roman" w:hAnsi="Times New Roman" w:cs="Times New Roman"/>
                <w:sz w:val="24"/>
                <w:szCs w:val="24"/>
              </w:rPr>
              <w:t xml:space="preserve"> L</w:t>
            </w:r>
            <w:r w:rsidRPr="003E5C72">
              <w:rPr>
                <w:rFonts w:ascii="Times New Roman" w:hAnsi="Times New Roman" w:cs="Times New Roman"/>
                <w:sz w:val="24"/>
                <w:szCs w:val="24"/>
              </w:rPr>
              <w:t>ai nodrošinātu līdzsvaru starp izglītības kvalitāti un darba tirgus prasībām mākslas un mūzikas profesionālajās vidējās izglītības iestādēs</w:t>
            </w:r>
            <w:r w:rsidR="006031B8" w:rsidRPr="003E5C72">
              <w:rPr>
                <w:rFonts w:ascii="Times New Roman" w:hAnsi="Times New Roman" w:cs="Times New Roman"/>
                <w:sz w:val="24"/>
                <w:szCs w:val="24"/>
              </w:rPr>
              <w:t>,</w:t>
            </w:r>
            <w:r w:rsidRPr="003E5C72">
              <w:rPr>
                <w:rFonts w:ascii="Times New Roman" w:hAnsi="Times New Roman" w:cs="Times New Roman"/>
                <w:sz w:val="24"/>
                <w:szCs w:val="24"/>
              </w:rPr>
              <w:t xml:space="preserve"> nav pieļaujams tajās mākslīgi</w:t>
            </w:r>
            <w:r w:rsidR="000213CF" w:rsidRPr="003E5C72">
              <w:rPr>
                <w:rFonts w:ascii="Times New Roman" w:hAnsi="Times New Roman" w:cs="Times New Roman"/>
                <w:sz w:val="24"/>
                <w:szCs w:val="24"/>
              </w:rPr>
              <w:t xml:space="preserve"> palielināt izglītojamo skaitu. </w:t>
            </w:r>
            <w:r w:rsidR="002E4955" w:rsidRPr="003E5C72">
              <w:rPr>
                <w:rFonts w:ascii="Times New Roman" w:hAnsi="Times New Roman" w:cs="Times New Roman"/>
                <w:sz w:val="24"/>
                <w:szCs w:val="24"/>
              </w:rPr>
              <w:t>Ievērojot augstāk norādītos apstākļus par izglītojamo skaitu mākslas un mūzikas profesionālās vidējās izglītības iestādēs</w:t>
            </w:r>
            <w:r w:rsidR="000213CF" w:rsidRPr="003E5C72">
              <w:rPr>
                <w:rFonts w:ascii="Times New Roman" w:hAnsi="Times New Roman" w:cs="Times New Roman"/>
                <w:sz w:val="24"/>
                <w:szCs w:val="24"/>
              </w:rPr>
              <w:t xml:space="preserve">, Projekta 2.1.apakšpunktā ir noteikti kvantitatīvie kritēriji </w:t>
            </w:r>
            <w:r w:rsidR="003837B3">
              <w:rPr>
                <w:rFonts w:ascii="Times New Roman" w:hAnsi="Times New Roman" w:cs="Times New Roman"/>
                <w:sz w:val="24"/>
                <w:szCs w:val="24"/>
              </w:rPr>
              <w:t>PIKC</w:t>
            </w:r>
            <w:r w:rsidR="000213CF" w:rsidRPr="003E5C72">
              <w:rPr>
                <w:rFonts w:ascii="Times New Roman" w:hAnsi="Times New Roman" w:cs="Times New Roman"/>
                <w:sz w:val="24"/>
                <w:szCs w:val="24"/>
              </w:rPr>
              <w:t xml:space="preserve"> statusa iegūšanai attiecībā uz izglītojamo skaitu izglītības iestādēs, kuras īsteno profesionālās vidējās izglītības programmas mākslā, mūzikā un </w:t>
            </w:r>
            <w:r w:rsidR="00E1553B" w:rsidRPr="003E5C72">
              <w:rPr>
                <w:rFonts w:ascii="Times New Roman" w:hAnsi="Times New Roman" w:cs="Times New Roman"/>
                <w:sz w:val="24"/>
                <w:szCs w:val="24"/>
              </w:rPr>
              <w:t>dejā</w:t>
            </w:r>
            <w:r w:rsidR="000213CF" w:rsidRPr="003E5C72">
              <w:rPr>
                <w:rFonts w:ascii="Times New Roman" w:hAnsi="Times New Roman" w:cs="Times New Roman"/>
                <w:sz w:val="24"/>
                <w:szCs w:val="24"/>
              </w:rPr>
              <w:t>.</w:t>
            </w:r>
            <w:r w:rsidR="00937DC6">
              <w:rPr>
                <w:rFonts w:ascii="Times New Roman" w:hAnsi="Times New Roman" w:cs="Times New Roman"/>
                <w:sz w:val="24"/>
                <w:szCs w:val="24"/>
              </w:rPr>
              <w:t xml:space="preserve"> </w:t>
            </w:r>
          </w:p>
          <w:p w:rsidR="00E8311E" w:rsidRDefault="000213CF" w:rsidP="0006432A">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2.</w:t>
            </w:r>
            <w:r w:rsidR="002E4955" w:rsidRPr="003E5C72">
              <w:rPr>
                <w:rFonts w:ascii="Times New Roman" w:hAnsi="Times New Roman" w:cs="Times New Roman"/>
                <w:sz w:val="24"/>
                <w:szCs w:val="24"/>
              </w:rPr>
              <w:t xml:space="preserve">1. </w:t>
            </w:r>
            <w:r w:rsidR="00903D27">
              <w:rPr>
                <w:rFonts w:ascii="Times New Roman" w:hAnsi="Times New Roman" w:cs="Times New Roman"/>
                <w:sz w:val="24"/>
                <w:szCs w:val="24"/>
              </w:rPr>
              <w:t>M</w:t>
            </w:r>
            <w:r w:rsidR="00AC7894" w:rsidRPr="003E5C72">
              <w:rPr>
                <w:rFonts w:ascii="Times New Roman" w:hAnsi="Times New Roman" w:cs="Times New Roman"/>
                <w:sz w:val="24"/>
                <w:szCs w:val="24"/>
              </w:rPr>
              <w:t xml:space="preserve">inistrijas padotības profesionālajās vidējās izglītības iestādēs, kuras īsteno mākslas un dizaina profesionālās izglītības programmas, profesionālās ievirzes izglītības programmas apgūst vidēji </w:t>
            </w:r>
            <w:r w:rsidR="00A85338" w:rsidRPr="003E5C72">
              <w:rPr>
                <w:rFonts w:ascii="Times New Roman" w:hAnsi="Times New Roman" w:cs="Times New Roman"/>
                <w:sz w:val="24"/>
                <w:szCs w:val="24"/>
              </w:rPr>
              <w:t>400</w:t>
            </w:r>
            <w:r w:rsidR="00AC7894" w:rsidRPr="003E5C72">
              <w:rPr>
                <w:rFonts w:ascii="Times New Roman" w:hAnsi="Times New Roman" w:cs="Times New Roman"/>
                <w:sz w:val="24"/>
                <w:szCs w:val="24"/>
              </w:rPr>
              <w:t xml:space="preserve"> izglītojamie, </w:t>
            </w:r>
            <w:r w:rsidR="006B4A0C">
              <w:rPr>
                <w:rFonts w:ascii="Times New Roman" w:hAnsi="Times New Roman" w:cs="Times New Roman"/>
                <w:sz w:val="24"/>
                <w:szCs w:val="24"/>
              </w:rPr>
              <w:t>bet</w:t>
            </w:r>
            <w:r w:rsidR="00AC7894" w:rsidRPr="003E5C72">
              <w:rPr>
                <w:rFonts w:ascii="Times New Roman" w:hAnsi="Times New Roman" w:cs="Times New Roman"/>
                <w:sz w:val="24"/>
                <w:szCs w:val="24"/>
              </w:rPr>
              <w:t xml:space="preserve"> profesionālo vidējo izglītību tajās iegūst vidēji </w:t>
            </w:r>
            <w:r w:rsidR="00A85338" w:rsidRPr="003E5C72">
              <w:rPr>
                <w:rFonts w:ascii="Times New Roman" w:hAnsi="Times New Roman" w:cs="Times New Roman"/>
                <w:sz w:val="24"/>
                <w:szCs w:val="24"/>
              </w:rPr>
              <w:t>90-100</w:t>
            </w:r>
            <w:r w:rsidR="00AC7894" w:rsidRPr="003E5C72">
              <w:rPr>
                <w:rFonts w:ascii="Times New Roman" w:hAnsi="Times New Roman" w:cs="Times New Roman"/>
                <w:sz w:val="24"/>
                <w:szCs w:val="24"/>
              </w:rPr>
              <w:t xml:space="preserve"> izglītojamie. </w:t>
            </w:r>
            <w:r w:rsidR="00E8311E">
              <w:rPr>
                <w:rFonts w:ascii="Times New Roman" w:hAnsi="Times New Roman" w:cs="Times New Roman"/>
                <w:sz w:val="24"/>
                <w:szCs w:val="24"/>
              </w:rPr>
              <w:t xml:space="preserve">Statistika liecina, ka atšķirībā no Izglītības un zinātnes ministrijas padotības profesionālās vidējās izglītības iestādēm, kurās vērojama izglītojamo skaita atšķirība atkarībā no tā, vai skola atrodas Rīgā vai reģionā, </w:t>
            </w:r>
            <w:r w:rsidR="00E8311E" w:rsidRPr="003E5C72">
              <w:rPr>
                <w:rFonts w:ascii="Times New Roman" w:hAnsi="Times New Roman" w:cs="Times New Roman"/>
                <w:sz w:val="24"/>
                <w:szCs w:val="24"/>
              </w:rPr>
              <w:t>ministrijas padotības profesionālajās vidējās izglītības iestādēs</w:t>
            </w:r>
            <w:r w:rsidR="00E8311E">
              <w:rPr>
                <w:rFonts w:ascii="Times New Roman" w:hAnsi="Times New Roman" w:cs="Times New Roman"/>
                <w:sz w:val="24"/>
                <w:szCs w:val="24"/>
              </w:rPr>
              <w:t xml:space="preserve"> reģionāla diferenciācija nav vērojama. Vienīgā atšķirība izglītojamo skaita ziņā vērojama </w:t>
            </w:r>
            <w:r w:rsidR="005B37B6">
              <w:rPr>
                <w:rFonts w:ascii="Times New Roman" w:hAnsi="Times New Roman" w:cs="Times New Roman"/>
                <w:sz w:val="24"/>
                <w:szCs w:val="24"/>
              </w:rPr>
              <w:t xml:space="preserve">starp </w:t>
            </w:r>
            <w:r w:rsidR="00E8311E">
              <w:rPr>
                <w:rFonts w:ascii="Times New Roman" w:hAnsi="Times New Roman" w:cs="Times New Roman"/>
                <w:sz w:val="24"/>
                <w:szCs w:val="24"/>
              </w:rPr>
              <w:t>mūzikas un mākslas un dizaina vidusskolā</w:t>
            </w:r>
            <w:r w:rsidR="005B37B6">
              <w:rPr>
                <w:rFonts w:ascii="Times New Roman" w:hAnsi="Times New Roman" w:cs="Times New Roman"/>
                <w:sz w:val="24"/>
                <w:szCs w:val="24"/>
              </w:rPr>
              <w:t>m</w:t>
            </w:r>
            <w:r w:rsidR="00E8311E">
              <w:rPr>
                <w:rFonts w:ascii="Times New Roman" w:hAnsi="Times New Roman" w:cs="Times New Roman"/>
                <w:sz w:val="24"/>
                <w:szCs w:val="24"/>
              </w:rPr>
              <w:t xml:space="preserve">, kurās vidējo izglītību 2014./2015.mācību gadā iegūst ap 70 izglītojamo (mūzikas vidusskolas) un ap 240 izglītojamo (mākslas un dizaina vidusskolas).  </w:t>
            </w:r>
          </w:p>
          <w:p w:rsidR="00532DEA" w:rsidRPr="003E5C72" w:rsidRDefault="00AC7894" w:rsidP="0006432A">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Ievērojot norādīto izglītojamo skaitu, </w:t>
            </w:r>
            <w:r w:rsidR="0006432A" w:rsidRPr="003E5C72">
              <w:rPr>
                <w:rFonts w:ascii="Times New Roman" w:hAnsi="Times New Roman" w:cs="Times New Roman"/>
                <w:sz w:val="24"/>
                <w:szCs w:val="24"/>
                <w:u w:val="single"/>
              </w:rPr>
              <w:t xml:space="preserve">Projekta </w:t>
            </w:r>
            <w:r w:rsidR="0006432A" w:rsidRPr="003E5C72">
              <w:rPr>
                <w:rFonts w:ascii="Times New Roman" w:hAnsi="Times New Roman" w:cs="Times New Roman"/>
                <w:sz w:val="24"/>
                <w:szCs w:val="24"/>
                <w:u w:val="single"/>
              </w:rPr>
              <w:lastRenderedPageBreak/>
              <w:t>2.1.1.apakšpunktā</w:t>
            </w:r>
            <w:r w:rsidR="0006432A" w:rsidRPr="003E5C72">
              <w:rPr>
                <w:rFonts w:ascii="Times New Roman" w:hAnsi="Times New Roman" w:cs="Times New Roman"/>
                <w:sz w:val="24"/>
                <w:szCs w:val="24"/>
              </w:rPr>
              <w:t xml:space="preserve"> ir noteikts, ka</w:t>
            </w:r>
            <w:r w:rsidR="00532DEA" w:rsidRPr="003E5C72">
              <w:rPr>
                <w:rFonts w:ascii="Times New Roman" w:hAnsi="Times New Roman" w:cs="Times New Roman"/>
                <w:sz w:val="24"/>
                <w:szCs w:val="24"/>
              </w:rPr>
              <w:t>:</w:t>
            </w:r>
          </w:p>
          <w:p w:rsidR="0006432A" w:rsidRPr="003E5C72" w:rsidRDefault="00532DEA" w:rsidP="00532DEA">
            <w:pPr>
              <w:spacing w:after="0" w:line="240" w:lineRule="auto"/>
              <w:ind w:left="422"/>
              <w:jc w:val="both"/>
              <w:rPr>
                <w:rFonts w:ascii="Times New Roman" w:hAnsi="Times New Roman" w:cs="Times New Roman"/>
                <w:sz w:val="24"/>
                <w:szCs w:val="24"/>
              </w:rPr>
            </w:pPr>
            <w:r w:rsidRPr="003E5C72">
              <w:rPr>
                <w:rFonts w:ascii="Times New Roman" w:hAnsi="Times New Roman" w:cs="Times New Roman"/>
                <w:sz w:val="24"/>
                <w:szCs w:val="24"/>
              </w:rPr>
              <w:t xml:space="preserve">- </w:t>
            </w:r>
            <w:r w:rsidR="00050F68" w:rsidRPr="00050F68">
              <w:rPr>
                <w:rFonts w:ascii="Times New Roman" w:hAnsi="Times New Roman"/>
                <w:sz w:val="24"/>
                <w:szCs w:val="24"/>
              </w:rPr>
              <w:t xml:space="preserve">ne mazāk par 400 izglītojamiem, tai skaitā ne mazāk par 90 izglītojamiem profesionālās vidējās izglītības programmās – profesionālās vidējās izglītības iestādē, kurā apgūst izglītības programmas </w:t>
            </w:r>
            <w:r w:rsidR="00050F68" w:rsidRPr="001836C2">
              <w:rPr>
                <w:rFonts w:ascii="Times New Roman" w:hAnsi="Times New Roman"/>
                <w:sz w:val="24"/>
                <w:szCs w:val="24"/>
                <w:u w:val="single"/>
              </w:rPr>
              <w:t>mākslā vai dizainā</w:t>
            </w:r>
            <w:r w:rsidR="0006432A" w:rsidRPr="003E5C72">
              <w:rPr>
                <w:rFonts w:ascii="Times New Roman" w:hAnsi="Times New Roman" w:cs="Times New Roman"/>
                <w:sz w:val="24"/>
                <w:szCs w:val="24"/>
              </w:rPr>
              <w:t>.</w:t>
            </w:r>
          </w:p>
          <w:p w:rsidR="00532DEA" w:rsidRPr="003E5C72" w:rsidRDefault="002E4955" w:rsidP="0006432A">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2.</w:t>
            </w:r>
            <w:r w:rsidR="00AC7894" w:rsidRPr="003E5C72">
              <w:rPr>
                <w:rFonts w:ascii="Times New Roman" w:hAnsi="Times New Roman" w:cs="Times New Roman"/>
                <w:sz w:val="24"/>
                <w:szCs w:val="24"/>
              </w:rPr>
              <w:t xml:space="preserve">2. </w:t>
            </w:r>
            <w:r w:rsidR="0006432A" w:rsidRPr="003E5C72">
              <w:rPr>
                <w:rFonts w:ascii="Times New Roman" w:hAnsi="Times New Roman" w:cs="Times New Roman"/>
                <w:sz w:val="24"/>
                <w:szCs w:val="24"/>
              </w:rPr>
              <w:t xml:space="preserve">ministrijas padotības profesionālajās vidējās izglītības iestādēs, kuras īsteno mūzikas </w:t>
            </w:r>
            <w:r w:rsidR="00AC7894" w:rsidRPr="003E5C72">
              <w:rPr>
                <w:rFonts w:ascii="Times New Roman" w:hAnsi="Times New Roman" w:cs="Times New Roman"/>
                <w:sz w:val="24"/>
                <w:szCs w:val="24"/>
              </w:rPr>
              <w:t>un skatuves mākslas</w:t>
            </w:r>
            <w:r w:rsidR="0006432A" w:rsidRPr="003E5C72">
              <w:rPr>
                <w:rFonts w:ascii="Times New Roman" w:hAnsi="Times New Roman" w:cs="Times New Roman"/>
                <w:sz w:val="24"/>
                <w:szCs w:val="24"/>
              </w:rPr>
              <w:t xml:space="preserve"> profesionālās izglītības programmas, profesionālās ievirzes izglītības programmas apgūst vidēji 300 izglītojamie, </w:t>
            </w:r>
            <w:r w:rsidR="00F064B6">
              <w:rPr>
                <w:rFonts w:ascii="Times New Roman" w:hAnsi="Times New Roman" w:cs="Times New Roman"/>
                <w:sz w:val="24"/>
                <w:szCs w:val="24"/>
              </w:rPr>
              <w:t>kamēr</w:t>
            </w:r>
            <w:r w:rsidR="0006432A" w:rsidRPr="003E5C72">
              <w:rPr>
                <w:rFonts w:ascii="Times New Roman" w:hAnsi="Times New Roman" w:cs="Times New Roman"/>
                <w:sz w:val="24"/>
                <w:szCs w:val="24"/>
              </w:rPr>
              <w:t xml:space="preserve"> profesionālo vidējo izglītību tajās iegū</w:t>
            </w:r>
            <w:r w:rsidR="00AC7894" w:rsidRPr="003E5C72">
              <w:rPr>
                <w:rFonts w:ascii="Times New Roman" w:hAnsi="Times New Roman" w:cs="Times New Roman"/>
                <w:sz w:val="24"/>
                <w:szCs w:val="24"/>
              </w:rPr>
              <w:t xml:space="preserve">st vidēji 60 </w:t>
            </w:r>
            <w:r w:rsidR="004D0BFF" w:rsidRPr="003E5C72">
              <w:rPr>
                <w:rFonts w:ascii="Times New Roman" w:hAnsi="Times New Roman" w:cs="Times New Roman"/>
                <w:sz w:val="24"/>
                <w:szCs w:val="24"/>
              </w:rPr>
              <w:t>–</w:t>
            </w:r>
            <w:r w:rsidR="00AC7894" w:rsidRPr="003E5C72">
              <w:rPr>
                <w:rFonts w:ascii="Times New Roman" w:hAnsi="Times New Roman" w:cs="Times New Roman"/>
                <w:sz w:val="24"/>
                <w:szCs w:val="24"/>
              </w:rPr>
              <w:t xml:space="preserve"> 90 izglītojamie. </w:t>
            </w:r>
            <w:r w:rsidR="0006432A" w:rsidRPr="003E5C72">
              <w:rPr>
                <w:rFonts w:ascii="Times New Roman" w:hAnsi="Times New Roman" w:cs="Times New Roman"/>
                <w:sz w:val="24"/>
                <w:szCs w:val="24"/>
              </w:rPr>
              <w:t xml:space="preserve">Tādējādi </w:t>
            </w:r>
            <w:r w:rsidR="0006432A" w:rsidRPr="003E5C72">
              <w:rPr>
                <w:rFonts w:ascii="Times New Roman" w:hAnsi="Times New Roman" w:cs="Times New Roman"/>
                <w:sz w:val="24"/>
                <w:szCs w:val="24"/>
                <w:u w:val="single"/>
              </w:rPr>
              <w:t>Projekta 2.1.2.apakšpunktā</w:t>
            </w:r>
            <w:r w:rsidR="0006432A" w:rsidRPr="003E5C72">
              <w:rPr>
                <w:rFonts w:ascii="Times New Roman" w:hAnsi="Times New Roman" w:cs="Times New Roman"/>
                <w:sz w:val="24"/>
                <w:szCs w:val="24"/>
              </w:rPr>
              <w:t xml:space="preserve"> ir noteikts, ka</w:t>
            </w:r>
            <w:r w:rsidR="00532DEA" w:rsidRPr="003E5C72">
              <w:rPr>
                <w:rFonts w:ascii="Times New Roman" w:hAnsi="Times New Roman" w:cs="Times New Roman"/>
                <w:sz w:val="24"/>
                <w:szCs w:val="24"/>
              </w:rPr>
              <w:t>:</w:t>
            </w:r>
          </w:p>
          <w:p w:rsidR="0006432A" w:rsidRPr="001836C2" w:rsidRDefault="00532DEA" w:rsidP="00532DEA">
            <w:pPr>
              <w:spacing w:after="0" w:line="240" w:lineRule="auto"/>
              <w:ind w:left="422"/>
              <w:jc w:val="both"/>
              <w:rPr>
                <w:rFonts w:ascii="Times New Roman" w:hAnsi="Times New Roman" w:cs="Times New Roman"/>
                <w:sz w:val="24"/>
                <w:szCs w:val="24"/>
              </w:rPr>
            </w:pPr>
            <w:r w:rsidRPr="003E5C72">
              <w:rPr>
                <w:rFonts w:ascii="Times New Roman" w:hAnsi="Times New Roman" w:cs="Times New Roman"/>
                <w:sz w:val="24"/>
                <w:szCs w:val="24"/>
              </w:rPr>
              <w:t xml:space="preserve">- </w:t>
            </w:r>
            <w:r w:rsidR="001836C2" w:rsidRPr="001836C2">
              <w:rPr>
                <w:rFonts w:ascii="Times New Roman" w:hAnsi="Times New Roman"/>
                <w:sz w:val="24"/>
                <w:szCs w:val="24"/>
              </w:rPr>
              <w:t xml:space="preserve">ne mazāk par 300 izglītojamiem, tai skaitā ne mazāk par 90 izglītojamiem profesionālās vidējās izglītības programmās – profesionālās vidējās izglītības iestādē, kurā apgūst izglītības programmas </w:t>
            </w:r>
            <w:r w:rsidR="001836C2" w:rsidRPr="001836C2">
              <w:rPr>
                <w:rFonts w:ascii="Times New Roman" w:hAnsi="Times New Roman"/>
                <w:sz w:val="24"/>
                <w:szCs w:val="24"/>
                <w:u w:val="single"/>
              </w:rPr>
              <w:t>mūzikā vai dejā</w:t>
            </w:r>
            <w:r w:rsidR="0006432A" w:rsidRPr="001836C2">
              <w:rPr>
                <w:rFonts w:ascii="Times New Roman" w:hAnsi="Times New Roman" w:cs="Times New Roman"/>
                <w:sz w:val="24"/>
                <w:szCs w:val="24"/>
              </w:rPr>
              <w:t>.</w:t>
            </w:r>
          </w:p>
          <w:p w:rsidR="00D90FB9" w:rsidRPr="003E5C72" w:rsidRDefault="00DD0B1D" w:rsidP="0006432A">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2.3.</w:t>
            </w:r>
            <w:r w:rsidR="00B21219" w:rsidRPr="003E5C72">
              <w:rPr>
                <w:rFonts w:ascii="Times New Roman" w:hAnsi="Times New Roman" w:cs="Times New Roman"/>
                <w:sz w:val="24"/>
                <w:szCs w:val="24"/>
              </w:rPr>
              <w:t> </w:t>
            </w:r>
            <w:r w:rsidR="0006432A" w:rsidRPr="003E5C72">
              <w:rPr>
                <w:rFonts w:ascii="Times New Roman" w:hAnsi="Times New Roman" w:cs="Times New Roman"/>
                <w:sz w:val="24"/>
                <w:szCs w:val="24"/>
              </w:rPr>
              <w:t>Vairākas</w:t>
            </w:r>
            <w:r w:rsidRPr="003E5C72">
              <w:rPr>
                <w:rFonts w:ascii="Times New Roman" w:hAnsi="Times New Roman" w:cs="Times New Roman"/>
                <w:sz w:val="24"/>
                <w:szCs w:val="24"/>
              </w:rPr>
              <w:t xml:space="preserve"> ministrijas padotības, pašvaldību dibinātās un privātās</w:t>
            </w:r>
            <w:r w:rsidR="0006432A" w:rsidRPr="003E5C72">
              <w:rPr>
                <w:rFonts w:ascii="Times New Roman" w:hAnsi="Times New Roman" w:cs="Times New Roman"/>
                <w:sz w:val="24"/>
                <w:szCs w:val="24"/>
              </w:rPr>
              <w:t xml:space="preserve"> mākslas un mūzikas nozares profesionālās vidējās izglītības iestādes ir izteikušas vēlmi iegūt </w:t>
            </w:r>
            <w:r w:rsidR="003837B3">
              <w:rPr>
                <w:rFonts w:ascii="Times New Roman" w:hAnsi="Times New Roman" w:cs="Times New Roman"/>
                <w:sz w:val="24"/>
                <w:szCs w:val="24"/>
              </w:rPr>
              <w:t>PIKC</w:t>
            </w:r>
            <w:r w:rsidR="0006432A" w:rsidRPr="003E5C72">
              <w:rPr>
                <w:rFonts w:ascii="Times New Roman" w:hAnsi="Times New Roman" w:cs="Times New Roman"/>
                <w:sz w:val="24"/>
                <w:szCs w:val="24"/>
              </w:rPr>
              <w:t xml:space="preserve"> statusu, </w:t>
            </w:r>
            <w:r w:rsidR="00663C3F" w:rsidRPr="003E5C72">
              <w:rPr>
                <w:rFonts w:ascii="Times New Roman" w:hAnsi="Times New Roman" w:cs="Times New Roman"/>
                <w:sz w:val="24"/>
                <w:szCs w:val="24"/>
              </w:rPr>
              <w:t>jo</w:t>
            </w:r>
            <w:r w:rsidR="0006432A" w:rsidRPr="003E5C72">
              <w:rPr>
                <w:rFonts w:ascii="Times New Roman" w:hAnsi="Times New Roman" w:cs="Times New Roman"/>
                <w:sz w:val="24"/>
                <w:szCs w:val="24"/>
              </w:rPr>
              <w:t xml:space="preserve"> katra </w:t>
            </w:r>
            <w:r w:rsidR="00F623E5" w:rsidRPr="003E5C72">
              <w:rPr>
                <w:rFonts w:ascii="Times New Roman" w:hAnsi="Times New Roman" w:cs="Times New Roman"/>
                <w:sz w:val="24"/>
                <w:szCs w:val="24"/>
              </w:rPr>
              <w:t>atsevišķi kā izglītības iestāde</w:t>
            </w:r>
            <w:r w:rsidR="0006432A" w:rsidRPr="003E5C72">
              <w:rPr>
                <w:rFonts w:ascii="Times New Roman" w:hAnsi="Times New Roman" w:cs="Times New Roman"/>
                <w:sz w:val="24"/>
                <w:szCs w:val="24"/>
              </w:rPr>
              <w:t xml:space="preserve"> tā nevar nodrošināt MK Noteikumos Nr.144 noteiktos izglītojamo skaita kritērijus, tādēļ tās apvienošanās rezultātā vēlas izveidot starpnozaru profesionālās</w:t>
            </w:r>
            <w:r w:rsidR="002E1BBC" w:rsidRPr="003E5C72">
              <w:rPr>
                <w:rFonts w:ascii="Times New Roman" w:hAnsi="Times New Roman" w:cs="Times New Roman"/>
                <w:sz w:val="24"/>
                <w:szCs w:val="24"/>
              </w:rPr>
              <w:t xml:space="preserve"> izglītības kompetences centru.</w:t>
            </w:r>
            <w:r w:rsidR="00546531">
              <w:rPr>
                <w:rFonts w:ascii="Times New Roman" w:hAnsi="Times New Roman" w:cs="Times New Roman"/>
                <w:sz w:val="24"/>
                <w:szCs w:val="24"/>
              </w:rPr>
              <w:t xml:space="preserve"> </w:t>
            </w:r>
            <w:r w:rsidR="0006432A" w:rsidRPr="003E5C72">
              <w:rPr>
                <w:rFonts w:ascii="Times New Roman" w:hAnsi="Times New Roman" w:cs="Times New Roman"/>
                <w:sz w:val="24"/>
                <w:szCs w:val="24"/>
              </w:rPr>
              <w:t xml:space="preserve">Tādējādi </w:t>
            </w:r>
            <w:r w:rsidR="0006432A" w:rsidRPr="003E5C72">
              <w:rPr>
                <w:rFonts w:ascii="Times New Roman" w:hAnsi="Times New Roman" w:cs="Times New Roman"/>
                <w:sz w:val="24"/>
                <w:szCs w:val="24"/>
                <w:u w:val="single"/>
              </w:rPr>
              <w:t>Projekta 2.1.3.apakšpunktā</w:t>
            </w:r>
            <w:r w:rsidR="0006432A" w:rsidRPr="003E5C72">
              <w:rPr>
                <w:rFonts w:ascii="Times New Roman" w:hAnsi="Times New Roman" w:cs="Times New Roman"/>
                <w:sz w:val="24"/>
                <w:szCs w:val="24"/>
              </w:rPr>
              <w:t xml:space="preserve"> ir noteikts, ka</w:t>
            </w:r>
            <w:r w:rsidR="00D90FB9" w:rsidRPr="003E5C72">
              <w:rPr>
                <w:rFonts w:ascii="Times New Roman" w:hAnsi="Times New Roman" w:cs="Times New Roman"/>
                <w:sz w:val="24"/>
                <w:szCs w:val="24"/>
              </w:rPr>
              <w:t>:</w:t>
            </w:r>
          </w:p>
          <w:p w:rsidR="0006432A" w:rsidRPr="001836C2" w:rsidRDefault="00D90FB9" w:rsidP="00D90FB9">
            <w:pPr>
              <w:spacing w:after="0" w:line="240" w:lineRule="auto"/>
              <w:ind w:left="422"/>
              <w:jc w:val="both"/>
              <w:rPr>
                <w:rFonts w:ascii="Times New Roman" w:hAnsi="Times New Roman" w:cs="Times New Roman"/>
                <w:sz w:val="24"/>
                <w:szCs w:val="24"/>
              </w:rPr>
            </w:pPr>
            <w:r w:rsidRPr="003E5C72">
              <w:rPr>
                <w:rFonts w:ascii="Times New Roman" w:hAnsi="Times New Roman" w:cs="Times New Roman"/>
                <w:sz w:val="24"/>
                <w:szCs w:val="24"/>
              </w:rPr>
              <w:t xml:space="preserve">- </w:t>
            </w:r>
            <w:r w:rsidR="001836C2" w:rsidRPr="001836C2">
              <w:rPr>
                <w:rFonts w:ascii="Times New Roman" w:hAnsi="Times New Roman"/>
                <w:sz w:val="24"/>
                <w:szCs w:val="24"/>
              </w:rPr>
              <w:t xml:space="preserve">ne mazāk par 500 izglītojamiem, tai skaitā ne mazāk par 190 izglītojamiem profesionālās vidējās izglītības programmās – profesionālās vidējās izglītības iestādē, kurā apgūst izglītības programmas </w:t>
            </w:r>
            <w:r w:rsidR="001836C2" w:rsidRPr="001836C2">
              <w:rPr>
                <w:rFonts w:ascii="Times New Roman" w:hAnsi="Times New Roman"/>
                <w:sz w:val="24"/>
                <w:szCs w:val="24"/>
                <w:u w:val="single"/>
              </w:rPr>
              <w:t>divās vai vairākās nozarēs (mākslā, dizainā, mūzikā vai dejā)</w:t>
            </w:r>
            <w:r w:rsidR="0006432A" w:rsidRPr="001836C2">
              <w:rPr>
                <w:rFonts w:ascii="Times New Roman" w:hAnsi="Times New Roman" w:cs="Times New Roman"/>
                <w:sz w:val="24"/>
                <w:szCs w:val="24"/>
                <w:u w:val="single"/>
              </w:rPr>
              <w:t>.</w:t>
            </w:r>
          </w:p>
          <w:p w:rsidR="0006432A" w:rsidRPr="003E5C72" w:rsidRDefault="0006432A" w:rsidP="0006432A">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Iekļaujot Projektā profesionālās izglītības kompetences centra statusa iegūšanai noteiktos kvantitatīvos kritērijus izglītojamo skaita noteikšanai, tiek nodrošināts, ka</w:t>
            </w:r>
            <w:r w:rsidR="00144DE8" w:rsidRPr="003E5C72">
              <w:rPr>
                <w:rFonts w:ascii="Times New Roman" w:hAnsi="Times New Roman" w:cs="Times New Roman"/>
                <w:sz w:val="24"/>
                <w:szCs w:val="24"/>
              </w:rPr>
              <w:t>,</w:t>
            </w:r>
            <w:r w:rsidRPr="003E5C72">
              <w:rPr>
                <w:rFonts w:ascii="Times New Roman" w:hAnsi="Times New Roman" w:cs="Times New Roman"/>
                <w:sz w:val="24"/>
                <w:szCs w:val="24"/>
              </w:rPr>
              <w:t xml:space="preserve"> mākslīgi nepalielinot izglītojamo skaitu un saglabājot kultūrizglītības nozarē esošo profesionālo vidēj</w:t>
            </w:r>
            <w:r w:rsidR="00144DE8" w:rsidRPr="003E5C72">
              <w:rPr>
                <w:rFonts w:ascii="Times New Roman" w:hAnsi="Times New Roman" w:cs="Times New Roman"/>
                <w:sz w:val="24"/>
                <w:szCs w:val="24"/>
              </w:rPr>
              <w:t>ās</w:t>
            </w:r>
            <w:r w:rsidRPr="003E5C72">
              <w:rPr>
                <w:rFonts w:ascii="Times New Roman" w:hAnsi="Times New Roman" w:cs="Times New Roman"/>
                <w:sz w:val="24"/>
                <w:szCs w:val="24"/>
              </w:rPr>
              <w:t xml:space="preserve"> izglītības programmu piedāvājuma klāstu un profesionālās izglītības kvalitāti, profesionālās vidējās izglītības iestādes, kuras īsteno mākslas</w:t>
            </w:r>
            <w:r w:rsidR="00042764">
              <w:rPr>
                <w:rFonts w:ascii="Times New Roman" w:hAnsi="Times New Roman" w:cs="Times New Roman"/>
                <w:sz w:val="24"/>
                <w:szCs w:val="24"/>
              </w:rPr>
              <w:t>,</w:t>
            </w:r>
            <w:r w:rsidRPr="003E5C72">
              <w:rPr>
                <w:rFonts w:ascii="Times New Roman" w:hAnsi="Times New Roman" w:cs="Times New Roman"/>
                <w:sz w:val="24"/>
                <w:szCs w:val="24"/>
              </w:rPr>
              <w:t xml:space="preserve"> mūzikas </w:t>
            </w:r>
            <w:r w:rsidR="00042764">
              <w:rPr>
                <w:rFonts w:ascii="Times New Roman" w:hAnsi="Times New Roman" w:cs="Times New Roman"/>
                <w:sz w:val="24"/>
                <w:szCs w:val="24"/>
              </w:rPr>
              <w:t xml:space="preserve">vai dejas </w:t>
            </w:r>
            <w:r w:rsidRPr="003E5C72">
              <w:rPr>
                <w:rFonts w:ascii="Times New Roman" w:hAnsi="Times New Roman" w:cs="Times New Roman"/>
                <w:sz w:val="24"/>
                <w:szCs w:val="24"/>
              </w:rPr>
              <w:t xml:space="preserve">profesionālās izglītības programmas, varēs pretendēt </w:t>
            </w:r>
            <w:r w:rsidR="007C14B2" w:rsidRPr="003E5C72">
              <w:rPr>
                <w:rFonts w:ascii="Times New Roman" w:hAnsi="Times New Roman" w:cs="Times New Roman"/>
                <w:sz w:val="24"/>
                <w:szCs w:val="24"/>
              </w:rPr>
              <w:t xml:space="preserve">uz </w:t>
            </w:r>
            <w:r w:rsidR="003837B3">
              <w:rPr>
                <w:rFonts w:ascii="Times New Roman" w:hAnsi="Times New Roman" w:cs="Times New Roman"/>
                <w:sz w:val="24"/>
                <w:szCs w:val="24"/>
              </w:rPr>
              <w:t>PIKC</w:t>
            </w:r>
            <w:r w:rsidRPr="003E5C72">
              <w:rPr>
                <w:rFonts w:ascii="Times New Roman" w:hAnsi="Times New Roman" w:cs="Times New Roman"/>
                <w:sz w:val="24"/>
                <w:szCs w:val="24"/>
              </w:rPr>
              <w:t xml:space="preserve"> statusa iegūšan</w:t>
            </w:r>
            <w:r w:rsidR="007C14B2" w:rsidRPr="003E5C72">
              <w:rPr>
                <w:rFonts w:ascii="Times New Roman" w:hAnsi="Times New Roman" w:cs="Times New Roman"/>
                <w:sz w:val="24"/>
                <w:szCs w:val="24"/>
              </w:rPr>
              <w:t>u</w:t>
            </w:r>
            <w:r w:rsidRPr="003E5C72">
              <w:rPr>
                <w:rFonts w:ascii="Times New Roman" w:hAnsi="Times New Roman" w:cs="Times New Roman"/>
                <w:sz w:val="24"/>
                <w:szCs w:val="24"/>
              </w:rPr>
              <w:t>.</w:t>
            </w:r>
          </w:p>
          <w:p w:rsidR="004673B5" w:rsidRPr="003E5C72" w:rsidRDefault="007C14B2" w:rsidP="0006432A">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3. </w:t>
            </w:r>
            <w:r w:rsidR="0006432A" w:rsidRPr="003E5C72">
              <w:rPr>
                <w:rFonts w:ascii="Times New Roman" w:hAnsi="Times New Roman" w:cs="Times New Roman"/>
                <w:sz w:val="24"/>
                <w:szCs w:val="24"/>
              </w:rPr>
              <w:t xml:space="preserve">Atbilstoši ministrijas </w:t>
            </w:r>
            <w:r w:rsidR="008A193B" w:rsidRPr="003E5C72">
              <w:rPr>
                <w:rFonts w:ascii="Times New Roman" w:hAnsi="Times New Roman" w:cs="Times New Roman"/>
                <w:sz w:val="24"/>
                <w:szCs w:val="24"/>
              </w:rPr>
              <w:t xml:space="preserve">rīcībā esošai valsts </w:t>
            </w:r>
            <w:r w:rsidR="0006432A" w:rsidRPr="003E5C72">
              <w:rPr>
                <w:rFonts w:ascii="Times New Roman" w:hAnsi="Times New Roman" w:cs="Times New Roman"/>
                <w:sz w:val="24"/>
                <w:szCs w:val="24"/>
              </w:rPr>
              <w:t>statistikas informācijai valsts un centralizēto eksāmenu rezultāti mūzikas un mākslas profesionāl</w:t>
            </w:r>
            <w:r w:rsidR="008A193B" w:rsidRPr="003E5C72">
              <w:rPr>
                <w:rFonts w:ascii="Times New Roman" w:hAnsi="Times New Roman" w:cs="Times New Roman"/>
                <w:sz w:val="24"/>
                <w:szCs w:val="24"/>
              </w:rPr>
              <w:t>aj</w:t>
            </w:r>
            <w:r w:rsidR="0006432A" w:rsidRPr="003E5C72">
              <w:rPr>
                <w:rFonts w:ascii="Times New Roman" w:hAnsi="Times New Roman" w:cs="Times New Roman"/>
                <w:sz w:val="24"/>
                <w:szCs w:val="24"/>
              </w:rPr>
              <w:t xml:space="preserve">ās vidējās izglītības iestādēs ir vieni no augstākajiem vidēji valstī un arī kopumā pārsniedz vidējos rādītājus starp </w:t>
            </w:r>
            <w:r w:rsidR="008A193B" w:rsidRPr="003E5C72">
              <w:rPr>
                <w:rFonts w:ascii="Times New Roman" w:hAnsi="Times New Roman" w:cs="Times New Roman"/>
                <w:sz w:val="24"/>
                <w:szCs w:val="24"/>
              </w:rPr>
              <w:t xml:space="preserve">valsts </w:t>
            </w:r>
            <w:r w:rsidR="0006432A" w:rsidRPr="003E5C72">
              <w:rPr>
                <w:rFonts w:ascii="Times New Roman" w:hAnsi="Times New Roman" w:cs="Times New Roman"/>
                <w:sz w:val="24"/>
                <w:szCs w:val="24"/>
              </w:rPr>
              <w:t>profesionālās vidējās izglītības iestādēm</w:t>
            </w:r>
            <w:r w:rsidR="00747D3F">
              <w:rPr>
                <w:rFonts w:ascii="Times New Roman" w:hAnsi="Times New Roman" w:cs="Times New Roman"/>
                <w:sz w:val="24"/>
                <w:szCs w:val="24"/>
              </w:rPr>
              <w:t xml:space="preserve">, tādējādi apliecinot </w:t>
            </w:r>
            <w:r w:rsidR="00C117A5">
              <w:rPr>
                <w:rFonts w:ascii="Times New Roman" w:hAnsi="Times New Roman" w:cs="Times New Roman"/>
                <w:sz w:val="24"/>
                <w:szCs w:val="24"/>
              </w:rPr>
              <w:t>šajās izglītības iestādēs iegūtā</w:t>
            </w:r>
            <w:r w:rsidR="00747D3F">
              <w:rPr>
                <w:rFonts w:ascii="Times New Roman" w:hAnsi="Times New Roman" w:cs="Times New Roman"/>
                <w:sz w:val="24"/>
                <w:szCs w:val="24"/>
              </w:rPr>
              <w:t xml:space="preserve">s izglītības </w:t>
            </w:r>
            <w:r w:rsidR="00747D3F">
              <w:rPr>
                <w:rFonts w:ascii="Times New Roman" w:hAnsi="Times New Roman" w:cs="Times New Roman"/>
                <w:sz w:val="24"/>
                <w:szCs w:val="24"/>
              </w:rPr>
              <w:lastRenderedPageBreak/>
              <w:t>kvalitāti</w:t>
            </w:r>
            <w:r w:rsidR="0006432A" w:rsidRPr="003E5C72">
              <w:rPr>
                <w:rFonts w:ascii="Times New Roman" w:hAnsi="Times New Roman" w:cs="Times New Roman"/>
                <w:sz w:val="24"/>
                <w:szCs w:val="24"/>
              </w:rPr>
              <w:t>. Valsts un centralizēto eksāmenu kopvērtējumā 2014.gadā vidējais</w:t>
            </w:r>
            <w:r w:rsidR="008A193B" w:rsidRPr="003E5C72">
              <w:rPr>
                <w:rFonts w:ascii="Times New Roman" w:hAnsi="Times New Roman" w:cs="Times New Roman"/>
                <w:sz w:val="24"/>
                <w:szCs w:val="24"/>
              </w:rPr>
              <w:t xml:space="preserve"> centralizēto eksāmenu vērtējuma</w:t>
            </w:r>
            <w:r w:rsidR="0006432A" w:rsidRPr="003E5C72">
              <w:rPr>
                <w:rFonts w:ascii="Times New Roman" w:hAnsi="Times New Roman" w:cs="Times New Roman"/>
                <w:sz w:val="24"/>
                <w:szCs w:val="24"/>
              </w:rPr>
              <w:t xml:space="preserve"> rezultāts Jaņa Rozent</w:t>
            </w:r>
            <w:r w:rsidR="00074F56" w:rsidRPr="003E5C72">
              <w:rPr>
                <w:rFonts w:ascii="Times New Roman" w:hAnsi="Times New Roman" w:cs="Times New Roman"/>
                <w:sz w:val="24"/>
                <w:szCs w:val="24"/>
              </w:rPr>
              <w:t xml:space="preserve">āla Mākslas vidusskolā </w:t>
            </w:r>
            <w:r w:rsidR="00747D3F">
              <w:rPr>
                <w:rFonts w:ascii="Times New Roman" w:hAnsi="Times New Roman" w:cs="Times New Roman"/>
                <w:sz w:val="24"/>
                <w:szCs w:val="24"/>
              </w:rPr>
              <w:t>bija</w:t>
            </w:r>
            <w:r w:rsidR="00074F56" w:rsidRPr="003E5C72">
              <w:rPr>
                <w:rFonts w:ascii="Times New Roman" w:hAnsi="Times New Roman" w:cs="Times New Roman"/>
                <w:sz w:val="24"/>
                <w:szCs w:val="24"/>
              </w:rPr>
              <w:t xml:space="preserve"> 70,31%,</w:t>
            </w:r>
            <w:r w:rsidR="0006432A" w:rsidRPr="003E5C72">
              <w:rPr>
                <w:rFonts w:ascii="Times New Roman" w:hAnsi="Times New Roman" w:cs="Times New Roman"/>
                <w:sz w:val="24"/>
                <w:szCs w:val="24"/>
              </w:rPr>
              <w:t xml:space="preserve"> Rīgas Doma kora skolā </w:t>
            </w:r>
            <w:r w:rsidR="00620EDF" w:rsidRPr="003E5C72">
              <w:rPr>
                <w:rFonts w:ascii="Times New Roman" w:hAnsi="Times New Roman" w:cs="Times New Roman"/>
                <w:sz w:val="24"/>
                <w:szCs w:val="24"/>
              </w:rPr>
              <w:t>–</w:t>
            </w:r>
            <w:r w:rsidR="00747D3F">
              <w:rPr>
                <w:rFonts w:ascii="Times New Roman" w:hAnsi="Times New Roman" w:cs="Times New Roman"/>
                <w:sz w:val="24"/>
                <w:szCs w:val="24"/>
              </w:rPr>
              <w:t xml:space="preserve"> 67,55%, bet pā</w:t>
            </w:r>
            <w:r w:rsidR="0006432A" w:rsidRPr="003E5C72">
              <w:rPr>
                <w:rFonts w:ascii="Times New Roman" w:hAnsi="Times New Roman" w:cs="Times New Roman"/>
                <w:sz w:val="24"/>
                <w:szCs w:val="24"/>
              </w:rPr>
              <w:t>rējās ministrijas padotības profesionāl</w:t>
            </w:r>
            <w:r w:rsidR="008A193B" w:rsidRPr="003E5C72">
              <w:rPr>
                <w:rFonts w:ascii="Times New Roman" w:hAnsi="Times New Roman" w:cs="Times New Roman"/>
                <w:sz w:val="24"/>
                <w:szCs w:val="24"/>
              </w:rPr>
              <w:t>aj</w:t>
            </w:r>
            <w:r w:rsidR="0006432A" w:rsidRPr="003E5C72">
              <w:rPr>
                <w:rFonts w:ascii="Times New Roman" w:hAnsi="Times New Roman" w:cs="Times New Roman"/>
                <w:sz w:val="24"/>
                <w:szCs w:val="24"/>
              </w:rPr>
              <w:t xml:space="preserve">ās vidējās izglītības iestādēs vidējie </w:t>
            </w:r>
            <w:r w:rsidR="008A193B" w:rsidRPr="003E5C72">
              <w:rPr>
                <w:rFonts w:ascii="Times New Roman" w:hAnsi="Times New Roman" w:cs="Times New Roman"/>
                <w:sz w:val="24"/>
                <w:szCs w:val="24"/>
              </w:rPr>
              <w:t xml:space="preserve">centralizēto </w:t>
            </w:r>
            <w:r w:rsidR="002F761B" w:rsidRPr="003E5C72">
              <w:rPr>
                <w:rFonts w:ascii="Times New Roman" w:hAnsi="Times New Roman" w:cs="Times New Roman"/>
                <w:sz w:val="24"/>
                <w:szCs w:val="24"/>
              </w:rPr>
              <w:t xml:space="preserve">eksāmenu </w:t>
            </w:r>
            <w:r w:rsidR="008A193B" w:rsidRPr="003E5C72">
              <w:rPr>
                <w:rFonts w:ascii="Times New Roman" w:hAnsi="Times New Roman" w:cs="Times New Roman"/>
                <w:sz w:val="24"/>
                <w:szCs w:val="24"/>
              </w:rPr>
              <w:t xml:space="preserve">vērtējuma </w:t>
            </w:r>
            <w:r w:rsidR="002F761B" w:rsidRPr="003E5C72">
              <w:rPr>
                <w:rFonts w:ascii="Times New Roman" w:hAnsi="Times New Roman" w:cs="Times New Roman"/>
                <w:sz w:val="24"/>
                <w:szCs w:val="24"/>
              </w:rPr>
              <w:t>rezultāti ir virs 50%.</w:t>
            </w:r>
            <w:r w:rsidR="008A193B" w:rsidRPr="003E5C72">
              <w:rPr>
                <w:rFonts w:ascii="Times New Roman" w:hAnsi="Times New Roman" w:cs="Times New Roman"/>
                <w:sz w:val="24"/>
                <w:szCs w:val="24"/>
              </w:rPr>
              <w:t xml:space="preserve">Kultūrizglītības profesionālās vidējās izglītības nozarē būtiski </w:t>
            </w:r>
            <w:r w:rsidR="0006432A" w:rsidRPr="003E5C72">
              <w:rPr>
                <w:rFonts w:ascii="Times New Roman" w:hAnsi="Times New Roman" w:cs="Times New Roman"/>
                <w:sz w:val="24"/>
                <w:szCs w:val="24"/>
              </w:rPr>
              <w:t xml:space="preserve">ir arī profesionālās kvalifikācijas eksāmeni, jo to rezultātā mākslas un mūzikas profesionālās vidējās izglītības iestādes izglītojamie iegūst trešā līmeņa profesionālo kvalifikāciju, kas apliecina viņu profesionālās spējas un prasmes. </w:t>
            </w:r>
            <w:r w:rsidR="00903D27">
              <w:rPr>
                <w:rFonts w:ascii="Times New Roman" w:hAnsi="Times New Roman" w:cs="Times New Roman"/>
                <w:sz w:val="24"/>
                <w:szCs w:val="24"/>
              </w:rPr>
              <w:t>M</w:t>
            </w:r>
            <w:r w:rsidR="0006432A" w:rsidRPr="003E5C72">
              <w:rPr>
                <w:rFonts w:ascii="Times New Roman" w:hAnsi="Times New Roman" w:cs="Times New Roman"/>
                <w:sz w:val="24"/>
                <w:szCs w:val="24"/>
              </w:rPr>
              <w:t xml:space="preserve">inistrijas padotības profesionālās vidējās izglītības iestādēs profesionālās kvalifikācijas eksāmenu vidējie rādītāji 2012./2013.mācību gadā – mūzikas profesionālās vidējas izglītības programmās </w:t>
            </w:r>
            <w:r w:rsidR="00620EDF" w:rsidRPr="003E5C72">
              <w:rPr>
                <w:rFonts w:ascii="Times New Roman" w:hAnsi="Times New Roman" w:cs="Times New Roman"/>
                <w:sz w:val="24"/>
                <w:szCs w:val="24"/>
              </w:rPr>
              <w:t>–</w:t>
            </w:r>
            <w:r w:rsidR="0006432A" w:rsidRPr="003E5C72">
              <w:rPr>
                <w:rFonts w:ascii="Times New Roman" w:hAnsi="Times New Roman" w:cs="Times New Roman"/>
                <w:sz w:val="24"/>
                <w:szCs w:val="24"/>
              </w:rPr>
              <w:t xml:space="preserve"> 8,2 balles, mākslas profesionālās vidējas izglītības programmās –8,6 balles, skatuves mākslas profesionālās vidējas izglītības programmās – </w:t>
            </w:r>
            <w:r w:rsidR="004673B5" w:rsidRPr="003E5C72">
              <w:rPr>
                <w:rFonts w:ascii="Times New Roman" w:hAnsi="Times New Roman" w:cs="Times New Roman"/>
                <w:sz w:val="24"/>
                <w:szCs w:val="24"/>
              </w:rPr>
              <w:t>8</w:t>
            </w:r>
            <w:r w:rsidR="0006432A" w:rsidRPr="003E5C72">
              <w:rPr>
                <w:rFonts w:ascii="Times New Roman" w:hAnsi="Times New Roman" w:cs="Times New Roman"/>
                <w:sz w:val="24"/>
                <w:szCs w:val="24"/>
              </w:rPr>
              <w:t>,4 balles, bet 2013./2014.mācību gadā mūzikas profesionālās vidējas izglītības programmās – 8,08 balles, mākslas profesionālās vidējas izglītības programmās –8,6 balles, skatuves mākslas profesionālās vidējas izglītības programmās – 8,4 balles.</w:t>
            </w:r>
          </w:p>
          <w:p w:rsidR="009526DA" w:rsidRPr="003E5C72" w:rsidRDefault="004673B5" w:rsidP="0006432A">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Ievērojot ministrijas padotības iestādes izglītojamo </w:t>
            </w:r>
            <w:r w:rsidRPr="003E5C72">
              <w:rPr>
                <w:rFonts w:ascii="Times New Roman" w:hAnsi="Times New Roman" w:cs="Times New Roman"/>
                <w:sz w:val="24"/>
                <w:szCs w:val="24"/>
                <w:u w:val="single"/>
              </w:rPr>
              <w:t>mācību sasniegumu vērtējumu</w:t>
            </w:r>
            <w:r w:rsidRPr="003E5C72">
              <w:rPr>
                <w:rFonts w:ascii="Times New Roman" w:hAnsi="Times New Roman" w:cs="Times New Roman"/>
                <w:sz w:val="24"/>
                <w:szCs w:val="24"/>
              </w:rPr>
              <w:t xml:space="preserve"> rezultātus,</w:t>
            </w:r>
            <w:r w:rsidR="00546531">
              <w:rPr>
                <w:rFonts w:ascii="Times New Roman" w:hAnsi="Times New Roman" w:cs="Times New Roman"/>
                <w:sz w:val="24"/>
                <w:szCs w:val="24"/>
              </w:rPr>
              <w:t xml:space="preserve"> </w:t>
            </w:r>
            <w:r w:rsidR="0006432A" w:rsidRPr="003E5C72">
              <w:rPr>
                <w:rFonts w:ascii="Times New Roman" w:hAnsi="Times New Roman" w:cs="Times New Roman"/>
                <w:sz w:val="24"/>
                <w:szCs w:val="24"/>
                <w:u w:val="single"/>
              </w:rPr>
              <w:t>Projekta 2.2.1. un 2.2.2.apakšpunkts</w:t>
            </w:r>
            <w:r w:rsidR="00212B81" w:rsidRPr="003E5C72">
              <w:rPr>
                <w:rFonts w:ascii="Times New Roman" w:hAnsi="Times New Roman" w:cs="Times New Roman"/>
                <w:sz w:val="24"/>
                <w:szCs w:val="24"/>
              </w:rPr>
              <w:t xml:space="preserve"> nosaka </w:t>
            </w:r>
            <w:r w:rsidR="0006432A" w:rsidRPr="003E5C72">
              <w:rPr>
                <w:rFonts w:ascii="Times New Roman" w:hAnsi="Times New Roman" w:cs="Times New Roman"/>
                <w:sz w:val="24"/>
                <w:szCs w:val="24"/>
              </w:rPr>
              <w:t xml:space="preserve">prasības </w:t>
            </w:r>
            <w:r w:rsidR="000C6D77">
              <w:rPr>
                <w:rFonts w:ascii="Times New Roman" w:hAnsi="Times New Roman" w:cs="Times New Roman"/>
                <w:sz w:val="24"/>
                <w:szCs w:val="24"/>
              </w:rPr>
              <w:t>PIKC</w:t>
            </w:r>
            <w:r w:rsidR="0006432A" w:rsidRPr="003E5C72">
              <w:rPr>
                <w:rFonts w:ascii="Times New Roman" w:hAnsi="Times New Roman" w:cs="Times New Roman"/>
                <w:sz w:val="24"/>
                <w:szCs w:val="24"/>
              </w:rPr>
              <w:t xml:space="preserve"> statusa iegūšanai attiecībā uz profesionālās izglītības iestādes izglītojamo mācību sasniegumu</w:t>
            </w:r>
            <w:r w:rsidR="00212B81" w:rsidRPr="003E5C72">
              <w:rPr>
                <w:rFonts w:ascii="Times New Roman" w:hAnsi="Times New Roman" w:cs="Times New Roman"/>
                <w:sz w:val="24"/>
                <w:szCs w:val="24"/>
              </w:rPr>
              <w:t xml:space="preserve"> vērtējuma</w:t>
            </w:r>
            <w:r w:rsidR="0006432A" w:rsidRPr="003E5C72">
              <w:rPr>
                <w:rFonts w:ascii="Times New Roman" w:hAnsi="Times New Roman" w:cs="Times New Roman"/>
                <w:sz w:val="24"/>
                <w:szCs w:val="24"/>
              </w:rPr>
              <w:t xml:space="preserve"> rezultātu rādītājiem, kā kritēriju nosakot</w:t>
            </w:r>
            <w:r w:rsidR="009526DA" w:rsidRPr="003E5C72">
              <w:rPr>
                <w:rFonts w:ascii="Times New Roman" w:hAnsi="Times New Roman" w:cs="Times New Roman"/>
                <w:sz w:val="24"/>
                <w:szCs w:val="24"/>
              </w:rPr>
              <w:t>:</w:t>
            </w:r>
          </w:p>
          <w:p w:rsidR="0006432A" w:rsidRPr="003E5C72" w:rsidRDefault="0006432A" w:rsidP="009526DA">
            <w:pPr>
              <w:pStyle w:val="Sarakstarindkopa"/>
              <w:numPr>
                <w:ilvl w:val="0"/>
                <w:numId w:val="6"/>
              </w:num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 izglītības iestādes pēdējo divu mācību gada laikā izglītojamo mācību sasniegumu vērtējumu profesionālās kvalifikācijas eksāmenos – ne mazāk kā 70% izglītojamiem vērtējums nav bijis zemāks par septiņām ballēm un centralizēto eksāmenu rezultātu kopvērtējumu nav bijis zemāks par 50 procentiem centralizēto eksāmenu vērtējumā.</w:t>
            </w:r>
          </w:p>
          <w:p w:rsidR="008F2C7D" w:rsidRPr="008F2C7D" w:rsidRDefault="00FE5D63" w:rsidP="00E901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371FC" w:rsidRPr="003E5C72">
              <w:rPr>
                <w:rFonts w:ascii="Times New Roman" w:hAnsi="Times New Roman" w:cs="Times New Roman"/>
                <w:sz w:val="24"/>
                <w:szCs w:val="24"/>
              </w:rPr>
              <w:t xml:space="preserve">. </w:t>
            </w:r>
            <w:r w:rsidR="0006432A" w:rsidRPr="008F2C7D">
              <w:rPr>
                <w:rFonts w:ascii="Times New Roman" w:hAnsi="Times New Roman" w:cs="Times New Roman"/>
                <w:sz w:val="24"/>
                <w:szCs w:val="24"/>
              </w:rPr>
              <w:t xml:space="preserve">Profesionālās vidējās izglītības iestādes, kuras īsteno mākslas un mūzikas profesionālās vidējās izglītības programmas, un to veidoto </w:t>
            </w:r>
            <w:r w:rsidR="00317829" w:rsidRPr="008F2C7D">
              <w:rPr>
                <w:rFonts w:ascii="Times New Roman" w:hAnsi="Times New Roman" w:cs="Times New Roman"/>
                <w:sz w:val="24"/>
                <w:szCs w:val="24"/>
              </w:rPr>
              <w:t>PIKC</w:t>
            </w:r>
            <w:r w:rsidR="0006432A" w:rsidRPr="008F2C7D">
              <w:rPr>
                <w:rFonts w:ascii="Times New Roman" w:hAnsi="Times New Roman" w:cs="Times New Roman"/>
                <w:sz w:val="24"/>
                <w:szCs w:val="24"/>
              </w:rPr>
              <w:t xml:space="preserve"> uzdevums ir veidot un attīstīt izglītojamo mākslinieciskus talantus, sekmēt viņu radošo izaugsmi un saikni ar nākotnes darba tirgu. Būtisks kritērijs </w:t>
            </w:r>
            <w:r w:rsidR="00317829" w:rsidRPr="008F2C7D">
              <w:rPr>
                <w:rFonts w:ascii="Times New Roman" w:hAnsi="Times New Roman" w:cs="Times New Roman"/>
                <w:sz w:val="24"/>
                <w:szCs w:val="24"/>
              </w:rPr>
              <w:t>PIKC</w:t>
            </w:r>
            <w:r w:rsidR="0006432A" w:rsidRPr="008F2C7D">
              <w:rPr>
                <w:rFonts w:ascii="Times New Roman" w:hAnsi="Times New Roman" w:cs="Times New Roman"/>
                <w:sz w:val="24"/>
                <w:szCs w:val="24"/>
              </w:rPr>
              <w:t xml:space="preserve"> statusa iegūšanai ir izglītības iestādes izglītības procesa </w:t>
            </w:r>
            <w:r w:rsidR="00C117A5" w:rsidRPr="008F2C7D">
              <w:rPr>
                <w:rFonts w:ascii="Times New Roman" w:hAnsi="Times New Roman" w:cs="Times New Roman"/>
                <w:sz w:val="24"/>
                <w:szCs w:val="24"/>
              </w:rPr>
              <w:t xml:space="preserve">kvalitātes </w:t>
            </w:r>
            <w:r w:rsidR="0006432A" w:rsidRPr="008F2C7D">
              <w:rPr>
                <w:rFonts w:ascii="Times New Roman" w:hAnsi="Times New Roman" w:cs="Times New Roman"/>
                <w:sz w:val="24"/>
                <w:szCs w:val="24"/>
              </w:rPr>
              <w:t xml:space="preserve">nodrošināšana un izglītojamo mācību sasniegumu rezultātu vidējie rādītāji pēdējo divu mācību gadu laikā. </w:t>
            </w:r>
            <w:r w:rsidR="000319B7">
              <w:rPr>
                <w:rFonts w:ascii="Times New Roman" w:hAnsi="Times New Roman" w:cs="Times New Roman"/>
                <w:sz w:val="24"/>
                <w:szCs w:val="24"/>
              </w:rPr>
              <w:t xml:space="preserve">Tāpēc ir būtiski strādāt ar katru audzēkni individuāli un mazināt no izglītības iestādes atskaitīto izglītojamo skaitu. </w:t>
            </w:r>
            <w:r w:rsidR="008F2C7D">
              <w:rPr>
                <w:rFonts w:ascii="Times New Roman" w:hAnsi="Times New Roman" w:cs="Times New Roman"/>
                <w:sz w:val="24"/>
                <w:szCs w:val="24"/>
              </w:rPr>
              <w:t xml:space="preserve">Vienlaikus ministrija vērš uzmanību, ka nelielais audzēkņu skaits mākslas un mūzikas vidusskolās ir iemesls tam, ka pat </w:t>
            </w:r>
            <w:r w:rsidR="008F2C7D">
              <w:rPr>
                <w:rFonts w:ascii="Times New Roman" w:hAnsi="Times New Roman" w:cs="Times New Roman"/>
                <w:sz w:val="24"/>
                <w:szCs w:val="24"/>
              </w:rPr>
              <w:lastRenderedPageBreak/>
              <w:t xml:space="preserve">neliels atskaitīto skaits </w:t>
            </w:r>
            <w:r w:rsidR="00024383">
              <w:rPr>
                <w:rFonts w:ascii="Times New Roman" w:hAnsi="Times New Roman" w:cs="Times New Roman"/>
                <w:sz w:val="24"/>
                <w:szCs w:val="24"/>
              </w:rPr>
              <w:t>veido</w:t>
            </w:r>
            <w:r w:rsidR="008F2C7D">
              <w:rPr>
                <w:rFonts w:ascii="Times New Roman" w:hAnsi="Times New Roman" w:cs="Times New Roman"/>
                <w:sz w:val="24"/>
                <w:szCs w:val="24"/>
              </w:rPr>
              <w:t xml:space="preserve"> lielu atskaitījuma proporciju.</w:t>
            </w:r>
          </w:p>
          <w:p w:rsidR="003B5BC3" w:rsidRPr="003E5C72" w:rsidRDefault="008371FC" w:rsidP="00E90199">
            <w:pPr>
              <w:spacing w:after="0" w:line="240" w:lineRule="auto"/>
              <w:jc w:val="both"/>
              <w:rPr>
                <w:rFonts w:ascii="Times New Roman" w:hAnsi="Times New Roman" w:cs="Times New Roman"/>
                <w:sz w:val="24"/>
                <w:szCs w:val="24"/>
              </w:rPr>
            </w:pPr>
            <w:r w:rsidRPr="008F2C7D">
              <w:rPr>
                <w:rFonts w:ascii="Times New Roman" w:hAnsi="Times New Roman" w:cs="Times New Roman"/>
                <w:sz w:val="24"/>
                <w:szCs w:val="24"/>
              </w:rPr>
              <w:t>Ievērojot ministrijas padotības mūzikas un mākslas profesionālo vidējo izglītības iestāžu datus par izglītojamo mācību sasniegumu vērtējumu un izglītības procesa apmeklētību,</w:t>
            </w:r>
            <w:r w:rsidR="00546531">
              <w:rPr>
                <w:rFonts w:ascii="Times New Roman" w:hAnsi="Times New Roman" w:cs="Times New Roman"/>
                <w:sz w:val="24"/>
                <w:szCs w:val="24"/>
              </w:rPr>
              <w:t xml:space="preserve"> </w:t>
            </w:r>
            <w:r w:rsidR="0006432A" w:rsidRPr="008F2C7D">
              <w:rPr>
                <w:rFonts w:ascii="Times New Roman" w:hAnsi="Times New Roman" w:cs="Times New Roman"/>
                <w:sz w:val="24"/>
                <w:szCs w:val="24"/>
                <w:u w:val="single"/>
              </w:rPr>
              <w:t xml:space="preserve">Projekta </w:t>
            </w:r>
            <w:r w:rsidR="003A7689">
              <w:rPr>
                <w:rFonts w:ascii="Times New Roman" w:hAnsi="Times New Roman" w:cs="Times New Roman"/>
                <w:sz w:val="24"/>
                <w:szCs w:val="24"/>
                <w:u w:val="single"/>
              </w:rPr>
              <w:t>2.2.3.</w:t>
            </w:r>
            <w:r w:rsidR="0006432A" w:rsidRPr="008F2C7D">
              <w:rPr>
                <w:rFonts w:ascii="Times New Roman" w:hAnsi="Times New Roman" w:cs="Times New Roman"/>
                <w:sz w:val="24"/>
                <w:szCs w:val="24"/>
                <w:u w:val="single"/>
              </w:rPr>
              <w:t>apakšpunkts</w:t>
            </w:r>
            <w:r w:rsidR="0006432A" w:rsidRPr="008F2C7D">
              <w:rPr>
                <w:rFonts w:ascii="Times New Roman" w:hAnsi="Times New Roman" w:cs="Times New Roman"/>
                <w:sz w:val="24"/>
                <w:szCs w:val="24"/>
              </w:rPr>
              <w:t xml:space="preserve"> nosaka prasības profesionālās izglītības kompetences centra statusa iegūšanai attiecībā uz profesionālās izglītības iestādes izglītojamo mācību sasniegumu rezultātu rādītājiem</w:t>
            </w:r>
            <w:r w:rsidR="003B5BC3" w:rsidRPr="003E5C72">
              <w:rPr>
                <w:rFonts w:ascii="Times New Roman" w:hAnsi="Times New Roman" w:cs="Times New Roman"/>
                <w:sz w:val="24"/>
                <w:szCs w:val="24"/>
              </w:rPr>
              <w:t>:</w:t>
            </w:r>
          </w:p>
          <w:p w:rsidR="0006432A" w:rsidRDefault="0006432A" w:rsidP="00E90199">
            <w:pPr>
              <w:pStyle w:val="Sarakstarindkopa"/>
              <w:numPr>
                <w:ilvl w:val="0"/>
                <w:numId w:val="6"/>
              </w:num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pēdējo divu mācību gadu laikā ne vairāk kā astoņi procenti no izglītojamiem, kuri </w:t>
            </w:r>
            <w:r w:rsidR="008D5185">
              <w:rPr>
                <w:rFonts w:ascii="Times New Roman" w:hAnsi="Times New Roman" w:cs="Times New Roman"/>
                <w:sz w:val="24"/>
                <w:szCs w:val="24"/>
              </w:rPr>
              <w:t>mācās</w:t>
            </w:r>
            <w:r w:rsidRPr="003E5C72">
              <w:rPr>
                <w:rFonts w:ascii="Times New Roman" w:hAnsi="Times New Roman" w:cs="Times New Roman"/>
                <w:sz w:val="24"/>
                <w:szCs w:val="24"/>
              </w:rPr>
              <w:t xml:space="preserve"> attiecīgajā izglītības iestādē, ir atskaitīti nepietiekama mācību sasniegumu vērtējuma vai neattaisnotu mācību kavējumu </w:t>
            </w:r>
            <w:r w:rsidR="005062CE">
              <w:rPr>
                <w:rFonts w:ascii="Times New Roman" w:hAnsi="Times New Roman" w:cs="Times New Roman"/>
                <w:sz w:val="24"/>
                <w:szCs w:val="24"/>
              </w:rPr>
              <w:t xml:space="preserve">vai nepareizas karjeras izvēles </w:t>
            </w:r>
            <w:r w:rsidRPr="003E5C72">
              <w:rPr>
                <w:rFonts w:ascii="Times New Roman" w:hAnsi="Times New Roman" w:cs="Times New Roman"/>
                <w:sz w:val="24"/>
                <w:szCs w:val="24"/>
              </w:rPr>
              <w:t>dēļ.</w:t>
            </w:r>
          </w:p>
          <w:p w:rsidR="004567FB" w:rsidRPr="003E5C72" w:rsidRDefault="00FE5D63" w:rsidP="00134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90199" w:rsidRPr="003E5C72">
              <w:rPr>
                <w:rFonts w:ascii="Times New Roman" w:hAnsi="Times New Roman" w:cs="Times New Roman"/>
                <w:sz w:val="24"/>
                <w:szCs w:val="24"/>
              </w:rPr>
              <w:t xml:space="preserve">. </w:t>
            </w:r>
            <w:r w:rsidR="00317829">
              <w:rPr>
                <w:rFonts w:ascii="Times New Roman" w:hAnsi="Times New Roman" w:cs="Times New Roman"/>
                <w:sz w:val="24"/>
                <w:szCs w:val="24"/>
              </w:rPr>
              <w:t>PIKC</w:t>
            </w:r>
            <w:r w:rsidR="0006432A" w:rsidRPr="003E5C72">
              <w:rPr>
                <w:rFonts w:ascii="Times New Roman" w:hAnsi="Times New Roman" w:cs="Times New Roman"/>
                <w:sz w:val="24"/>
                <w:szCs w:val="24"/>
              </w:rPr>
              <w:t xml:space="preserve"> kā profesionālās vidējās izglītības iestādei ir būtiski stiprināt sadarbību ar </w:t>
            </w:r>
            <w:r w:rsidR="0006432A" w:rsidRPr="003E5C72">
              <w:rPr>
                <w:rFonts w:ascii="Times New Roman" w:hAnsi="Times New Roman" w:cs="Times New Roman"/>
                <w:sz w:val="24"/>
                <w:szCs w:val="24"/>
                <w:u w:val="single"/>
              </w:rPr>
              <w:t>darba devējiem un kultūras nozares organizācijām</w:t>
            </w:r>
            <w:r w:rsidR="00207252" w:rsidRPr="00207252">
              <w:rPr>
                <w:rFonts w:ascii="Times New Roman" w:hAnsi="Times New Roman" w:cs="Times New Roman"/>
                <w:sz w:val="24"/>
                <w:szCs w:val="24"/>
              </w:rPr>
              <w:t xml:space="preserve"> </w:t>
            </w:r>
            <w:r w:rsidR="0006432A" w:rsidRPr="003E5C72">
              <w:rPr>
                <w:rFonts w:ascii="Times New Roman" w:hAnsi="Times New Roman" w:cs="Times New Roman"/>
                <w:sz w:val="24"/>
                <w:szCs w:val="24"/>
              </w:rPr>
              <w:t>(Latvijas Dizaineru savienība, Latvijas Mūzikas izglītības iestāžu asociācija, Latvijas Klavierspēles asociācija, Latvijas Baleta un dejas ģilde u.tml.), komersantiem</w:t>
            </w:r>
            <w:r w:rsidR="00E90199" w:rsidRPr="003E5C72">
              <w:rPr>
                <w:rFonts w:ascii="Times New Roman" w:hAnsi="Times New Roman" w:cs="Times New Roman"/>
                <w:sz w:val="24"/>
                <w:szCs w:val="24"/>
              </w:rPr>
              <w:t>, biedrībām un nodibinājumiem</w:t>
            </w:r>
            <w:r w:rsidR="0029706C" w:rsidRPr="003E5C72">
              <w:rPr>
                <w:rFonts w:ascii="Times New Roman" w:hAnsi="Times New Roman" w:cs="Times New Roman"/>
                <w:sz w:val="24"/>
                <w:szCs w:val="24"/>
              </w:rPr>
              <w:t xml:space="preserve">, </w:t>
            </w:r>
            <w:r w:rsidR="00EF76A9" w:rsidRPr="003E5C72">
              <w:rPr>
                <w:rFonts w:ascii="Times New Roman" w:hAnsi="Times New Roman" w:cs="Times New Roman"/>
                <w:sz w:val="24"/>
                <w:szCs w:val="24"/>
              </w:rPr>
              <w:t>kā arī kop</w:t>
            </w:r>
            <w:r w:rsidR="00207252">
              <w:rPr>
                <w:rFonts w:ascii="Times New Roman" w:hAnsi="Times New Roman" w:cs="Times New Roman"/>
                <w:sz w:val="24"/>
                <w:szCs w:val="24"/>
              </w:rPr>
              <w:t xml:space="preserve"> </w:t>
            </w:r>
            <w:r w:rsidR="00EF76A9" w:rsidRPr="003E5C72">
              <w:rPr>
                <w:rFonts w:ascii="Times New Roman" w:hAnsi="Times New Roman" w:cs="Times New Roman"/>
                <w:sz w:val="24"/>
                <w:szCs w:val="24"/>
              </w:rPr>
              <w:t>īgi veidot karjeras izglītības pasākumus (</w:t>
            </w:r>
            <w:r w:rsidR="00074F56" w:rsidRPr="003E5C72">
              <w:rPr>
                <w:rFonts w:ascii="Times New Roman" w:hAnsi="Times New Roman" w:cs="Times New Roman"/>
                <w:sz w:val="24"/>
                <w:szCs w:val="24"/>
              </w:rPr>
              <w:t xml:space="preserve">kā </w:t>
            </w:r>
            <w:r w:rsidR="0029706C" w:rsidRPr="003E5C72">
              <w:rPr>
                <w:rFonts w:ascii="Times New Roman" w:hAnsi="Times New Roman" w:cs="Times New Roman"/>
                <w:sz w:val="24"/>
                <w:szCs w:val="24"/>
              </w:rPr>
              <w:t>izglītības iestādes īstenots projekts</w:t>
            </w:r>
            <w:r w:rsidR="00074F56" w:rsidRPr="003E5C72">
              <w:rPr>
                <w:rFonts w:ascii="Times New Roman" w:hAnsi="Times New Roman" w:cs="Times New Roman"/>
                <w:sz w:val="24"/>
                <w:szCs w:val="24"/>
              </w:rPr>
              <w:t>, R</w:t>
            </w:r>
            <w:r w:rsidR="00EF76A9" w:rsidRPr="003E5C72">
              <w:rPr>
                <w:rFonts w:ascii="Times New Roman" w:hAnsi="Times New Roman" w:cs="Times New Roman"/>
                <w:sz w:val="24"/>
                <w:szCs w:val="24"/>
              </w:rPr>
              <w:t>aPaPro u.tml.) un iespēju</w:t>
            </w:r>
            <w:r w:rsidR="00822A02" w:rsidRPr="003E5C72">
              <w:rPr>
                <w:rFonts w:ascii="Times New Roman" w:hAnsi="Times New Roman" w:cs="Times New Roman"/>
                <w:sz w:val="24"/>
                <w:szCs w:val="24"/>
              </w:rPr>
              <w:t xml:space="preserve"> robežās nodrošinā</w:t>
            </w:r>
            <w:r w:rsidR="00EF76A9" w:rsidRPr="003E5C72">
              <w:rPr>
                <w:rFonts w:ascii="Times New Roman" w:hAnsi="Times New Roman" w:cs="Times New Roman"/>
                <w:sz w:val="24"/>
                <w:szCs w:val="24"/>
              </w:rPr>
              <w:t>t izglītojamo prakses vietas savos uzņēmumos</w:t>
            </w:r>
            <w:r w:rsidR="00822A02" w:rsidRPr="003E5C72">
              <w:rPr>
                <w:rFonts w:ascii="Times New Roman" w:hAnsi="Times New Roman" w:cs="Times New Roman"/>
                <w:sz w:val="24"/>
                <w:szCs w:val="24"/>
              </w:rPr>
              <w:t>, biedrībās vai nodibinājumos</w:t>
            </w:r>
            <w:r w:rsidR="00EF76A9" w:rsidRPr="003E5C72">
              <w:rPr>
                <w:rFonts w:ascii="Times New Roman" w:hAnsi="Times New Roman" w:cs="Times New Roman"/>
                <w:sz w:val="24"/>
                <w:szCs w:val="24"/>
              </w:rPr>
              <w:t>. Profesionālās kultūrizglītības specifika</w:t>
            </w:r>
            <w:r w:rsidR="00822A02" w:rsidRPr="003E5C72">
              <w:rPr>
                <w:rFonts w:ascii="Times New Roman" w:hAnsi="Times New Roman" w:cs="Times New Roman"/>
                <w:sz w:val="24"/>
                <w:szCs w:val="24"/>
              </w:rPr>
              <w:t xml:space="preserve"> un profesionālās vidējās izglītības programmas</w:t>
            </w:r>
            <w:r w:rsidR="00EF76A9" w:rsidRPr="003E5C72">
              <w:rPr>
                <w:rFonts w:ascii="Times New Roman" w:hAnsi="Times New Roman" w:cs="Times New Roman"/>
                <w:sz w:val="24"/>
                <w:szCs w:val="24"/>
              </w:rPr>
              <w:t xml:space="preserve"> nosaka mācību prakses organizēšanas </w:t>
            </w:r>
            <w:r w:rsidR="00822A02" w:rsidRPr="003E5C72">
              <w:rPr>
                <w:rFonts w:ascii="Times New Roman" w:hAnsi="Times New Roman" w:cs="Times New Roman"/>
                <w:sz w:val="24"/>
                <w:szCs w:val="24"/>
              </w:rPr>
              <w:t>prasības</w:t>
            </w:r>
            <w:r w:rsidR="00EF76A9" w:rsidRPr="003E5C72">
              <w:rPr>
                <w:rFonts w:ascii="Times New Roman" w:hAnsi="Times New Roman" w:cs="Times New Roman"/>
                <w:sz w:val="24"/>
                <w:szCs w:val="24"/>
              </w:rPr>
              <w:t>. Mākslas un mūzikas profesionālās vidējās izglītības iestāžu izglītojamie</w:t>
            </w:r>
            <w:r w:rsidR="00822A02" w:rsidRPr="003E5C72">
              <w:rPr>
                <w:rFonts w:ascii="Times New Roman" w:hAnsi="Times New Roman" w:cs="Times New Roman"/>
                <w:sz w:val="24"/>
                <w:szCs w:val="24"/>
              </w:rPr>
              <w:t xml:space="preserve"> atbilstoši licencētajā izglītības programmā noteiktajam,</w:t>
            </w:r>
            <w:r w:rsidR="00EF76A9" w:rsidRPr="003E5C72">
              <w:rPr>
                <w:rFonts w:ascii="Times New Roman" w:hAnsi="Times New Roman" w:cs="Times New Roman"/>
                <w:sz w:val="24"/>
                <w:szCs w:val="24"/>
              </w:rPr>
              <w:t xml:space="preserve"> īste</w:t>
            </w:r>
            <w:r w:rsidR="00822A02" w:rsidRPr="003E5C72">
              <w:rPr>
                <w:rFonts w:ascii="Times New Roman" w:hAnsi="Times New Roman" w:cs="Times New Roman"/>
                <w:sz w:val="24"/>
                <w:szCs w:val="24"/>
              </w:rPr>
              <w:t xml:space="preserve">no mācību praksi visā </w:t>
            </w:r>
            <w:r w:rsidR="00EF76A9" w:rsidRPr="003E5C72">
              <w:rPr>
                <w:rFonts w:ascii="Times New Roman" w:hAnsi="Times New Roman" w:cs="Times New Roman"/>
                <w:sz w:val="24"/>
                <w:szCs w:val="24"/>
              </w:rPr>
              <w:t xml:space="preserve">izglītības programmas īstenošanas </w:t>
            </w:r>
            <w:r w:rsidR="00822A02" w:rsidRPr="003E5C72">
              <w:rPr>
                <w:rFonts w:ascii="Times New Roman" w:hAnsi="Times New Roman" w:cs="Times New Roman"/>
                <w:sz w:val="24"/>
                <w:szCs w:val="24"/>
              </w:rPr>
              <w:t xml:space="preserve">periodā </w:t>
            </w:r>
            <w:r w:rsidR="00620EDF" w:rsidRPr="003E5C72">
              <w:rPr>
                <w:rFonts w:ascii="Times New Roman" w:hAnsi="Times New Roman" w:cs="Times New Roman"/>
                <w:sz w:val="24"/>
                <w:szCs w:val="24"/>
              </w:rPr>
              <w:t>–</w:t>
            </w:r>
            <w:r w:rsidR="00822A02" w:rsidRPr="003E5C72">
              <w:rPr>
                <w:rFonts w:ascii="Times New Roman" w:hAnsi="Times New Roman" w:cs="Times New Roman"/>
                <w:sz w:val="24"/>
                <w:szCs w:val="24"/>
              </w:rPr>
              <w:t xml:space="preserve"> trīs līdz četru gadu garumā</w:t>
            </w:r>
            <w:r w:rsidR="00EF76A9" w:rsidRPr="003E5C72">
              <w:rPr>
                <w:rFonts w:ascii="Times New Roman" w:hAnsi="Times New Roman" w:cs="Times New Roman"/>
                <w:sz w:val="24"/>
                <w:szCs w:val="24"/>
              </w:rPr>
              <w:t>. Mācību prakse</w:t>
            </w:r>
            <w:r w:rsidR="009B58C3" w:rsidRPr="003E5C72">
              <w:rPr>
                <w:rFonts w:ascii="Times New Roman" w:hAnsi="Times New Roman" w:cs="Times New Roman"/>
                <w:sz w:val="24"/>
                <w:szCs w:val="24"/>
              </w:rPr>
              <w:t>, piemēram,</w:t>
            </w:r>
            <w:r w:rsidR="00EF76A9" w:rsidRPr="003E5C72">
              <w:rPr>
                <w:rFonts w:ascii="Times New Roman" w:hAnsi="Times New Roman" w:cs="Times New Roman"/>
                <w:sz w:val="24"/>
                <w:szCs w:val="24"/>
              </w:rPr>
              <w:t xml:space="preserve"> topošajiem mūziķiem tiek ieskaitīta</w:t>
            </w:r>
            <w:r w:rsidR="009B58C3" w:rsidRPr="003E5C72">
              <w:rPr>
                <w:rFonts w:ascii="Times New Roman" w:hAnsi="Times New Roman" w:cs="Times New Roman"/>
                <w:sz w:val="24"/>
                <w:szCs w:val="24"/>
              </w:rPr>
              <w:t>,</w:t>
            </w:r>
            <w:r w:rsidR="00EF76A9" w:rsidRPr="003E5C72">
              <w:rPr>
                <w:rFonts w:ascii="Times New Roman" w:hAnsi="Times New Roman" w:cs="Times New Roman"/>
                <w:sz w:val="24"/>
                <w:szCs w:val="24"/>
              </w:rPr>
              <w:t xml:space="preserve"> uzstājoties koncertos un citos pasākumos. Savukārt mākslas un dizaina profesionālās vidējās izglītības programmās mācību prakse tiek organizēta sadarbībā ar nozares mazajiem un mikrouzņēmumiem. </w:t>
            </w:r>
            <w:r w:rsidR="00CA37E0" w:rsidRPr="003E5C72">
              <w:rPr>
                <w:rFonts w:ascii="Times New Roman" w:hAnsi="Times New Roman" w:cs="Times New Roman"/>
                <w:sz w:val="24"/>
                <w:szCs w:val="24"/>
              </w:rPr>
              <w:t>Komplicēta mācību prakse ir topošajiem gleznotājiem, kas mācās izglītības programmā „Gleznoša</w:t>
            </w:r>
            <w:r w:rsidR="003142BB" w:rsidRPr="003E5C72">
              <w:rPr>
                <w:rFonts w:ascii="Times New Roman" w:hAnsi="Times New Roman" w:cs="Times New Roman"/>
                <w:sz w:val="24"/>
                <w:szCs w:val="24"/>
              </w:rPr>
              <w:t>na”, jo Latvijā nav darba devēju</w:t>
            </w:r>
            <w:r w:rsidR="00CA37E0" w:rsidRPr="003E5C72">
              <w:rPr>
                <w:rFonts w:ascii="Times New Roman" w:hAnsi="Times New Roman" w:cs="Times New Roman"/>
                <w:sz w:val="24"/>
                <w:szCs w:val="24"/>
              </w:rPr>
              <w:t>, kas nodrošina mācību praksi šai programmā. Pēc kvalifikācijas iegūšanas gleznotāji strādā kā pašnodarbinātas personas.</w:t>
            </w:r>
            <w:r w:rsidR="004B1207">
              <w:rPr>
                <w:rFonts w:ascii="Times New Roman" w:hAnsi="Times New Roman" w:cs="Times New Roman"/>
                <w:sz w:val="24"/>
                <w:szCs w:val="24"/>
              </w:rPr>
              <w:t xml:space="preserve"> </w:t>
            </w:r>
            <w:r w:rsidR="00EF76A9" w:rsidRPr="003E5C72">
              <w:rPr>
                <w:rFonts w:ascii="Times New Roman" w:hAnsi="Times New Roman" w:cs="Times New Roman"/>
                <w:sz w:val="24"/>
                <w:szCs w:val="24"/>
              </w:rPr>
              <w:t>Tā</w:t>
            </w:r>
            <w:r w:rsidR="004567FB" w:rsidRPr="003E5C72">
              <w:rPr>
                <w:rFonts w:ascii="Times New Roman" w:hAnsi="Times New Roman" w:cs="Times New Roman"/>
                <w:sz w:val="24"/>
                <w:szCs w:val="24"/>
              </w:rPr>
              <w:t>dēļ topošajiem gleznotājiem</w:t>
            </w:r>
            <w:r w:rsidR="00EF76A9" w:rsidRPr="003E5C72">
              <w:rPr>
                <w:rFonts w:ascii="Times New Roman" w:hAnsi="Times New Roman" w:cs="Times New Roman"/>
                <w:sz w:val="24"/>
                <w:szCs w:val="24"/>
              </w:rPr>
              <w:t xml:space="preserve"> mācību prakse tiek or</w:t>
            </w:r>
            <w:r w:rsidR="004567FB" w:rsidRPr="003E5C72">
              <w:rPr>
                <w:rFonts w:ascii="Times New Roman" w:hAnsi="Times New Roman" w:cs="Times New Roman"/>
                <w:sz w:val="24"/>
                <w:szCs w:val="24"/>
              </w:rPr>
              <w:t xml:space="preserve">ganizēta izglītības iestādē. </w:t>
            </w:r>
            <w:r w:rsidR="0013462D" w:rsidRPr="003E5C72">
              <w:rPr>
                <w:rFonts w:ascii="Times New Roman" w:hAnsi="Times New Roman" w:cs="Times New Roman"/>
                <w:sz w:val="24"/>
                <w:szCs w:val="24"/>
              </w:rPr>
              <w:t xml:space="preserve">Ievērojot kultūrizglītības nozares darba devēju specifiku, </w:t>
            </w:r>
            <w:r w:rsidR="00E90199" w:rsidRPr="003E5C72">
              <w:rPr>
                <w:rFonts w:ascii="Times New Roman" w:hAnsi="Times New Roman" w:cs="Times New Roman"/>
                <w:sz w:val="24"/>
                <w:szCs w:val="24"/>
                <w:u w:val="single"/>
              </w:rPr>
              <w:t>Projekta 2.4.apakšpunktā</w:t>
            </w:r>
            <w:r w:rsidR="00E90199" w:rsidRPr="003E5C72">
              <w:rPr>
                <w:rFonts w:ascii="Times New Roman" w:hAnsi="Times New Roman" w:cs="Times New Roman"/>
                <w:sz w:val="24"/>
                <w:szCs w:val="24"/>
              </w:rPr>
              <w:t xml:space="preserve"> ir noteikts, ka</w:t>
            </w:r>
            <w:r w:rsidR="004567FB" w:rsidRPr="003E5C72">
              <w:rPr>
                <w:rFonts w:ascii="Times New Roman" w:hAnsi="Times New Roman" w:cs="Times New Roman"/>
                <w:sz w:val="24"/>
                <w:szCs w:val="24"/>
              </w:rPr>
              <w:t>:</w:t>
            </w:r>
          </w:p>
          <w:p w:rsidR="0013462D" w:rsidRDefault="004567FB" w:rsidP="004567FB">
            <w:pPr>
              <w:spacing w:after="0" w:line="240" w:lineRule="auto"/>
              <w:ind w:left="422"/>
              <w:jc w:val="both"/>
              <w:rPr>
                <w:rFonts w:ascii="Times New Roman" w:hAnsi="Times New Roman"/>
                <w:sz w:val="24"/>
                <w:szCs w:val="24"/>
              </w:rPr>
            </w:pPr>
            <w:r w:rsidRPr="003E5C72">
              <w:rPr>
                <w:rFonts w:ascii="Times New Roman" w:hAnsi="Times New Roman"/>
                <w:sz w:val="24"/>
                <w:szCs w:val="24"/>
              </w:rPr>
              <w:t xml:space="preserve">- </w:t>
            </w:r>
            <w:r w:rsidR="0013462D" w:rsidRPr="003E5C72">
              <w:rPr>
                <w:rFonts w:ascii="Times New Roman" w:hAnsi="Times New Roman"/>
                <w:sz w:val="24"/>
                <w:szCs w:val="24"/>
              </w:rPr>
              <w:t xml:space="preserve">izglītības iestāde atbilstoši īstenojamām izglītības programmām sadarbojas ar darba devējiem, tai skaitā, ir saņēmusi darba devēju rakstisku viedokli par īstenoto sadarbību, nodrošina kultūras nozarē strādājošo un citu personu profesionālo </w:t>
            </w:r>
            <w:r w:rsidR="0013462D" w:rsidRPr="003E5C72">
              <w:rPr>
                <w:rFonts w:ascii="Times New Roman" w:hAnsi="Times New Roman"/>
                <w:sz w:val="24"/>
                <w:szCs w:val="24"/>
              </w:rPr>
              <w:lastRenderedPageBreak/>
              <w:t>tālākizglītību un pilnveidi, nodrošina mācību prakses vietas mūzikas un skatuves mākslas, dizaina un mākslas nozares profesionālās vidējās izglītības programmu izglītojamiem atbilstoši licencētajai profesionālās izglītības programmai.</w:t>
            </w:r>
          </w:p>
          <w:p w:rsidR="004933F5" w:rsidRPr="003E5C72" w:rsidRDefault="00FE5D63" w:rsidP="00733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567FB" w:rsidRPr="003E5C72">
              <w:rPr>
                <w:rFonts w:ascii="Times New Roman" w:hAnsi="Times New Roman" w:cs="Times New Roman"/>
                <w:sz w:val="24"/>
                <w:szCs w:val="24"/>
              </w:rPr>
              <w:t xml:space="preserve">. </w:t>
            </w:r>
            <w:r w:rsidR="0006432A" w:rsidRPr="003E5C72">
              <w:rPr>
                <w:rFonts w:ascii="Times New Roman" w:hAnsi="Times New Roman" w:cs="Times New Roman"/>
                <w:sz w:val="24"/>
                <w:szCs w:val="24"/>
              </w:rPr>
              <w:t xml:space="preserve">Lai izvairītos no iesniedzamo datu sagatavošanas dublēšanās, </w:t>
            </w:r>
            <w:r w:rsidR="00A155A6" w:rsidRPr="003E5C72">
              <w:rPr>
                <w:rFonts w:ascii="Times New Roman" w:hAnsi="Times New Roman" w:cs="Times New Roman"/>
                <w:sz w:val="24"/>
                <w:szCs w:val="24"/>
              </w:rPr>
              <w:t xml:space="preserve">Projekta </w:t>
            </w:r>
            <w:r w:rsidR="00CA37E0" w:rsidRPr="003E5C72">
              <w:rPr>
                <w:rFonts w:ascii="Times New Roman" w:hAnsi="Times New Roman" w:cs="Times New Roman"/>
                <w:sz w:val="24"/>
                <w:szCs w:val="24"/>
              </w:rPr>
              <w:t>5.</w:t>
            </w:r>
            <w:r w:rsidR="00A155A6" w:rsidRPr="003E5C72">
              <w:rPr>
                <w:rFonts w:ascii="Times New Roman" w:hAnsi="Times New Roman" w:cs="Times New Roman"/>
                <w:sz w:val="24"/>
                <w:szCs w:val="24"/>
              </w:rPr>
              <w:t>punktā</w:t>
            </w:r>
            <w:r w:rsidR="004933F5">
              <w:rPr>
                <w:rFonts w:ascii="Times New Roman" w:hAnsi="Times New Roman" w:cs="Times New Roman"/>
                <w:sz w:val="24"/>
                <w:szCs w:val="24"/>
              </w:rPr>
              <w:t xml:space="preserve"> </w:t>
            </w:r>
            <w:r w:rsidR="00CA37E0" w:rsidRPr="003E5C72">
              <w:rPr>
                <w:rFonts w:ascii="Times New Roman" w:hAnsi="Times New Roman" w:cs="Times New Roman"/>
                <w:sz w:val="24"/>
                <w:szCs w:val="24"/>
              </w:rPr>
              <w:t>i</w:t>
            </w:r>
            <w:r w:rsidR="00A155A6" w:rsidRPr="003E5C72">
              <w:rPr>
                <w:rFonts w:ascii="Times New Roman" w:hAnsi="Times New Roman" w:cs="Times New Roman"/>
                <w:sz w:val="24"/>
                <w:szCs w:val="24"/>
              </w:rPr>
              <w:t xml:space="preserve">r noteikts, ka </w:t>
            </w:r>
            <w:r w:rsidR="0006432A" w:rsidRPr="003E5C72">
              <w:rPr>
                <w:rFonts w:ascii="Times New Roman" w:hAnsi="Times New Roman" w:cs="Times New Roman"/>
                <w:sz w:val="24"/>
                <w:szCs w:val="24"/>
              </w:rPr>
              <w:t>tiks vērt</w:t>
            </w:r>
            <w:r w:rsidR="00620EDF" w:rsidRPr="003E5C72">
              <w:rPr>
                <w:rFonts w:ascii="Times New Roman" w:hAnsi="Times New Roman" w:cs="Times New Roman"/>
                <w:sz w:val="24"/>
                <w:szCs w:val="24"/>
              </w:rPr>
              <w:t>ēta informācija, kas iegūta no V</w:t>
            </w:r>
            <w:r w:rsidR="0006432A" w:rsidRPr="003E5C72">
              <w:rPr>
                <w:rFonts w:ascii="Times New Roman" w:hAnsi="Times New Roman" w:cs="Times New Roman"/>
                <w:sz w:val="24"/>
                <w:szCs w:val="24"/>
              </w:rPr>
              <w:t>alsts</w:t>
            </w:r>
            <w:r w:rsidR="00620EDF" w:rsidRPr="003E5C72">
              <w:rPr>
                <w:rFonts w:ascii="Times New Roman" w:hAnsi="Times New Roman" w:cs="Times New Roman"/>
                <w:sz w:val="24"/>
                <w:szCs w:val="24"/>
              </w:rPr>
              <w:t xml:space="preserve"> i</w:t>
            </w:r>
            <w:r w:rsidR="0006432A" w:rsidRPr="003E5C72">
              <w:rPr>
                <w:rFonts w:ascii="Times New Roman" w:hAnsi="Times New Roman" w:cs="Times New Roman"/>
                <w:sz w:val="24"/>
                <w:szCs w:val="24"/>
              </w:rPr>
              <w:t xml:space="preserve">zglītības un satura centra, Valsts </w:t>
            </w:r>
            <w:r w:rsidR="003A7689">
              <w:rPr>
                <w:rFonts w:ascii="Times New Roman" w:hAnsi="Times New Roman" w:cs="Times New Roman"/>
                <w:sz w:val="24"/>
                <w:szCs w:val="24"/>
              </w:rPr>
              <w:t>i</w:t>
            </w:r>
            <w:r w:rsidR="0006432A" w:rsidRPr="003E5C72">
              <w:rPr>
                <w:rFonts w:ascii="Times New Roman" w:hAnsi="Times New Roman" w:cs="Times New Roman"/>
                <w:sz w:val="24"/>
                <w:szCs w:val="24"/>
              </w:rPr>
              <w:t>zglītības informācijas sistēmas datu bāzēm vai statistikas, kas tiek regulāri iesniegta Latvijas Nacionāl</w:t>
            </w:r>
            <w:r w:rsidR="00620EDF" w:rsidRPr="003E5C72">
              <w:rPr>
                <w:rFonts w:ascii="Times New Roman" w:hAnsi="Times New Roman" w:cs="Times New Roman"/>
                <w:sz w:val="24"/>
                <w:szCs w:val="24"/>
              </w:rPr>
              <w:t>aj</w:t>
            </w:r>
            <w:r w:rsidR="007A5BEF" w:rsidRPr="003E5C72">
              <w:rPr>
                <w:rFonts w:ascii="Times New Roman" w:hAnsi="Times New Roman" w:cs="Times New Roman"/>
                <w:sz w:val="24"/>
                <w:szCs w:val="24"/>
              </w:rPr>
              <w:t>am</w:t>
            </w:r>
            <w:r w:rsidR="0006432A" w:rsidRPr="003E5C72">
              <w:rPr>
                <w:rFonts w:ascii="Times New Roman" w:hAnsi="Times New Roman" w:cs="Times New Roman"/>
                <w:sz w:val="24"/>
                <w:szCs w:val="24"/>
              </w:rPr>
              <w:t xml:space="preserve"> kultūras centram.</w:t>
            </w:r>
          </w:p>
        </w:tc>
      </w:tr>
      <w:tr w:rsidR="0019096B" w:rsidRPr="003E5C72" w:rsidTr="00DF5308">
        <w:tc>
          <w:tcPr>
            <w:tcW w:w="332" w:type="pct"/>
            <w:tcBorders>
              <w:top w:val="outset" w:sz="6" w:space="0" w:color="000000"/>
              <w:left w:val="outset" w:sz="6" w:space="0" w:color="000000"/>
              <w:bottom w:val="outset" w:sz="6" w:space="0" w:color="000000"/>
              <w:right w:val="single" w:sz="4" w:space="0" w:color="auto"/>
            </w:tcBorders>
            <w:hideMark/>
          </w:tcPr>
          <w:p w:rsidR="008638A3" w:rsidRPr="003E5C72" w:rsidRDefault="000168BA">
            <w:pPr>
              <w:spacing w:after="0" w:line="240" w:lineRule="auto"/>
              <w:jc w:val="center"/>
              <w:rPr>
                <w:rFonts w:ascii="Times New Roman" w:eastAsia="Times New Roman" w:hAnsi="Times New Roman" w:cs="Times New Roman"/>
                <w:sz w:val="24"/>
                <w:szCs w:val="24"/>
              </w:rPr>
            </w:pPr>
            <w:r w:rsidRPr="003E5C72">
              <w:rPr>
                <w:rFonts w:ascii="Times New Roman" w:eastAsia="Times New Roman" w:hAnsi="Times New Roman" w:cs="Times New Roman"/>
                <w:sz w:val="24"/>
                <w:szCs w:val="24"/>
              </w:rPr>
              <w:lastRenderedPageBreak/>
              <w:t>3</w:t>
            </w:r>
            <w:r w:rsidR="0019096B" w:rsidRPr="003E5C72">
              <w:rPr>
                <w:rFonts w:ascii="Times New Roman" w:eastAsia="Times New Roman" w:hAnsi="Times New Roman" w:cs="Times New Roman"/>
                <w:sz w:val="24"/>
                <w:szCs w:val="24"/>
              </w:rPr>
              <w:t>.</w:t>
            </w:r>
          </w:p>
        </w:tc>
        <w:tc>
          <w:tcPr>
            <w:tcW w:w="1623" w:type="pct"/>
            <w:tcBorders>
              <w:top w:val="outset" w:sz="6" w:space="0" w:color="000000"/>
              <w:left w:val="single" w:sz="4" w:space="0" w:color="auto"/>
              <w:bottom w:val="outset" w:sz="6" w:space="0" w:color="000000"/>
              <w:right w:val="outset" w:sz="6" w:space="0" w:color="000000"/>
            </w:tcBorders>
          </w:tcPr>
          <w:p w:rsidR="0019096B" w:rsidRPr="003E5C72" w:rsidRDefault="00EC6B18"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Projekta izstrādē iesaistītās institūcijas</w:t>
            </w:r>
          </w:p>
        </w:tc>
        <w:tc>
          <w:tcPr>
            <w:tcW w:w="3046" w:type="pct"/>
            <w:tcBorders>
              <w:top w:val="outset" w:sz="6" w:space="0" w:color="000000"/>
              <w:left w:val="outset" w:sz="6" w:space="0" w:color="000000"/>
              <w:bottom w:val="outset" w:sz="6" w:space="0" w:color="000000"/>
              <w:right w:val="outset" w:sz="6" w:space="0" w:color="000000"/>
            </w:tcBorders>
            <w:hideMark/>
          </w:tcPr>
          <w:p w:rsidR="0019096B" w:rsidRPr="003E5C72" w:rsidRDefault="00024761" w:rsidP="0002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76FA7" w:rsidRPr="003E5C72">
              <w:rPr>
                <w:rFonts w:ascii="Times New Roman" w:eastAsia="Times New Roman" w:hAnsi="Times New Roman" w:cs="Times New Roman"/>
                <w:sz w:val="24"/>
                <w:szCs w:val="24"/>
              </w:rPr>
              <w:t>inistrija</w:t>
            </w:r>
            <w:r w:rsidR="00620EDF" w:rsidRPr="003E5C72">
              <w:rPr>
                <w:rFonts w:ascii="Times New Roman" w:eastAsia="Times New Roman" w:hAnsi="Times New Roman" w:cs="Times New Roman"/>
                <w:sz w:val="24"/>
                <w:szCs w:val="24"/>
              </w:rPr>
              <w:t>, Latvijas Nacionālais kultūras centrs</w:t>
            </w:r>
            <w:r w:rsidR="00476FA7" w:rsidRPr="003E5C72">
              <w:rPr>
                <w:rFonts w:ascii="Times New Roman" w:eastAsia="Times New Roman" w:hAnsi="Times New Roman" w:cs="Times New Roman"/>
                <w:sz w:val="24"/>
                <w:szCs w:val="24"/>
              </w:rPr>
              <w:t>.</w:t>
            </w:r>
          </w:p>
        </w:tc>
      </w:tr>
      <w:tr w:rsidR="0019096B" w:rsidRPr="003E5C72" w:rsidTr="00DF5308">
        <w:trPr>
          <w:trHeight w:val="413"/>
        </w:trPr>
        <w:tc>
          <w:tcPr>
            <w:tcW w:w="332" w:type="pct"/>
            <w:tcBorders>
              <w:top w:val="outset" w:sz="6" w:space="0" w:color="000000"/>
              <w:left w:val="outset" w:sz="6" w:space="0" w:color="000000"/>
              <w:bottom w:val="outset" w:sz="6" w:space="0" w:color="000000"/>
              <w:right w:val="single" w:sz="4" w:space="0" w:color="auto"/>
            </w:tcBorders>
            <w:hideMark/>
          </w:tcPr>
          <w:p w:rsidR="008638A3" w:rsidRPr="003E5C72" w:rsidRDefault="000168BA">
            <w:pPr>
              <w:spacing w:after="0" w:line="240" w:lineRule="auto"/>
              <w:jc w:val="center"/>
              <w:rPr>
                <w:rFonts w:ascii="Times New Roman" w:eastAsia="Times New Roman" w:hAnsi="Times New Roman" w:cs="Times New Roman"/>
                <w:sz w:val="24"/>
                <w:szCs w:val="24"/>
              </w:rPr>
            </w:pPr>
            <w:r w:rsidRPr="003E5C72">
              <w:rPr>
                <w:rFonts w:ascii="Times New Roman" w:eastAsia="Times New Roman" w:hAnsi="Times New Roman" w:cs="Times New Roman"/>
                <w:sz w:val="24"/>
                <w:szCs w:val="24"/>
              </w:rPr>
              <w:t>4</w:t>
            </w:r>
            <w:r w:rsidR="0019096B" w:rsidRPr="003E5C72">
              <w:rPr>
                <w:rFonts w:ascii="Times New Roman" w:eastAsia="Times New Roman" w:hAnsi="Times New Roman" w:cs="Times New Roman"/>
                <w:sz w:val="24"/>
                <w:szCs w:val="24"/>
              </w:rPr>
              <w:t>.</w:t>
            </w:r>
          </w:p>
        </w:tc>
        <w:tc>
          <w:tcPr>
            <w:tcW w:w="1623" w:type="pct"/>
            <w:tcBorders>
              <w:top w:val="outset" w:sz="6" w:space="0" w:color="000000"/>
              <w:left w:val="single" w:sz="4" w:space="0" w:color="auto"/>
              <w:bottom w:val="outset" w:sz="6" w:space="0" w:color="000000"/>
              <w:right w:val="outset" w:sz="6" w:space="0" w:color="000000"/>
            </w:tcBorders>
          </w:tcPr>
          <w:p w:rsidR="0019096B" w:rsidRPr="003E5C72" w:rsidRDefault="00EC6B18"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Cita informācija</w:t>
            </w:r>
          </w:p>
        </w:tc>
        <w:tc>
          <w:tcPr>
            <w:tcW w:w="3046" w:type="pct"/>
            <w:tcBorders>
              <w:top w:val="outset" w:sz="6" w:space="0" w:color="000000"/>
              <w:left w:val="outset" w:sz="6" w:space="0" w:color="000000"/>
              <w:bottom w:val="outset" w:sz="6" w:space="0" w:color="000000"/>
              <w:right w:val="outset" w:sz="6" w:space="0" w:color="000000"/>
            </w:tcBorders>
            <w:hideMark/>
          </w:tcPr>
          <w:p w:rsidR="0019096B" w:rsidRPr="003E5C72" w:rsidRDefault="00840CAD" w:rsidP="00555914">
            <w:pPr>
              <w:spacing w:after="0" w:line="240" w:lineRule="auto"/>
              <w:jc w:val="both"/>
              <w:rPr>
                <w:rFonts w:ascii="Times New Roman" w:eastAsia="Times New Roman" w:hAnsi="Times New Roman" w:cs="Times New Roman"/>
                <w:sz w:val="24"/>
                <w:szCs w:val="24"/>
              </w:rPr>
            </w:pPr>
            <w:r w:rsidRPr="003E5C72">
              <w:rPr>
                <w:rFonts w:ascii="Times New Roman" w:eastAsia="Times New Roman" w:hAnsi="Times New Roman" w:cs="Times New Roman"/>
                <w:sz w:val="24"/>
                <w:szCs w:val="24"/>
              </w:rPr>
              <w:t xml:space="preserve"> Nav</w:t>
            </w:r>
          </w:p>
        </w:tc>
      </w:tr>
    </w:tbl>
    <w:p w:rsidR="0019096B" w:rsidRPr="003E5C72" w:rsidRDefault="00E0650F" w:rsidP="00DF5E93">
      <w:pPr>
        <w:spacing w:after="0" w:line="240" w:lineRule="auto"/>
        <w:rPr>
          <w:rFonts w:ascii="Times New Roman" w:eastAsia="Times New Roman" w:hAnsi="Times New Roman" w:cs="Times New Roman"/>
          <w:sz w:val="24"/>
          <w:szCs w:val="24"/>
        </w:rPr>
      </w:pPr>
      <w:r w:rsidRPr="003E5C72">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82"/>
        <w:gridCol w:w="2890"/>
        <w:gridCol w:w="5629"/>
      </w:tblGrid>
      <w:tr w:rsidR="00B47ED6" w:rsidRPr="003E5C72" w:rsidTr="00B47ED6">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B47ED6" w:rsidRPr="003E5C72" w:rsidRDefault="00B47ED6" w:rsidP="00B47ED6">
            <w:pPr>
              <w:pStyle w:val="naisnod"/>
              <w:spacing w:before="0" w:after="0"/>
            </w:pPr>
            <w:r w:rsidRPr="003E5C72">
              <w:t xml:space="preserve"> II. </w:t>
            </w:r>
            <w:r w:rsidRPr="003E5C72">
              <w:rPr>
                <w:bCs w:val="0"/>
              </w:rPr>
              <w:t>Tiesību akta projekta ietekme uz sabiedrību, tautsaimniecības attīstību un administratīvo slogu</w:t>
            </w:r>
          </w:p>
        </w:tc>
      </w:tr>
      <w:tr w:rsidR="00B47ED6" w:rsidRPr="003E5C72" w:rsidTr="00E8108B">
        <w:trPr>
          <w:trHeight w:val="405"/>
          <w:tblCellSpacing w:w="0" w:type="dxa"/>
        </w:trPr>
        <w:tc>
          <w:tcPr>
            <w:tcW w:w="582" w:type="dxa"/>
            <w:tcBorders>
              <w:top w:val="outset" w:sz="6" w:space="0" w:color="auto"/>
              <w:left w:val="outset" w:sz="6" w:space="0" w:color="auto"/>
              <w:bottom w:val="outset" w:sz="6" w:space="0" w:color="auto"/>
              <w:right w:val="outset" w:sz="6" w:space="0" w:color="auto"/>
            </w:tcBorders>
          </w:tcPr>
          <w:p w:rsidR="00B47ED6" w:rsidRPr="003E5C72" w:rsidRDefault="00B47ED6" w:rsidP="00B47ED6">
            <w:pPr>
              <w:pStyle w:val="naiskr"/>
              <w:spacing w:before="0" w:after="0"/>
              <w:jc w:val="center"/>
            </w:pPr>
            <w:r w:rsidRPr="003E5C72">
              <w:t>1.</w:t>
            </w:r>
          </w:p>
        </w:tc>
        <w:tc>
          <w:tcPr>
            <w:tcW w:w="2890" w:type="dxa"/>
            <w:tcBorders>
              <w:top w:val="outset" w:sz="6" w:space="0" w:color="auto"/>
              <w:left w:val="outset" w:sz="6" w:space="0" w:color="auto"/>
              <w:bottom w:val="outset" w:sz="6" w:space="0" w:color="auto"/>
              <w:right w:val="outset" w:sz="6" w:space="0" w:color="auto"/>
            </w:tcBorders>
          </w:tcPr>
          <w:p w:rsidR="00B47ED6" w:rsidRPr="003E5C72" w:rsidRDefault="00B47ED6" w:rsidP="00B47ED6">
            <w:pPr>
              <w:pStyle w:val="naiskr"/>
              <w:spacing w:before="0" w:after="0"/>
            </w:pPr>
            <w:r w:rsidRPr="003E5C72">
              <w:t>Sabiedrības mērķgrupas, kuras tiesiskais regulējums ietekm</w:t>
            </w:r>
            <w:r w:rsidR="00EC6B18" w:rsidRPr="003E5C72">
              <w:t>ē vai varētu ietekmēt</w:t>
            </w:r>
          </w:p>
        </w:tc>
        <w:tc>
          <w:tcPr>
            <w:tcW w:w="0" w:type="auto"/>
            <w:tcBorders>
              <w:top w:val="outset" w:sz="6" w:space="0" w:color="auto"/>
              <w:left w:val="outset" w:sz="6" w:space="0" w:color="auto"/>
              <w:bottom w:val="outset" w:sz="6" w:space="0" w:color="auto"/>
              <w:right w:val="outset" w:sz="6" w:space="0" w:color="auto"/>
            </w:tcBorders>
          </w:tcPr>
          <w:p w:rsidR="00815A33" w:rsidRPr="003E5C72" w:rsidRDefault="000F4569" w:rsidP="00815A33">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P</w:t>
            </w:r>
            <w:r w:rsidR="00815A33" w:rsidRPr="003E5C72">
              <w:rPr>
                <w:rFonts w:ascii="Times New Roman" w:hAnsi="Times New Roman" w:cs="Times New Roman"/>
                <w:sz w:val="24"/>
                <w:szCs w:val="24"/>
              </w:rPr>
              <w:t>rojekta tiesiskais regul</w:t>
            </w:r>
            <w:r w:rsidRPr="003E5C72">
              <w:rPr>
                <w:rFonts w:ascii="Times New Roman" w:hAnsi="Times New Roman" w:cs="Times New Roman"/>
                <w:sz w:val="24"/>
                <w:szCs w:val="24"/>
              </w:rPr>
              <w:t>ējums attiecas uz i</w:t>
            </w:r>
            <w:r w:rsidR="00815A33" w:rsidRPr="003E5C72">
              <w:rPr>
                <w:rFonts w:ascii="Times New Roman" w:hAnsi="Times New Roman" w:cs="Times New Roman"/>
                <w:sz w:val="24"/>
                <w:szCs w:val="24"/>
              </w:rPr>
              <w:t>zglītības iestādēm, k</w:t>
            </w:r>
            <w:r w:rsidRPr="003E5C72">
              <w:rPr>
                <w:rFonts w:ascii="Times New Roman" w:hAnsi="Times New Roman" w:cs="Times New Roman"/>
                <w:sz w:val="24"/>
                <w:szCs w:val="24"/>
              </w:rPr>
              <w:t>uras</w:t>
            </w:r>
            <w:r w:rsidR="00815A33" w:rsidRPr="003E5C72">
              <w:rPr>
                <w:rFonts w:ascii="Times New Roman" w:hAnsi="Times New Roman" w:cs="Times New Roman"/>
                <w:sz w:val="24"/>
                <w:szCs w:val="24"/>
              </w:rPr>
              <w:t xml:space="preserve"> īsteno profesionālās vidējās izglītības programmas, kas dod iespēju iegūt trešo prof</w:t>
            </w:r>
            <w:r w:rsidRPr="003E5C72">
              <w:rPr>
                <w:rFonts w:ascii="Times New Roman" w:hAnsi="Times New Roman" w:cs="Times New Roman"/>
                <w:sz w:val="24"/>
                <w:szCs w:val="24"/>
              </w:rPr>
              <w:t>esionālās kvalifikācijas līmeni.</w:t>
            </w:r>
            <w:r w:rsidR="00207252">
              <w:rPr>
                <w:rFonts w:ascii="Times New Roman" w:hAnsi="Times New Roman" w:cs="Times New Roman"/>
                <w:sz w:val="24"/>
                <w:szCs w:val="24"/>
              </w:rPr>
              <w:t xml:space="preserve"> </w:t>
            </w:r>
            <w:r w:rsidRPr="003E5C72">
              <w:rPr>
                <w:rFonts w:ascii="Times New Roman" w:hAnsi="Times New Roman" w:cs="Times New Roman"/>
                <w:sz w:val="24"/>
                <w:szCs w:val="24"/>
              </w:rPr>
              <w:t>Projekta 2.4.apakšpunktā ir noteikta profesionālās izglītības kompetences centra sadarbība</w:t>
            </w:r>
            <w:r w:rsidR="00207252">
              <w:rPr>
                <w:rFonts w:ascii="Times New Roman" w:hAnsi="Times New Roman" w:cs="Times New Roman"/>
                <w:sz w:val="24"/>
                <w:szCs w:val="24"/>
              </w:rPr>
              <w:t xml:space="preserve"> </w:t>
            </w:r>
            <w:r w:rsidRPr="003E5C72">
              <w:rPr>
                <w:rFonts w:ascii="Times New Roman" w:hAnsi="Times New Roman" w:cs="Times New Roman"/>
                <w:sz w:val="24"/>
                <w:szCs w:val="24"/>
              </w:rPr>
              <w:t xml:space="preserve">ar </w:t>
            </w:r>
            <w:r w:rsidR="00815A33" w:rsidRPr="003E5C72">
              <w:rPr>
                <w:rFonts w:ascii="Times New Roman" w:hAnsi="Times New Roman" w:cs="Times New Roman"/>
                <w:sz w:val="24"/>
                <w:szCs w:val="24"/>
              </w:rPr>
              <w:t>nozaru darba devēju organizācijām</w:t>
            </w:r>
            <w:r w:rsidRPr="003E5C72">
              <w:rPr>
                <w:rFonts w:ascii="Times New Roman" w:hAnsi="Times New Roman" w:cs="Times New Roman"/>
                <w:sz w:val="24"/>
                <w:szCs w:val="24"/>
              </w:rPr>
              <w:t>, plānojot to veikt</w:t>
            </w:r>
            <w:r w:rsidR="00815A33" w:rsidRPr="003E5C72">
              <w:rPr>
                <w:rFonts w:ascii="Times New Roman" w:hAnsi="Times New Roman" w:cs="Times New Roman"/>
                <w:sz w:val="24"/>
                <w:szCs w:val="24"/>
              </w:rPr>
              <w:t xml:space="preserve"> viso</w:t>
            </w:r>
            <w:r w:rsidRPr="003E5C72">
              <w:rPr>
                <w:rFonts w:ascii="Times New Roman" w:hAnsi="Times New Roman" w:cs="Times New Roman"/>
                <w:sz w:val="24"/>
                <w:szCs w:val="24"/>
              </w:rPr>
              <w:t>s Latvijas novados un pilsētās.</w:t>
            </w:r>
          </w:p>
          <w:p w:rsidR="00620EDF" w:rsidRPr="003E5C72" w:rsidRDefault="00620EDF" w:rsidP="000F4569">
            <w:pPr>
              <w:pStyle w:val="naiskr"/>
              <w:spacing w:before="0" w:after="0"/>
              <w:ind w:right="-1"/>
              <w:jc w:val="both"/>
            </w:pPr>
          </w:p>
          <w:p w:rsidR="00B47ED6" w:rsidRPr="003E5C72" w:rsidRDefault="00964AAF" w:rsidP="000F4569">
            <w:pPr>
              <w:pStyle w:val="naiskr"/>
              <w:spacing w:before="0" w:after="0"/>
              <w:ind w:right="-1"/>
              <w:jc w:val="both"/>
            </w:pPr>
            <w:r w:rsidRPr="003E5C72">
              <w:t>Pamatnostādnes nosaka, ka l</w:t>
            </w:r>
            <w:r w:rsidR="00815A33" w:rsidRPr="003E5C72">
              <w:t xml:space="preserve">īdz 2020.gadam ir </w:t>
            </w:r>
            <w:r w:rsidRPr="003E5C72">
              <w:t>jāizveido</w:t>
            </w:r>
            <w:r w:rsidR="00815A33" w:rsidRPr="003E5C72">
              <w:t xml:space="preserve"> 6 </w:t>
            </w:r>
            <w:r w:rsidR="00317829">
              <w:t>PIKC</w:t>
            </w:r>
            <w:r w:rsidR="00815A33" w:rsidRPr="003E5C72">
              <w:t xml:space="preserve"> no ministrijas padotīb</w:t>
            </w:r>
            <w:r w:rsidR="000F4569" w:rsidRPr="003E5C72">
              <w:t xml:space="preserve">ā esošajām izglītības iestādēm. Trīs ministrijas padotībā esošās mākslas un mūzikas profesionālās vidējās izglītības iestādes </w:t>
            </w:r>
            <w:r w:rsidR="00317829">
              <w:t>PIKC</w:t>
            </w:r>
            <w:r w:rsidR="000F4569" w:rsidRPr="003E5C72">
              <w:t xml:space="preserve"> statusu plāno iegūt patstāvīgi, izpildot Projektā iekļautos kritērijus.</w:t>
            </w:r>
            <w:r w:rsidR="00931AD4">
              <w:t xml:space="preserve"> </w:t>
            </w:r>
            <w:r w:rsidR="000F4569" w:rsidRPr="003E5C72">
              <w:t xml:space="preserve">Lai </w:t>
            </w:r>
            <w:r w:rsidR="004A0BAB" w:rsidRPr="003E5C72">
              <w:t>nodrošinātu pārējo</w:t>
            </w:r>
            <w:r w:rsidR="00931AD4">
              <w:t xml:space="preserve"> </w:t>
            </w:r>
            <w:r w:rsidR="00317829">
              <w:t>PIKC</w:t>
            </w:r>
            <w:r w:rsidR="00931AD4">
              <w:t xml:space="preserve"> </w:t>
            </w:r>
            <w:r w:rsidR="000F4569" w:rsidRPr="003E5C72">
              <w:t>izveidi, plānots</w:t>
            </w:r>
            <w:r w:rsidR="00815A33" w:rsidRPr="003E5C72">
              <w:t xml:space="preserve"> reorganizēt </w:t>
            </w:r>
            <w:r w:rsidR="004A0BAB" w:rsidRPr="003E5C72">
              <w:t>sešas</w:t>
            </w:r>
            <w:r w:rsidR="00931AD4">
              <w:t xml:space="preserve"> </w:t>
            </w:r>
            <w:r w:rsidR="000F4569" w:rsidRPr="003E5C72">
              <w:t xml:space="preserve">ministrijas padotībā </w:t>
            </w:r>
            <w:r w:rsidR="00815A33" w:rsidRPr="003E5C72">
              <w:t xml:space="preserve">esošās mākslas un mūzikas </w:t>
            </w:r>
            <w:r w:rsidR="000F4569" w:rsidRPr="003E5C72">
              <w:t xml:space="preserve">profesionālās </w:t>
            </w:r>
            <w:r w:rsidR="00815A33" w:rsidRPr="003E5C72">
              <w:t>vid</w:t>
            </w:r>
            <w:r w:rsidR="000F4569" w:rsidRPr="003E5C72">
              <w:t>ējās izglītības iestādes</w:t>
            </w:r>
            <w:r w:rsidR="00815A33" w:rsidRPr="003E5C72">
              <w:t xml:space="preserve"> un uz to bāzes izveidot </w:t>
            </w:r>
            <w:r w:rsidR="004A0BAB" w:rsidRPr="003E5C72">
              <w:t>trīs</w:t>
            </w:r>
            <w:r w:rsidR="00815A33" w:rsidRPr="003E5C72">
              <w:t xml:space="preserve"> starpnozaru </w:t>
            </w:r>
            <w:r w:rsidR="000F4569" w:rsidRPr="003E5C72">
              <w:t xml:space="preserve">profesionālās izglītības </w:t>
            </w:r>
            <w:r w:rsidR="00815A33" w:rsidRPr="003E5C72">
              <w:t>kompetences centrus.</w:t>
            </w:r>
            <w:r w:rsidR="00931AD4">
              <w:t xml:space="preserve"> </w:t>
            </w:r>
            <w:r w:rsidR="00B8047B">
              <w:t xml:space="preserve">Pamatnostādnēs kā potenciālie </w:t>
            </w:r>
            <w:r w:rsidR="00317829">
              <w:t>PIKC</w:t>
            </w:r>
            <w:r w:rsidR="00B8047B">
              <w:t xml:space="preserve">, kas plānoti pēc 2018.gada, ir iezīmētas divas pašvaldību dibinātas mākslas un dizaina skolas – Daugavpils Dizaina un mākslas vidusskola „Saules skola” un Valmieras Mākslas vidusskola. </w:t>
            </w:r>
            <w:r w:rsidR="00815A33" w:rsidRPr="003E5C72">
              <w:t xml:space="preserve">Vidējais izglītojamo skaits </w:t>
            </w:r>
            <w:r w:rsidR="004A0BAB" w:rsidRPr="003E5C72">
              <w:t xml:space="preserve">izveidotajos </w:t>
            </w:r>
            <w:r w:rsidR="00317829">
              <w:t>PIKC</w:t>
            </w:r>
            <w:r w:rsidR="00815A33" w:rsidRPr="003E5C72">
              <w:t xml:space="preserve"> plānots ap 3500 izglītojamiem</w:t>
            </w:r>
            <w:r w:rsidR="004A0BAB" w:rsidRPr="003E5C72">
              <w:t xml:space="preserve"> attiecīgajā mācību gadā</w:t>
            </w:r>
            <w:r w:rsidR="00815A33" w:rsidRPr="003E5C72">
              <w:t>, no tiem ap 1430</w:t>
            </w:r>
            <w:r w:rsidR="004A0BAB" w:rsidRPr="003E5C72">
              <w:t xml:space="preserve"> izglītojamiem</w:t>
            </w:r>
            <w:r w:rsidR="00815A33" w:rsidRPr="003E5C72">
              <w:t xml:space="preserve"> – profesionālās vidējās izglītības programmās.</w:t>
            </w:r>
          </w:p>
          <w:p w:rsidR="00620EDF" w:rsidRPr="003E5C72" w:rsidRDefault="00620EDF" w:rsidP="008C70F6">
            <w:pPr>
              <w:pStyle w:val="naiskr"/>
              <w:spacing w:before="0" w:after="0"/>
              <w:ind w:right="-1"/>
              <w:jc w:val="both"/>
            </w:pPr>
          </w:p>
          <w:p w:rsidR="00815A33" w:rsidRPr="003E5C72" w:rsidRDefault="00273E0E" w:rsidP="00317829">
            <w:pPr>
              <w:pStyle w:val="naiskr"/>
              <w:spacing w:before="0" w:after="0"/>
              <w:ind w:right="-1"/>
              <w:jc w:val="both"/>
            </w:pPr>
            <w:r w:rsidRPr="003E5C72">
              <w:t>Projekta t</w:t>
            </w:r>
            <w:r w:rsidR="00815A33" w:rsidRPr="003E5C72">
              <w:t xml:space="preserve">iesiskais regulējums var ietekmēt </w:t>
            </w:r>
            <w:r w:rsidRPr="003E5C72">
              <w:t>tās personas,</w:t>
            </w:r>
            <w:r w:rsidR="00815A33" w:rsidRPr="003E5C72">
              <w:t xml:space="preserve"> kur</w:t>
            </w:r>
            <w:r w:rsidRPr="003E5C72">
              <w:t>as</w:t>
            </w:r>
            <w:r w:rsidR="00815A33" w:rsidRPr="003E5C72">
              <w:t xml:space="preserve"> vēlas iegūt profesionālo kvalifikāciju vai pilnveidot savas profesionālās zināšanas, prasmes</w:t>
            </w:r>
            <w:r w:rsidRPr="003E5C72">
              <w:t xml:space="preserve"> un kompetences māksl</w:t>
            </w:r>
            <w:r w:rsidR="00E2073E" w:rsidRPr="003E5C72">
              <w:t>as</w:t>
            </w:r>
            <w:r w:rsidRPr="003E5C72">
              <w:t xml:space="preserve"> mūzik</w:t>
            </w:r>
            <w:r w:rsidR="00E2073E" w:rsidRPr="003E5C72">
              <w:t>as</w:t>
            </w:r>
            <w:r w:rsidRPr="003E5C72">
              <w:t xml:space="preserve"> vai</w:t>
            </w:r>
            <w:r w:rsidR="00886F3E">
              <w:t xml:space="preserve"> </w:t>
            </w:r>
            <w:r w:rsidRPr="003E5C72">
              <w:t xml:space="preserve">skatuves mākslas profesionālās vidējās izglītības programmās, profesionālās ievirzes izglītības programmās un profesionālās tālākizglītības </w:t>
            </w:r>
            <w:r w:rsidRPr="003E5C72">
              <w:lastRenderedPageBreak/>
              <w:t>programmās</w:t>
            </w:r>
            <w:r w:rsidR="00815A33" w:rsidRPr="003E5C72">
              <w:t xml:space="preserve">. </w:t>
            </w:r>
            <w:r w:rsidR="008C70F6" w:rsidRPr="003E5C72">
              <w:t>Projekta t</w:t>
            </w:r>
            <w:r w:rsidR="00815A33" w:rsidRPr="003E5C72">
              <w:t xml:space="preserve">iesiskais regulējums var ietekmēt </w:t>
            </w:r>
            <w:r w:rsidR="008C70F6" w:rsidRPr="003E5C72">
              <w:t xml:space="preserve">Latvijas Republikas pilsētas un </w:t>
            </w:r>
            <w:r w:rsidR="00815A33" w:rsidRPr="003E5C72">
              <w:t xml:space="preserve">reģionus, kuros tiek izveidoti </w:t>
            </w:r>
            <w:r w:rsidR="00317829">
              <w:t>PIKC</w:t>
            </w:r>
            <w:r w:rsidR="00815A33" w:rsidRPr="003E5C72">
              <w:t>, veicinot tieši reģionam raksturīgas mākslas</w:t>
            </w:r>
            <w:r w:rsidR="008C70F6" w:rsidRPr="003E5C72">
              <w:t xml:space="preserve"> un mūzikas</w:t>
            </w:r>
            <w:r w:rsidR="00815A33" w:rsidRPr="003E5C72">
              <w:t xml:space="preserve"> nozares attīstību, nodrošinot ar atbilstošiem speciālistiem.</w:t>
            </w:r>
          </w:p>
        </w:tc>
      </w:tr>
      <w:tr w:rsidR="00B47ED6" w:rsidRPr="003E5C72" w:rsidTr="00E8108B">
        <w:trPr>
          <w:trHeight w:val="523"/>
          <w:tblCellSpacing w:w="0" w:type="dxa"/>
        </w:trPr>
        <w:tc>
          <w:tcPr>
            <w:tcW w:w="582" w:type="dxa"/>
            <w:tcBorders>
              <w:top w:val="outset" w:sz="6" w:space="0" w:color="auto"/>
              <w:left w:val="outset" w:sz="6" w:space="0" w:color="auto"/>
              <w:bottom w:val="outset" w:sz="6" w:space="0" w:color="auto"/>
              <w:right w:val="outset" w:sz="6" w:space="0" w:color="auto"/>
            </w:tcBorders>
          </w:tcPr>
          <w:p w:rsidR="00B47ED6" w:rsidRPr="003E5C72" w:rsidRDefault="00B47ED6" w:rsidP="00B47ED6">
            <w:pPr>
              <w:pStyle w:val="naiskr"/>
              <w:spacing w:before="0" w:after="0"/>
              <w:jc w:val="center"/>
            </w:pPr>
            <w:r w:rsidRPr="003E5C72">
              <w:lastRenderedPageBreak/>
              <w:t>2.</w:t>
            </w:r>
          </w:p>
        </w:tc>
        <w:tc>
          <w:tcPr>
            <w:tcW w:w="2890" w:type="dxa"/>
            <w:tcBorders>
              <w:top w:val="outset" w:sz="6" w:space="0" w:color="auto"/>
              <w:left w:val="outset" w:sz="6" w:space="0" w:color="auto"/>
              <w:bottom w:val="outset" w:sz="6" w:space="0" w:color="auto"/>
              <w:right w:val="outset" w:sz="6" w:space="0" w:color="auto"/>
            </w:tcBorders>
          </w:tcPr>
          <w:p w:rsidR="00B47ED6" w:rsidRPr="003E5C72" w:rsidRDefault="00B47ED6" w:rsidP="00B47ED6">
            <w:pPr>
              <w:pStyle w:val="naiskr"/>
              <w:spacing w:before="0" w:after="0"/>
            </w:pPr>
            <w:r w:rsidRPr="003E5C72">
              <w:t>Tiesiskā regulējuma ietekme uz tautsaimniecību un administratīvo slogu</w:t>
            </w:r>
          </w:p>
        </w:tc>
        <w:tc>
          <w:tcPr>
            <w:tcW w:w="0" w:type="auto"/>
            <w:tcBorders>
              <w:top w:val="outset" w:sz="6" w:space="0" w:color="auto"/>
              <w:left w:val="outset" w:sz="6" w:space="0" w:color="auto"/>
              <w:bottom w:val="outset" w:sz="6" w:space="0" w:color="auto"/>
              <w:right w:val="outset" w:sz="6" w:space="0" w:color="auto"/>
            </w:tcBorders>
          </w:tcPr>
          <w:p w:rsidR="0042581D" w:rsidRPr="003E5C72" w:rsidRDefault="00F80A7B" w:rsidP="00F80A7B">
            <w:pPr>
              <w:tabs>
                <w:tab w:val="left" w:pos="5599"/>
              </w:tabs>
              <w:spacing w:after="0" w:line="240" w:lineRule="auto"/>
              <w:ind w:left="57"/>
              <w:jc w:val="both"/>
              <w:rPr>
                <w:sz w:val="24"/>
                <w:szCs w:val="24"/>
              </w:rPr>
            </w:pPr>
            <w:r w:rsidRPr="003E5C72">
              <w:rPr>
                <w:rFonts w:ascii="Times New Roman" w:hAnsi="Times New Roman" w:cs="Times New Roman"/>
                <w:sz w:val="24"/>
                <w:szCs w:val="24"/>
              </w:rPr>
              <w:t>Projektā noteiktais tiesiskais regulējums</w:t>
            </w:r>
            <w:r w:rsidR="0042581D" w:rsidRPr="003E5C72">
              <w:rPr>
                <w:rFonts w:ascii="Times New Roman" w:hAnsi="Times New Roman" w:cs="Times New Roman"/>
                <w:sz w:val="24"/>
                <w:szCs w:val="24"/>
              </w:rPr>
              <w:t xml:space="preserve"> nodrošinās </w:t>
            </w:r>
            <w:r w:rsidRPr="003E5C72">
              <w:rPr>
                <w:rFonts w:ascii="Times New Roman" w:hAnsi="Times New Roman" w:cs="Times New Roman"/>
                <w:sz w:val="24"/>
                <w:szCs w:val="24"/>
              </w:rPr>
              <w:t xml:space="preserve">iespēju mūzikas un mākslas profesionālajām vidējās izglītības </w:t>
            </w:r>
            <w:r w:rsidR="0042581D" w:rsidRPr="003E5C72">
              <w:rPr>
                <w:rFonts w:ascii="Times New Roman" w:hAnsi="Times New Roman" w:cs="Times New Roman"/>
                <w:sz w:val="24"/>
                <w:szCs w:val="24"/>
              </w:rPr>
              <w:t>iestād</w:t>
            </w:r>
            <w:r w:rsidRPr="003E5C72">
              <w:rPr>
                <w:rFonts w:ascii="Times New Roman" w:hAnsi="Times New Roman" w:cs="Times New Roman"/>
                <w:sz w:val="24"/>
                <w:szCs w:val="24"/>
              </w:rPr>
              <w:t>ēm</w:t>
            </w:r>
            <w:r w:rsidR="0042581D" w:rsidRPr="003E5C72">
              <w:rPr>
                <w:rFonts w:ascii="Times New Roman" w:hAnsi="Times New Roman" w:cs="Times New Roman"/>
                <w:sz w:val="24"/>
                <w:szCs w:val="24"/>
              </w:rPr>
              <w:t xml:space="preserve"> ar augstākiem</w:t>
            </w:r>
            <w:r w:rsidR="00E73C77" w:rsidRPr="003E5C72">
              <w:rPr>
                <w:rFonts w:ascii="Times New Roman" w:hAnsi="Times New Roman" w:cs="Times New Roman"/>
                <w:sz w:val="24"/>
                <w:szCs w:val="24"/>
              </w:rPr>
              <w:t xml:space="preserve"> profesionālās izglītības</w:t>
            </w:r>
            <w:r w:rsidR="0042581D" w:rsidRPr="003E5C72">
              <w:rPr>
                <w:rFonts w:ascii="Times New Roman" w:hAnsi="Times New Roman" w:cs="Times New Roman"/>
                <w:sz w:val="24"/>
                <w:szCs w:val="24"/>
              </w:rPr>
              <w:t xml:space="preserve"> kvalitatīvajiem rādījumiem </w:t>
            </w:r>
            <w:r w:rsidRPr="003E5C72">
              <w:rPr>
                <w:rFonts w:ascii="Times New Roman" w:hAnsi="Times New Roman" w:cs="Times New Roman"/>
                <w:sz w:val="24"/>
                <w:szCs w:val="24"/>
              </w:rPr>
              <w:t>p</w:t>
            </w:r>
            <w:r w:rsidR="0042581D" w:rsidRPr="003E5C72">
              <w:rPr>
                <w:rFonts w:ascii="Times New Roman" w:hAnsi="Times New Roman" w:cs="Times New Roman"/>
                <w:sz w:val="24"/>
                <w:szCs w:val="24"/>
              </w:rPr>
              <w:t xml:space="preserve">retendēt uz </w:t>
            </w:r>
            <w:r w:rsidRPr="003E5C72">
              <w:rPr>
                <w:rFonts w:ascii="Times New Roman" w:hAnsi="Times New Roman" w:cs="Times New Roman"/>
                <w:sz w:val="24"/>
                <w:szCs w:val="24"/>
              </w:rPr>
              <w:t xml:space="preserve">profesionālās izglītības </w:t>
            </w:r>
            <w:r w:rsidR="0042581D" w:rsidRPr="003E5C72">
              <w:rPr>
                <w:rFonts w:ascii="Times New Roman" w:hAnsi="Times New Roman" w:cs="Times New Roman"/>
                <w:sz w:val="24"/>
                <w:szCs w:val="24"/>
              </w:rPr>
              <w:t xml:space="preserve">kompetences centra statusu, kā arī </w:t>
            </w:r>
            <w:r w:rsidRPr="003E5C72">
              <w:rPr>
                <w:rFonts w:ascii="Times New Roman" w:hAnsi="Times New Roman" w:cs="Times New Roman"/>
                <w:sz w:val="24"/>
                <w:szCs w:val="24"/>
              </w:rPr>
              <w:t xml:space="preserve">uz </w:t>
            </w:r>
            <w:r w:rsidR="0042581D" w:rsidRPr="003E5C72">
              <w:rPr>
                <w:rFonts w:ascii="Times New Roman" w:hAnsi="Times New Roman" w:cs="Times New Roman"/>
                <w:sz w:val="24"/>
                <w:szCs w:val="24"/>
              </w:rPr>
              <w:t xml:space="preserve">papildu finansējumu </w:t>
            </w:r>
            <w:r w:rsidRPr="003E5C72">
              <w:rPr>
                <w:rFonts w:ascii="Times New Roman" w:hAnsi="Times New Roman" w:cs="Times New Roman"/>
                <w:sz w:val="24"/>
                <w:szCs w:val="24"/>
              </w:rPr>
              <w:t xml:space="preserve">šo izglītības iestāžu </w:t>
            </w:r>
            <w:r w:rsidR="0042581D" w:rsidRPr="003E5C72">
              <w:rPr>
                <w:rFonts w:ascii="Times New Roman" w:hAnsi="Times New Roman" w:cs="Times New Roman"/>
                <w:sz w:val="24"/>
                <w:szCs w:val="24"/>
              </w:rPr>
              <w:t>pedagogiem par papildu funkciju veikšanu.</w:t>
            </w:r>
          </w:p>
        </w:tc>
      </w:tr>
      <w:tr w:rsidR="00B47ED6" w:rsidRPr="003E5C72" w:rsidTr="00E8108B">
        <w:trPr>
          <w:trHeight w:val="405"/>
          <w:tblCellSpacing w:w="0" w:type="dxa"/>
        </w:trPr>
        <w:tc>
          <w:tcPr>
            <w:tcW w:w="582" w:type="dxa"/>
            <w:tcBorders>
              <w:top w:val="outset" w:sz="6" w:space="0" w:color="auto"/>
              <w:left w:val="outset" w:sz="6" w:space="0" w:color="auto"/>
              <w:bottom w:val="outset" w:sz="6" w:space="0" w:color="auto"/>
              <w:right w:val="outset" w:sz="6" w:space="0" w:color="auto"/>
            </w:tcBorders>
          </w:tcPr>
          <w:p w:rsidR="00B47ED6" w:rsidRPr="003E5C72" w:rsidRDefault="00B47ED6" w:rsidP="00B47ED6">
            <w:pPr>
              <w:pStyle w:val="naiskr"/>
              <w:spacing w:before="0" w:after="0"/>
              <w:jc w:val="center"/>
            </w:pPr>
            <w:r w:rsidRPr="003E5C72">
              <w:t>3.</w:t>
            </w:r>
          </w:p>
        </w:tc>
        <w:tc>
          <w:tcPr>
            <w:tcW w:w="2890" w:type="dxa"/>
            <w:tcBorders>
              <w:top w:val="outset" w:sz="6" w:space="0" w:color="auto"/>
              <w:left w:val="outset" w:sz="6" w:space="0" w:color="auto"/>
              <w:bottom w:val="outset" w:sz="6" w:space="0" w:color="auto"/>
              <w:right w:val="outset" w:sz="6" w:space="0" w:color="auto"/>
            </w:tcBorders>
          </w:tcPr>
          <w:p w:rsidR="00B47ED6" w:rsidRPr="003E5C72" w:rsidRDefault="00B47ED6" w:rsidP="00B47ED6">
            <w:pPr>
              <w:pStyle w:val="naiskr"/>
              <w:spacing w:before="0" w:after="0"/>
              <w:jc w:val="both"/>
            </w:pPr>
            <w:r w:rsidRPr="003E5C72">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tcPr>
          <w:p w:rsidR="00B47ED6" w:rsidRDefault="00EB5628" w:rsidP="00A954D0">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Projekta radīto administratīvo izmaksu (izmaksas, ko rada informācijas sniegšanas vai uzglabāšanas pienākumi) aprēķins veikts (Projekta 9.,10.,11.,12.punkts), izmantojot šādu formulu:</w:t>
            </w:r>
          </w:p>
          <w:p w:rsidR="00EB5628" w:rsidRPr="00EB5628" w:rsidRDefault="00EB5628" w:rsidP="00A954D0">
            <w:pPr>
              <w:spacing w:after="0" w:line="240" w:lineRule="auto"/>
              <w:jc w:val="both"/>
              <w:rPr>
                <w:rFonts w:ascii="Times New Roman" w:eastAsia="Times New Roman" w:hAnsi="Times New Roman" w:cs="Times New Roman"/>
                <w:sz w:val="24"/>
                <w:szCs w:val="24"/>
              </w:rPr>
            </w:pPr>
            <w:r w:rsidRPr="00EB5628">
              <w:rPr>
                <w:rFonts w:ascii="Times New Roman" w:eastAsia="Times New Roman" w:hAnsi="Times New Roman" w:cs="Times New Roman"/>
                <w:sz w:val="24"/>
                <w:szCs w:val="24"/>
              </w:rPr>
              <w:t>C = (f x l) x (n x b), kur</w:t>
            </w:r>
          </w:p>
          <w:p w:rsidR="00EB5628" w:rsidRPr="00EB5628" w:rsidRDefault="00EB5628" w:rsidP="00A954D0">
            <w:pPr>
              <w:spacing w:after="0" w:line="240" w:lineRule="auto"/>
              <w:jc w:val="both"/>
              <w:rPr>
                <w:rFonts w:ascii="Times New Roman" w:eastAsia="Times New Roman" w:hAnsi="Times New Roman" w:cs="Times New Roman"/>
                <w:sz w:val="24"/>
                <w:szCs w:val="24"/>
              </w:rPr>
            </w:pPr>
            <w:r w:rsidRPr="00EB5628">
              <w:rPr>
                <w:rFonts w:ascii="Times New Roman" w:eastAsia="Times New Roman" w:hAnsi="Times New Roman" w:cs="Times New Roman"/>
                <w:sz w:val="24"/>
                <w:szCs w:val="24"/>
              </w:rPr>
              <w:t>C – informācijas sniegšanas pienākuma radītās izmaksas jeb administratīvās izmaksas;</w:t>
            </w:r>
          </w:p>
          <w:p w:rsidR="00EB5628" w:rsidRPr="00EB5628" w:rsidRDefault="00EB5628" w:rsidP="00A954D0">
            <w:pPr>
              <w:spacing w:after="0" w:line="240" w:lineRule="auto"/>
              <w:jc w:val="both"/>
              <w:rPr>
                <w:rFonts w:ascii="Times New Roman" w:eastAsia="Times New Roman" w:hAnsi="Times New Roman" w:cs="Times New Roman"/>
                <w:sz w:val="24"/>
                <w:szCs w:val="24"/>
              </w:rPr>
            </w:pPr>
            <w:r w:rsidRPr="00EB5628">
              <w:rPr>
                <w:rFonts w:ascii="Times New Roman" w:eastAsia="Times New Roman" w:hAnsi="Times New Roman" w:cs="Times New Roman"/>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EB5628" w:rsidRPr="00EB5628" w:rsidRDefault="00EB5628" w:rsidP="00A954D0">
            <w:pPr>
              <w:spacing w:after="0" w:line="240" w:lineRule="auto"/>
              <w:jc w:val="both"/>
              <w:rPr>
                <w:rFonts w:ascii="Times New Roman" w:eastAsia="Times New Roman" w:hAnsi="Times New Roman" w:cs="Times New Roman"/>
                <w:sz w:val="24"/>
                <w:szCs w:val="24"/>
              </w:rPr>
            </w:pPr>
            <w:r w:rsidRPr="00EB5628">
              <w:rPr>
                <w:rFonts w:ascii="Times New Roman" w:eastAsia="Times New Roman" w:hAnsi="Times New Roman" w:cs="Times New Roman"/>
                <w:sz w:val="24"/>
                <w:szCs w:val="24"/>
              </w:rPr>
              <w:t>l – laika patēriņš, kas nepieciešams, lai sagatavotu informāciju, kuras sniegšanu paredz projekts;</w:t>
            </w:r>
          </w:p>
          <w:p w:rsidR="00EB5628" w:rsidRPr="00EB5628" w:rsidRDefault="00EB5628" w:rsidP="00A954D0">
            <w:pPr>
              <w:spacing w:after="0" w:line="240" w:lineRule="auto"/>
              <w:jc w:val="both"/>
              <w:rPr>
                <w:rFonts w:ascii="Times New Roman" w:eastAsia="Times New Roman" w:hAnsi="Times New Roman" w:cs="Times New Roman"/>
                <w:sz w:val="24"/>
                <w:szCs w:val="24"/>
              </w:rPr>
            </w:pPr>
            <w:r w:rsidRPr="00EB5628">
              <w:rPr>
                <w:rFonts w:ascii="Times New Roman" w:eastAsia="Times New Roman" w:hAnsi="Times New Roman" w:cs="Times New Roman"/>
                <w:sz w:val="24"/>
                <w:szCs w:val="24"/>
              </w:rPr>
              <w:t>n – subjektu skaits, uz ko attiecas projektā paredzētās informācijas sniegšanas prasības;</w:t>
            </w:r>
          </w:p>
          <w:p w:rsidR="00EB5628" w:rsidRDefault="00EB5628" w:rsidP="00A954D0">
            <w:pPr>
              <w:spacing w:after="0" w:line="240" w:lineRule="auto"/>
              <w:jc w:val="both"/>
              <w:rPr>
                <w:rFonts w:ascii="Times New Roman" w:eastAsia="Times New Roman" w:hAnsi="Times New Roman" w:cs="Times New Roman"/>
                <w:sz w:val="24"/>
                <w:szCs w:val="24"/>
              </w:rPr>
            </w:pPr>
            <w:r w:rsidRPr="00EB5628">
              <w:rPr>
                <w:rFonts w:ascii="Times New Roman" w:eastAsia="Times New Roman" w:hAnsi="Times New Roman" w:cs="Times New Roman"/>
                <w:sz w:val="24"/>
                <w:szCs w:val="24"/>
              </w:rPr>
              <w:t>b – cik bieži gada laikā projekts paredz informācijas sniegšanu.</w:t>
            </w:r>
          </w:p>
          <w:p w:rsidR="00EB5628" w:rsidRDefault="00EB5628" w:rsidP="00A9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Informācijas sagatavošanas un sniegšanas pienākums (informācija, kas attiecas uz Projekta 2.punktā ietvertajiem kritērijiem) būs vienreizējs (kad izglītības iestādes gatavos iesniegumu PIKC statusa saņemšanai) un turpmāk </w:t>
            </w:r>
            <w:r w:rsidR="00FD460C">
              <w:rPr>
                <w:rFonts w:ascii="Times New Roman" w:eastAsia="Times New Roman" w:hAnsi="Times New Roman" w:cs="Times New Roman"/>
                <w:sz w:val="24"/>
                <w:szCs w:val="24"/>
              </w:rPr>
              <w:t xml:space="preserve">pēc PIKC statusa iegūšanas </w:t>
            </w:r>
            <w:r>
              <w:rPr>
                <w:rFonts w:ascii="Times New Roman" w:eastAsia="Times New Roman" w:hAnsi="Times New Roman" w:cs="Times New Roman"/>
                <w:sz w:val="24"/>
                <w:szCs w:val="24"/>
              </w:rPr>
              <w:t xml:space="preserve">ikgadējs atbilstoši Projekta 9.punktam, un ir attiecināms </w:t>
            </w:r>
            <w:r w:rsidR="00A954D0">
              <w:rPr>
                <w:rFonts w:ascii="Times New Roman" w:eastAsia="Times New Roman" w:hAnsi="Times New Roman" w:cs="Times New Roman"/>
                <w:sz w:val="24"/>
                <w:szCs w:val="24"/>
              </w:rPr>
              <w:t xml:space="preserve">uz izglītības iestādēm, kuras plāno pieteikties uz PIKC statusu (atbilstoši Koncepcijai 2015.gadā tās ir divas vidējās profesionālās izglītības iestādes, 2016.gadā tās ir trīs, 2018.gadā – viena, bet laika periodā 2018.-2020.gads vēl divas). Informācijas sagatavošanas un sniegšanas pienākums saistīts ar informāciju, kuru sagatavo </w:t>
            </w:r>
            <w:r w:rsidR="001C3B2B">
              <w:rPr>
                <w:rFonts w:ascii="Times New Roman" w:eastAsia="Times New Roman" w:hAnsi="Times New Roman" w:cs="Times New Roman"/>
                <w:sz w:val="24"/>
                <w:szCs w:val="24"/>
              </w:rPr>
              <w:t>direktora vietnieks</w:t>
            </w:r>
            <w:r w:rsidR="00A954D0">
              <w:rPr>
                <w:rFonts w:ascii="Times New Roman" w:eastAsia="Times New Roman" w:hAnsi="Times New Roman" w:cs="Times New Roman"/>
                <w:sz w:val="24"/>
                <w:szCs w:val="24"/>
              </w:rPr>
              <w:t xml:space="preserve"> un lietvedis, tāpēc </w:t>
            </w:r>
            <w:r w:rsidR="001B787B">
              <w:rPr>
                <w:rFonts w:ascii="Times New Roman" w:eastAsia="Times New Roman" w:hAnsi="Times New Roman" w:cs="Times New Roman"/>
                <w:sz w:val="24"/>
                <w:szCs w:val="24"/>
              </w:rPr>
              <w:t xml:space="preserve">lai </w:t>
            </w:r>
            <w:r w:rsidR="00A954D0">
              <w:rPr>
                <w:rFonts w:ascii="Times New Roman" w:eastAsia="Times New Roman" w:hAnsi="Times New Roman" w:cs="Times New Roman"/>
                <w:sz w:val="24"/>
                <w:szCs w:val="24"/>
              </w:rPr>
              <w:t>aprēķin</w:t>
            </w:r>
            <w:r w:rsidR="001B787B">
              <w:rPr>
                <w:rFonts w:ascii="Times New Roman" w:eastAsia="Times New Roman" w:hAnsi="Times New Roman" w:cs="Times New Roman"/>
                <w:sz w:val="24"/>
                <w:szCs w:val="24"/>
              </w:rPr>
              <w:t>ātu</w:t>
            </w:r>
            <w:r w:rsidR="00A954D0">
              <w:rPr>
                <w:rFonts w:ascii="Times New Roman" w:eastAsia="Times New Roman" w:hAnsi="Times New Roman" w:cs="Times New Roman"/>
                <w:sz w:val="24"/>
                <w:szCs w:val="24"/>
              </w:rPr>
              <w:t xml:space="preserve"> administratīvo izmaksu nov</w:t>
            </w:r>
            <w:r w:rsidR="003750E8">
              <w:rPr>
                <w:rFonts w:ascii="Times New Roman" w:eastAsia="Times New Roman" w:hAnsi="Times New Roman" w:cs="Times New Roman"/>
                <w:sz w:val="24"/>
                <w:szCs w:val="24"/>
              </w:rPr>
              <w:t>ē</w:t>
            </w:r>
            <w:r w:rsidR="00A954D0">
              <w:rPr>
                <w:rFonts w:ascii="Times New Roman" w:eastAsia="Times New Roman" w:hAnsi="Times New Roman" w:cs="Times New Roman"/>
                <w:sz w:val="24"/>
                <w:szCs w:val="24"/>
              </w:rPr>
              <w:t>rtējum</w:t>
            </w:r>
            <w:r w:rsidR="001B787B">
              <w:rPr>
                <w:rFonts w:ascii="Times New Roman" w:eastAsia="Times New Roman" w:hAnsi="Times New Roman" w:cs="Times New Roman"/>
                <w:sz w:val="24"/>
                <w:szCs w:val="24"/>
              </w:rPr>
              <w:t>u</w:t>
            </w:r>
            <w:r w:rsidR="00A954D0">
              <w:rPr>
                <w:rFonts w:ascii="Times New Roman" w:eastAsia="Times New Roman" w:hAnsi="Times New Roman" w:cs="Times New Roman"/>
                <w:sz w:val="24"/>
                <w:szCs w:val="24"/>
              </w:rPr>
              <w:t xml:space="preserve"> šai mērķgrupai</w:t>
            </w:r>
            <w:r w:rsidR="001B787B">
              <w:rPr>
                <w:rFonts w:ascii="Times New Roman" w:eastAsia="Times New Roman" w:hAnsi="Times New Roman" w:cs="Times New Roman"/>
                <w:sz w:val="24"/>
                <w:szCs w:val="24"/>
              </w:rPr>
              <w:t>, tika izmantoti</w:t>
            </w:r>
            <w:r w:rsidR="00A954D0">
              <w:rPr>
                <w:rFonts w:ascii="Times New Roman" w:eastAsia="Times New Roman" w:hAnsi="Times New Roman" w:cs="Times New Roman"/>
                <w:sz w:val="24"/>
                <w:szCs w:val="24"/>
              </w:rPr>
              <w:t xml:space="preserve"> Centrālās Statistikas pārvaldes dati par </w:t>
            </w:r>
            <w:r w:rsidR="003750E8">
              <w:rPr>
                <w:rFonts w:ascii="Times New Roman" w:eastAsia="Times New Roman" w:hAnsi="Times New Roman" w:cs="Times New Roman"/>
                <w:sz w:val="24"/>
                <w:szCs w:val="24"/>
              </w:rPr>
              <w:t xml:space="preserve">biroju administratīvo darbību darbaspēka </w:t>
            </w:r>
            <w:r w:rsidR="00E54D0B">
              <w:rPr>
                <w:rFonts w:ascii="Times New Roman" w:eastAsia="Times New Roman" w:hAnsi="Times New Roman" w:cs="Times New Roman"/>
                <w:sz w:val="24"/>
                <w:szCs w:val="24"/>
              </w:rPr>
              <w:t>izmaksām vienā stundā, proti, 6,</w:t>
            </w:r>
            <w:r w:rsidR="003750E8">
              <w:rPr>
                <w:rFonts w:ascii="Times New Roman" w:eastAsia="Times New Roman" w:hAnsi="Times New Roman" w:cs="Times New Roman"/>
                <w:sz w:val="24"/>
                <w:szCs w:val="24"/>
              </w:rPr>
              <w:t xml:space="preserve">47 </w:t>
            </w:r>
            <w:r w:rsidR="003750E8" w:rsidRPr="003750E8">
              <w:rPr>
                <w:rFonts w:ascii="Times New Roman" w:eastAsia="Times New Roman" w:hAnsi="Times New Roman" w:cs="Times New Roman"/>
                <w:i/>
                <w:sz w:val="24"/>
                <w:szCs w:val="24"/>
              </w:rPr>
              <w:t>euro</w:t>
            </w:r>
            <w:r w:rsidR="001B787B">
              <w:rPr>
                <w:rFonts w:ascii="Times New Roman" w:hAnsi="Times New Roman" w:cs="Times New Roman"/>
                <w:sz w:val="24"/>
                <w:szCs w:val="24"/>
              </w:rPr>
              <w:t xml:space="preserve">, </w:t>
            </w:r>
            <w:r w:rsidR="001C3B2B">
              <w:rPr>
                <w:rFonts w:ascii="Times New Roman" w:hAnsi="Times New Roman" w:cs="Times New Roman"/>
                <w:sz w:val="24"/>
                <w:szCs w:val="24"/>
              </w:rPr>
              <w:t>t.sk. pieskaitāmās izmaksas 25% apmērā</w:t>
            </w:r>
            <w:r w:rsidR="003750E8">
              <w:rPr>
                <w:rFonts w:ascii="Times New Roman" w:eastAsia="Times New Roman" w:hAnsi="Times New Roman" w:cs="Times New Roman"/>
                <w:sz w:val="24"/>
                <w:szCs w:val="24"/>
              </w:rPr>
              <w:t xml:space="preserve">. </w:t>
            </w:r>
            <w:r w:rsidR="001C3B2B">
              <w:rPr>
                <w:rFonts w:ascii="Times New Roman" w:eastAsia="Times New Roman" w:hAnsi="Times New Roman" w:cs="Times New Roman"/>
                <w:sz w:val="24"/>
                <w:szCs w:val="24"/>
              </w:rPr>
              <w:t xml:space="preserve">Laika patēriņš šādām darbībām tiek prognozēts aptuveni 8 stundas. Tādējādi mērķgrupai – </w:t>
            </w:r>
            <w:r w:rsidR="006E1F64">
              <w:rPr>
                <w:rFonts w:ascii="Times New Roman" w:eastAsia="Times New Roman" w:hAnsi="Times New Roman" w:cs="Times New Roman"/>
                <w:sz w:val="24"/>
                <w:szCs w:val="24"/>
              </w:rPr>
              <w:t xml:space="preserve">vienai </w:t>
            </w:r>
            <w:r w:rsidR="001C3B2B">
              <w:rPr>
                <w:rFonts w:ascii="Times New Roman" w:eastAsia="Times New Roman" w:hAnsi="Times New Roman" w:cs="Times New Roman"/>
                <w:sz w:val="24"/>
                <w:szCs w:val="24"/>
              </w:rPr>
              <w:t>izglītības iestād</w:t>
            </w:r>
            <w:r w:rsidR="006E1F64">
              <w:rPr>
                <w:rFonts w:ascii="Times New Roman" w:eastAsia="Times New Roman" w:hAnsi="Times New Roman" w:cs="Times New Roman"/>
                <w:sz w:val="24"/>
                <w:szCs w:val="24"/>
              </w:rPr>
              <w:t>ei</w:t>
            </w:r>
            <w:r w:rsidR="001C3B2B">
              <w:rPr>
                <w:rFonts w:ascii="Times New Roman" w:eastAsia="Times New Roman" w:hAnsi="Times New Roman" w:cs="Times New Roman"/>
                <w:sz w:val="24"/>
                <w:szCs w:val="24"/>
              </w:rPr>
              <w:t xml:space="preserve"> </w:t>
            </w:r>
            <w:r w:rsidR="006E1F64">
              <w:rPr>
                <w:rFonts w:ascii="Times New Roman" w:eastAsia="Times New Roman" w:hAnsi="Times New Roman" w:cs="Times New Roman"/>
                <w:sz w:val="24"/>
                <w:szCs w:val="24"/>
              </w:rPr>
              <w:t xml:space="preserve">vienreizējs </w:t>
            </w:r>
            <w:r w:rsidR="001C3B2B">
              <w:rPr>
                <w:rFonts w:ascii="Times New Roman" w:eastAsia="Times New Roman" w:hAnsi="Times New Roman" w:cs="Times New Roman"/>
                <w:sz w:val="24"/>
                <w:szCs w:val="24"/>
              </w:rPr>
              <w:t xml:space="preserve">administratīvo izmaksu </w:t>
            </w:r>
            <w:r w:rsidR="001C3B2B">
              <w:rPr>
                <w:rFonts w:ascii="Times New Roman" w:eastAsia="Times New Roman" w:hAnsi="Times New Roman" w:cs="Times New Roman"/>
                <w:sz w:val="24"/>
                <w:szCs w:val="24"/>
              </w:rPr>
              <w:lastRenderedPageBreak/>
              <w:t xml:space="preserve">novērtējums sastāda </w:t>
            </w:r>
            <w:r w:rsidR="006E1F64">
              <w:rPr>
                <w:rFonts w:ascii="Times New Roman" w:eastAsia="Times New Roman" w:hAnsi="Times New Roman" w:cs="Times New Roman"/>
                <w:b/>
                <w:sz w:val="24"/>
                <w:szCs w:val="24"/>
              </w:rPr>
              <w:t>103,52</w:t>
            </w:r>
            <w:r w:rsidR="001C3B2B" w:rsidRPr="001C3B2B">
              <w:rPr>
                <w:rFonts w:ascii="Times New Roman" w:eastAsia="Times New Roman" w:hAnsi="Times New Roman" w:cs="Times New Roman"/>
                <w:b/>
                <w:sz w:val="24"/>
                <w:szCs w:val="24"/>
              </w:rPr>
              <w:t xml:space="preserve"> </w:t>
            </w:r>
            <w:r w:rsidR="001C3B2B" w:rsidRPr="001C3B2B">
              <w:rPr>
                <w:rFonts w:ascii="Times New Roman" w:eastAsia="Times New Roman" w:hAnsi="Times New Roman" w:cs="Times New Roman"/>
                <w:b/>
                <w:i/>
                <w:sz w:val="24"/>
                <w:szCs w:val="24"/>
              </w:rPr>
              <w:t>euro</w:t>
            </w:r>
            <w:r w:rsidR="001C3B2B">
              <w:rPr>
                <w:rFonts w:ascii="Times New Roman" w:eastAsia="Times New Roman" w:hAnsi="Times New Roman" w:cs="Times New Roman"/>
                <w:sz w:val="24"/>
                <w:szCs w:val="24"/>
              </w:rPr>
              <w:t>, kas aprēķināts pēc formulas: (6,47 x 8) x (</w:t>
            </w:r>
            <w:r w:rsidR="006E1F64">
              <w:rPr>
                <w:rFonts w:ascii="Times New Roman" w:eastAsia="Times New Roman" w:hAnsi="Times New Roman" w:cs="Times New Roman"/>
                <w:sz w:val="24"/>
                <w:szCs w:val="24"/>
              </w:rPr>
              <w:t>2</w:t>
            </w:r>
            <w:r w:rsidR="001C3B2B">
              <w:rPr>
                <w:rFonts w:ascii="Times New Roman" w:eastAsia="Times New Roman" w:hAnsi="Times New Roman" w:cs="Times New Roman"/>
                <w:sz w:val="24"/>
                <w:szCs w:val="24"/>
              </w:rPr>
              <w:t xml:space="preserve"> x </w:t>
            </w:r>
            <w:r w:rsidR="00AC291C">
              <w:rPr>
                <w:rFonts w:ascii="Times New Roman" w:eastAsia="Times New Roman" w:hAnsi="Times New Roman" w:cs="Times New Roman"/>
                <w:sz w:val="24"/>
                <w:szCs w:val="24"/>
              </w:rPr>
              <w:t>1</w:t>
            </w:r>
            <w:r w:rsidR="001C3B2B">
              <w:rPr>
                <w:rFonts w:ascii="Times New Roman" w:eastAsia="Times New Roman" w:hAnsi="Times New Roman" w:cs="Times New Roman"/>
                <w:sz w:val="24"/>
                <w:szCs w:val="24"/>
              </w:rPr>
              <w:t>).</w:t>
            </w:r>
          </w:p>
          <w:p w:rsidR="006E1F64" w:rsidRDefault="006E1F64" w:rsidP="00A9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Tādējādi atbilstoši Koncepcijai topošo un esošo PIKC administratīvās izmaksas ir:</w:t>
            </w:r>
          </w:p>
          <w:p w:rsidR="006E1F64" w:rsidRDefault="006E1F64" w:rsidP="00A9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2015.gadā – 207,04 </w:t>
            </w:r>
            <w:r w:rsidRPr="006E1F64">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(103,52 x 2)</w:t>
            </w:r>
          </w:p>
          <w:p w:rsidR="006E1F64" w:rsidRDefault="006E1F64" w:rsidP="00A9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2016.gadā – 310,56 </w:t>
            </w:r>
            <w:r w:rsidRPr="006E1F64">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(103,52 x 3) un 207,04 </w:t>
            </w:r>
            <w:r w:rsidRPr="006E1F64">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w:t>
            </w:r>
            <w:r w:rsidR="00905B35">
              <w:rPr>
                <w:rFonts w:ascii="Times New Roman" w:eastAsia="Times New Roman" w:hAnsi="Times New Roman" w:cs="Times New Roman"/>
                <w:sz w:val="24"/>
                <w:szCs w:val="24"/>
              </w:rPr>
              <w:t xml:space="preserve">divi </w:t>
            </w:r>
            <w:r>
              <w:rPr>
                <w:rFonts w:ascii="Times New Roman" w:eastAsia="Times New Roman" w:hAnsi="Times New Roman" w:cs="Times New Roman"/>
                <w:sz w:val="24"/>
                <w:szCs w:val="24"/>
              </w:rPr>
              <w:t>esošie PIKC)</w:t>
            </w:r>
          </w:p>
          <w:p w:rsidR="006E1F64" w:rsidRDefault="006E1F64" w:rsidP="00A9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2017.gadā – 517,60 </w:t>
            </w:r>
            <w:r w:rsidRPr="006E1F64">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(pieci PIKC)</w:t>
            </w:r>
          </w:p>
          <w:p w:rsidR="006E1F64" w:rsidRDefault="006E1F64" w:rsidP="00A9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2018.gadā – 103,52 </w:t>
            </w:r>
            <w:r w:rsidRPr="006E1F64">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517,60 </w:t>
            </w:r>
            <w:r w:rsidRPr="006E1F64">
              <w:rPr>
                <w:rFonts w:ascii="Times New Roman" w:eastAsia="Times New Roman" w:hAnsi="Times New Roman" w:cs="Times New Roman"/>
                <w:i/>
                <w:sz w:val="24"/>
                <w:szCs w:val="24"/>
              </w:rPr>
              <w:t>euro</w:t>
            </w:r>
          </w:p>
          <w:p w:rsidR="006E1F64" w:rsidRDefault="006E1F64" w:rsidP="00A9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2019.gadā – 207,04 </w:t>
            </w:r>
            <w:r w:rsidRPr="006E1F64">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(103,52 x 2) un 621,12 </w:t>
            </w:r>
            <w:r w:rsidRPr="006E1F64">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(seši PIKC) </w:t>
            </w:r>
          </w:p>
          <w:p w:rsidR="006E1F64" w:rsidRPr="00EB5628" w:rsidRDefault="00905B35" w:rsidP="00A9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6E1F64">
              <w:rPr>
                <w:rFonts w:ascii="Times New Roman" w:eastAsia="Times New Roman" w:hAnsi="Times New Roman" w:cs="Times New Roman"/>
                <w:sz w:val="24"/>
                <w:szCs w:val="24"/>
              </w:rPr>
              <w:t xml:space="preserve">0.gadā – 828,16 </w:t>
            </w:r>
            <w:r w:rsidR="006E1F64" w:rsidRPr="006E1F64">
              <w:rPr>
                <w:rFonts w:ascii="Times New Roman" w:eastAsia="Times New Roman" w:hAnsi="Times New Roman" w:cs="Times New Roman"/>
                <w:i/>
                <w:sz w:val="24"/>
                <w:szCs w:val="24"/>
              </w:rPr>
              <w:t>euro</w:t>
            </w:r>
            <w:r w:rsidR="006E1F64">
              <w:rPr>
                <w:rFonts w:ascii="Times New Roman" w:eastAsia="Times New Roman" w:hAnsi="Times New Roman" w:cs="Times New Roman"/>
                <w:sz w:val="24"/>
                <w:szCs w:val="24"/>
              </w:rPr>
              <w:t xml:space="preserve"> (astoņi PIKC).</w:t>
            </w:r>
          </w:p>
          <w:p w:rsidR="00EB5628" w:rsidRPr="00FA22C0" w:rsidRDefault="001C3B2B" w:rsidP="00496E5F">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Lai aprēķinātu Latvijas Nacionālā kultūras centra administratīvo izmaksu novērtējumu, tiek ņemta vērā tā darbinieku darbaspēka vidējās izmaksas stundā, kas ir 7,62 </w:t>
            </w:r>
            <w:r w:rsidRPr="001C3B2B">
              <w:rPr>
                <w:rFonts w:ascii="Times New Roman" w:hAnsi="Times New Roman" w:cs="Times New Roman"/>
                <w:i/>
                <w:sz w:val="24"/>
                <w:szCs w:val="24"/>
              </w:rPr>
              <w:t>euro</w:t>
            </w:r>
            <w:r>
              <w:rPr>
                <w:rFonts w:ascii="Times New Roman" w:hAnsi="Times New Roman" w:cs="Times New Roman"/>
                <w:sz w:val="24"/>
                <w:szCs w:val="24"/>
              </w:rPr>
              <w:t xml:space="preserve"> apmērā, t.sk. pieskaitāmās izmaksas 25% apmērā. Centrā par administratīvajām darbībā</w:t>
            </w:r>
            <w:r w:rsidR="00A8178B">
              <w:rPr>
                <w:rFonts w:ascii="Times New Roman" w:hAnsi="Times New Roman" w:cs="Times New Roman"/>
                <w:sz w:val="24"/>
                <w:szCs w:val="24"/>
              </w:rPr>
              <w:t>m</w:t>
            </w:r>
            <w:r>
              <w:rPr>
                <w:rFonts w:ascii="Times New Roman" w:hAnsi="Times New Roman" w:cs="Times New Roman"/>
                <w:sz w:val="24"/>
                <w:szCs w:val="24"/>
              </w:rPr>
              <w:t xml:space="preserve">, kas noteiktas Projekta </w:t>
            </w:r>
            <w:r w:rsidR="00A8178B">
              <w:rPr>
                <w:rFonts w:ascii="Times New Roman" w:hAnsi="Times New Roman" w:cs="Times New Roman"/>
                <w:sz w:val="24"/>
                <w:szCs w:val="24"/>
              </w:rPr>
              <w:t>4.punktā, atbildīgi ir 2 darbinieki (vecākais referents un informācijas analīzes eksperts)</w:t>
            </w:r>
            <w:r w:rsidR="00F42EA0">
              <w:rPr>
                <w:rFonts w:ascii="Times New Roman" w:hAnsi="Times New Roman" w:cs="Times New Roman"/>
                <w:sz w:val="24"/>
                <w:szCs w:val="24"/>
              </w:rPr>
              <w:t>.</w:t>
            </w:r>
            <w:r w:rsidR="00A8178B">
              <w:rPr>
                <w:rFonts w:ascii="Times New Roman" w:hAnsi="Times New Roman" w:cs="Times New Roman"/>
                <w:sz w:val="24"/>
                <w:szCs w:val="24"/>
              </w:rPr>
              <w:t xml:space="preserve"> Paredzams, ka Projekta noteikto informācijas pieprasīšana un iesniegšana (Projekta </w:t>
            </w:r>
            <w:r w:rsidR="00017B8C">
              <w:rPr>
                <w:rFonts w:ascii="Times New Roman" w:hAnsi="Times New Roman" w:cs="Times New Roman"/>
                <w:sz w:val="24"/>
                <w:szCs w:val="24"/>
              </w:rPr>
              <w:t xml:space="preserve">4.,5.,6.punkts) kopā gada laikā varētu aizņemt 14 darba dienas, 112 stundas. Tādējādi centram administratīvo izmaksu novērtējums </w:t>
            </w:r>
            <w:r w:rsidR="00496E5F">
              <w:rPr>
                <w:rFonts w:ascii="Times New Roman" w:hAnsi="Times New Roman" w:cs="Times New Roman"/>
                <w:sz w:val="24"/>
                <w:szCs w:val="24"/>
              </w:rPr>
              <w:t>ir</w:t>
            </w:r>
            <w:r w:rsidR="00017B8C">
              <w:rPr>
                <w:rFonts w:ascii="Times New Roman" w:hAnsi="Times New Roman" w:cs="Times New Roman"/>
                <w:sz w:val="24"/>
                <w:szCs w:val="24"/>
              </w:rPr>
              <w:t xml:space="preserve"> </w:t>
            </w:r>
            <w:r w:rsidR="00017B8C" w:rsidRPr="00017B8C">
              <w:rPr>
                <w:rFonts w:ascii="Times New Roman" w:hAnsi="Times New Roman" w:cs="Times New Roman"/>
                <w:b/>
                <w:sz w:val="24"/>
                <w:szCs w:val="24"/>
              </w:rPr>
              <w:t xml:space="preserve">3413,76 </w:t>
            </w:r>
            <w:r w:rsidR="00017B8C" w:rsidRPr="00017B8C">
              <w:rPr>
                <w:rFonts w:ascii="Times New Roman" w:hAnsi="Times New Roman" w:cs="Times New Roman"/>
                <w:b/>
                <w:i/>
                <w:sz w:val="24"/>
                <w:szCs w:val="24"/>
              </w:rPr>
              <w:t>euro</w:t>
            </w:r>
            <w:r w:rsidR="00017B8C">
              <w:rPr>
                <w:rFonts w:ascii="Times New Roman" w:hAnsi="Times New Roman" w:cs="Times New Roman"/>
                <w:sz w:val="24"/>
                <w:szCs w:val="24"/>
              </w:rPr>
              <w:t>, kas aprēķināts pēc formulas: (7,62 x 112) x (2 x 2).</w:t>
            </w:r>
          </w:p>
        </w:tc>
      </w:tr>
      <w:tr w:rsidR="00B47ED6" w:rsidRPr="003E5C72" w:rsidTr="00E8108B">
        <w:trPr>
          <w:trHeight w:val="540"/>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B47ED6" w:rsidRPr="003E5C72" w:rsidRDefault="00B47ED6" w:rsidP="00B47ED6">
            <w:pPr>
              <w:pStyle w:val="naiskr"/>
              <w:spacing w:before="0" w:after="0"/>
              <w:jc w:val="center"/>
            </w:pPr>
            <w:r w:rsidRPr="003E5C72">
              <w:lastRenderedPageBreak/>
              <w:t>4.</w:t>
            </w:r>
          </w:p>
        </w:tc>
        <w:tc>
          <w:tcPr>
            <w:tcW w:w="2890" w:type="dxa"/>
            <w:tcBorders>
              <w:top w:val="outset" w:sz="6" w:space="0" w:color="auto"/>
              <w:left w:val="outset" w:sz="6" w:space="0" w:color="auto"/>
              <w:bottom w:val="outset" w:sz="6" w:space="0" w:color="auto"/>
              <w:right w:val="outset" w:sz="6" w:space="0" w:color="auto"/>
            </w:tcBorders>
            <w:vAlign w:val="center"/>
          </w:tcPr>
          <w:p w:rsidR="00B47ED6" w:rsidRPr="003E5C72" w:rsidRDefault="00B47ED6" w:rsidP="00B47ED6">
            <w:pPr>
              <w:pStyle w:val="naiskr"/>
              <w:spacing w:before="0" w:after="0"/>
            </w:pPr>
            <w:r w:rsidRPr="003E5C72">
              <w:t>Cita informācija</w:t>
            </w:r>
          </w:p>
        </w:tc>
        <w:tc>
          <w:tcPr>
            <w:tcW w:w="0" w:type="auto"/>
            <w:tcBorders>
              <w:top w:val="outset" w:sz="6" w:space="0" w:color="auto"/>
              <w:left w:val="outset" w:sz="6" w:space="0" w:color="auto"/>
              <w:bottom w:val="outset" w:sz="6" w:space="0" w:color="auto"/>
              <w:right w:val="outset" w:sz="6" w:space="0" w:color="auto"/>
            </w:tcBorders>
          </w:tcPr>
          <w:p w:rsidR="00B47ED6" w:rsidRPr="003E5C72" w:rsidRDefault="00B47ED6" w:rsidP="00B47ED6">
            <w:pPr>
              <w:pStyle w:val="naiskr"/>
              <w:spacing w:before="0" w:after="0"/>
              <w:ind w:right="-1"/>
            </w:pPr>
            <w:r w:rsidRPr="003E5C72">
              <w:t xml:space="preserve"> Nav</w:t>
            </w:r>
          </w:p>
        </w:tc>
      </w:tr>
    </w:tbl>
    <w:p w:rsidR="00B47ED6" w:rsidRDefault="00B47ED6" w:rsidP="00DF5E93">
      <w:pPr>
        <w:spacing w:after="0" w:line="240" w:lineRule="auto"/>
        <w:rPr>
          <w:rFonts w:ascii="Times New Roman" w:hAnsi="Times New Roman" w:cs="Times New Roman"/>
          <w:b/>
          <w:bCs/>
          <w:sz w:val="24"/>
          <w:szCs w:val="24"/>
        </w:rPr>
      </w:pPr>
    </w:p>
    <w:p w:rsidR="00FE264F" w:rsidRPr="003E5C72" w:rsidRDefault="00FE264F" w:rsidP="00DF5E93">
      <w:pPr>
        <w:spacing w:after="0" w:line="240" w:lineRule="auto"/>
        <w:rPr>
          <w:rFonts w:ascii="Times New Roman" w:hAnsi="Times New Roman" w:cs="Times New Roman"/>
          <w:b/>
          <w:bCs/>
          <w:sz w:val="24"/>
          <w:szCs w:val="24"/>
        </w:rPr>
      </w:pPr>
    </w:p>
    <w:tbl>
      <w:tblPr>
        <w:tblW w:w="5274" w:type="pct"/>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1684"/>
        <w:gridCol w:w="1327"/>
        <w:gridCol w:w="1251"/>
        <w:gridCol w:w="1518"/>
        <w:gridCol w:w="1633"/>
        <w:gridCol w:w="2438"/>
      </w:tblGrid>
      <w:tr w:rsidR="00A74211" w:rsidRPr="003E5C72" w:rsidTr="00CB78CC">
        <w:trPr>
          <w:tblCellSpacing w:w="7" w:type="dxa"/>
        </w:trPr>
        <w:tc>
          <w:tcPr>
            <w:tcW w:w="4986" w:type="pct"/>
            <w:gridSpan w:val="6"/>
            <w:tcBorders>
              <w:top w:val="outset" w:sz="6" w:space="0" w:color="auto"/>
              <w:left w:val="outset" w:sz="6" w:space="0" w:color="auto"/>
              <w:bottom w:val="outset" w:sz="6" w:space="0" w:color="auto"/>
              <w:right w:val="outset" w:sz="6" w:space="0" w:color="auto"/>
            </w:tcBorders>
          </w:tcPr>
          <w:p w:rsidR="00A74211" w:rsidRPr="003E5C72" w:rsidRDefault="00A74211" w:rsidP="00DF5E93">
            <w:pPr>
              <w:pStyle w:val="naisc"/>
              <w:spacing w:before="0" w:after="0"/>
              <w:rPr>
                <w:b/>
                <w:bCs/>
                <w:lang w:val="lv-LV"/>
              </w:rPr>
            </w:pPr>
            <w:r w:rsidRPr="003E5C72">
              <w:rPr>
                <w:b/>
                <w:bCs/>
                <w:lang w:val="lv-LV"/>
              </w:rPr>
              <w:t>III. Tiesību akta projekta ietekme uz valsts budžetu un pašvaldību budžetiem</w:t>
            </w:r>
          </w:p>
        </w:tc>
      </w:tr>
      <w:tr w:rsidR="00A74211" w:rsidRPr="003E5C72" w:rsidTr="00CB78CC">
        <w:trPr>
          <w:trHeight w:val="340"/>
          <w:tblCellSpacing w:w="7" w:type="dxa"/>
        </w:trPr>
        <w:tc>
          <w:tcPr>
            <w:tcW w:w="850" w:type="pct"/>
            <w:vMerge w:val="restart"/>
            <w:tcBorders>
              <w:top w:val="outset" w:sz="6" w:space="0" w:color="auto"/>
              <w:left w:val="outset" w:sz="6" w:space="0" w:color="auto"/>
              <w:right w:val="outset" w:sz="6" w:space="0" w:color="auto"/>
            </w:tcBorders>
            <w:vAlign w:val="center"/>
          </w:tcPr>
          <w:p w:rsidR="00A74211" w:rsidRPr="003E5C72" w:rsidRDefault="00A74211" w:rsidP="00DF5E93">
            <w:pPr>
              <w:spacing w:after="0" w:line="240" w:lineRule="auto"/>
              <w:jc w:val="center"/>
              <w:rPr>
                <w:rFonts w:ascii="Times New Roman" w:hAnsi="Times New Roman" w:cs="Times New Roman"/>
                <w:b/>
                <w:sz w:val="24"/>
                <w:szCs w:val="24"/>
              </w:rPr>
            </w:pPr>
            <w:r w:rsidRPr="003E5C72">
              <w:rPr>
                <w:rFonts w:ascii="Times New Roman" w:hAnsi="Times New Roman" w:cs="Times New Roman"/>
                <w:b/>
                <w:sz w:val="24"/>
                <w:szCs w:val="24"/>
              </w:rPr>
              <w:t>Rādītāji</w:t>
            </w:r>
          </w:p>
        </w:tc>
        <w:tc>
          <w:tcPr>
            <w:tcW w:w="1303" w:type="pct"/>
            <w:gridSpan w:val="2"/>
            <w:vMerge w:val="restart"/>
            <w:tcBorders>
              <w:top w:val="outset" w:sz="6" w:space="0" w:color="auto"/>
              <w:left w:val="outset" w:sz="6" w:space="0" w:color="auto"/>
              <w:right w:val="outset" w:sz="6" w:space="0" w:color="auto"/>
            </w:tcBorders>
            <w:vAlign w:val="center"/>
          </w:tcPr>
          <w:p w:rsidR="00A74211" w:rsidRPr="003E5C72" w:rsidRDefault="00A74211" w:rsidP="00476FA7">
            <w:pPr>
              <w:spacing w:after="0" w:line="240" w:lineRule="auto"/>
              <w:jc w:val="center"/>
              <w:rPr>
                <w:rFonts w:ascii="Times New Roman" w:hAnsi="Times New Roman" w:cs="Times New Roman"/>
                <w:b/>
                <w:sz w:val="24"/>
                <w:szCs w:val="24"/>
              </w:rPr>
            </w:pPr>
            <w:r w:rsidRPr="003E5C72">
              <w:rPr>
                <w:rFonts w:ascii="Times New Roman" w:hAnsi="Times New Roman" w:cs="Times New Roman"/>
                <w:b/>
                <w:sz w:val="24"/>
                <w:szCs w:val="24"/>
              </w:rPr>
              <w:t>201</w:t>
            </w:r>
            <w:r w:rsidR="00476FA7" w:rsidRPr="003E5C72">
              <w:rPr>
                <w:rFonts w:ascii="Times New Roman" w:hAnsi="Times New Roman" w:cs="Times New Roman"/>
                <w:b/>
                <w:sz w:val="24"/>
                <w:szCs w:val="24"/>
              </w:rPr>
              <w:t>5</w:t>
            </w:r>
            <w:r w:rsidRPr="003E5C72">
              <w:rPr>
                <w:rFonts w:ascii="Times New Roman" w:hAnsi="Times New Roman" w:cs="Times New Roman"/>
                <w:b/>
                <w:sz w:val="24"/>
                <w:szCs w:val="24"/>
              </w:rPr>
              <w:t>.gads</w:t>
            </w:r>
          </w:p>
        </w:tc>
        <w:tc>
          <w:tcPr>
            <w:tcW w:w="2819" w:type="pct"/>
            <w:gridSpan w:val="3"/>
            <w:tcBorders>
              <w:top w:val="outset" w:sz="6" w:space="0" w:color="auto"/>
              <w:left w:val="outset" w:sz="6" w:space="0" w:color="auto"/>
              <w:bottom w:val="outset" w:sz="6" w:space="0" w:color="auto"/>
              <w:right w:val="outset" w:sz="6" w:space="0" w:color="auto"/>
            </w:tcBorders>
            <w:vAlign w:val="center"/>
          </w:tcPr>
          <w:p w:rsidR="00A74211" w:rsidRPr="003E5C72" w:rsidRDefault="00A74211" w:rsidP="008F784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Turpmākie trīs gadi (</w:t>
            </w:r>
            <w:r w:rsidR="008F7843" w:rsidRPr="003E5C72">
              <w:rPr>
                <w:rFonts w:ascii="Times New Roman" w:hAnsi="Times New Roman" w:cs="Times New Roman"/>
                <w:sz w:val="24"/>
                <w:szCs w:val="24"/>
              </w:rPr>
              <w:t>milj</w:t>
            </w:r>
            <w:r w:rsidRPr="003E5C72">
              <w:rPr>
                <w:rFonts w:ascii="Times New Roman" w:hAnsi="Times New Roman" w:cs="Times New Roman"/>
                <w:sz w:val="24"/>
                <w:szCs w:val="24"/>
              </w:rPr>
              <w:t xml:space="preserve">. </w:t>
            </w:r>
            <w:r w:rsidR="009A2186" w:rsidRPr="003E5C72">
              <w:rPr>
                <w:rFonts w:ascii="Times New Roman" w:hAnsi="Times New Roman" w:cs="Times New Roman"/>
                <w:i/>
                <w:sz w:val="24"/>
                <w:szCs w:val="24"/>
              </w:rPr>
              <w:t>euro</w:t>
            </w:r>
            <w:r w:rsidRPr="003E5C72">
              <w:rPr>
                <w:rFonts w:ascii="Times New Roman" w:hAnsi="Times New Roman" w:cs="Times New Roman"/>
                <w:sz w:val="24"/>
                <w:szCs w:val="24"/>
              </w:rPr>
              <w:t>)</w:t>
            </w:r>
          </w:p>
        </w:tc>
      </w:tr>
      <w:tr w:rsidR="0000063B" w:rsidRPr="003E5C72" w:rsidTr="00CB78CC">
        <w:trPr>
          <w:trHeight w:val="248"/>
          <w:tblCellSpacing w:w="7" w:type="dxa"/>
        </w:trPr>
        <w:tc>
          <w:tcPr>
            <w:tcW w:w="850" w:type="pct"/>
            <w:vMerge/>
            <w:tcBorders>
              <w:left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p>
        </w:tc>
        <w:tc>
          <w:tcPr>
            <w:tcW w:w="1303" w:type="pct"/>
            <w:gridSpan w:val="2"/>
            <w:vMerge/>
            <w:tcBorders>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EC6B18" w:rsidP="00476FA7">
            <w:pPr>
              <w:spacing w:after="0" w:line="240" w:lineRule="auto"/>
              <w:jc w:val="center"/>
              <w:rPr>
                <w:rFonts w:ascii="Times New Roman" w:hAnsi="Times New Roman" w:cs="Times New Roman"/>
                <w:b/>
                <w:sz w:val="24"/>
                <w:szCs w:val="24"/>
              </w:rPr>
            </w:pPr>
            <w:r w:rsidRPr="003E5C72">
              <w:rPr>
                <w:rFonts w:ascii="Times New Roman" w:hAnsi="Times New Roman" w:cs="Times New Roman"/>
                <w:b/>
                <w:sz w:val="24"/>
                <w:szCs w:val="24"/>
              </w:rPr>
              <w:t>201</w:t>
            </w:r>
            <w:r w:rsidR="00476FA7" w:rsidRPr="003E5C72">
              <w:rPr>
                <w:rFonts w:ascii="Times New Roman" w:hAnsi="Times New Roman" w:cs="Times New Roman"/>
                <w:b/>
                <w:sz w:val="24"/>
                <w:szCs w:val="24"/>
              </w:rPr>
              <w:t>6</w:t>
            </w:r>
            <w:r w:rsidRPr="003E5C72">
              <w:rPr>
                <w:rFonts w:ascii="Times New Roman" w:hAnsi="Times New Roman" w:cs="Times New Roman"/>
                <w:b/>
                <w:sz w:val="24"/>
                <w:szCs w:val="24"/>
              </w:rPr>
              <w:t>.</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476FA7">
            <w:pPr>
              <w:spacing w:after="0" w:line="240" w:lineRule="auto"/>
              <w:jc w:val="center"/>
              <w:rPr>
                <w:rFonts w:ascii="Times New Roman" w:hAnsi="Times New Roman" w:cs="Times New Roman"/>
                <w:b/>
                <w:sz w:val="24"/>
                <w:szCs w:val="24"/>
              </w:rPr>
            </w:pPr>
            <w:r w:rsidRPr="003E5C72">
              <w:rPr>
                <w:rFonts w:ascii="Times New Roman" w:hAnsi="Times New Roman" w:cs="Times New Roman"/>
                <w:b/>
                <w:sz w:val="24"/>
                <w:szCs w:val="24"/>
              </w:rPr>
              <w:t>201</w:t>
            </w:r>
            <w:r w:rsidR="00476FA7" w:rsidRPr="003E5C72">
              <w:rPr>
                <w:rFonts w:ascii="Times New Roman" w:hAnsi="Times New Roman" w:cs="Times New Roman"/>
                <w:b/>
                <w:sz w:val="24"/>
                <w:szCs w:val="24"/>
              </w:rPr>
              <w:t>7</w:t>
            </w:r>
            <w:r w:rsidRPr="003E5C72">
              <w:rPr>
                <w:rFonts w:ascii="Times New Roman" w:hAnsi="Times New Roman" w:cs="Times New Roman"/>
                <w:b/>
                <w:sz w:val="24"/>
                <w:szCs w:val="24"/>
              </w:rPr>
              <w:t>.</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476FA7">
            <w:pPr>
              <w:spacing w:after="0" w:line="240" w:lineRule="auto"/>
              <w:jc w:val="center"/>
              <w:rPr>
                <w:rFonts w:ascii="Times New Roman" w:hAnsi="Times New Roman" w:cs="Times New Roman"/>
                <w:b/>
                <w:sz w:val="24"/>
                <w:szCs w:val="24"/>
              </w:rPr>
            </w:pPr>
            <w:r w:rsidRPr="003E5C72">
              <w:rPr>
                <w:rFonts w:ascii="Times New Roman" w:hAnsi="Times New Roman" w:cs="Times New Roman"/>
                <w:b/>
                <w:sz w:val="24"/>
                <w:szCs w:val="24"/>
              </w:rPr>
              <w:t>201</w:t>
            </w:r>
            <w:r w:rsidR="00476FA7" w:rsidRPr="003E5C72">
              <w:rPr>
                <w:rFonts w:ascii="Times New Roman" w:hAnsi="Times New Roman" w:cs="Times New Roman"/>
                <w:b/>
                <w:sz w:val="24"/>
                <w:szCs w:val="24"/>
              </w:rPr>
              <w:t>8</w:t>
            </w:r>
            <w:r w:rsidRPr="003E5C72">
              <w:rPr>
                <w:rFonts w:ascii="Times New Roman" w:hAnsi="Times New Roman" w:cs="Times New Roman"/>
                <w:b/>
                <w:sz w:val="24"/>
                <w:szCs w:val="24"/>
              </w:rPr>
              <w:t>.</w:t>
            </w:r>
          </w:p>
        </w:tc>
      </w:tr>
      <w:tr w:rsidR="00CB78CC" w:rsidRPr="003E5C72" w:rsidTr="00CB78CC">
        <w:trPr>
          <w:tblCellSpacing w:w="7" w:type="dxa"/>
        </w:trPr>
        <w:tc>
          <w:tcPr>
            <w:tcW w:w="850" w:type="pct"/>
            <w:vMerge/>
            <w:tcBorders>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Saskaņā ar valsts budžetu kārtējam gadam</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Izmaiņas kārtējā gadā, salīdzinot ar budžetu kārtējam gadam</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Izmaiņas, sa</w:t>
            </w:r>
            <w:r w:rsidR="00476FA7" w:rsidRPr="003E5C72">
              <w:rPr>
                <w:rFonts w:ascii="Times New Roman" w:hAnsi="Times New Roman" w:cs="Times New Roman"/>
                <w:sz w:val="24"/>
                <w:szCs w:val="24"/>
              </w:rPr>
              <w:t>līdzinot ar kārtējo (2015</w:t>
            </w:r>
            <w:r w:rsidRPr="003E5C72">
              <w:rPr>
                <w:rFonts w:ascii="Times New Roman" w:hAnsi="Times New Roman" w:cs="Times New Roman"/>
                <w:sz w:val="24"/>
                <w:szCs w:val="24"/>
              </w:rPr>
              <w:t>) gadu</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476FA7">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Izmaiņas, salīdzinot ar kārtējo (</w:t>
            </w:r>
            <w:r w:rsidR="00476FA7" w:rsidRPr="003E5C72">
              <w:rPr>
                <w:rFonts w:ascii="Times New Roman" w:hAnsi="Times New Roman" w:cs="Times New Roman"/>
                <w:sz w:val="24"/>
                <w:szCs w:val="24"/>
              </w:rPr>
              <w:t>2015</w:t>
            </w:r>
            <w:r w:rsidRPr="003E5C72">
              <w:rPr>
                <w:rFonts w:ascii="Times New Roman" w:hAnsi="Times New Roman" w:cs="Times New Roman"/>
                <w:sz w:val="24"/>
                <w:szCs w:val="24"/>
              </w:rPr>
              <w:t>) gadu</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Iz</w:t>
            </w:r>
            <w:r w:rsidR="00476FA7" w:rsidRPr="003E5C72">
              <w:rPr>
                <w:rFonts w:ascii="Times New Roman" w:hAnsi="Times New Roman" w:cs="Times New Roman"/>
                <w:sz w:val="24"/>
                <w:szCs w:val="24"/>
              </w:rPr>
              <w:t>maiņas, salīdzinot ar kārtējo (2015</w:t>
            </w:r>
            <w:r w:rsidRPr="003E5C72">
              <w:rPr>
                <w:rFonts w:ascii="Times New Roman" w:hAnsi="Times New Roman" w:cs="Times New Roman"/>
                <w:sz w:val="24"/>
                <w:szCs w:val="24"/>
              </w:rPr>
              <w:t>) gadu</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1</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2</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3</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4</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5</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6</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1. Budžeta ieņēmumi:</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7D251A" w:rsidP="00DF5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18 782 372</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B25E57"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lastRenderedPageBreak/>
              <w:t>1.1. valsts pamatbudžets, tai skaitā ieņēmumi no maksas pakalpojumiem un citi pašu ieņēmumi</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7D251A" w:rsidP="00DF5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18 782 372</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B25E57"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1.2. valsts speciālais budžets</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1.3. pašvaldību budžets</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2. Budžeta izdevumi:</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7D251A" w:rsidP="00DF5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18 782 372</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00063B" w:rsidP="00CB78CC">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1</w:t>
            </w:r>
            <w:r w:rsidR="00FE0A23">
              <w:rPr>
                <w:rFonts w:ascii="Times New Roman" w:hAnsi="Times New Roman" w:cs="Times New Roman"/>
                <w:sz w:val="24"/>
                <w:szCs w:val="24"/>
              </w:rPr>
              <w:t> 234 8</w:t>
            </w:r>
            <w:r w:rsidR="00CB78CC">
              <w:rPr>
                <w:rFonts w:ascii="Times New Roman" w:hAnsi="Times New Roman" w:cs="Times New Roman"/>
                <w:sz w:val="24"/>
                <w:szCs w:val="24"/>
              </w:rPr>
              <w:t>78</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FE0A23" w:rsidP="00626D00">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1 118 07</w:t>
            </w:r>
            <w:r w:rsidR="00CB78CC">
              <w:rPr>
                <w:rFonts w:ascii="Times New Roman" w:hAnsi="Times New Roman" w:cs="Times New Roman"/>
                <w:sz w:val="24"/>
                <w:szCs w:val="24"/>
              </w:rPr>
              <w:t>1</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FE0A23" w:rsidP="004F2EF6">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F2EF6">
              <w:rPr>
                <w:rFonts w:ascii="Times New Roman" w:hAnsi="Times New Roman" w:cs="Times New Roman"/>
                <w:sz w:val="24"/>
                <w:szCs w:val="24"/>
              </w:rPr>
              <w:t> 034  442</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FE0A23" w:rsidRPr="003E5C72" w:rsidRDefault="00FE0A23"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2.1. valsts pamatbudžets</w:t>
            </w:r>
          </w:p>
        </w:tc>
        <w:tc>
          <w:tcPr>
            <w:tcW w:w="671" w:type="pct"/>
            <w:tcBorders>
              <w:top w:val="outset" w:sz="6" w:space="0" w:color="auto"/>
              <w:left w:val="outset" w:sz="6" w:space="0" w:color="auto"/>
              <w:bottom w:val="outset" w:sz="6" w:space="0" w:color="auto"/>
              <w:right w:val="outset" w:sz="6" w:space="0" w:color="auto"/>
            </w:tcBorders>
          </w:tcPr>
          <w:p w:rsidR="00FE0A23" w:rsidRPr="003E5C72" w:rsidRDefault="007D251A" w:rsidP="00DF5E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18 782 372</w:t>
            </w:r>
          </w:p>
        </w:tc>
        <w:tc>
          <w:tcPr>
            <w:tcW w:w="625" w:type="pct"/>
            <w:tcBorders>
              <w:top w:val="outset" w:sz="6" w:space="0" w:color="auto"/>
              <w:left w:val="outset" w:sz="6" w:space="0" w:color="auto"/>
              <w:bottom w:val="outset" w:sz="6" w:space="0" w:color="auto"/>
              <w:right w:val="outset" w:sz="6" w:space="0" w:color="auto"/>
            </w:tcBorders>
          </w:tcPr>
          <w:p w:rsidR="00FE0A23" w:rsidRPr="003E5C72" w:rsidRDefault="00FE0A23"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FE0A23" w:rsidRPr="003E5C72" w:rsidRDefault="00FE0A23" w:rsidP="00CB78CC">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1</w:t>
            </w:r>
            <w:r>
              <w:rPr>
                <w:rFonts w:ascii="Times New Roman" w:hAnsi="Times New Roman" w:cs="Times New Roman"/>
                <w:sz w:val="24"/>
                <w:szCs w:val="24"/>
              </w:rPr>
              <w:t> 234 8</w:t>
            </w:r>
            <w:r w:rsidR="00CB78CC">
              <w:rPr>
                <w:rFonts w:ascii="Times New Roman" w:hAnsi="Times New Roman" w:cs="Times New Roman"/>
                <w:sz w:val="24"/>
                <w:szCs w:val="24"/>
              </w:rPr>
              <w:t>78</w:t>
            </w:r>
          </w:p>
        </w:tc>
        <w:tc>
          <w:tcPr>
            <w:tcW w:w="828" w:type="pct"/>
            <w:tcBorders>
              <w:top w:val="outset" w:sz="6" w:space="0" w:color="auto"/>
              <w:left w:val="outset" w:sz="6" w:space="0" w:color="auto"/>
              <w:bottom w:val="outset" w:sz="6" w:space="0" w:color="auto"/>
              <w:right w:val="outset" w:sz="6" w:space="0" w:color="auto"/>
            </w:tcBorders>
          </w:tcPr>
          <w:p w:rsidR="00FE0A23" w:rsidRPr="003E5C72" w:rsidRDefault="00FE0A23" w:rsidP="00CB78CC">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1 118 07</w:t>
            </w:r>
            <w:r w:rsidR="00CB78CC">
              <w:rPr>
                <w:rFonts w:ascii="Times New Roman" w:hAnsi="Times New Roman" w:cs="Times New Roman"/>
                <w:sz w:val="24"/>
                <w:szCs w:val="24"/>
              </w:rPr>
              <w:t>1</w:t>
            </w:r>
          </w:p>
        </w:tc>
        <w:tc>
          <w:tcPr>
            <w:tcW w:w="1208" w:type="pct"/>
            <w:tcBorders>
              <w:top w:val="outset" w:sz="6" w:space="0" w:color="auto"/>
              <w:left w:val="outset" w:sz="6" w:space="0" w:color="auto"/>
              <w:bottom w:val="outset" w:sz="6" w:space="0" w:color="auto"/>
              <w:right w:val="outset" w:sz="6" w:space="0" w:color="auto"/>
            </w:tcBorders>
          </w:tcPr>
          <w:p w:rsidR="00FE0A23" w:rsidRPr="003E5C72" w:rsidRDefault="004F2EF6" w:rsidP="007836A2">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2 034  442</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2.2. valsts speciālais budžets</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2.3. pašvaldību budžets</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FE0A23" w:rsidRPr="003E5C72" w:rsidRDefault="00FE0A23"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3. Finansiālā ietekme:</w:t>
            </w:r>
          </w:p>
        </w:tc>
        <w:tc>
          <w:tcPr>
            <w:tcW w:w="671" w:type="pct"/>
            <w:tcBorders>
              <w:top w:val="outset" w:sz="6" w:space="0" w:color="auto"/>
              <w:left w:val="outset" w:sz="6" w:space="0" w:color="auto"/>
              <w:bottom w:val="outset" w:sz="6" w:space="0" w:color="auto"/>
              <w:right w:val="outset" w:sz="6" w:space="0" w:color="auto"/>
            </w:tcBorders>
          </w:tcPr>
          <w:p w:rsidR="00FE0A23" w:rsidRPr="003E5C72" w:rsidRDefault="00FE0A23"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tcPr>
          <w:p w:rsidR="00FE0A23" w:rsidRPr="003E5C72" w:rsidRDefault="00FE0A23"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FE0A23" w:rsidRPr="003E5C72" w:rsidRDefault="00FE0A23" w:rsidP="00CB7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E5C72">
              <w:rPr>
                <w:rFonts w:ascii="Times New Roman" w:hAnsi="Times New Roman" w:cs="Times New Roman"/>
                <w:sz w:val="24"/>
                <w:szCs w:val="24"/>
              </w:rPr>
              <w:t>1</w:t>
            </w:r>
            <w:r>
              <w:rPr>
                <w:rFonts w:ascii="Times New Roman" w:hAnsi="Times New Roman" w:cs="Times New Roman"/>
                <w:sz w:val="24"/>
                <w:szCs w:val="24"/>
              </w:rPr>
              <w:t> 234 8</w:t>
            </w:r>
            <w:r w:rsidR="00CB78CC">
              <w:rPr>
                <w:rFonts w:ascii="Times New Roman" w:hAnsi="Times New Roman" w:cs="Times New Roman"/>
                <w:sz w:val="24"/>
                <w:szCs w:val="24"/>
              </w:rPr>
              <w:t>78</w:t>
            </w:r>
          </w:p>
        </w:tc>
        <w:tc>
          <w:tcPr>
            <w:tcW w:w="828" w:type="pct"/>
            <w:tcBorders>
              <w:top w:val="outset" w:sz="6" w:space="0" w:color="auto"/>
              <w:left w:val="outset" w:sz="6" w:space="0" w:color="auto"/>
              <w:bottom w:val="outset" w:sz="6" w:space="0" w:color="auto"/>
              <w:right w:val="outset" w:sz="6" w:space="0" w:color="auto"/>
            </w:tcBorders>
          </w:tcPr>
          <w:p w:rsidR="00FE0A23" w:rsidRPr="003E5C72" w:rsidRDefault="00FE0A23" w:rsidP="00CB78CC">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-1 118 07</w:t>
            </w:r>
            <w:r w:rsidR="00CB78CC">
              <w:rPr>
                <w:rFonts w:ascii="Times New Roman" w:hAnsi="Times New Roman" w:cs="Times New Roman"/>
                <w:sz w:val="24"/>
                <w:szCs w:val="24"/>
              </w:rPr>
              <w:t>1</w:t>
            </w:r>
          </w:p>
        </w:tc>
        <w:tc>
          <w:tcPr>
            <w:tcW w:w="1208" w:type="pct"/>
            <w:tcBorders>
              <w:top w:val="outset" w:sz="6" w:space="0" w:color="auto"/>
              <w:left w:val="outset" w:sz="6" w:space="0" w:color="auto"/>
              <w:bottom w:val="outset" w:sz="6" w:space="0" w:color="auto"/>
              <w:right w:val="outset" w:sz="6" w:space="0" w:color="auto"/>
            </w:tcBorders>
          </w:tcPr>
          <w:p w:rsidR="00FE0A23" w:rsidRPr="003E5C72" w:rsidRDefault="004F2EF6" w:rsidP="007836A2">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-2 034  442</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3.1. valsts pamatbudžets</w:t>
            </w:r>
          </w:p>
        </w:tc>
        <w:tc>
          <w:tcPr>
            <w:tcW w:w="671"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CB78CC" w:rsidRPr="003E5C72" w:rsidRDefault="00CB78CC" w:rsidP="00CB7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E5C72">
              <w:rPr>
                <w:rFonts w:ascii="Times New Roman" w:hAnsi="Times New Roman" w:cs="Times New Roman"/>
                <w:sz w:val="24"/>
                <w:szCs w:val="24"/>
              </w:rPr>
              <w:t>1</w:t>
            </w:r>
            <w:r>
              <w:rPr>
                <w:rFonts w:ascii="Times New Roman" w:hAnsi="Times New Roman" w:cs="Times New Roman"/>
                <w:sz w:val="24"/>
                <w:szCs w:val="24"/>
              </w:rPr>
              <w:t> 234 878</w:t>
            </w:r>
          </w:p>
        </w:tc>
        <w:tc>
          <w:tcPr>
            <w:tcW w:w="828" w:type="pct"/>
            <w:tcBorders>
              <w:top w:val="outset" w:sz="6" w:space="0" w:color="auto"/>
              <w:left w:val="outset" w:sz="6" w:space="0" w:color="auto"/>
              <w:bottom w:val="outset" w:sz="6" w:space="0" w:color="auto"/>
              <w:right w:val="outset" w:sz="6" w:space="0" w:color="auto"/>
            </w:tcBorders>
          </w:tcPr>
          <w:p w:rsidR="00CB78CC" w:rsidRPr="003E5C72" w:rsidRDefault="00CB78CC" w:rsidP="00CB78CC">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-1 118 071</w:t>
            </w:r>
          </w:p>
        </w:tc>
        <w:tc>
          <w:tcPr>
            <w:tcW w:w="1208" w:type="pct"/>
            <w:tcBorders>
              <w:top w:val="outset" w:sz="6" w:space="0" w:color="auto"/>
              <w:left w:val="outset" w:sz="6" w:space="0" w:color="auto"/>
              <w:bottom w:val="outset" w:sz="6" w:space="0" w:color="auto"/>
              <w:right w:val="outset" w:sz="6" w:space="0" w:color="auto"/>
            </w:tcBorders>
          </w:tcPr>
          <w:p w:rsidR="00CB78CC" w:rsidRPr="003E5C72" w:rsidRDefault="00CB78CC" w:rsidP="00823C09">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F2EF6">
              <w:rPr>
                <w:rFonts w:ascii="Times New Roman" w:hAnsi="Times New Roman" w:cs="Times New Roman"/>
                <w:sz w:val="24"/>
                <w:szCs w:val="24"/>
              </w:rPr>
              <w:t>2 034  442</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3.2. speciālais budžets</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3.3. pašvaldību budžets</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4. Finanšu līdzekļi papildu izdevumu finansēšanai (kompensējoš</w:t>
            </w:r>
            <w:r w:rsidRPr="003E5C72">
              <w:rPr>
                <w:rFonts w:ascii="Times New Roman" w:hAnsi="Times New Roman" w:cs="Times New Roman"/>
                <w:sz w:val="24"/>
                <w:szCs w:val="24"/>
              </w:rPr>
              <w:lastRenderedPageBreak/>
              <w:t>u izdevumu samazinājumu norāda ar "+" zīmi)</w:t>
            </w:r>
          </w:p>
        </w:tc>
        <w:tc>
          <w:tcPr>
            <w:tcW w:w="671"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lastRenderedPageBreak/>
              <w:t>X</w:t>
            </w:r>
          </w:p>
        </w:tc>
        <w:tc>
          <w:tcPr>
            <w:tcW w:w="625"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A74211" w:rsidRPr="003E5C72" w:rsidRDefault="00A74211"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A74211" w:rsidRPr="003E5C72" w:rsidRDefault="00EC6B18" w:rsidP="00DF5E93">
            <w:pPr>
              <w:spacing w:before="75"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lastRenderedPageBreak/>
              <w:t>5. Precizēta finansiālā ietekme:</w:t>
            </w:r>
          </w:p>
        </w:tc>
        <w:tc>
          <w:tcPr>
            <w:tcW w:w="671" w:type="pct"/>
            <w:vMerge w:val="restart"/>
            <w:tcBorders>
              <w:top w:val="outset" w:sz="6" w:space="0" w:color="auto"/>
              <w:left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X</w:t>
            </w:r>
          </w:p>
        </w:tc>
        <w:tc>
          <w:tcPr>
            <w:tcW w:w="625"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CB78CC" w:rsidRPr="003E5C72" w:rsidRDefault="00CB78CC" w:rsidP="00CB7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E5C72">
              <w:rPr>
                <w:rFonts w:ascii="Times New Roman" w:hAnsi="Times New Roman" w:cs="Times New Roman"/>
                <w:sz w:val="24"/>
                <w:szCs w:val="24"/>
              </w:rPr>
              <w:t>1</w:t>
            </w:r>
            <w:r>
              <w:rPr>
                <w:rFonts w:ascii="Times New Roman" w:hAnsi="Times New Roman" w:cs="Times New Roman"/>
                <w:sz w:val="24"/>
                <w:szCs w:val="24"/>
              </w:rPr>
              <w:t> 234 878</w:t>
            </w:r>
          </w:p>
        </w:tc>
        <w:tc>
          <w:tcPr>
            <w:tcW w:w="828" w:type="pct"/>
            <w:tcBorders>
              <w:top w:val="outset" w:sz="6" w:space="0" w:color="auto"/>
              <w:left w:val="outset" w:sz="6" w:space="0" w:color="auto"/>
              <w:bottom w:val="outset" w:sz="6" w:space="0" w:color="auto"/>
              <w:right w:val="outset" w:sz="6" w:space="0" w:color="auto"/>
            </w:tcBorders>
          </w:tcPr>
          <w:p w:rsidR="00CB78CC" w:rsidRPr="003E5C72" w:rsidRDefault="00CB78CC" w:rsidP="00CB78CC">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-1 118 071</w:t>
            </w:r>
          </w:p>
        </w:tc>
        <w:tc>
          <w:tcPr>
            <w:tcW w:w="1208" w:type="pct"/>
            <w:tcBorders>
              <w:top w:val="outset" w:sz="6" w:space="0" w:color="auto"/>
              <w:left w:val="outset" w:sz="6" w:space="0" w:color="auto"/>
              <w:bottom w:val="outset" w:sz="6" w:space="0" w:color="auto"/>
              <w:right w:val="outset" w:sz="6" w:space="0" w:color="auto"/>
            </w:tcBorders>
          </w:tcPr>
          <w:p w:rsidR="00CB78CC" w:rsidRPr="003E5C72" w:rsidRDefault="00CB78CC" w:rsidP="00823C09">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F2EF6">
              <w:rPr>
                <w:rFonts w:ascii="Times New Roman" w:hAnsi="Times New Roman" w:cs="Times New Roman"/>
                <w:sz w:val="24"/>
                <w:szCs w:val="24"/>
              </w:rPr>
              <w:t>2 034  442</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5.1. valsts pamatbudžets</w:t>
            </w:r>
          </w:p>
        </w:tc>
        <w:tc>
          <w:tcPr>
            <w:tcW w:w="671" w:type="pct"/>
            <w:vMerge/>
            <w:tcBorders>
              <w:left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CB78CC" w:rsidRPr="003E5C72" w:rsidRDefault="00CB78CC" w:rsidP="00CB7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E5C72">
              <w:rPr>
                <w:rFonts w:ascii="Times New Roman" w:hAnsi="Times New Roman" w:cs="Times New Roman"/>
                <w:sz w:val="24"/>
                <w:szCs w:val="24"/>
              </w:rPr>
              <w:t>1</w:t>
            </w:r>
            <w:r>
              <w:rPr>
                <w:rFonts w:ascii="Times New Roman" w:hAnsi="Times New Roman" w:cs="Times New Roman"/>
                <w:sz w:val="24"/>
                <w:szCs w:val="24"/>
              </w:rPr>
              <w:t> 234 878</w:t>
            </w:r>
          </w:p>
        </w:tc>
        <w:tc>
          <w:tcPr>
            <w:tcW w:w="828" w:type="pct"/>
            <w:tcBorders>
              <w:top w:val="outset" w:sz="6" w:space="0" w:color="auto"/>
              <w:left w:val="outset" w:sz="6" w:space="0" w:color="auto"/>
              <w:bottom w:val="outset" w:sz="6" w:space="0" w:color="auto"/>
              <w:right w:val="outset" w:sz="6" w:space="0" w:color="auto"/>
            </w:tcBorders>
          </w:tcPr>
          <w:p w:rsidR="00CB78CC" w:rsidRPr="003E5C72" w:rsidRDefault="00CB78CC" w:rsidP="00CB78CC">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-1 118 071</w:t>
            </w:r>
          </w:p>
        </w:tc>
        <w:tc>
          <w:tcPr>
            <w:tcW w:w="1208" w:type="pct"/>
            <w:tcBorders>
              <w:top w:val="outset" w:sz="6" w:space="0" w:color="auto"/>
              <w:left w:val="outset" w:sz="6" w:space="0" w:color="auto"/>
              <w:bottom w:val="outset" w:sz="6" w:space="0" w:color="auto"/>
              <w:right w:val="outset" w:sz="6" w:space="0" w:color="auto"/>
            </w:tcBorders>
          </w:tcPr>
          <w:p w:rsidR="00CB78CC" w:rsidRPr="003E5C72" w:rsidRDefault="00CB78CC" w:rsidP="00823C09">
            <w:pPr>
              <w:spacing w:before="75"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F2EF6">
              <w:rPr>
                <w:rFonts w:ascii="Times New Roman" w:hAnsi="Times New Roman" w:cs="Times New Roman"/>
                <w:sz w:val="24"/>
                <w:szCs w:val="24"/>
              </w:rPr>
              <w:t>2 034  442</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5.2. speciālais budžets</w:t>
            </w:r>
          </w:p>
        </w:tc>
        <w:tc>
          <w:tcPr>
            <w:tcW w:w="671" w:type="pct"/>
            <w:vMerge/>
            <w:tcBorders>
              <w:left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5.3. pašvaldību budžets</w:t>
            </w:r>
          </w:p>
        </w:tc>
        <w:tc>
          <w:tcPr>
            <w:tcW w:w="671" w:type="pct"/>
            <w:vMerge/>
            <w:tcBorders>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828"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c>
          <w:tcPr>
            <w:tcW w:w="1208"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0</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129" w:type="pct"/>
            <w:gridSpan w:val="5"/>
            <w:vMerge w:val="restart"/>
            <w:tcBorders>
              <w:top w:val="outset" w:sz="6" w:space="0" w:color="auto"/>
              <w:left w:val="outset" w:sz="6" w:space="0" w:color="auto"/>
              <w:right w:val="outset" w:sz="6" w:space="0" w:color="auto"/>
            </w:tcBorders>
          </w:tcPr>
          <w:p w:rsidR="00CB78CC" w:rsidRPr="003E5C72" w:rsidRDefault="00CB78CC" w:rsidP="00A0654E">
            <w:pPr>
              <w:autoSpaceDE w:val="0"/>
              <w:autoSpaceDN w:val="0"/>
              <w:adjustRightInd w:val="0"/>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Sadaļa aizpildīta, balstoties uz koncepcijas 3.pielikumu (apstiprināts Ministru kabineta 2015.gada 24.februāra sēdē).</w:t>
            </w:r>
          </w:p>
          <w:p w:rsidR="00CB78CC" w:rsidRPr="003E5C72" w:rsidRDefault="00CB78CC" w:rsidP="00A0654E">
            <w:pPr>
              <w:autoSpaceDE w:val="0"/>
              <w:autoSpaceDN w:val="0"/>
              <w:adjustRightInd w:val="0"/>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Projekts</w:t>
            </w:r>
            <w:r>
              <w:rPr>
                <w:rFonts w:ascii="Times New Roman" w:hAnsi="Times New Roman" w:cs="Times New Roman"/>
                <w:sz w:val="24"/>
                <w:szCs w:val="24"/>
              </w:rPr>
              <w:t xml:space="preserve"> </w:t>
            </w:r>
            <w:r w:rsidRPr="003E5C72">
              <w:rPr>
                <w:rFonts w:ascii="Times New Roman" w:hAnsi="Times New Roman" w:cs="Times New Roman"/>
                <w:sz w:val="24"/>
                <w:szCs w:val="24"/>
              </w:rPr>
              <w:t xml:space="preserve">nosaka, ka izglītības iestāde, kurai tiks piešķirts </w:t>
            </w:r>
            <w:r>
              <w:rPr>
                <w:rFonts w:ascii="Times New Roman" w:hAnsi="Times New Roman" w:cs="Times New Roman"/>
                <w:sz w:val="24"/>
                <w:szCs w:val="24"/>
              </w:rPr>
              <w:t>PIKC</w:t>
            </w:r>
            <w:r w:rsidRPr="003E5C72">
              <w:rPr>
                <w:rFonts w:ascii="Times New Roman" w:hAnsi="Times New Roman" w:cs="Times New Roman"/>
                <w:sz w:val="24"/>
                <w:szCs w:val="24"/>
              </w:rPr>
              <w:t xml:space="preserve"> statuss, nodrošinās profesionālās izglītības programmu īstenošanu, būs reģionālais vai nozares metodiskais centrs, pedagogu tālākizglītības centrs un veiks ārpus formālās izglītības sistēmas apgūtās profesionālās kompetences novērtēšanu. </w:t>
            </w:r>
          </w:p>
          <w:p w:rsidR="00CB78CC" w:rsidRPr="003E5C72" w:rsidRDefault="00CB78CC" w:rsidP="00A0654E">
            <w:pPr>
              <w:autoSpaceDE w:val="0"/>
              <w:autoSpaceDN w:val="0"/>
              <w:adjustRightInd w:val="0"/>
              <w:spacing w:after="0" w:line="240" w:lineRule="auto"/>
              <w:jc w:val="both"/>
              <w:rPr>
                <w:rFonts w:ascii="Times New Roman" w:hAnsi="Times New Roman" w:cs="Times New Roman"/>
                <w:sz w:val="24"/>
                <w:szCs w:val="24"/>
              </w:rPr>
            </w:pPr>
            <w:r w:rsidRPr="003E5C72">
              <w:rPr>
                <w:rFonts w:ascii="Times New Roman" w:hAnsi="Times New Roman" w:cs="Times New Roman"/>
                <w:color w:val="000000"/>
                <w:sz w:val="24"/>
                <w:szCs w:val="24"/>
              </w:rPr>
              <w:t>Ministru kabineta 2009.gada 28.jūlija noteikumu Nr.836 "Pedagogu darba samaksas noteikumi" (turpmāk – MK noteikumi Nr.836) 28.punkts paredz, ka pedagogiem valsts ģimnāzijās un profesionālās izglītības kompetences centros (izņemot pedagogus, kuri īsteno pirmā līmeņa profesionālās augstākās izglītības programmas) nosaka piemaksu 10 procentu apmērā no mēneša darba algas likmes. Līdz šim ministrijas padotības profesionālās vidējās izglītības iestādēs valsts budžetā šāda piemaksa neti</w:t>
            </w:r>
            <w:r>
              <w:rPr>
                <w:rFonts w:ascii="Times New Roman" w:hAnsi="Times New Roman" w:cs="Times New Roman"/>
                <w:color w:val="000000"/>
                <w:sz w:val="24"/>
                <w:szCs w:val="24"/>
              </w:rPr>
              <w:t>ka</w:t>
            </w:r>
            <w:r w:rsidRPr="003E5C72">
              <w:rPr>
                <w:rFonts w:ascii="Times New Roman" w:hAnsi="Times New Roman" w:cs="Times New Roman"/>
                <w:color w:val="000000"/>
                <w:sz w:val="24"/>
                <w:szCs w:val="24"/>
              </w:rPr>
              <w:t xml:space="preserve"> paredzēta. </w:t>
            </w:r>
            <w:r w:rsidRPr="003E5C72">
              <w:rPr>
                <w:rFonts w:ascii="Times New Roman" w:hAnsi="Times New Roman" w:cs="Times New Roman"/>
                <w:sz w:val="24"/>
                <w:szCs w:val="24"/>
              </w:rPr>
              <w:t xml:space="preserve">Saskaņā ar Projektā noteikto izglītības iestāde, kurai piešķirts kompetences centra statuss, īstenos profesionālās izglītības programmas, kā arī būs reģionālais vai nozares metodiskais centrs, pedagogu tālākizglītības centrs un veiks ārpus formālās izglītības sistēmas apgūtās profesionālās kompetences novērtēšanu. Tādēļ </w:t>
            </w:r>
            <w:r>
              <w:rPr>
                <w:rFonts w:ascii="Times New Roman" w:hAnsi="Times New Roman" w:cs="Times New Roman"/>
                <w:sz w:val="24"/>
                <w:szCs w:val="24"/>
              </w:rPr>
              <w:t xml:space="preserve">PIKC </w:t>
            </w:r>
            <w:r w:rsidRPr="003E5C72">
              <w:rPr>
                <w:rFonts w:ascii="Times New Roman" w:hAnsi="Times New Roman" w:cs="Times New Roman"/>
                <w:sz w:val="24"/>
                <w:szCs w:val="24"/>
              </w:rPr>
              <w:t>nodarbināto pedagogu darba samaksas nodrošināšanai atbilstoši MK noteikumu Nr.836 28.punktā noteiktajam ir jānodrošina piemaksas 10% apmērā.</w:t>
            </w:r>
          </w:p>
          <w:p w:rsidR="00CB78CC" w:rsidRPr="003E5C72" w:rsidRDefault="00CB78CC" w:rsidP="00FA67DD">
            <w:pPr>
              <w:autoSpaceDE w:val="0"/>
              <w:autoSpaceDN w:val="0"/>
              <w:adjustRightInd w:val="0"/>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Atbilstoši </w:t>
            </w:r>
            <w:r w:rsidRPr="003E5C72">
              <w:rPr>
                <w:rFonts w:ascii="Times New Roman" w:hAnsi="Times New Roman" w:cs="Times New Roman"/>
                <w:iCs/>
                <w:sz w:val="24"/>
                <w:szCs w:val="24"/>
              </w:rPr>
              <w:t>Ministru kabineta 2015.gada 4.marta rīkojuma Nr.110 „</w:t>
            </w:r>
            <w:r w:rsidRPr="003E5C72">
              <w:rPr>
                <w:rFonts w:ascii="Times New Roman" w:hAnsi="Times New Roman" w:cs="Times New Roman"/>
                <w:sz w:val="24"/>
                <w:szCs w:val="24"/>
              </w:rPr>
              <w:t>Par Kultūras ministrijas padotībā esošo profesionālās vidējās kultūrizglītības iestāžu attīstības koncepciju</w:t>
            </w:r>
            <w:r w:rsidRPr="003E5C72">
              <w:rPr>
                <w:rFonts w:ascii="Times New Roman" w:hAnsi="Times New Roman" w:cs="Times New Roman"/>
                <w:iCs/>
                <w:sz w:val="24"/>
                <w:szCs w:val="24"/>
              </w:rPr>
              <w:t xml:space="preserve">” 3.punktam ministrija līdz </w:t>
            </w:r>
            <w:r w:rsidRPr="003E5C72">
              <w:rPr>
                <w:rFonts w:ascii="Times New Roman" w:hAnsi="Times New Roman" w:cs="Times New Roman"/>
                <w:sz w:val="24"/>
                <w:szCs w:val="24"/>
              </w:rPr>
              <w:t>2020.gadam plānoto nodrošināt tās padotībā esošo izglītības iestāžu virzību uz sešu profesionālās izglītības kompetences centru izveidi.</w:t>
            </w:r>
          </w:p>
          <w:p w:rsidR="00CB78CC" w:rsidRPr="003E5C72" w:rsidRDefault="00CB78CC" w:rsidP="00FA67DD">
            <w:pPr>
              <w:autoSpaceDE w:val="0"/>
              <w:autoSpaceDN w:val="0"/>
              <w:adjustRightInd w:val="0"/>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Līdz 2018.gadam plānots izveidot sešus profesionālās izglītības kompetences centrus – Rīgas Dizaina un mākslas vidusskola, Nacionālo Mākslu vidusskola Rīgā (reorganizējot Jaņa Rozentāla Rīgas Mākslas vidusskolu un Rīgas Doma kora skolu), Ventspils Mūzikas vidusskola, Liepājas Mūzikas, mākslas un dizaina vidusskola (reorganizējot Emiļa Melngaiļa Liepājas Mūzikas vidusskolu un Liepājas Dizaina un mākslas vidusskolu) un Rēzeknes Mūzikas, mākslas un </w:t>
            </w:r>
            <w:r w:rsidRPr="003E5C72">
              <w:rPr>
                <w:rFonts w:ascii="Times New Roman" w:hAnsi="Times New Roman" w:cs="Times New Roman"/>
                <w:sz w:val="24"/>
                <w:szCs w:val="24"/>
              </w:rPr>
              <w:lastRenderedPageBreak/>
              <w:t>dizaina vidusskola (reorganizējot Rēzeknes Mākslas un dizaina vidusskolu un Jāņa Ivanova Rēzeknes mūzikas vidusskolu), Alfrēda Kalniņa Cēsu Mūzikas vidusskolu.</w:t>
            </w:r>
          </w:p>
          <w:p w:rsidR="00CB78CC" w:rsidRDefault="00CB78CC" w:rsidP="00853DCB">
            <w:pPr>
              <w:autoSpaceDE w:val="0"/>
              <w:autoSpaceDN w:val="0"/>
              <w:adjustRightInd w:val="0"/>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Detalizēti aprēķini par papildus nepieciešamo finansējumu 2016. un turpmākajos gados pievienoti Projekta sākotnējās ietekmes novērtējuma ziņojuma (anotācijas) 1.pielikumā un 2.pielikumā.Aprēķini veikti tikai jaunām izdevumu pozīcijām, kurām pašlaik finansējums ministrijas budžetā nav paredzēts</w:t>
            </w:r>
            <w:r>
              <w:rPr>
                <w:rFonts w:ascii="Times New Roman" w:hAnsi="Times New Roman" w:cs="Times New Roman"/>
                <w:sz w:val="24"/>
                <w:szCs w:val="24"/>
              </w:rPr>
              <w:t>. P</w:t>
            </w:r>
            <w:r w:rsidRPr="003E5C72">
              <w:rPr>
                <w:rFonts w:ascii="Times New Roman" w:hAnsi="Times New Roman" w:cs="Times New Roman"/>
                <w:sz w:val="24"/>
                <w:szCs w:val="24"/>
              </w:rPr>
              <w:t xml:space="preserve">ārējās </w:t>
            </w:r>
            <w:r>
              <w:rPr>
                <w:rFonts w:ascii="Times New Roman" w:hAnsi="Times New Roman" w:cs="Times New Roman"/>
                <w:sz w:val="24"/>
                <w:szCs w:val="24"/>
              </w:rPr>
              <w:t>PIKC</w:t>
            </w:r>
            <w:r w:rsidRPr="003E5C72">
              <w:rPr>
                <w:rFonts w:ascii="Times New Roman" w:hAnsi="Times New Roman" w:cs="Times New Roman"/>
                <w:sz w:val="24"/>
                <w:szCs w:val="24"/>
              </w:rPr>
              <w:t xml:space="preserve"> funkcijas, ja tādas būs, pēc provizoriskiem aprēķiniem radīs salīdzinoši nelielu finansiālu ietekmi, līdz ar to tās tiks īstenotas esošā budžeta ietvaros.</w:t>
            </w:r>
          </w:p>
          <w:p w:rsidR="00CB78CC" w:rsidRPr="003E5C72" w:rsidRDefault="00CB78CC" w:rsidP="00667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nav iespējams precīzi aprēķināt līdzekļu ietaupījumu no izglītības iestāžu tīkla optimizācijas, apvienojot esošās izglītības iestādes kompetences centros. Precīzāki aprēķini iespējami, kad darbu uzsāks reorganizētās iestādes direktors. </w:t>
            </w:r>
            <w:r w:rsidRPr="00152997">
              <w:rPr>
                <w:rFonts w:ascii="Times New Roman" w:hAnsi="Times New Roman" w:cs="Times New Roman"/>
                <w:sz w:val="24"/>
                <w:szCs w:val="24"/>
              </w:rPr>
              <w:t>Reorganizācijas gadījumā, izglītības iestādei paliekot katrai savās esošajās telpās, iespējams tiks samazināti administratīvie izdevumi attiecībā uz grāmatvedības vai lietvedības darbinieku štata vietām, kā arī direktora vietnieku amata vietu rēķina</w:t>
            </w:r>
            <w:r>
              <w:rPr>
                <w:rFonts w:ascii="Times New Roman" w:hAnsi="Times New Roman" w:cs="Times New Roman"/>
                <w:sz w:val="24"/>
                <w:szCs w:val="24"/>
              </w:rPr>
              <w:t xml:space="preserve">. Tāpat iespējams apvienot reorganizētās izglītības iestādes vispārizglītojošo priekšmetu pedagogu amata vietas, lai tās nedublētos un izveidojot vienu, taču šo jautājumu iespējams precīzi aprēķināt, darbu uzsākot reorganizētajai izglītības iestādei ar vienotu mācību stundu sarakstu. </w:t>
            </w:r>
            <w:r w:rsidRPr="00B936B7">
              <w:rPr>
                <w:rFonts w:ascii="Times New Roman" w:hAnsi="Times New Roman" w:cs="Times New Roman"/>
                <w:sz w:val="24"/>
                <w:szCs w:val="24"/>
              </w:rPr>
              <w:t>Tikmēr saimniecisko darbinieku, kā ar specializēto mācību priekšmetu pedagogu skaits paliek nemainīgs.</w:t>
            </w: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6.1. detalizēts ieņēmumu aprēķins</w:t>
            </w:r>
          </w:p>
        </w:tc>
        <w:tc>
          <w:tcPr>
            <w:tcW w:w="4129" w:type="pct"/>
            <w:gridSpan w:val="5"/>
            <w:vMerge/>
            <w:tcBorders>
              <w:left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6.2. detalizēts izdevumu aprēķins</w:t>
            </w:r>
          </w:p>
        </w:tc>
        <w:tc>
          <w:tcPr>
            <w:tcW w:w="4129" w:type="pct"/>
            <w:gridSpan w:val="5"/>
            <w:vMerge/>
            <w:tcBorders>
              <w:left w:val="outset" w:sz="6" w:space="0" w:color="auto"/>
              <w:bottom w:val="outset" w:sz="6" w:space="0" w:color="auto"/>
              <w:right w:val="outset" w:sz="6" w:space="0" w:color="auto"/>
            </w:tcBorders>
          </w:tcPr>
          <w:p w:rsidR="00CB78CC" w:rsidRPr="003E5C72" w:rsidRDefault="00CB78CC" w:rsidP="00DF5E93">
            <w:pPr>
              <w:spacing w:after="0" w:line="240" w:lineRule="auto"/>
              <w:jc w:val="center"/>
              <w:rPr>
                <w:rFonts w:ascii="Times New Roman" w:hAnsi="Times New Roman" w:cs="Times New Roman"/>
                <w:sz w:val="24"/>
                <w:szCs w:val="24"/>
              </w:rPr>
            </w:pPr>
          </w:p>
        </w:tc>
      </w:tr>
      <w:tr w:rsidR="00CB78CC" w:rsidRPr="003E5C72" w:rsidTr="00CB78CC">
        <w:trPr>
          <w:trHeight w:val="146"/>
          <w:tblCellSpacing w:w="7" w:type="dxa"/>
        </w:trPr>
        <w:tc>
          <w:tcPr>
            <w:tcW w:w="850" w:type="pct"/>
            <w:tcBorders>
              <w:top w:val="outset" w:sz="6" w:space="0" w:color="auto"/>
              <w:left w:val="outset" w:sz="6" w:space="0" w:color="auto"/>
              <w:bottom w:val="outset" w:sz="6" w:space="0" w:color="auto"/>
              <w:right w:val="outset" w:sz="6" w:space="0" w:color="auto"/>
            </w:tcBorders>
          </w:tcPr>
          <w:p w:rsidR="00CB78CC" w:rsidRPr="003E5C72" w:rsidRDefault="00CB78CC" w:rsidP="00051C39">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lastRenderedPageBreak/>
              <w:t>7. Cita informācija</w:t>
            </w:r>
          </w:p>
        </w:tc>
        <w:tc>
          <w:tcPr>
            <w:tcW w:w="4129" w:type="pct"/>
            <w:gridSpan w:val="5"/>
            <w:tcBorders>
              <w:top w:val="outset" w:sz="6" w:space="0" w:color="auto"/>
              <w:left w:val="outset" w:sz="6" w:space="0" w:color="auto"/>
              <w:bottom w:val="outset" w:sz="6" w:space="0" w:color="auto"/>
              <w:right w:val="outset" w:sz="6" w:space="0" w:color="auto"/>
            </w:tcBorders>
          </w:tcPr>
          <w:p w:rsidR="00CB78CC" w:rsidRPr="00FE264F" w:rsidRDefault="00CB78CC" w:rsidP="00135CC0">
            <w:pPr>
              <w:spacing w:after="0" w:line="240" w:lineRule="auto"/>
              <w:jc w:val="both"/>
              <w:rPr>
                <w:rFonts w:ascii="Times New Roman" w:eastAsia="Calibri" w:hAnsi="Times New Roman" w:cs="Times New Roman"/>
                <w:iCs/>
              </w:rPr>
            </w:pPr>
            <w:r w:rsidRPr="00FE264F">
              <w:rPr>
                <w:rFonts w:ascii="Times New Roman" w:eastAsia="Calibri" w:hAnsi="Times New Roman" w:cs="Times New Roman"/>
                <w:iCs/>
                <w:sz w:val="24"/>
                <w:szCs w:val="24"/>
              </w:rPr>
              <w:t>Projekts ir īstenojams esošo ministrijas valsts budžeta līdzekļu ietvaros, savukārt jautājums par nepieciešamo papildu finansējumu profesionālo izglītības kompetences centru funkciju nodrošināšanai ir izskatāms Ministru kabinetā, sagatavojot likumprojektu “Par vidēja termiņa budžeta ietvaru 2017., 2018. un 2019.gadam” un likumprojektu “Par valsts budžetu 2017.gadam” kopā ar visu ministriju un centrālo valsts iestāžu jauno politikas iniciatīvu pieprasījumiem</w:t>
            </w:r>
            <w:r w:rsidRPr="00FE264F">
              <w:rPr>
                <w:rFonts w:ascii="Times New Roman" w:eastAsia="Calibri" w:hAnsi="Times New Roman" w:cs="Times New Roman"/>
                <w:iCs/>
              </w:rPr>
              <w:t>.</w:t>
            </w:r>
          </w:p>
          <w:p w:rsidR="00CB78CC" w:rsidRPr="00FE264F" w:rsidRDefault="00CB78CC" w:rsidP="003A7689">
            <w:pPr>
              <w:spacing w:after="0" w:line="240" w:lineRule="auto"/>
              <w:jc w:val="both"/>
              <w:rPr>
                <w:rFonts w:eastAsia="Calibri"/>
                <w:iCs/>
              </w:rPr>
            </w:pPr>
            <w:r>
              <w:rPr>
                <w:rFonts w:ascii="Times New Roman" w:eastAsia="Calibri" w:hAnsi="Times New Roman" w:cs="Times New Roman"/>
                <w:iCs/>
              </w:rPr>
              <w:t>M</w:t>
            </w:r>
            <w:r w:rsidRPr="00FE264F">
              <w:rPr>
                <w:rFonts w:ascii="Times New Roman" w:eastAsia="Calibri" w:hAnsi="Times New Roman" w:cs="Times New Roman"/>
                <w:iCs/>
              </w:rPr>
              <w:t>inistrija,</w:t>
            </w:r>
            <w:r w:rsidRPr="00FE264F">
              <w:rPr>
                <w:rFonts w:ascii="Times New Roman" w:eastAsia="Calibri" w:hAnsi="Times New Roman" w:cs="Times New Roman"/>
                <w:iCs/>
                <w:sz w:val="24"/>
                <w:szCs w:val="24"/>
              </w:rPr>
              <w:t xml:space="preserve"> sagatavojot likumprojektu “Par vidēja termiņa budžeta ietvaru 2016., 2017. un 2018.gadam” un likumprojektu “Par valsts budžetu 2016.gadam” kopā ar visu ministriju un centrālo valsts iestāžu jauno politikas iniciatīvu pieprasījumiem</w:t>
            </w:r>
            <w:r w:rsidRPr="00FE264F">
              <w:rPr>
                <w:rFonts w:ascii="Times New Roman" w:eastAsia="Calibri" w:hAnsi="Times New Roman" w:cs="Times New Roman"/>
                <w:iCs/>
              </w:rPr>
              <w:t xml:space="preserve"> ir iesniegusi jaunās politika</w:t>
            </w:r>
            <w:r>
              <w:rPr>
                <w:rFonts w:ascii="Times New Roman" w:eastAsia="Calibri" w:hAnsi="Times New Roman" w:cs="Times New Roman"/>
                <w:iCs/>
              </w:rPr>
              <w:t xml:space="preserve">s iniciatīvu pieprasījumu PIKC </w:t>
            </w:r>
            <w:r w:rsidRPr="00FE264F">
              <w:rPr>
                <w:rFonts w:ascii="Times New Roman" w:eastAsia="Calibri" w:hAnsi="Times New Roman" w:cs="Times New Roman"/>
                <w:iCs/>
              </w:rPr>
              <w:t>izveidei 2016.gadā.</w:t>
            </w:r>
            <w:r>
              <w:rPr>
                <w:rFonts w:eastAsia="Calibri"/>
                <w:iCs/>
              </w:rPr>
              <w:t xml:space="preserve"> </w:t>
            </w:r>
          </w:p>
        </w:tc>
      </w:tr>
    </w:tbl>
    <w:p w:rsidR="00E8108B" w:rsidRDefault="00E8108B" w:rsidP="00051C39">
      <w:pPr>
        <w:pStyle w:val="ParastaisWeb"/>
        <w:spacing w:before="0" w:beforeAutospacing="0" w:after="0" w:afterAutospacing="0"/>
        <w:rPr>
          <w:i/>
        </w:rPr>
      </w:pPr>
    </w:p>
    <w:p w:rsidR="00FE264F" w:rsidRPr="003E5C72" w:rsidRDefault="00FE264F" w:rsidP="00051C39">
      <w:pPr>
        <w:pStyle w:val="ParastaisWeb"/>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3499"/>
        <w:gridCol w:w="5240"/>
      </w:tblGrid>
      <w:tr w:rsidR="00051C39" w:rsidRPr="003E5C72" w:rsidTr="008362B5">
        <w:trPr>
          <w:trHeight w:val="652"/>
          <w:jc w:val="center"/>
        </w:trPr>
        <w:tc>
          <w:tcPr>
            <w:tcW w:w="5000" w:type="pct"/>
            <w:gridSpan w:val="3"/>
            <w:vAlign w:val="center"/>
          </w:tcPr>
          <w:p w:rsidR="00051C39" w:rsidRPr="003E5C72" w:rsidRDefault="00051C39" w:rsidP="00051C39">
            <w:pPr>
              <w:pStyle w:val="naisnod"/>
              <w:spacing w:before="0" w:after="0"/>
              <w:ind w:firstLine="96"/>
              <w:rPr>
                <w:b w:val="0"/>
                <w:i/>
              </w:rPr>
            </w:pPr>
            <w:r w:rsidRPr="003E5C72">
              <w:br w:type="page"/>
              <w:t>IV. Tiesību akta projekta ietekme uz spēkā esošo tiesību normu sistēmu</w:t>
            </w:r>
          </w:p>
        </w:tc>
      </w:tr>
      <w:tr w:rsidR="00051C39" w:rsidRPr="003E5C72" w:rsidTr="008362B5">
        <w:tblPrEx>
          <w:tblCellMar>
            <w:left w:w="0" w:type="dxa"/>
            <w:right w:w="0" w:type="dxa"/>
          </w:tblCellMar>
          <w:tblLook w:val="0000"/>
        </w:tblPrEx>
        <w:trPr>
          <w:trHeight w:val="553"/>
          <w:jc w:val="center"/>
        </w:trPr>
        <w:tc>
          <w:tcPr>
            <w:tcW w:w="295" w:type="pct"/>
          </w:tcPr>
          <w:p w:rsidR="00051C39" w:rsidRPr="003E5C72" w:rsidRDefault="00051C39" w:rsidP="00051C39">
            <w:pPr>
              <w:pStyle w:val="naiskr"/>
              <w:spacing w:before="0" w:after="0"/>
              <w:ind w:left="57" w:right="57"/>
              <w:jc w:val="center"/>
              <w:rPr>
                <w:bCs/>
              </w:rPr>
            </w:pPr>
            <w:r w:rsidRPr="003E5C72">
              <w:rPr>
                <w:bCs/>
              </w:rPr>
              <w:t>1.</w:t>
            </w:r>
          </w:p>
        </w:tc>
        <w:tc>
          <w:tcPr>
            <w:tcW w:w="1884" w:type="pct"/>
          </w:tcPr>
          <w:p w:rsidR="00051C39" w:rsidRPr="003E5C72" w:rsidRDefault="00051C39" w:rsidP="00051C39">
            <w:pPr>
              <w:pStyle w:val="naiskr"/>
              <w:tabs>
                <w:tab w:val="left" w:pos="170"/>
              </w:tabs>
              <w:spacing w:before="0" w:after="0"/>
              <w:ind w:left="57" w:right="57"/>
            </w:pPr>
            <w:r w:rsidRPr="003E5C72">
              <w:t>Nepieciešamie saistītie tiesību aktu projekti</w:t>
            </w:r>
          </w:p>
        </w:tc>
        <w:tc>
          <w:tcPr>
            <w:tcW w:w="2821" w:type="pct"/>
          </w:tcPr>
          <w:p w:rsidR="00051C39" w:rsidRPr="003E5C72" w:rsidRDefault="009C2412" w:rsidP="009C2412">
            <w:pPr>
              <w:pStyle w:val="ParastaisWeb"/>
              <w:spacing w:before="0" w:beforeAutospacing="0" w:after="0" w:afterAutospacing="0"/>
              <w:jc w:val="both"/>
            </w:pPr>
            <w:r>
              <w:t>M</w:t>
            </w:r>
            <w:r w:rsidR="00051C39" w:rsidRPr="003E5C72">
              <w:t>inistrija vienlaikus</w:t>
            </w:r>
            <w:r w:rsidR="008D6103" w:rsidRPr="003E5C72">
              <w:t xml:space="preserve"> ar Projektu virza izskatīšanai</w:t>
            </w:r>
            <w:r w:rsidR="00620EDF" w:rsidRPr="003E5C72">
              <w:t xml:space="preserve"> Ministru kabinetā</w:t>
            </w:r>
            <w:r w:rsidR="009466CD">
              <w:t xml:space="preserve"> </w:t>
            </w:r>
            <w:r w:rsidR="00051C39" w:rsidRPr="003E5C72">
              <w:t>Ministru kabineta noteikumu projektu „</w:t>
            </w:r>
            <w:r w:rsidR="00620EDF" w:rsidRPr="003E5C72">
              <w:rPr>
                <w:bCs/>
              </w:rPr>
              <w:t xml:space="preserve">Grozījumi </w:t>
            </w:r>
            <w:r w:rsidR="00620EDF" w:rsidRPr="003E5C72">
              <w:t>Ministru kabineta 2013.gada 19.marta noteikumos Nr.144 „Profesionālās izglītības kompetences centra statusa piešķiršanas un anulēšanas kārtība”</w:t>
            </w:r>
            <w:r w:rsidR="007A5BEF" w:rsidRPr="003E5C72">
              <w:t>.</w:t>
            </w:r>
          </w:p>
        </w:tc>
      </w:tr>
      <w:tr w:rsidR="00051C39" w:rsidRPr="003E5C72" w:rsidTr="008362B5">
        <w:tblPrEx>
          <w:tblCellMar>
            <w:left w:w="0" w:type="dxa"/>
            <w:right w:w="0" w:type="dxa"/>
          </w:tblCellMar>
          <w:tblLook w:val="0000"/>
        </w:tblPrEx>
        <w:trPr>
          <w:trHeight w:val="339"/>
          <w:jc w:val="center"/>
        </w:trPr>
        <w:tc>
          <w:tcPr>
            <w:tcW w:w="295" w:type="pct"/>
          </w:tcPr>
          <w:p w:rsidR="00051C39" w:rsidRPr="003E5C72" w:rsidRDefault="00051C39" w:rsidP="00051C39">
            <w:pPr>
              <w:pStyle w:val="naiskr"/>
              <w:spacing w:before="0" w:after="0"/>
              <w:ind w:left="57" w:right="57"/>
              <w:jc w:val="center"/>
              <w:rPr>
                <w:bCs/>
              </w:rPr>
            </w:pPr>
            <w:r w:rsidRPr="003E5C72">
              <w:rPr>
                <w:bCs/>
              </w:rPr>
              <w:t>2.</w:t>
            </w:r>
          </w:p>
        </w:tc>
        <w:tc>
          <w:tcPr>
            <w:tcW w:w="1884" w:type="pct"/>
          </w:tcPr>
          <w:p w:rsidR="00051C39" w:rsidRPr="003E5C72" w:rsidRDefault="00051C39" w:rsidP="00051C39">
            <w:pPr>
              <w:pStyle w:val="naiskr"/>
              <w:spacing w:before="0" w:after="0"/>
              <w:ind w:left="57" w:right="57"/>
            </w:pPr>
            <w:r w:rsidRPr="003E5C72">
              <w:t xml:space="preserve">Atbildīgā institūcija </w:t>
            </w:r>
          </w:p>
        </w:tc>
        <w:tc>
          <w:tcPr>
            <w:tcW w:w="2821" w:type="pct"/>
          </w:tcPr>
          <w:p w:rsidR="00051C39" w:rsidRPr="003E5C72" w:rsidRDefault="009C2412" w:rsidP="0099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051C39" w:rsidRPr="003E5C72">
              <w:rPr>
                <w:rFonts w:ascii="Times New Roman" w:hAnsi="Times New Roman" w:cs="Times New Roman"/>
                <w:sz w:val="24"/>
                <w:szCs w:val="24"/>
              </w:rPr>
              <w:t>inistrija</w:t>
            </w:r>
            <w:r w:rsidR="0099468F" w:rsidRPr="003E5C72">
              <w:rPr>
                <w:rFonts w:ascii="Times New Roman" w:hAnsi="Times New Roman" w:cs="Times New Roman"/>
                <w:sz w:val="24"/>
                <w:szCs w:val="24"/>
              </w:rPr>
              <w:t>, Latvijas Nacionālais kultūras centrs</w:t>
            </w:r>
            <w:r w:rsidR="00051C39" w:rsidRPr="003E5C72">
              <w:rPr>
                <w:rFonts w:ascii="Times New Roman" w:hAnsi="Times New Roman" w:cs="Times New Roman"/>
                <w:sz w:val="24"/>
                <w:szCs w:val="24"/>
              </w:rPr>
              <w:t>.</w:t>
            </w:r>
          </w:p>
        </w:tc>
      </w:tr>
      <w:tr w:rsidR="00051C39" w:rsidRPr="003E5C72" w:rsidTr="00620EDF">
        <w:tblPrEx>
          <w:tblCellMar>
            <w:left w:w="0" w:type="dxa"/>
            <w:right w:w="0" w:type="dxa"/>
          </w:tblCellMar>
          <w:tblLook w:val="0000"/>
        </w:tblPrEx>
        <w:trPr>
          <w:trHeight w:val="489"/>
          <w:jc w:val="center"/>
        </w:trPr>
        <w:tc>
          <w:tcPr>
            <w:tcW w:w="295" w:type="pct"/>
          </w:tcPr>
          <w:p w:rsidR="00051C39" w:rsidRPr="003E5C72" w:rsidRDefault="00051C39" w:rsidP="00051C39">
            <w:pPr>
              <w:pStyle w:val="naiskr"/>
              <w:spacing w:before="0" w:after="0"/>
              <w:ind w:left="57" w:right="57"/>
              <w:jc w:val="center"/>
              <w:rPr>
                <w:bCs/>
              </w:rPr>
            </w:pPr>
            <w:r w:rsidRPr="003E5C72">
              <w:rPr>
                <w:bCs/>
              </w:rPr>
              <w:t>3.</w:t>
            </w:r>
          </w:p>
        </w:tc>
        <w:tc>
          <w:tcPr>
            <w:tcW w:w="1884" w:type="pct"/>
          </w:tcPr>
          <w:p w:rsidR="00051C39" w:rsidRPr="003E5C72" w:rsidRDefault="00051C39" w:rsidP="00051C39">
            <w:pPr>
              <w:pStyle w:val="naiskr"/>
              <w:spacing w:before="0" w:after="0"/>
              <w:ind w:left="57" w:right="57"/>
            </w:pPr>
            <w:r w:rsidRPr="003E5C72">
              <w:t xml:space="preserve">Cita informācija </w:t>
            </w:r>
          </w:p>
        </w:tc>
        <w:tc>
          <w:tcPr>
            <w:tcW w:w="2821" w:type="pct"/>
          </w:tcPr>
          <w:p w:rsidR="00051C39" w:rsidRPr="003E5C72" w:rsidRDefault="00051C39" w:rsidP="00051C39">
            <w:pPr>
              <w:pStyle w:val="naiskr"/>
              <w:spacing w:before="0" w:after="0"/>
              <w:ind w:right="57"/>
              <w:jc w:val="both"/>
            </w:pPr>
            <w:r w:rsidRPr="003E5C72">
              <w:t xml:space="preserve"> Nav</w:t>
            </w:r>
          </w:p>
        </w:tc>
      </w:tr>
    </w:tbl>
    <w:p w:rsidR="00FE264F" w:rsidRDefault="00FE264F" w:rsidP="00051C39">
      <w:pPr>
        <w:pStyle w:val="ParastaisWeb"/>
        <w:spacing w:before="0" w:beforeAutospacing="0" w:after="0" w:afterAutospacing="0"/>
        <w:rPr>
          <w:i/>
        </w:rPr>
      </w:pPr>
    </w:p>
    <w:p w:rsidR="00A74211" w:rsidRDefault="00A74211" w:rsidP="00051C39">
      <w:pPr>
        <w:pStyle w:val="ParastaisWeb"/>
        <w:spacing w:before="0" w:beforeAutospacing="0" w:after="0" w:afterAutospacing="0"/>
        <w:rPr>
          <w:i/>
        </w:rPr>
      </w:pPr>
      <w:r w:rsidRPr="003E5C72">
        <w:rPr>
          <w:i/>
        </w:rPr>
        <w:t xml:space="preserve">Anotācijas V sadaļa – </w:t>
      </w:r>
      <w:r w:rsidR="00E8108B" w:rsidRPr="003E5C72">
        <w:rPr>
          <w:i/>
        </w:rPr>
        <w:t>projekts šo jomu neskar</w:t>
      </w:r>
      <w:r w:rsidRPr="003E5C72">
        <w:rPr>
          <w:i/>
        </w:rPr>
        <w:t>.</w:t>
      </w:r>
    </w:p>
    <w:p w:rsidR="00A12B6D" w:rsidRPr="003E5C72" w:rsidRDefault="00A12B6D" w:rsidP="00051C39">
      <w:pPr>
        <w:pStyle w:val="ParastaisWeb"/>
        <w:spacing w:before="0" w:beforeAutospacing="0" w:after="0" w:afterAutospacing="0"/>
        <w:rPr>
          <w:i/>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55"/>
        <w:gridCol w:w="3516"/>
        <w:gridCol w:w="5268"/>
      </w:tblGrid>
      <w:tr w:rsidR="00043AFB" w:rsidRPr="003E5C72" w:rsidTr="00043AFB">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043AFB" w:rsidRPr="003E5C72" w:rsidRDefault="00043AFB" w:rsidP="00051C39">
            <w:pPr>
              <w:pStyle w:val="naisc"/>
              <w:spacing w:before="0" w:after="0"/>
              <w:rPr>
                <w:lang w:val="lv-LV"/>
              </w:rPr>
            </w:pPr>
            <w:r w:rsidRPr="003E5C72">
              <w:rPr>
                <w:b/>
                <w:bCs/>
                <w:lang w:val="lv-LV"/>
              </w:rPr>
              <w:lastRenderedPageBreak/>
              <w:t>VI. Sabiedrības līdzdalība un komunikācijas aktivitātes</w:t>
            </w:r>
          </w:p>
        </w:tc>
      </w:tr>
      <w:tr w:rsidR="00043AFB" w:rsidRPr="003E5C72" w:rsidTr="00FE264F">
        <w:trPr>
          <w:trHeight w:val="529"/>
          <w:tblCellSpacing w:w="7" w:type="dxa"/>
        </w:trPr>
        <w:tc>
          <w:tcPr>
            <w:tcW w:w="287"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1.</w:t>
            </w:r>
          </w:p>
        </w:tc>
        <w:tc>
          <w:tcPr>
            <w:tcW w:w="1880"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Plānotās sabiedrības līdzdalības un </w:t>
            </w:r>
            <w:r w:rsidR="0048302B" w:rsidRPr="003E5C72">
              <w:rPr>
                <w:rFonts w:ascii="Times New Roman" w:hAnsi="Times New Roman" w:cs="Times New Roman"/>
                <w:sz w:val="24"/>
                <w:szCs w:val="24"/>
              </w:rPr>
              <w:t>komunikācijas aktivitātes saistībā ar projektu</w:t>
            </w:r>
          </w:p>
        </w:tc>
        <w:tc>
          <w:tcPr>
            <w:tcW w:w="2803" w:type="pct"/>
            <w:tcBorders>
              <w:top w:val="outset" w:sz="6" w:space="0" w:color="auto"/>
              <w:left w:val="outset" w:sz="6" w:space="0" w:color="auto"/>
              <w:bottom w:val="outset" w:sz="6" w:space="0" w:color="auto"/>
              <w:right w:val="outset" w:sz="6" w:space="0" w:color="auto"/>
            </w:tcBorders>
          </w:tcPr>
          <w:p w:rsidR="009E44F8" w:rsidRPr="003E5C72" w:rsidRDefault="001E51B4" w:rsidP="009C2412">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Saskaņā ar Ministru kabineta </w:t>
            </w:r>
            <w:r w:rsidR="00620EDF" w:rsidRPr="003E5C72">
              <w:rPr>
                <w:rFonts w:ascii="Times New Roman" w:hAnsi="Times New Roman" w:cs="Times New Roman"/>
                <w:sz w:val="24"/>
                <w:szCs w:val="24"/>
              </w:rPr>
              <w:t xml:space="preserve">2009.gada 25.augusta </w:t>
            </w:r>
            <w:r w:rsidRPr="003E5C72">
              <w:rPr>
                <w:rFonts w:ascii="Times New Roman" w:hAnsi="Times New Roman" w:cs="Times New Roman"/>
                <w:sz w:val="24"/>
                <w:szCs w:val="24"/>
              </w:rPr>
              <w:t>noteikumu Nr.970 „Sabiedrības līdzdalības kārtība attīstības plānošanas procesā” 13.punktu ministrijas mājas lapā sadaļā „Sabiedrības līdzdalība” tik</w:t>
            </w:r>
            <w:r w:rsidR="007A5BEF" w:rsidRPr="003E5C72">
              <w:rPr>
                <w:rFonts w:ascii="Times New Roman" w:hAnsi="Times New Roman" w:cs="Times New Roman"/>
                <w:sz w:val="24"/>
                <w:szCs w:val="24"/>
              </w:rPr>
              <w:t>a</w:t>
            </w:r>
            <w:r w:rsidRPr="003E5C72">
              <w:rPr>
                <w:rFonts w:ascii="Times New Roman" w:hAnsi="Times New Roman" w:cs="Times New Roman"/>
                <w:sz w:val="24"/>
                <w:szCs w:val="24"/>
              </w:rPr>
              <w:t xml:space="preserve"> publicēts paziņojums par sabiedrības līdzdalības iespējām Projekt</w:t>
            </w:r>
            <w:r w:rsidR="00620EDF" w:rsidRPr="003E5C72">
              <w:rPr>
                <w:rFonts w:ascii="Times New Roman" w:hAnsi="Times New Roman" w:cs="Times New Roman"/>
                <w:sz w:val="24"/>
                <w:szCs w:val="24"/>
              </w:rPr>
              <w:t>a izstrādes procesā</w:t>
            </w:r>
            <w:r w:rsidRPr="003E5C72">
              <w:rPr>
                <w:rFonts w:ascii="Times New Roman" w:hAnsi="Times New Roman" w:cs="Times New Roman"/>
                <w:sz w:val="24"/>
                <w:szCs w:val="24"/>
              </w:rPr>
              <w:t xml:space="preserve"> no 2015.gada </w:t>
            </w:r>
            <w:r w:rsidR="00620EDF" w:rsidRPr="003E5C72">
              <w:rPr>
                <w:rFonts w:ascii="Times New Roman" w:hAnsi="Times New Roman" w:cs="Times New Roman"/>
                <w:sz w:val="24"/>
                <w:szCs w:val="24"/>
              </w:rPr>
              <w:t>23</w:t>
            </w:r>
            <w:r w:rsidRPr="003E5C72">
              <w:rPr>
                <w:rFonts w:ascii="Times New Roman" w:hAnsi="Times New Roman" w:cs="Times New Roman"/>
                <w:sz w:val="24"/>
                <w:szCs w:val="24"/>
              </w:rPr>
              <w:t xml:space="preserve">.marta līdz </w:t>
            </w:r>
            <w:r w:rsidR="00620EDF" w:rsidRPr="003E5C72">
              <w:rPr>
                <w:rFonts w:ascii="Times New Roman" w:hAnsi="Times New Roman" w:cs="Times New Roman"/>
                <w:sz w:val="24"/>
                <w:szCs w:val="24"/>
              </w:rPr>
              <w:t>7</w:t>
            </w:r>
            <w:r w:rsidRPr="003E5C72">
              <w:rPr>
                <w:rFonts w:ascii="Times New Roman" w:hAnsi="Times New Roman" w:cs="Times New Roman"/>
                <w:sz w:val="24"/>
                <w:szCs w:val="24"/>
              </w:rPr>
              <w:t xml:space="preserve">.aprīlim sabiedrības pārstāvjiem </w:t>
            </w:r>
            <w:r w:rsidR="007A5BEF" w:rsidRPr="003E5C72">
              <w:rPr>
                <w:rFonts w:ascii="Times New Roman" w:hAnsi="Times New Roman" w:cs="Times New Roman"/>
                <w:sz w:val="24"/>
                <w:szCs w:val="24"/>
              </w:rPr>
              <w:t>bija iespēja</w:t>
            </w:r>
            <w:r w:rsidRPr="003E5C72">
              <w:rPr>
                <w:rFonts w:ascii="Times New Roman" w:hAnsi="Times New Roman" w:cs="Times New Roman"/>
                <w:sz w:val="24"/>
                <w:szCs w:val="24"/>
              </w:rPr>
              <w:t xml:space="preserve"> sniegt viedokli par Projektu.</w:t>
            </w:r>
            <w:r w:rsidR="00060260">
              <w:rPr>
                <w:rFonts w:ascii="Times New Roman" w:hAnsi="Times New Roman" w:cs="Times New Roman"/>
                <w:sz w:val="24"/>
                <w:szCs w:val="24"/>
              </w:rPr>
              <w:t xml:space="preserve"> </w:t>
            </w:r>
            <w:r w:rsidR="002D5F50" w:rsidRPr="003E5C72">
              <w:rPr>
                <w:rFonts w:ascii="Times New Roman" w:hAnsi="Times New Roman" w:cs="Times New Roman"/>
                <w:sz w:val="24"/>
                <w:szCs w:val="24"/>
              </w:rPr>
              <w:t>V</w:t>
            </w:r>
            <w:r w:rsidR="007A5BEF" w:rsidRPr="003E5C72">
              <w:rPr>
                <w:rFonts w:ascii="Times New Roman" w:hAnsi="Times New Roman" w:cs="Times New Roman"/>
                <w:sz w:val="24"/>
                <w:szCs w:val="24"/>
              </w:rPr>
              <w:t xml:space="preserve">iedokli par Projektu iesniedza Valmieras pilsētas pašvaldība, </w:t>
            </w:r>
            <w:r w:rsidR="001C0B0E" w:rsidRPr="003E5C72">
              <w:rPr>
                <w:rFonts w:ascii="Times New Roman" w:hAnsi="Times New Roman" w:cs="Times New Roman"/>
                <w:sz w:val="24"/>
                <w:szCs w:val="24"/>
              </w:rPr>
              <w:t xml:space="preserve">Daugavpils pilsētas dome, </w:t>
            </w:r>
            <w:r w:rsidR="007A5BEF" w:rsidRPr="003E5C72">
              <w:rPr>
                <w:rFonts w:ascii="Times New Roman" w:hAnsi="Times New Roman" w:cs="Times New Roman"/>
                <w:sz w:val="24"/>
                <w:szCs w:val="24"/>
              </w:rPr>
              <w:t>J</w:t>
            </w:r>
            <w:r w:rsidR="001C0B0E" w:rsidRPr="003E5C72">
              <w:rPr>
                <w:rFonts w:ascii="Times New Roman" w:hAnsi="Times New Roman" w:cs="Times New Roman"/>
                <w:sz w:val="24"/>
                <w:szCs w:val="24"/>
              </w:rPr>
              <w:t xml:space="preserve">āņa </w:t>
            </w:r>
            <w:r w:rsidR="007A5BEF" w:rsidRPr="003E5C72">
              <w:rPr>
                <w:rFonts w:ascii="Times New Roman" w:hAnsi="Times New Roman" w:cs="Times New Roman"/>
                <w:sz w:val="24"/>
                <w:szCs w:val="24"/>
              </w:rPr>
              <w:t>Ivanova Rēzeknes mūzikas vidusskola</w:t>
            </w:r>
            <w:r w:rsidR="001C0B0E" w:rsidRPr="003E5C72">
              <w:rPr>
                <w:rFonts w:ascii="Times New Roman" w:hAnsi="Times New Roman" w:cs="Times New Roman"/>
                <w:sz w:val="24"/>
                <w:szCs w:val="24"/>
              </w:rPr>
              <w:t xml:space="preserve">, Emiļa Melngaiļa Liepājas Mūzikas vidusskola, Rēzeknes Mākslas un dizaina vidusskola. </w:t>
            </w:r>
          </w:p>
        </w:tc>
      </w:tr>
      <w:tr w:rsidR="00043AFB" w:rsidRPr="003E5C72" w:rsidTr="00FE264F">
        <w:trPr>
          <w:trHeight w:val="718"/>
          <w:tblCellSpacing w:w="7" w:type="dxa"/>
        </w:trPr>
        <w:tc>
          <w:tcPr>
            <w:tcW w:w="287"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2.</w:t>
            </w:r>
          </w:p>
        </w:tc>
        <w:tc>
          <w:tcPr>
            <w:tcW w:w="1880"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Sabiedrības līdzdalība projekta izstrādē</w:t>
            </w:r>
          </w:p>
        </w:tc>
        <w:tc>
          <w:tcPr>
            <w:tcW w:w="2803" w:type="pct"/>
            <w:tcBorders>
              <w:top w:val="outset" w:sz="6" w:space="0" w:color="auto"/>
              <w:left w:val="outset" w:sz="6" w:space="0" w:color="auto"/>
              <w:bottom w:val="outset" w:sz="6" w:space="0" w:color="auto"/>
              <w:right w:val="outset" w:sz="6" w:space="0" w:color="auto"/>
            </w:tcBorders>
          </w:tcPr>
          <w:p w:rsidR="008638A3" w:rsidRPr="003E5C72" w:rsidRDefault="008638A3" w:rsidP="008638A3">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Pirms koncepcijas iesniegšanas Ministru kabinetā, ministrija un Latvijas Nacionālais kultūras centrs</w:t>
            </w:r>
            <w:r w:rsidR="009466CD">
              <w:rPr>
                <w:rFonts w:ascii="Times New Roman" w:hAnsi="Times New Roman" w:cs="Times New Roman"/>
                <w:sz w:val="24"/>
                <w:szCs w:val="24"/>
              </w:rPr>
              <w:t xml:space="preserve"> </w:t>
            </w:r>
            <w:r w:rsidRPr="003E5C72">
              <w:rPr>
                <w:rFonts w:ascii="Times New Roman" w:hAnsi="Times New Roman" w:cs="Times New Roman"/>
                <w:sz w:val="24"/>
                <w:szCs w:val="24"/>
              </w:rPr>
              <w:t>organizēj</w:t>
            </w:r>
            <w:r w:rsidR="00CF70D9">
              <w:rPr>
                <w:rFonts w:ascii="Times New Roman" w:hAnsi="Times New Roman" w:cs="Times New Roman"/>
                <w:sz w:val="24"/>
                <w:szCs w:val="24"/>
              </w:rPr>
              <w:t>a</w:t>
            </w:r>
            <w:r w:rsidR="009466CD">
              <w:rPr>
                <w:rFonts w:ascii="Times New Roman" w:hAnsi="Times New Roman" w:cs="Times New Roman"/>
                <w:sz w:val="24"/>
                <w:szCs w:val="24"/>
              </w:rPr>
              <w:t xml:space="preserve"> </w:t>
            </w:r>
            <w:r w:rsidR="00B720C0" w:rsidRPr="003E5C72">
              <w:rPr>
                <w:rFonts w:ascii="Times New Roman" w:hAnsi="Times New Roman" w:cs="Times New Roman"/>
                <w:sz w:val="24"/>
                <w:szCs w:val="24"/>
              </w:rPr>
              <w:t xml:space="preserve">vairākas </w:t>
            </w:r>
            <w:r w:rsidRPr="003E5C72">
              <w:rPr>
                <w:rFonts w:ascii="Times New Roman" w:hAnsi="Times New Roman" w:cs="Times New Roman"/>
                <w:sz w:val="24"/>
                <w:szCs w:val="24"/>
              </w:rPr>
              <w:t>sanāksmes ar mākslas un mūzikas profesionālo vidējās izglītības iestāžu pārstāvjiem:</w:t>
            </w:r>
          </w:p>
          <w:p w:rsidR="008638A3" w:rsidRPr="003E5C72" w:rsidRDefault="002D5F50" w:rsidP="008638A3">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1) </w:t>
            </w:r>
            <w:r w:rsidR="008638A3" w:rsidRPr="003E5C72">
              <w:rPr>
                <w:rFonts w:ascii="Times New Roman" w:hAnsi="Times New Roman" w:cs="Times New Roman"/>
                <w:sz w:val="24"/>
                <w:szCs w:val="24"/>
              </w:rPr>
              <w:t>2014.gada 10.</w:t>
            </w:r>
            <w:r w:rsidR="003C2735">
              <w:rPr>
                <w:rFonts w:ascii="Times New Roman" w:hAnsi="Times New Roman" w:cs="Times New Roman"/>
                <w:sz w:val="24"/>
                <w:szCs w:val="24"/>
              </w:rPr>
              <w:t xml:space="preserve"> un</w:t>
            </w:r>
            <w:r w:rsidR="008638A3" w:rsidRPr="003E5C72">
              <w:rPr>
                <w:rFonts w:ascii="Times New Roman" w:hAnsi="Times New Roman" w:cs="Times New Roman"/>
                <w:sz w:val="24"/>
                <w:szCs w:val="24"/>
              </w:rPr>
              <w:t xml:space="preserve"> 17.septembrī un 16.oktobrī norisinājās sanāksmes ar Rīgas pilsētas mākslas un mūzikas profesionālās vidējās izglītības iestāžu direktoriem par iespējamo </w:t>
            </w:r>
            <w:r w:rsidR="00B720C0" w:rsidRPr="003E5C72">
              <w:rPr>
                <w:rFonts w:ascii="Times New Roman" w:hAnsi="Times New Roman" w:cs="Times New Roman"/>
                <w:sz w:val="24"/>
                <w:szCs w:val="24"/>
              </w:rPr>
              <w:t xml:space="preserve">šo </w:t>
            </w:r>
            <w:r w:rsidR="008638A3" w:rsidRPr="003E5C72">
              <w:rPr>
                <w:rFonts w:ascii="Times New Roman" w:hAnsi="Times New Roman" w:cs="Times New Roman"/>
                <w:sz w:val="24"/>
                <w:szCs w:val="24"/>
              </w:rPr>
              <w:t xml:space="preserve">izglītības iestāžu darbības pārveidi </w:t>
            </w:r>
            <w:r w:rsidR="00582EBE">
              <w:rPr>
                <w:rFonts w:ascii="Times New Roman" w:hAnsi="Times New Roman" w:cs="Times New Roman"/>
                <w:sz w:val="24"/>
                <w:szCs w:val="24"/>
              </w:rPr>
              <w:t>PIKC</w:t>
            </w:r>
            <w:r w:rsidR="008638A3" w:rsidRPr="003E5C72">
              <w:rPr>
                <w:rFonts w:ascii="Times New Roman" w:hAnsi="Times New Roman" w:cs="Times New Roman"/>
                <w:sz w:val="24"/>
                <w:szCs w:val="24"/>
              </w:rPr>
              <w:t xml:space="preserve"> statusā;</w:t>
            </w:r>
          </w:p>
          <w:p w:rsidR="008F4D9A" w:rsidRPr="003E5C72" w:rsidRDefault="008638A3" w:rsidP="008F4D9A">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 xml:space="preserve">2) 2014.gada oktobrī norisinājās </w:t>
            </w:r>
            <w:r w:rsidR="003C2735">
              <w:rPr>
                <w:rFonts w:ascii="Times New Roman" w:hAnsi="Times New Roman" w:cs="Times New Roman"/>
                <w:sz w:val="24"/>
                <w:szCs w:val="24"/>
              </w:rPr>
              <w:t>tikšanās</w:t>
            </w:r>
            <w:r w:rsidRPr="003E5C72">
              <w:rPr>
                <w:rFonts w:ascii="Times New Roman" w:hAnsi="Times New Roman" w:cs="Times New Roman"/>
                <w:sz w:val="24"/>
                <w:szCs w:val="24"/>
              </w:rPr>
              <w:t xml:space="preserve"> ar Emīla Dārziņa mūzikas vidusskolas, Jāzepa Mediņa Rīgas mūzikas vidusskolas, Rīgas Doma kora skolas un Rīgas Horeogrāfijas </w:t>
            </w:r>
            <w:r w:rsidR="008F4D9A" w:rsidRPr="003E5C72">
              <w:rPr>
                <w:rFonts w:ascii="Times New Roman" w:hAnsi="Times New Roman" w:cs="Times New Roman"/>
                <w:sz w:val="24"/>
                <w:szCs w:val="24"/>
              </w:rPr>
              <w:t>vidus</w:t>
            </w:r>
            <w:r w:rsidRPr="003E5C72">
              <w:rPr>
                <w:rFonts w:ascii="Times New Roman" w:hAnsi="Times New Roman" w:cs="Times New Roman"/>
                <w:sz w:val="24"/>
                <w:szCs w:val="24"/>
              </w:rPr>
              <w:t>skolas</w:t>
            </w:r>
            <w:r w:rsidR="008F4D9A" w:rsidRPr="003E5C72">
              <w:rPr>
                <w:rFonts w:ascii="Times New Roman" w:hAnsi="Times New Roman" w:cs="Times New Roman"/>
                <w:sz w:val="24"/>
                <w:szCs w:val="24"/>
              </w:rPr>
              <w:t xml:space="preserve"> pedagogu kolektīviem par iespējamo</w:t>
            </w:r>
            <w:r w:rsidR="00B720C0" w:rsidRPr="003E5C72">
              <w:rPr>
                <w:rFonts w:ascii="Times New Roman" w:hAnsi="Times New Roman" w:cs="Times New Roman"/>
                <w:sz w:val="24"/>
                <w:szCs w:val="24"/>
              </w:rPr>
              <w:t xml:space="preserve"> šo</w:t>
            </w:r>
            <w:r w:rsidR="008F4D9A" w:rsidRPr="003E5C72">
              <w:rPr>
                <w:rFonts w:ascii="Times New Roman" w:hAnsi="Times New Roman" w:cs="Times New Roman"/>
                <w:sz w:val="24"/>
                <w:szCs w:val="24"/>
              </w:rPr>
              <w:t xml:space="preserve"> izglītības iestāžu darbības pārveidi </w:t>
            </w:r>
            <w:r w:rsidR="00582EBE">
              <w:rPr>
                <w:rFonts w:ascii="Times New Roman" w:hAnsi="Times New Roman" w:cs="Times New Roman"/>
                <w:sz w:val="24"/>
                <w:szCs w:val="24"/>
              </w:rPr>
              <w:t>PIKC</w:t>
            </w:r>
            <w:r w:rsidR="008F4D9A" w:rsidRPr="003E5C72">
              <w:rPr>
                <w:rFonts w:ascii="Times New Roman" w:hAnsi="Times New Roman" w:cs="Times New Roman"/>
                <w:sz w:val="24"/>
                <w:szCs w:val="24"/>
              </w:rPr>
              <w:t xml:space="preserve"> statusā;</w:t>
            </w:r>
          </w:p>
          <w:p w:rsidR="00F80324" w:rsidRPr="003E5C72" w:rsidRDefault="008638A3" w:rsidP="008638A3">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 xml:space="preserve">3) 2014.gada sākumā tika </w:t>
            </w:r>
            <w:r w:rsidR="00F80324" w:rsidRPr="003E5C72">
              <w:rPr>
                <w:rFonts w:ascii="Times New Roman" w:hAnsi="Times New Roman" w:cs="Times New Roman"/>
                <w:sz w:val="24"/>
                <w:szCs w:val="24"/>
              </w:rPr>
              <w:t>organizēta diskusiju apspriede</w:t>
            </w:r>
            <w:r w:rsidR="009977E6">
              <w:rPr>
                <w:rFonts w:ascii="Times New Roman" w:hAnsi="Times New Roman" w:cs="Times New Roman"/>
                <w:sz w:val="24"/>
                <w:szCs w:val="24"/>
              </w:rPr>
              <w:t xml:space="preserve"> </w:t>
            </w:r>
            <w:r w:rsidR="00F80324" w:rsidRPr="003E5C72">
              <w:rPr>
                <w:rFonts w:ascii="Times New Roman" w:hAnsi="Times New Roman" w:cs="Times New Roman"/>
                <w:sz w:val="24"/>
                <w:szCs w:val="24"/>
              </w:rPr>
              <w:t>ministrijas</w:t>
            </w:r>
            <w:r w:rsidRPr="003E5C72">
              <w:rPr>
                <w:rFonts w:ascii="Times New Roman" w:hAnsi="Times New Roman" w:cs="Times New Roman"/>
                <w:sz w:val="24"/>
                <w:szCs w:val="24"/>
              </w:rPr>
              <w:t xml:space="preserve"> delegācij</w:t>
            </w:r>
            <w:r w:rsidR="00F80324" w:rsidRPr="003E5C72">
              <w:rPr>
                <w:rFonts w:ascii="Times New Roman" w:hAnsi="Times New Roman" w:cs="Times New Roman"/>
                <w:sz w:val="24"/>
                <w:szCs w:val="24"/>
              </w:rPr>
              <w:t>ai</w:t>
            </w:r>
            <w:r w:rsidRPr="003E5C72">
              <w:rPr>
                <w:rFonts w:ascii="Times New Roman" w:hAnsi="Times New Roman" w:cs="Times New Roman"/>
                <w:sz w:val="24"/>
                <w:szCs w:val="24"/>
              </w:rPr>
              <w:t xml:space="preserve"> un </w:t>
            </w:r>
            <w:r w:rsidR="00F80324" w:rsidRPr="003E5C72">
              <w:rPr>
                <w:rFonts w:ascii="Times New Roman" w:hAnsi="Times New Roman" w:cs="Times New Roman"/>
                <w:sz w:val="24"/>
                <w:szCs w:val="24"/>
              </w:rPr>
              <w:t>profesionālās vidējās izglītības iestāžu pedagogiem</w:t>
            </w:r>
            <w:r w:rsidRPr="003E5C72">
              <w:rPr>
                <w:rFonts w:ascii="Times New Roman" w:hAnsi="Times New Roman" w:cs="Times New Roman"/>
                <w:sz w:val="24"/>
                <w:szCs w:val="24"/>
              </w:rPr>
              <w:t xml:space="preserve"> un </w:t>
            </w:r>
            <w:r w:rsidR="00F80324" w:rsidRPr="003E5C72">
              <w:rPr>
                <w:rFonts w:ascii="Times New Roman" w:hAnsi="Times New Roman" w:cs="Times New Roman"/>
                <w:sz w:val="24"/>
                <w:szCs w:val="24"/>
              </w:rPr>
              <w:t xml:space="preserve">izglītojamo </w:t>
            </w:r>
            <w:r w:rsidRPr="003E5C72">
              <w:rPr>
                <w:rFonts w:ascii="Times New Roman" w:hAnsi="Times New Roman" w:cs="Times New Roman"/>
                <w:sz w:val="24"/>
                <w:szCs w:val="24"/>
              </w:rPr>
              <w:t>vecākiem, kurā tika skaidrota koncepcijas būtība</w:t>
            </w:r>
            <w:r w:rsidR="00B720C0" w:rsidRPr="003E5C72">
              <w:rPr>
                <w:rFonts w:ascii="Times New Roman" w:hAnsi="Times New Roman" w:cs="Times New Roman"/>
                <w:sz w:val="24"/>
                <w:szCs w:val="24"/>
              </w:rPr>
              <w:t xml:space="preserve"> par </w:t>
            </w:r>
            <w:r w:rsidR="00582EBE">
              <w:rPr>
                <w:rFonts w:ascii="Times New Roman" w:hAnsi="Times New Roman" w:cs="Times New Roman"/>
                <w:sz w:val="24"/>
                <w:szCs w:val="24"/>
              </w:rPr>
              <w:t>PIKC</w:t>
            </w:r>
            <w:r w:rsidR="00B720C0" w:rsidRPr="003E5C72">
              <w:rPr>
                <w:rFonts w:ascii="Times New Roman" w:hAnsi="Times New Roman" w:cs="Times New Roman"/>
                <w:sz w:val="24"/>
                <w:szCs w:val="24"/>
              </w:rPr>
              <w:t xml:space="preserve"> izveidi</w:t>
            </w:r>
            <w:r w:rsidR="00F80324" w:rsidRPr="003E5C72">
              <w:rPr>
                <w:rFonts w:ascii="Times New Roman" w:hAnsi="Times New Roman" w:cs="Times New Roman"/>
                <w:sz w:val="24"/>
                <w:szCs w:val="24"/>
              </w:rPr>
              <w:t>;</w:t>
            </w:r>
          </w:p>
          <w:p w:rsidR="00F80324" w:rsidRPr="003E5C72" w:rsidRDefault="00F80324" w:rsidP="008638A3">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4) Alfrēda Kalniņa Cēsu mūzikas vidusskola</w:t>
            </w:r>
            <w:r w:rsidR="008638A3" w:rsidRPr="003E5C72">
              <w:rPr>
                <w:rFonts w:ascii="Times New Roman" w:hAnsi="Times New Roman" w:cs="Times New Roman"/>
                <w:sz w:val="24"/>
                <w:szCs w:val="24"/>
              </w:rPr>
              <w:t xml:space="preserve"> kopš 2012.gada ir </w:t>
            </w:r>
            <w:r w:rsidRPr="003E5C72">
              <w:rPr>
                <w:rFonts w:ascii="Times New Roman" w:hAnsi="Times New Roman" w:cs="Times New Roman"/>
                <w:sz w:val="24"/>
                <w:szCs w:val="24"/>
              </w:rPr>
              <w:t xml:space="preserve">organizējusi </w:t>
            </w:r>
            <w:r w:rsidR="008638A3" w:rsidRPr="003E5C72">
              <w:rPr>
                <w:rFonts w:ascii="Times New Roman" w:hAnsi="Times New Roman" w:cs="Times New Roman"/>
                <w:sz w:val="24"/>
                <w:szCs w:val="24"/>
              </w:rPr>
              <w:t xml:space="preserve">vairākas tikšanās </w:t>
            </w:r>
            <w:r w:rsidRPr="003E5C72">
              <w:rPr>
                <w:rFonts w:ascii="Times New Roman" w:hAnsi="Times New Roman" w:cs="Times New Roman"/>
                <w:sz w:val="24"/>
                <w:szCs w:val="24"/>
              </w:rPr>
              <w:t xml:space="preserve">ar </w:t>
            </w:r>
            <w:r w:rsidR="00B720C0" w:rsidRPr="003E5C72">
              <w:rPr>
                <w:rFonts w:ascii="Times New Roman" w:hAnsi="Times New Roman" w:cs="Times New Roman"/>
                <w:sz w:val="24"/>
                <w:szCs w:val="24"/>
              </w:rPr>
              <w:t>izglītības iestādes</w:t>
            </w:r>
            <w:r w:rsidR="009977E6">
              <w:rPr>
                <w:rFonts w:ascii="Times New Roman" w:hAnsi="Times New Roman" w:cs="Times New Roman"/>
                <w:sz w:val="24"/>
                <w:szCs w:val="24"/>
              </w:rPr>
              <w:t xml:space="preserve"> </w:t>
            </w:r>
            <w:r w:rsidRPr="003E5C72">
              <w:rPr>
                <w:rFonts w:ascii="Times New Roman" w:hAnsi="Times New Roman" w:cs="Times New Roman"/>
                <w:sz w:val="24"/>
                <w:szCs w:val="24"/>
              </w:rPr>
              <w:t>vadību</w:t>
            </w:r>
            <w:r w:rsidR="008638A3" w:rsidRPr="003E5C72">
              <w:rPr>
                <w:rFonts w:ascii="Times New Roman" w:hAnsi="Times New Roman" w:cs="Times New Roman"/>
                <w:sz w:val="24"/>
                <w:szCs w:val="24"/>
              </w:rPr>
              <w:t xml:space="preserve"> un </w:t>
            </w:r>
            <w:r w:rsidRPr="003E5C72">
              <w:rPr>
                <w:rFonts w:ascii="Times New Roman" w:hAnsi="Times New Roman" w:cs="Times New Roman"/>
                <w:sz w:val="24"/>
                <w:szCs w:val="24"/>
              </w:rPr>
              <w:t xml:space="preserve">Cēsu </w:t>
            </w:r>
            <w:r w:rsidR="00B720C0" w:rsidRPr="003E5C72">
              <w:rPr>
                <w:rFonts w:ascii="Times New Roman" w:hAnsi="Times New Roman" w:cs="Times New Roman"/>
                <w:sz w:val="24"/>
                <w:szCs w:val="24"/>
              </w:rPr>
              <w:t>pilsētas</w:t>
            </w:r>
            <w:r w:rsidR="009977E6">
              <w:rPr>
                <w:rFonts w:ascii="Times New Roman" w:hAnsi="Times New Roman" w:cs="Times New Roman"/>
                <w:sz w:val="24"/>
                <w:szCs w:val="24"/>
              </w:rPr>
              <w:t xml:space="preserve"> </w:t>
            </w:r>
            <w:r w:rsidR="008638A3" w:rsidRPr="003E5C72">
              <w:rPr>
                <w:rFonts w:ascii="Times New Roman" w:hAnsi="Times New Roman" w:cs="Times New Roman"/>
                <w:sz w:val="24"/>
                <w:szCs w:val="24"/>
              </w:rPr>
              <w:t>pašvaldīb</w:t>
            </w:r>
            <w:r w:rsidRPr="003E5C72">
              <w:rPr>
                <w:rFonts w:ascii="Times New Roman" w:hAnsi="Times New Roman" w:cs="Times New Roman"/>
                <w:sz w:val="24"/>
                <w:szCs w:val="24"/>
              </w:rPr>
              <w:t>u</w:t>
            </w:r>
            <w:r w:rsidR="00384109" w:rsidRPr="003E5C72">
              <w:rPr>
                <w:rFonts w:ascii="Times New Roman" w:hAnsi="Times New Roman" w:cs="Times New Roman"/>
                <w:sz w:val="24"/>
                <w:szCs w:val="24"/>
              </w:rPr>
              <w:t xml:space="preserve">, kurās tika apspriests par iespējamo mūzikas </w:t>
            </w:r>
            <w:r w:rsidR="00582EBE">
              <w:rPr>
                <w:rFonts w:ascii="Times New Roman" w:hAnsi="Times New Roman" w:cs="Times New Roman"/>
                <w:sz w:val="24"/>
                <w:szCs w:val="24"/>
              </w:rPr>
              <w:t>PIKC</w:t>
            </w:r>
            <w:r w:rsidR="00384109" w:rsidRPr="003E5C72">
              <w:rPr>
                <w:rFonts w:ascii="Times New Roman" w:hAnsi="Times New Roman" w:cs="Times New Roman"/>
                <w:sz w:val="24"/>
                <w:szCs w:val="24"/>
              </w:rPr>
              <w:t xml:space="preserve"> izveidi Cēsīs</w:t>
            </w:r>
            <w:r w:rsidRPr="003E5C72">
              <w:rPr>
                <w:rFonts w:ascii="Times New Roman" w:hAnsi="Times New Roman" w:cs="Times New Roman"/>
                <w:sz w:val="24"/>
                <w:szCs w:val="24"/>
              </w:rPr>
              <w:t>;</w:t>
            </w:r>
          </w:p>
          <w:p w:rsidR="002E73AA" w:rsidRPr="003E5C72" w:rsidRDefault="00F80324" w:rsidP="002E73AA">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5) Liepājas pilsētā</w:t>
            </w:r>
            <w:r w:rsidR="008638A3" w:rsidRPr="003E5C72">
              <w:rPr>
                <w:rFonts w:ascii="Times New Roman" w:hAnsi="Times New Roman" w:cs="Times New Roman"/>
                <w:sz w:val="24"/>
                <w:szCs w:val="24"/>
              </w:rPr>
              <w:t xml:space="preserve"> 2014.gada pavasarī iespējamo </w:t>
            </w:r>
            <w:r w:rsidR="00582EBE">
              <w:rPr>
                <w:rFonts w:ascii="Times New Roman" w:hAnsi="Times New Roman" w:cs="Times New Roman"/>
                <w:sz w:val="24"/>
                <w:szCs w:val="24"/>
              </w:rPr>
              <w:t>PIKC</w:t>
            </w:r>
            <w:r w:rsidR="008638A3" w:rsidRPr="003E5C72">
              <w:rPr>
                <w:rFonts w:ascii="Times New Roman" w:hAnsi="Times New Roman" w:cs="Times New Roman"/>
                <w:sz w:val="24"/>
                <w:szCs w:val="24"/>
              </w:rPr>
              <w:t xml:space="preserve"> izveidi apsprieda </w:t>
            </w:r>
            <w:r w:rsidR="00B21219" w:rsidRPr="003E5C72">
              <w:rPr>
                <w:rFonts w:ascii="Times New Roman" w:hAnsi="Times New Roman" w:cs="Times New Roman"/>
                <w:sz w:val="24"/>
                <w:szCs w:val="24"/>
              </w:rPr>
              <w:t xml:space="preserve">Kultūras </w:t>
            </w:r>
            <w:r w:rsidRPr="003E5C72">
              <w:rPr>
                <w:rFonts w:ascii="Times New Roman" w:hAnsi="Times New Roman" w:cs="Times New Roman"/>
                <w:sz w:val="24"/>
                <w:szCs w:val="24"/>
              </w:rPr>
              <w:t>ministrija</w:t>
            </w:r>
            <w:r w:rsidR="008638A3" w:rsidRPr="003E5C72">
              <w:rPr>
                <w:rFonts w:ascii="Times New Roman" w:hAnsi="Times New Roman" w:cs="Times New Roman"/>
                <w:sz w:val="24"/>
                <w:szCs w:val="24"/>
              </w:rPr>
              <w:t xml:space="preserve">, </w:t>
            </w:r>
            <w:r w:rsidRPr="003E5C72">
              <w:rPr>
                <w:rFonts w:ascii="Times New Roman" w:hAnsi="Times New Roman" w:cs="Times New Roman"/>
                <w:sz w:val="24"/>
                <w:szCs w:val="24"/>
              </w:rPr>
              <w:t>Liepājas Dizaina un mākslas vidusskola</w:t>
            </w:r>
            <w:r w:rsidR="008638A3" w:rsidRPr="003E5C72">
              <w:rPr>
                <w:rFonts w:ascii="Times New Roman" w:hAnsi="Times New Roman" w:cs="Times New Roman"/>
                <w:sz w:val="24"/>
                <w:szCs w:val="24"/>
              </w:rPr>
              <w:t>,</w:t>
            </w:r>
            <w:r w:rsidR="00C9002A">
              <w:rPr>
                <w:rFonts w:ascii="Times New Roman" w:hAnsi="Times New Roman" w:cs="Times New Roman"/>
                <w:sz w:val="24"/>
                <w:szCs w:val="24"/>
              </w:rPr>
              <w:t xml:space="preserve"> </w:t>
            </w:r>
            <w:r w:rsidRPr="003E5C72">
              <w:rPr>
                <w:rFonts w:ascii="Times New Roman" w:hAnsi="Times New Roman" w:cs="Times New Roman"/>
                <w:sz w:val="24"/>
                <w:szCs w:val="24"/>
              </w:rPr>
              <w:t>Emiļa Melngaiļa Liepājas mūzikas vidusskola,</w:t>
            </w:r>
            <w:r w:rsidR="00C9002A">
              <w:rPr>
                <w:rFonts w:ascii="Times New Roman" w:hAnsi="Times New Roman" w:cs="Times New Roman"/>
                <w:sz w:val="24"/>
                <w:szCs w:val="24"/>
              </w:rPr>
              <w:t xml:space="preserve"> </w:t>
            </w:r>
            <w:r w:rsidR="002E73AA" w:rsidRPr="003E5C72">
              <w:rPr>
                <w:rFonts w:ascii="Times New Roman" w:hAnsi="Times New Roman" w:cs="Times New Roman"/>
                <w:sz w:val="24"/>
                <w:szCs w:val="24"/>
              </w:rPr>
              <w:t xml:space="preserve">novada </w:t>
            </w:r>
            <w:r w:rsidR="008638A3" w:rsidRPr="003E5C72">
              <w:rPr>
                <w:rFonts w:ascii="Times New Roman" w:hAnsi="Times New Roman" w:cs="Times New Roman"/>
                <w:sz w:val="24"/>
                <w:szCs w:val="24"/>
              </w:rPr>
              <w:t xml:space="preserve">profesionālie </w:t>
            </w:r>
            <w:r w:rsidR="002E73AA" w:rsidRPr="003E5C72">
              <w:rPr>
                <w:rFonts w:ascii="Times New Roman" w:hAnsi="Times New Roman" w:cs="Times New Roman"/>
                <w:sz w:val="24"/>
                <w:szCs w:val="24"/>
              </w:rPr>
              <w:t>mākslas kolektīvi, Liepājas U</w:t>
            </w:r>
            <w:r w:rsidR="008638A3" w:rsidRPr="003E5C72">
              <w:rPr>
                <w:rFonts w:ascii="Times New Roman" w:hAnsi="Times New Roman" w:cs="Times New Roman"/>
                <w:sz w:val="24"/>
                <w:szCs w:val="24"/>
              </w:rPr>
              <w:t xml:space="preserve">niversitāte un </w:t>
            </w:r>
            <w:r w:rsidR="002E73AA" w:rsidRPr="003E5C72">
              <w:rPr>
                <w:rFonts w:ascii="Times New Roman" w:hAnsi="Times New Roman" w:cs="Times New Roman"/>
                <w:sz w:val="24"/>
                <w:szCs w:val="24"/>
              </w:rPr>
              <w:t>Liepājas pilsētas pašvaldība.</w:t>
            </w:r>
            <w:r w:rsidR="00024383">
              <w:rPr>
                <w:rFonts w:ascii="Times New Roman" w:hAnsi="Times New Roman" w:cs="Times New Roman"/>
                <w:sz w:val="24"/>
                <w:szCs w:val="24"/>
              </w:rPr>
              <w:t xml:space="preserve"> </w:t>
            </w:r>
            <w:r w:rsidR="002E73AA" w:rsidRPr="003E5C72">
              <w:rPr>
                <w:rFonts w:ascii="Times New Roman" w:hAnsi="Times New Roman" w:cs="Times New Roman"/>
                <w:sz w:val="24"/>
                <w:szCs w:val="24"/>
              </w:rPr>
              <w:t>201</w:t>
            </w:r>
            <w:r w:rsidR="008E5D19" w:rsidRPr="003E5C72">
              <w:rPr>
                <w:rFonts w:ascii="Times New Roman" w:hAnsi="Times New Roman" w:cs="Times New Roman"/>
                <w:sz w:val="24"/>
                <w:szCs w:val="24"/>
              </w:rPr>
              <w:t>4</w:t>
            </w:r>
            <w:r w:rsidR="002E73AA" w:rsidRPr="003E5C72">
              <w:rPr>
                <w:rFonts w:ascii="Times New Roman" w:hAnsi="Times New Roman" w:cs="Times New Roman"/>
                <w:sz w:val="24"/>
                <w:szCs w:val="24"/>
              </w:rPr>
              <w:t xml:space="preserve">.gada </w:t>
            </w:r>
            <w:r w:rsidR="008638A3" w:rsidRPr="003E5C72">
              <w:rPr>
                <w:rFonts w:ascii="Times New Roman" w:hAnsi="Times New Roman" w:cs="Times New Roman"/>
                <w:sz w:val="24"/>
                <w:szCs w:val="24"/>
              </w:rPr>
              <w:t xml:space="preserve">19.septembrī </w:t>
            </w:r>
            <w:r w:rsidR="003142BB" w:rsidRPr="003E5C72">
              <w:rPr>
                <w:rFonts w:ascii="Times New Roman" w:hAnsi="Times New Roman" w:cs="Times New Roman"/>
                <w:sz w:val="24"/>
                <w:szCs w:val="24"/>
              </w:rPr>
              <w:t>k</w:t>
            </w:r>
            <w:r w:rsidR="002E73AA" w:rsidRPr="003E5C72">
              <w:rPr>
                <w:rFonts w:ascii="Times New Roman" w:hAnsi="Times New Roman" w:cs="Times New Roman"/>
                <w:sz w:val="24"/>
                <w:szCs w:val="24"/>
              </w:rPr>
              <w:t xml:space="preserve">ultūras </w:t>
            </w:r>
            <w:r w:rsidR="008638A3" w:rsidRPr="003E5C72">
              <w:rPr>
                <w:rFonts w:ascii="Times New Roman" w:hAnsi="Times New Roman" w:cs="Times New Roman"/>
                <w:sz w:val="24"/>
                <w:szCs w:val="24"/>
              </w:rPr>
              <w:t xml:space="preserve">ministre </w:t>
            </w:r>
            <w:r w:rsidR="008638A3" w:rsidRPr="003E5C72">
              <w:rPr>
                <w:rFonts w:ascii="Times New Roman" w:hAnsi="Times New Roman" w:cs="Times New Roman"/>
                <w:sz w:val="24"/>
                <w:szCs w:val="24"/>
              </w:rPr>
              <w:lastRenderedPageBreak/>
              <w:t xml:space="preserve">D.Melbārde tikās ar Liepājas </w:t>
            </w:r>
            <w:r w:rsidR="002E73AA" w:rsidRPr="003E5C72">
              <w:rPr>
                <w:rFonts w:ascii="Times New Roman" w:hAnsi="Times New Roman" w:cs="Times New Roman"/>
                <w:sz w:val="24"/>
                <w:szCs w:val="24"/>
              </w:rPr>
              <w:t xml:space="preserve">pilsētas </w:t>
            </w:r>
            <w:r w:rsidR="008638A3" w:rsidRPr="003E5C72">
              <w:rPr>
                <w:rFonts w:ascii="Times New Roman" w:hAnsi="Times New Roman" w:cs="Times New Roman"/>
                <w:sz w:val="24"/>
                <w:szCs w:val="24"/>
              </w:rPr>
              <w:t xml:space="preserve">pašvaldību, </w:t>
            </w:r>
            <w:r w:rsidR="002E73AA" w:rsidRPr="003E5C72">
              <w:rPr>
                <w:rFonts w:ascii="Times New Roman" w:hAnsi="Times New Roman" w:cs="Times New Roman"/>
                <w:sz w:val="24"/>
                <w:szCs w:val="24"/>
              </w:rPr>
              <w:t>savukārt</w:t>
            </w:r>
            <w:r w:rsidR="00195D4D">
              <w:rPr>
                <w:rFonts w:ascii="Times New Roman" w:hAnsi="Times New Roman" w:cs="Times New Roman"/>
                <w:sz w:val="24"/>
                <w:szCs w:val="24"/>
              </w:rPr>
              <w:t xml:space="preserve"> </w:t>
            </w:r>
            <w:r w:rsidR="002E73AA" w:rsidRPr="003E5C72">
              <w:rPr>
                <w:rFonts w:ascii="Times New Roman" w:hAnsi="Times New Roman" w:cs="Times New Roman"/>
                <w:sz w:val="24"/>
                <w:szCs w:val="24"/>
              </w:rPr>
              <w:t xml:space="preserve">ministrijas </w:t>
            </w:r>
            <w:r w:rsidR="008638A3" w:rsidRPr="003E5C72">
              <w:rPr>
                <w:rFonts w:ascii="Times New Roman" w:hAnsi="Times New Roman" w:cs="Times New Roman"/>
                <w:sz w:val="24"/>
                <w:szCs w:val="24"/>
              </w:rPr>
              <w:t xml:space="preserve">delegācija – ar abu </w:t>
            </w:r>
            <w:r w:rsidR="002E73AA" w:rsidRPr="003E5C72">
              <w:rPr>
                <w:rFonts w:ascii="Times New Roman" w:hAnsi="Times New Roman" w:cs="Times New Roman"/>
                <w:sz w:val="24"/>
                <w:szCs w:val="24"/>
              </w:rPr>
              <w:t xml:space="preserve">profesionālās vidējās izglītības iestāžu </w:t>
            </w:r>
            <w:r w:rsidR="008638A3" w:rsidRPr="003E5C72">
              <w:rPr>
                <w:rFonts w:ascii="Times New Roman" w:hAnsi="Times New Roman" w:cs="Times New Roman"/>
                <w:sz w:val="24"/>
                <w:szCs w:val="24"/>
              </w:rPr>
              <w:t xml:space="preserve">pārstāvjiem, lai precizētu koncepciju un </w:t>
            </w:r>
            <w:r w:rsidR="002E73AA" w:rsidRPr="003E5C72">
              <w:rPr>
                <w:rFonts w:ascii="Times New Roman" w:hAnsi="Times New Roman" w:cs="Times New Roman"/>
                <w:sz w:val="24"/>
                <w:szCs w:val="24"/>
              </w:rPr>
              <w:t>tā rīcības plānu;</w:t>
            </w:r>
          </w:p>
          <w:p w:rsidR="007D797F" w:rsidRPr="003E5C72" w:rsidRDefault="002E73AA" w:rsidP="007D797F">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6)</w:t>
            </w:r>
            <w:r w:rsidR="00E35973">
              <w:rPr>
                <w:rFonts w:ascii="Times New Roman" w:hAnsi="Times New Roman" w:cs="Times New Roman"/>
                <w:sz w:val="24"/>
                <w:szCs w:val="24"/>
              </w:rPr>
              <w:t xml:space="preserve"> </w:t>
            </w:r>
            <w:r w:rsidR="00FC0F27" w:rsidRPr="003E5C72">
              <w:rPr>
                <w:rFonts w:ascii="Times New Roman" w:hAnsi="Times New Roman" w:cs="Times New Roman"/>
                <w:sz w:val="24"/>
                <w:szCs w:val="24"/>
              </w:rPr>
              <w:t xml:space="preserve">Rēzeknes pilsētā 2014.gada pavasarī iespējamo </w:t>
            </w:r>
            <w:r w:rsidR="00002F00" w:rsidRPr="003E5C72">
              <w:rPr>
                <w:rFonts w:ascii="Times New Roman" w:hAnsi="Times New Roman" w:cs="Times New Roman"/>
                <w:sz w:val="24"/>
                <w:szCs w:val="24"/>
              </w:rPr>
              <w:t xml:space="preserve">mākslas un mūzikas </w:t>
            </w:r>
            <w:r w:rsidR="00582EBE">
              <w:rPr>
                <w:rFonts w:ascii="Times New Roman" w:hAnsi="Times New Roman" w:cs="Times New Roman"/>
                <w:sz w:val="24"/>
                <w:szCs w:val="24"/>
              </w:rPr>
              <w:t>PIKC</w:t>
            </w:r>
            <w:r w:rsidR="00FC0F27" w:rsidRPr="003E5C72">
              <w:rPr>
                <w:rFonts w:ascii="Times New Roman" w:hAnsi="Times New Roman" w:cs="Times New Roman"/>
                <w:sz w:val="24"/>
                <w:szCs w:val="24"/>
              </w:rPr>
              <w:t xml:space="preserve"> izveidi </w:t>
            </w:r>
            <w:r w:rsidR="00002F00" w:rsidRPr="003E5C72">
              <w:rPr>
                <w:rFonts w:ascii="Times New Roman" w:hAnsi="Times New Roman" w:cs="Times New Roman"/>
                <w:sz w:val="24"/>
                <w:szCs w:val="24"/>
              </w:rPr>
              <w:t xml:space="preserve">Rēzeknē </w:t>
            </w:r>
            <w:r w:rsidR="00FC0F27" w:rsidRPr="003E5C72">
              <w:rPr>
                <w:rFonts w:ascii="Times New Roman" w:hAnsi="Times New Roman" w:cs="Times New Roman"/>
                <w:sz w:val="24"/>
                <w:szCs w:val="24"/>
              </w:rPr>
              <w:t xml:space="preserve">apsprieda ministrija, </w:t>
            </w:r>
            <w:r w:rsidR="008638A3" w:rsidRPr="003E5C72">
              <w:rPr>
                <w:rFonts w:ascii="Times New Roman" w:hAnsi="Times New Roman" w:cs="Times New Roman"/>
                <w:sz w:val="24"/>
                <w:szCs w:val="24"/>
              </w:rPr>
              <w:t>Rēzeknes</w:t>
            </w:r>
            <w:r w:rsidR="007D797F" w:rsidRPr="003E5C72">
              <w:rPr>
                <w:rFonts w:ascii="Times New Roman" w:hAnsi="Times New Roman" w:cs="Times New Roman"/>
                <w:sz w:val="24"/>
                <w:szCs w:val="24"/>
              </w:rPr>
              <w:t xml:space="preserve"> Mākslas un dizaina</w:t>
            </w:r>
            <w:r w:rsidR="008638A3" w:rsidRPr="003E5C72">
              <w:rPr>
                <w:rFonts w:ascii="Times New Roman" w:hAnsi="Times New Roman" w:cs="Times New Roman"/>
                <w:sz w:val="24"/>
                <w:szCs w:val="24"/>
              </w:rPr>
              <w:t xml:space="preserve"> vidusskol</w:t>
            </w:r>
            <w:r w:rsidR="007D797F" w:rsidRPr="003E5C72">
              <w:rPr>
                <w:rFonts w:ascii="Times New Roman" w:hAnsi="Times New Roman" w:cs="Times New Roman"/>
                <w:sz w:val="24"/>
                <w:szCs w:val="24"/>
              </w:rPr>
              <w:t>a un Jāņa Ivanova Rēzeknes mūzikas vidusskola</w:t>
            </w:r>
            <w:r w:rsidR="008A4CF8" w:rsidRPr="003E5C72">
              <w:rPr>
                <w:rFonts w:ascii="Times New Roman" w:hAnsi="Times New Roman" w:cs="Times New Roman"/>
                <w:sz w:val="24"/>
                <w:szCs w:val="24"/>
              </w:rPr>
              <w:t>;</w:t>
            </w:r>
          </w:p>
          <w:p w:rsidR="00384109" w:rsidRPr="003E5C72" w:rsidRDefault="007D797F" w:rsidP="00384109">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7)</w:t>
            </w:r>
            <w:r w:rsidR="008A4CF8" w:rsidRPr="003E5C72">
              <w:rPr>
                <w:rFonts w:ascii="Times New Roman" w:hAnsi="Times New Roman" w:cs="Times New Roman"/>
                <w:sz w:val="24"/>
                <w:szCs w:val="24"/>
              </w:rPr>
              <w:t>  </w:t>
            </w:r>
            <w:r w:rsidRPr="003E5C72">
              <w:rPr>
                <w:rFonts w:ascii="Times New Roman" w:hAnsi="Times New Roman" w:cs="Times New Roman"/>
                <w:sz w:val="24"/>
                <w:szCs w:val="24"/>
              </w:rPr>
              <w:t>2014.gada 3.novembrī</w:t>
            </w:r>
            <w:r w:rsidR="00D62E81" w:rsidRPr="003E5C72">
              <w:rPr>
                <w:rFonts w:ascii="Times New Roman" w:hAnsi="Times New Roman" w:cs="Times New Roman"/>
                <w:sz w:val="24"/>
                <w:szCs w:val="24"/>
              </w:rPr>
              <w:t xml:space="preserve"> Rīgā tika organizēta v</w:t>
            </w:r>
            <w:r w:rsidR="008638A3" w:rsidRPr="003E5C72">
              <w:rPr>
                <w:rFonts w:ascii="Times New Roman" w:hAnsi="Times New Roman" w:cs="Times New Roman"/>
                <w:sz w:val="24"/>
                <w:szCs w:val="24"/>
              </w:rPr>
              <w:t xml:space="preserve">iena kopīga </w:t>
            </w:r>
            <w:r w:rsidR="00384109" w:rsidRPr="003E5C72">
              <w:rPr>
                <w:rFonts w:ascii="Times New Roman" w:hAnsi="Times New Roman" w:cs="Times New Roman"/>
                <w:sz w:val="24"/>
                <w:szCs w:val="24"/>
              </w:rPr>
              <w:t>ministrijas un</w:t>
            </w:r>
            <w:r w:rsidR="008638A3" w:rsidRPr="003E5C72">
              <w:rPr>
                <w:rFonts w:ascii="Times New Roman" w:hAnsi="Times New Roman" w:cs="Times New Roman"/>
                <w:sz w:val="24"/>
                <w:szCs w:val="24"/>
              </w:rPr>
              <w:t xml:space="preserve"> visu </w:t>
            </w:r>
            <w:r w:rsidR="00384109" w:rsidRPr="003E5C72">
              <w:rPr>
                <w:rFonts w:ascii="Times New Roman" w:hAnsi="Times New Roman" w:cs="Times New Roman"/>
                <w:sz w:val="24"/>
                <w:szCs w:val="24"/>
              </w:rPr>
              <w:t xml:space="preserve">Latvijas </w:t>
            </w:r>
            <w:r w:rsidR="008638A3" w:rsidRPr="003E5C72">
              <w:rPr>
                <w:rFonts w:ascii="Times New Roman" w:hAnsi="Times New Roman" w:cs="Times New Roman"/>
                <w:sz w:val="24"/>
                <w:szCs w:val="24"/>
              </w:rPr>
              <w:t xml:space="preserve">reģionu </w:t>
            </w:r>
            <w:r w:rsidR="00384109" w:rsidRPr="003E5C72">
              <w:rPr>
                <w:rFonts w:ascii="Times New Roman" w:hAnsi="Times New Roman" w:cs="Times New Roman"/>
                <w:sz w:val="24"/>
                <w:szCs w:val="24"/>
              </w:rPr>
              <w:t>mākslas un mūzikas profesionālās vidējās izglītības iestāžu</w:t>
            </w:r>
            <w:r w:rsidR="008638A3" w:rsidRPr="003E5C72">
              <w:rPr>
                <w:rFonts w:ascii="Times New Roman" w:hAnsi="Times New Roman" w:cs="Times New Roman"/>
                <w:sz w:val="24"/>
                <w:szCs w:val="24"/>
              </w:rPr>
              <w:t xml:space="preserve"> direktor</w:t>
            </w:r>
            <w:r w:rsidR="00384109" w:rsidRPr="003E5C72">
              <w:rPr>
                <w:rFonts w:ascii="Times New Roman" w:hAnsi="Times New Roman" w:cs="Times New Roman"/>
                <w:sz w:val="24"/>
                <w:szCs w:val="24"/>
              </w:rPr>
              <w:t>u</w:t>
            </w:r>
            <w:r w:rsidR="009977E6">
              <w:rPr>
                <w:rFonts w:ascii="Times New Roman" w:hAnsi="Times New Roman" w:cs="Times New Roman"/>
                <w:sz w:val="24"/>
                <w:szCs w:val="24"/>
              </w:rPr>
              <w:t xml:space="preserve"> </w:t>
            </w:r>
            <w:r w:rsidR="00384109" w:rsidRPr="003E5C72">
              <w:rPr>
                <w:rFonts w:ascii="Times New Roman" w:hAnsi="Times New Roman" w:cs="Times New Roman"/>
                <w:sz w:val="24"/>
                <w:szCs w:val="24"/>
              </w:rPr>
              <w:t xml:space="preserve">sanāksme par iespējamo </w:t>
            </w:r>
            <w:r w:rsidR="00582EBE">
              <w:rPr>
                <w:rFonts w:ascii="Times New Roman" w:hAnsi="Times New Roman" w:cs="Times New Roman"/>
                <w:sz w:val="24"/>
                <w:szCs w:val="24"/>
              </w:rPr>
              <w:t>PIKC</w:t>
            </w:r>
            <w:r w:rsidR="00384109" w:rsidRPr="003E5C72">
              <w:rPr>
                <w:rFonts w:ascii="Times New Roman" w:hAnsi="Times New Roman" w:cs="Times New Roman"/>
                <w:sz w:val="24"/>
                <w:szCs w:val="24"/>
              </w:rPr>
              <w:t xml:space="preserve"> izveidi;</w:t>
            </w:r>
          </w:p>
          <w:p w:rsidR="00043AFB" w:rsidRPr="003E5C72" w:rsidRDefault="00986AD4" w:rsidP="00582EBE">
            <w:pPr>
              <w:pStyle w:val="Vienkrsteksts"/>
              <w:jc w:val="both"/>
              <w:rPr>
                <w:rFonts w:ascii="Times New Roman" w:hAnsi="Times New Roman" w:cs="Times New Roman"/>
                <w:sz w:val="24"/>
                <w:szCs w:val="24"/>
              </w:rPr>
            </w:pPr>
            <w:r w:rsidRPr="003E5C72">
              <w:rPr>
                <w:rFonts w:ascii="Times New Roman" w:hAnsi="Times New Roman" w:cs="Times New Roman"/>
                <w:sz w:val="24"/>
                <w:szCs w:val="24"/>
              </w:rPr>
              <w:t xml:space="preserve">8) ministrija2014.gadā </w:t>
            </w:r>
            <w:r w:rsidR="008638A3" w:rsidRPr="003E5C72">
              <w:rPr>
                <w:rFonts w:ascii="Times New Roman" w:hAnsi="Times New Roman" w:cs="Times New Roman"/>
                <w:sz w:val="24"/>
                <w:szCs w:val="24"/>
              </w:rPr>
              <w:t xml:space="preserve">ir saņēmusi </w:t>
            </w:r>
            <w:r w:rsidRPr="003E5C72">
              <w:rPr>
                <w:rFonts w:ascii="Times New Roman" w:hAnsi="Times New Roman" w:cs="Times New Roman"/>
                <w:sz w:val="24"/>
                <w:szCs w:val="24"/>
              </w:rPr>
              <w:t xml:space="preserve">visu tās padotībā esošo profesionālās vidējās izglītības iestāžu </w:t>
            </w:r>
            <w:r w:rsidR="008638A3" w:rsidRPr="003E5C72">
              <w:rPr>
                <w:rFonts w:ascii="Times New Roman" w:hAnsi="Times New Roman" w:cs="Times New Roman"/>
                <w:sz w:val="24"/>
                <w:szCs w:val="24"/>
              </w:rPr>
              <w:t xml:space="preserve">rakstisku viedokli par iesaistīšanos vai neiesaistīšanos </w:t>
            </w:r>
            <w:r w:rsidR="00582EBE">
              <w:rPr>
                <w:rFonts w:ascii="Times New Roman" w:hAnsi="Times New Roman" w:cs="Times New Roman"/>
                <w:sz w:val="24"/>
                <w:szCs w:val="24"/>
              </w:rPr>
              <w:t>PIKC</w:t>
            </w:r>
            <w:r w:rsidRPr="003E5C72">
              <w:rPr>
                <w:rFonts w:ascii="Times New Roman" w:hAnsi="Times New Roman" w:cs="Times New Roman"/>
                <w:sz w:val="24"/>
                <w:szCs w:val="24"/>
              </w:rPr>
              <w:t xml:space="preserve"> izveidē</w:t>
            </w:r>
            <w:r w:rsidR="008638A3" w:rsidRPr="003E5C72">
              <w:rPr>
                <w:rFonts w:ascii="Times New Roman" w:hAnsi="Times New Roman" w:cs="Times New Roman"/>
                <w:sz w:val="24"/>
                <w:szCs w:val="24"/>
              </w:rPr>
              <w:t>.</w:t>
            </w:r>
          </w:p>
        </w:tc>
      </w:tr>
      <w:tr w:rsidR="00043AFB" w:rsidRPr="003E5C72" w:rsidTr="00FE264F">
        <w:trPr>
          <w:trHeight w:val="245"/>
          <w:tblCellSpacing w:w="7" w:type="dxa"/>
        </w:trPr>
        <w:tc>
          <w:tcPr>
            <w:tcW w:w="287"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lastRenderedPageBreak/>
              <w:t>3.</w:t>
            </w:r>
          </w:p>
        </w:tc>
        <w:tc>
          <w:tcPr>
            <w:tcW w:w="1880"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Sabiedrības līdzdalības rezultāti</w:t>
            </w:r>
          </w:p>
        </w:tc>
        <w:tc>
          <w:tcPr>
            <w:tcW w:w="2803" w:type="pct"/>
            <w:tcBorders>
              <w:top w:val="outset" w:sz="6" w:space="0" w:color="auto"/>
              <w:left w:val="outset" w:sz="6" w:space="0" w:color="auto"/>
              <w:bottom w:val="outset" w:sz="6" w:space="0" w:color="auto"/>
              <w:right w:val="outset" w:sz="6" w:space="0" w:color="auto"/>
            </w:tcBorders>
          </w:tcPr>
          <w:p w:rsidR="00AC014D" w:rsidRPr="003E5C72" w:rsidRDefault="00ED0A01" w:rsidP="00AC01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720124" w:rsidRPr="003E5C72">
              <w:rPr>
                <w:rFonts w:ascii="Times New Roman" w:hAnsi="Times New Roman" w:cs="Times New Roman"/>
                <w:sz w:val="24"/>
                <w:szCs w:val="24"/>
              </w:rPr>
              <w:t>inistrijas padotībā esošās zemāk norādītās profesionālās vidējās izglītības iestādes atbalsta Projekta izstrādi un nepieciešamību.</w:t>
            </w:r>
            <w:r w:rsidR="00060260">
              <w:rPr>
                <w:rFonts w:ascii="Times New Roman" w:hAnsi="Times New Roman" w:cs="Times New Roman"/>
                <w:sz w:val="24"/>
                <w:szCs w:val="24"/>
              </w:rPr>
              <w:t xml:space="preserve"> </w:t>
            </w:r>
            <w:r w:rsidR="00AC014D" w:rsidRPr="003E5C72">
              <w:rPr>
                <w:rFonts w:ascii="Times New Roman" w:hAnsi="Times New Roman" w:cs="Times New Roman"/>
                <w:sz w:val="24"/>
                <w:szCs w:val="24"/>
              </w:rPr>
              <w:t xml:space="preserve">Rīgas Dizaina un mākslas vidusskola, Ventspils Mūzikas vidusskola un Alfrēda Kalniņa Cēsu Mūzikas vidusskola </w:t>
            </w:r>
            <w:r w:rsidR="00582EBE">
              <w:rPr>
                <w:rFonts w:ascii="Times New Roman" w:hAnsi="Times New Roman" w:cs="Times New Roman"/>
                <w:sz w:val="24"/>
                <w:szCs w:val="24"/>
              </w:rPr>
              <w:t xml:space="preserve">PIKC </w:t>
            </w:r>
            <w:r w:rsidR="00AC014D" w:rsidRPr="003E5C72">
              <w:rPr>
                <w:rFonts w:ascii="Times New Roman" w:hAnsi="Times New Roman" w:cs="Times New Roman"/>
                <w:sz w:val="24"/>
                <w:szCs w:val="24"/>
              </w:rPr>
              <w:t>statusu plāno iegūt patstāvīgi, vai apvienojoties ar citām mākslas vai mūzikas nozares izglītības iestādēm.</w:t>
            </w:r>
          </w:p>
          <w:p w:rsidR="00AC014D" w:rsidRPr="003E5C72" w:rsidRDefault="00AC014D" w:rsidP="00AC014D">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Jaņa Rozentāla Rīgas Mākslas vidusskola un Rīgas Doma kora skola plāno veikt izglītības iestāžu reorganizāciju un izveidot Nacionālo Mākslu vidusskolu Rīgā. </w:t>
            </w:r>
          </w:p>
          <w:p w:rsidR="00043AFB" w:rsidRPr="003E5C72" w:rsidRDefault="00AC014D" w:rsidP="00AC014D">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Emiļa Melngaiļa Liepājas Mūzikas vidusskola un Liepājas Dizaina un mākslas vidusskola plāno veikt izglītības iestāžu reorganizāciju un izveidot Liepājas Mūzikas, mākslas un dizaina vidusskolu. Rēzeknes Mākslas un dizaina vidusskola un Jāņa Ivanova Rēzeknes mūzikas vidusskola plāno veikt izglītības iestāžu reorganizāciju un izveidot Rēzeknes Mūzikas, mākslas un dizaina vidusskolu.</w:t>
            </w:r>
          </w:p>
          <w:p w:rsidR="009B168D" w:rsidRPr="003E5C72" w:rsidRDefault="001F30E2" w:rsidP="009B168D">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Papildus no 2015.gada 23.marta līdz 7.aprīlim īstenotās sabiedrības līdzdalības procedūras ietvaros Valmieras un Daugavpils pašvaldības izteica priekšlikumu diferenciēt izglītojamo skaitu reģionos, iesakot ārpus Rīgas samazināt vidējās izglītības iestādes izglītojamo kopskaitu līdz 300 un vidējās izglītības izglītojamo skaitu līdz 70. </w:t>
            </w:r>
            <w:r w:rsidR="00ED0A01">
              <w:rPr>
                <w:rFonts w:ascii="Times New Roman" w:hAnsi="Times New Roman" w:cs="Times New Roman"/>
                <w:sz w:val="24"/>
                <w:szCs w:val="24"/>
              </w:rPr>
              <w:t>M</w:t>
            </w:r>
            <w:r w:rsidRPr="003E5C72">
              <w:rPr>
                <w:rFonts w:ascii="Times New Roman" w:hAnsi="Times New Roman" w:cs="Times New Roman"/>
                <w:sz w:val="24"/>
                <w:szCs w:val="24"/>
              </w:rPr>
              <w:t xml:space="preserve">inistrijas ieskatā izglītojamo </w:t>
            </w:r>
            <w:r w:rsidR="004B06E0" w:rsidRPr="003E5C72">
              <w:rPr>
                <w:rFonts w:ascii="Times New Roman" w:hAnsi="Times New Roman" w:cs="Times New Roman"/>
                <w:sz w:val="24"/>
                <w:szCs w:val="24"/>
              </w:rPr>
              <w:t>kvantitatīvais kritērijs</w:t>
            </w:r>
            <w:r w:rsidRPr="003E5C72">
              <w:rPr>
                <w:rFonts w:ascii="Times New Roman" w:hAnsi="Times New Roman" w:cs="Times New Roman"/>
                <w:sz w:val="24"/>
                <w:szCs w:val="24"/>
              </w:rPr>
              <w:t xml:space="preserve"> izglītī</w:t>
            </w:r>
            <w:r w:rsidR="004B06E0" w:rsidRPr="003E5C72">
              <w:rPr>
                <w:rFonts w:ascii="Times New Roman" w:hAnsi="Times New Roman" w:cs="Times New Roman"/>
                <w:sz w:val="24"/>
                <w:szCs w:val="24"/>
              </w:rPr>
              <w:t xml:space="preserve">bas iestādēs nav samazināms, jo </w:t>
            </w:r>
            <w:r w:rsidR="009B168D" w:rsidRPr="003E5C72">
              <w:rPr>
                <w:rFonts w:ascii="Times New Roman" w:hAnsi="Times New Roman" w:cs="Times New Roman"/>
                <w:sz w:val="24"/>
                <w:szCs w:val="24"/>
              </w:rPr>
              <w:t xml:space="preserve">lielākā daļa </w:t>
            </w:r>
            <w:r w:rsidR="00651F49">
              <w:rPr>
                <w:rFonts w:ascii="Times New Roman" w:hAnsi="Times New Roman" w:cs="Times New Roman"/>
                <w:sz w:val="24"/>
                <w:szCs w:val="24"/>
              </w:rPr>
              <w:t>PIKC</w:t>
            </w:r>
            <w:r w:rsidR="009B168D" w:rsidRPr="003E5C72">
              <w:rPr>
                <w:rFonts w:ascii="Times New Roman" w:hAnsi="Times New Roman" w:cs="Times New Roman"/>
                <w:sz w:val="24"/>
                <w:szCs w:val="24"/>
              </w:rPr>
              <w:t xml:space="preserve"> plānoti reģionos un</w:t>
            </w:r>
            <w:r w:rsidR="00B21219" w:rsidRPr="003E5C72">
              <w:rPr>
                <w:rFonts w:ascii="Times New Roman" w:hAnsi="Times New Roman" w:cs="Times New Roman"/>
                <w:sz w:val="24"/>
                <w:szCs w:val="24"/>
              </w:rPr>
              <w:t>,</w:t>
            </w:r>
            <w:r w:rsidR="009B168D" w:rsidRPr="003E5C72">
              <w:rPr>
                <w:rFonts w:ascii="Times New Roman" w:hAnsi="Times New Roman" w:cs="Times New Roman"/>
                <w:sz w:val="24"/>
                <w:szCs w:val="24"/>
              </w:rPr>
              <w:t xml:space="preserve"> izvērtējot </w:t>
            </w:r>
            <w:r w:rsidR="009B168D" w:rsidRPr="003E5C72">
              <w:rPr>
                <w:rFonts w:ascii="Times New Roman" w:hAnsi="Times New Roman" w:cs="Times New Roman"/>
                <w:sz w:val="24"/>
                <w:szCs w:val="24"/>
              </w:rPr>
              <w:lastRenderedPageBreak/>
              <w:t xml:space="preserve">situāciju un esošo statistiku, reģionā esošās ministrijas padotības mākslas un mūzikas vidusskolas var kļūt par </w:t>
            </w:r>
            <w:r w:rsidR="00651F49">
              <w:rPr>
                <w:rFonts w:ascii="Times New Roman" w:hAnsi="Times New Roman" w:cs="Times New Roman"/>
                <w:sz w:val="24"/>
                <w:szCs w:val="24"/>
              </w:rPr>
              <w:t>PIKC</w:t>
            </w:r>
            <w:r w:rsidR="009B168D" w:rsidRPr="003E5C72">
              <w:rPr>
                <w:rFonts w:ascii="Times New Roman" w:hAnsi="Times New Roman" w:cs="Times New Roman"/>
                <w:sz w:val="24"/>
                <w:szCs w:val="24"/>
              </w:rPr>
              <w:t xml:space="preserve"> atbilstoši Projektā noteiktajiem kritērijiem.</w:t>
            </w:r>
            <w:r w:rsidR="00060260">
              <w:rPr>
                <w:rFonts w:ascii="Times New Roman" w:hAnsi="Times New Roman" w:cs="Times New Roman"/>
                <w:sz w:val="24"/>
                <w:szCs w:val="24"/>
              </w:rPr>
              <w:t xml:space="preserve"> </w:t>
            </w:r>
            <w:r w:rsidR="00992992">
              <w:rPr>
                <w:rFonts w:ascii="Times New Roman" w:hAnsi="Times New Roman" w:cs="Times New Roman"/>
                <w:sz w:val="24"/>
                <w:szCs w:val="24"/>
              </w:rPr>
              <w:t>M</w:t>
            </w:r>
            <w:r w:rsidR="009B168D" w:rsidRPr="003E5C72">
              <w:rPr>
                <w:rFonts w:ascii="Times New Roman" w:hAnsi="Times New Roman" w:cs="Times New Roman"/>
                <w:sz w:val="24"/>
                <w:szCs w:val="24"/>
              </w:rPr>
              <w:t>inistrija, izstrādājot Projektu, jau ir samazinājusi izglītojamo skaita kritēriju līdz minumam, lai varētu izpildīt Darbības programm</w:t>
            </w:r>
            <w:r w:rsidR="002B4DAB" w:rsidRPr="003E5C72">
              <w:rPr>
                <w:rFonts w:ascii="Times New Roman" w:hAnsi="Times New Roman" w:cs="Times New Roman"/>
                <w:sz w:val="24"/>
                <w:szCs w:val="24"/>
              </w:rPr>
              <w:t>as</w:t>
            </w:r>
            <w:r w:rsidR="009B168D" w:rsidRPr="003E5C72">
              <w:rPr>
                <w:rFonts w:ascii="Times New Roman" w:hAnsi="Times New Roman" w:cs="Times New Roman"/>
                <w:sz w:val="24"/>
                <w:szCs w:val="24"/>
              </w:rPr>
              <w:t xml:space="preserve"> „Izaugsme un nodarbinātība” specifiskā atbalsta mērķa 8.1.3.</w:t>
            </w:r>
            <w:r w:rsidR="002B4DAB" w:rsidRPr="003E5C72">
              <w:rPr>
                <w:rFonts w:ascii="Times New Roman" w:hAnsi="Times New Roman" w:cs="Times New Roman"/>
                <w:sz w:val="24"/>
                <w:szCs w:val="24"/>
              </w:rPr>
              <w:t>nosacījumus</w:t>
            </w:r>
            <w:r w:rsidR="009B168D" w:rsidRPr="003E5C72">
              <w:rPr>
                <w:rFonts w:ascii="Times New Roman" w:hAnsi="Times New Roman" w:cs="Times New Roman"/>
                <w:sz w:val="24"/>
                <w:szCs w:val="24"/>
              </w:rPr>
              <w:t xml:space="preserve">. </w:t>
            </w:r>
          </w:p>
          <w:p w:rsidR="001F30E2" w:rsidRPr="003E5C72" w:rsidRDefault="001F30E2" w:rsidP="00E35973">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Valmieras pašvaldība piedāvāja samazināt kvalitātes kritērijus Projekta 2.2.1., 2.2.3. un 2.2.4.apakšpunktā un svītrot 2.2.2.apakšpunktu. </w:t>
            </w:r>
            <w:r w:rsidR="00992992">
              <w:rPr>
                <w:rFonts w:ascii="Times New Roman" w:hAnsi="Times New Roman" w:cs="Times New Roman"/>
                <w:sz w:val="24"/>
                <w:szCs w:val="24"/>
              </w:rPr>
              <w:t>M</w:t>
            </w:r>
            <w:r w:rsidRPr="003E5C72">
              <w:rPr>
                <w:rFonts w:ascii="Times New Roman" w:hAnsi="Times New Roman" w:cs="Times New Roman"/>
                <w:sz w:val="24"/>
                <w:szCs w:val="24"/>
              </w:rPr>
              <w:t>inistrija</w:t>
            </w:r>
            <w:r w:rsidR="00E35973">
              <w:rPr>
                <w:rFonts w:ascii="Times New Roman" w:hAnsi="Times New Roman" w:cs="Times New Roman"/>
                <w:sz w:val="24"/>
                <w:szCs w:val="24"/>
              </w:rPr>
              <w:t xml:space="preserve"> ir svītrojusi Projekta 2.2.3. apakšpunktu, tomēr pārējie</w:t>
            </w:r>
            <w:r w:rsidRPr="003E5C72">
              <w:rPr>
                <w:rFonts w:ascii="Times New Roman" w:hAnsi="Times New Roman" w:cs="Times New Roman"/>
                <w:sz w:val="24"/>
                <w:szCs w:val="24"/>
              </w:rPr>
              <w:t xml:space="preserve"> kvalitātes kritēriju rādītāji </w:t>
            </w:r>
            <w:r w:rsidR="00E35973">
              <w:rPr>
                <w:rFonts w:ascii="Times New Roman" w:hAnsi="Times New Roman" w:cs="Times New Roman"/>
                <w:sz w:val="24"/>
                <w:szCs w:val="24"/>
              </w:rPr>
              <w:t xml:space="preserve">ministrijas ieskatā </w:t>
            </w:r>
            <w:r w:rsidRPr="003E5C72">
              <w:rPr>
                <w:rFonts w:ascii="Times New Roman" w:hAnsi="Times New Roman" w:cs="Times New Roman"/>
                <w:sz w:val="24"/>
                <w:szCs w:val="24"/>
              </w:rPr>
              <w:t xml:space="preserve">nav samazināmi un svītrojami, </w:t>
            </w:r>
            <w:r w:rsidR="00CA27D7">
              <w:rPr>
                <w:rFonts w:ascii="Times New Roman" w:hAnsi="Times New Roman" w:cs="Times New Roman"/>
                <w:sz w:val="24"/>
                <w:szCs w:val="24"/>
              </w:rPr>
              <w:t xml:space="preserve">to </w:t>
            </w:r>
            <w:r w:rsidRPr="003E5C72">
              <w:rPr>
                <w:rFonts w:ascii="Times New Roman" w:hAnsi="Times New Roman" w:cs="Times New Roman"/>
                <w:sz w:val="24"/>
                <w:szCs w:val="24"/>
              </w:rPr>
              <w:t xml:space="preserve">rādītājiem jāatspoguļo profesionālās vidējās izglītības kvalitāte, ko izglītojamie saņem kompetences centros. </w:t>
            </w:r>
            <w:r w:rsidR="00651F49">
              <w:rPr>
                <w:rFonts w:ascii="Times New Roman" w:hAnsi="Times New Roman" w:cs="Times New Roman"/>
                <w:sz w:val="24"/>
                <w:szCs w:val="24"/>
              </w:rPr>
              <w:t>PIKC</w:t>
            </w:r>
            <w:r w:rsidRPr="003E5C72">
              <w:rPr>
                <w:rFonts w:ascii="Times New Roman" w:hAnsi="Times New Roman" w:cs="Times New Roman"/>
                <w:sz w:val="24"/>
                <w:szCs w:val="24"/>
              </w:rPr>
              <w:t xml:space="preserve"> būtība ir izcilības sekmēšana</w:t>
            </w:r>
            <w:r w:rsidR="00337C1A" w:rsidRPr="003E5C72">
              <w:rPr>
                <w:rFonts w:ascii="Times New Roman" w:hAnsi="Times New Roman" w:cs="Times New Roman"/>
                <w:sz w:val="24"/>
                <w:szCs w:val="24"/>
              </w:rPr>
              <w:t>,</w:t>
            </w:r>
            <w:r w:rsidRPr="003E5C72">
              <w:rPr>
                <w:rFonts w:ascii="Times New Roman" w:hAnsi="Times New Roman" w:cs="Times New Roman"/>
                <w:sz w:val="24"/>
                <w:szCs w:val="24"/>
              </w:rPr>
              <w:t xml:space="preserve"> un Projektā noteiktie kvalitātes kritēriji ir instruments, kā izcilību veicināt.</w:t>
            </w:r>
            <w:r w:rsidR="00E35973">
              <w:rPr>
                <w:rFonts w:ascii="Times New Roman" w:hAnsi="Times New Roman" w:cs="Times New Roman"/>
                <w:sz w:val="24"/>
                <w:szCs w:val="24"/>
              </w:rPr>
              <w:t xml:space="preserve"> </w:t>
            </w:r>
          </w:p>
        </w:tc>
      </w:tr>
      <w:tr w:rsidR="00043AFB" w:rsidRPr="003E5C72" w:rsidTr="00FE264F">
        <w:trPr>
          <w:trHeight w:val="13"/>
          <w:tblCellSpacing w:w="7" w:type="dxa"/>
        </w:trPr>
        <w:tc>
          <w:tcPr>
            <w:tcW w:w="287"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lastRenderedPageBreak/>
              <w:t>4.</w:t>
            </w:r>
          </w:p>
        </w:tc>
        <w:tc>
          <w:tcPr>
            <w:tcW w:w="1880"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Cita informācija</w:t>
            </w:r>
          </w:p>
        </w:tc>
        <w:tc>
          <w:tcPr>
            <w:tcW w:w="2803" w:type="pct"/>
            <w:tcBorders>
              <w:top w:val="outset" w:sz="6" w:space="0" w:color="auto"/>
              <w:left w:val="outset" w:sz="6" w:space="0" w:color="auto"/>
              <w:bottom w:val="outset" w:sz="6" w:space="0" w:color="auto"/>
              <w:right w:val="outset" w:sz="6" w:space="0" w:color="auto"/>
            </w:tcBorders>
          </w:tcPr>
          <w:p w:rsidR="00043AFB" w:rsidRPr="0083783B" w:rsidRDefault="0083783B" w:rsidP="003A7689">
            <w:pPr>
              <w:spacing w:after="0" w:line="240" w:lineRule="auto"/>
              <w:jc w:val="both"/>
              <w:rPr>
                <w:rFonts w:ascii="Times New Roman" w:hAnsi="Times New Roman" w:cs="Times New Roman"/>
                <w:sz w:val="24"/>
                <w:szCs w:val="24"/>
              </w:rPr>
            </w:pPr>
            <w:r w:rsidRPr="0083783B">
              <w:rPr>
                <w:rFonts w:ascii="Times New Roman" w:eastAsia="Calibri" w:hAnsi="Times New Roman" w:cs="Times New Roman"/>
                <w:iCs/>
                <w:sz w:val="24"/>
                <w:szCs w:val="24"/>
              </w:rPr>
              <w:t>Projekts ir īstenojams esošo ministrijas valsts budžeta līdzekļu ietvaros, savukārt jautājums par nepieciešamo papildu finansējumu profesionālo izglītības kompetences centru funkciju nodrošināšanai ir izskatāms Ministru kabinetā, sagatavojot likumprojektu “Par vidēja termiņa budžeta ietvaru 2017., 2018. un 2019.gadam” un likumprojektu “Par valsts budžetu 2017.gadam” kopā ar visu ministriju un centrālo valsts iestāžu jauno politikas iniciatīvu pieprasījumiem</w:t>
            </w:r>
            <w:r w:rsidR="0004405E">
              <w:rPr>
                <w:rFonts w:ascii="Times New Roman" w:eastAsia="Calibri" w:hAnsi="Times New Roman" w:cs="Times New Roman"/>
                <w:iCs/>
                <w:sz w:val="24"/>
                <w:szCs w:val="24"/>
              </w:rPr>
              <w:t>.</w:t>
            </w:r>
          </w:p>
        </w:tc>
      </w:tr>
    </w:tbl>
    <w:p w:rsidR="00A74211" w:rsidRDefault="00A74211" w:rsidP="00DF5E93">
      <w:pPr>
        <w:pStyle w:val="ParastaisWeb"/>
        <w:spacing w:before="0" w:beforeAutospacing="0" w:after="0" w:afterAutospacing="0"/>
      </w:pPr>
    </w:p>
    <w:p w:rsidR="00FE264F" w:rsidRPr="003E5C72" w:rsidRDefault="00FE264F" w:rsidP="00DF5E93">
      <w:pPr>
        <w:pStyle w:val="ParastaisWeb"/>
        <w:spacing w:before="0" w:beforeAutospacing="0" w:after="0" w:afterAutospacing="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60"/>
        <w:gridCol w:w="3532"/>
        <w:gridCol w:w="5247"/>
      </w:tblGrid>
      <w:tr w:rsidR="00043AFB" w:rsidRPr="003E5C72" w:rsidTr="00BC2D71">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043AFB" w:rsidRPr="003E5C72" w:rsidRDefault="00043AFB" w:rsidP="00DF5E93">
            <w:pPr>
              <w:pStyle w:val="naisc"/>
              <w:spacing w:before="0" w:after="0"/>
              <w:rPr>
                <w:lang w:val="lv-LV"/>
              </w:rPr>
            </w:pPr>
            <w:r w:rsidRPr="003E5C72">
              <w:rPr>
                <w:b/>
                <w:bCs/>
                <w:lang w:val="lv-LV"/>
              </w:rPr>
              <w:t>VII. Tiesību akta projekta izpildes nodrošināšana un tās ietekme uz institūcijām</w:t>
            </w:r>
          </w:p>
        </w:tc>
      </w:tr>
      <w:tr w:rsidR="00043AFB" w:rsidRPr="003E5C72" w:rsidTr="008A4CF8">
        <w:trPr>
          <w:tblCellSpacing w:w="7" w:type="dxa"/>
        </w:trPr>
        <w:tc>
          <w:tcPr>
            <w:tcW w:w="289"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1.</w:t>
            </w:r>
          </w:p>
        </w:tc>
        <w:tc>
          <w:tcPr>
            <w:tcW w:w="1889"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Projekta izpildē iesaistītās institūcijas</w:t>
            </w:r>
          </w:p>
        </w:tc>
        <w:tc>
          <w:tcPr>
            <w:tcW w:w="2792" w:type="pct"/>
            <w:tcBorders>
              <w:top w:val="outset" w:sz="6" w:space="0" w:color="auto"/>
              <w:left w:val="outset" w:sz="6" w:space="0" w:color="auto"/>
              <w:bottom w:val="outset" w:sz="6" w:space="0" w:color="auto"/>
              <w:right w:val="outset" w:sz="6" w:space="0" w:color="auto"/>
            </w:tcBorders>
          </w:tcPr>
          <w:p w:rsidR="00043AFB" w:rsidRPr="003E5C72" w:rsidRDefault="00043AFB" w:rsidP="00992992">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Projekta izpildi nodrošinās ministrija</w:t>
            </w:r>
            <w:r w:rsidR="008A4CF8" w:rsidRPr="003E5C72">
              <w:rPr>
                <w:rFonts w:ascii="Times New Roman" w:hAnsi="Times New Roman" w:cs="Times New Roman"/>
                <w:sz w:val="24"/>
                <w:szCs w:val="24"/>
              </w:rPr>
              <w:t xml:space="preserve"> un Latvijas Nacionālais kultūras centrs.</w:t>
            </w:r>
          </w:p>
        </w:tc>
      </w:tr>
      <w:tr w:rsidR="00043AFB" w:rsidRPr="003E5C72" w:rsidTr="008A4CF8">
        <w:trPr>
          <w:tblCellSpacing w:w="7" w:type="dxa"/>
        </w:trPr>
        <w:tc>
          <w:tcPr>
            <w:tcW w:w="289"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t>2.</w:t>
            </w:r>
          </w:p>
        </w:tc>
        <w:tc>
          <w:tcPr>
            <w:tcW w:w="1889"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both"/>
              <w:rPr>
                <w:rFonts w:ascii="Times New Roman" w:eastAsia="Times New Roman" w:hAnsi="Times New Roman" w:cs="Times New Roman"/>
                <w:sz w:val="24"/>
                <w:szCs w:val="24"/>
              </w:rPr>
            </w:pPr>
            <w:r w:rsidRPr="003E5C72">
              <w:rPr>
                <w:rFonts w:ascii="Times New Roman" w:eastAsia="Times New Roman" w:hAnsi="Times New Roman" w:cs="Times New Roman"/>
                <w:sz w:val="24"/>
                <w:szCs w:val="24"/>
              </w:rPr>
              <w:t>Projekta izpildes ietekme uz pārvaldes funkcijām un institucionālo struktūru.</w:t>
            </w:r>
          </w:p>
          <w:p w:rsidR="008638A3" w:rsidRPr="003E5C72" w:rsidRDefault="008638A3">
            <w:pPr>
              <w:spacing w:after="0" w:line="240" w:lineRule="auto"/>
              <w:jc w:val="both"/>
              <w:rPr>
                <w:rFonts w:ascii="Times New Roman" w:eastAsia="Times New Roman" w:hAnsi="Times New Roman" w:cs="Times New Roman"/>
                <w:sz w:val="24"/>
                <w:szCs w:val="24"/>
              </w:rPr>
            </w:pPr>
          </w:p>
          <w:p w:rsidR="008638A3" w:rsidRPr="003E5C72" w:rsidRDefault="00043AFB">
            <w:pPr>
              <w:spacing w:after="0" w:line="240" w:lineRule="auto"/>
              <w:jc w:val="both"/>
              <w:rPr>
                <w:rFonts w:ascii="Times New Roman" w:hAnsi="Times New Roman" w:cs="Times New Roman"/>
                <w:sz w:val="24"/>
                <w:szCs w:val="24"/>
              </w:rPr>
            </w:pPr>
            <w:r w:rsidRPr="003E5C72">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792" w:type="pct"/>
            <w:tcBorders>
              <w:top w:val="outset" w:sz="6" w:space="0" w:color="auto"/>
              <w:left w:val="outset" w:sz="6" w:space="0" w:color="auto"/>
              <w:bottom w:val="outset" w:sz="6" w:space="0" w:color="auto"/>
              <w:right w:val="outset" w:sz="6" w:space="0" w:color="auto"/>
            </w:tcBorders>
          </w:tcPr>
          <w:p w:rsidR="00043AFB" w:rsidRPr="003E5C72" w:rsidRDefault="00043AFB" w:rsidP="009317E4">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Līdz 2020.gadam ir plānots izveidot 6 profesionālās izglītības </w:t>
            </w:r>
            <w:r w:rsidR="00651F49">
              <w:rPr>
                <w:rFonts w:ascii="Times New Roman" w:hAnsi="Times New Roman" w:cs="Times New Roman"/>
                <w:sz w:val="24"/>
                <w:szCs w:val="24"/>
              </w:rPr>
              <w:t>PIKC</w:t>
            </w:r>
            <w:r w:rsidRPr="003E5C72">
              <w:rPr>
                <w:rFonts w:ascii="Times New Roman" w:hAnsi="Times New Roman" w:cs="Times New Roman"/>
                <w:sz w:val="24"/>
                <w:szCs w:val="24"/>
              </w:rPr>
              <w:t xml:space="preserve"> no ministrijas padotībā esošajām izglītības iestādēm. Trīs ministrijas padotībā esošās mākslas un mūzikas profesionālās vidējās izglītības iestādes </w:t>
            </w:r>
            <w:r w:rsidR="00651F49">
              <w:rPr>
                <w:rFonts w:ascii="Times New Roman" w:hAnsi="Times New Roman" w:cs="Times New Roman"/>
                <w:sz w:val="24"/>
                <w:szCs w:val="24"/>
              </w:rPr>
              <w:t>PIKC</w:t>
            </w:r>
            <w:r w:rsidRPr="003E5C72">
              <w:rPr>
                <w:rFonts w:ascii="Times New Roman" w:hAnsi="Times New Roman" w:cs="Times New Roman"/>
                <w:sz w:val="24"/>
                <w:szCs w:val="24"/>
              </w:rPr>
              <w:t xml:space="preserve"> statusu plāno iegūt patstāvīgi, izpildot Projektā iekļautos kritērijus</w:t>
            </w:r>
            <w:r w:rsidR="008A4CF8" w:rsidRPr="003E5C72">
              <w:rPr>
                <w:rFonts w:ascii="Times New Roman" w:hAnsi="Times New Roman" w:cs="Times New Roman"/>
                <w:sz w:val="24"/>
                <w:szCs w:val="24"/>
              </w:rPr>
              <w:t xml:space="preserve"> – </w:t>
            </w:r>
            <w:r w:rsidRPr="003E5C72">
              <w:rPr>
                <w:rFonts w:ascii="Times New Roman" w:hAnsi="Times New Roman" w:cs="Times New Roman"/>
                <w:sz w:val="24"/>
                <w:szCs w:val="24"/>
                <w:u w:val="single"/>
              </w:rPr>
              <w:t>Rīgas Dizaina un mākslas vidusskola</w:t>
            </w:r>
            <w:r w:rsidRPr="003E5C72">
              <w:rPr>
                <w:rFonts w:ascii="Times New Roman" w:hAnsi="Times New Roman" w:cs="Times New Roman"/>
                <w:sz w:val="24"/>
                <w:szCs w:val="24"/>
              </w:rPr>
              <w:t xml:space="preserve">, </w:t>
            </w:r>
            <w:r w:rsidRPr="003E5C72">
              <w:rPr>
                <w:rFonts w:ascii="Times New Roman" w:hAnsi="Times New Roman" w:cs="Times New Roman"/>
                <w:sz w:val="24"/>
                <w:szCs w:val="24"/>
                <w:u w:val="single"/>
              </w:rPr>
              <w:t>Ventspils Mūzikas vidusskola</w:t>
            </w:r>
            <w:r w:rsidR="00115F23" w:rsidRPr="003E5C72">
              <w:rPr>
                <w:rFonts w:ascii="Times New Roman" w:hAnsi="Times New Roman" w:cs="Times New Roman"/>
                <w:sz w:val="24"/>
                <w:szCs w:val="24"/>
              </w:rPr>
              <w:t>,</w:t>
            </w:r>
            <w:r w:rsidR="00060260">
              <w:rPr>
                <w:rFonts w:ascii="Times New Roman" w:hAnsi="Times New Roman" w:cs="Times New Roman"/>
                <w:sz w:val="24"/>
                <w:szCs w:val="24"/>
              </w:rPr>
              <w:t xml:space="preserve"> </w:t>
            </w:r>
            <w:r w:rsidRPr="003E5C72">
              <w:rPr>
                <w:rFonts w:ascii="Times New Roman" w:hAnsi="Times New Roman" w:cs="Times New Roman"/>
                <w:sz w:val="24"/>
                <w:szCs w:val="24"/>
                <w:u w:val="single"/>
              </w:rPr>
              <w:t>Alfrēda Kalniņa Cēsu Mūzikas vidusskola</w:t>
            </w:r>
            <w:r w:rsidRPr="003E5C72">
              <w:rPr>
                <w:rFonts w:ascii="Times New Roman" w:hAnsi="Times New Roman" w:cs="Times New Roman"/>
                <w:sz w:val="24"/>
                <w:szCs w:val="24"/>
              </w:rPr>
              <w:t>.</w:t>
            </w:r>
          </w:p>
          <w:p w:rsidR="00043AFB" w:rsidRDefault="00043AFB" w:rsidP="009317E4">
            <w:pPr>
              <w:spacing w:after="0" w:line="240" w:lineRule="auto"/>
              <w:jc w:val="both"/>
              <w:rPr>
                <w:rFonts w:ascii="Times New Roman" w:hAnsi="Times New Roman" w:cs="Times New Roman"/>
                <w:sz w:val="24"/>
                <w:szCs w:val="24"/>
              </w:rPr>
            </w:pPr>
            <w:r w:rsidRPr="003E5C72">
              <w:rPr>
                <w:rFonts w:ascii="Times New Roman" w:hAnsi="Times New Roman" w:cs="Times New Roman"/>
                <w:sz w:val="24"/>
                <w:szCs w:val="24"/>
              </w:rPr>
              <w:t xml:space="preserve">Lai nodrošinātu pārējo </w:t>
            </w:r>
            <w:r w:rsidR="004D61E0">
              <w:rPr>
                <w:rFonts w:ascii="Times New Roman" w:hAnsi="Times New Roman" w:cs="Times New Roman"/>
                <w:sz w:val="24"/>
                <w:szCs w:val="24"/>
              </w:rPr>
              <w:t>PIKC</w:t>
            </w:r>
            <w:r w:rsidRPr="003E5C72">
              <w:rPr>
                <w:rFonts w:ascii="Times New Roman" w:hAnsi="Times New Roman" w:cs="Times New Roman"/>
                <w:sz w:val="24"/>
                <w:szCs w:val="24"/>
              </w:rPr>
              <w:t xml:space="preserve"> izveidi, plānots reorganizēt sešas ministrijas padotībā esošās </w:t>
            </w:r>
            <w:r w:rsidRPr="003E5C72">
              <w:rPr>
                <w:rFonts w:ascii="Times New Roman" w:hAnsi="Times New Roman" w:cs="Times New Roman"/>
                <w:sz w:val="24"/>
                <w:szCs w:val="24"/>
              </w:rPr>
              <w:lastRenderedPageBreak/>
              <w:t xml:space="preserve">mākslas un mūzikas profesionālās vidējās izglītības iestādes un uz to bāzes izveidot trīs starpnozaru </w:t>
            </w:r>
            <w:r w:rsidR="004D61E0">
              <w:rPr>
                <w:rFonts w:ascii="Times New Roman" w:hAnsi="Times New Roman" w:cs="Times New Roman"/>
                <w:sz w:val="24"/>
                <w:szCs w:val="24"/>
              </w:rPr>
              <w:t>PIKC</w:t>
            </w:r>
            <w:r w:rsidR="008A4CF8" w:rsidRPr="003E5C72">
              <w:rPr>
                <w:rFonts w:ascii="Times New Roman" w:hAnsi="Times New Roman" w:cs="Times New Roman"/>
                <w:sz w:val="24"/>
                <w:szCs w:val="24"/>
              </w:rPr>
              <w:t xml:space="preserve">– </w:t>
            </w:r>
            <w:r w:rsidRPr="003E5C72">
              <w:rPr>
                <w:rFonts w:ascii="Times New Roman" w:hAnsi="Times New Roman" w:cs="Times New Roman"/>
                <w:sz w:val="24"/>
                <w:szCs w:val="24"/>
                <w:u w:val="single"/>
              </w:rPr>
              <w:t>Nacionāl</w:t>
            </w:r>
            <w:r w:rsidR="00AF4729" w:rsidRPr="003E5C72">
              <w:rPr>
                <w:rFonts w:ascii="Times New Roman" w:hAnsi="Times New Roman" w:cs="Times New Roman"/>
                <w:sz w:val="24"/>
                <w:szCs w:val="24"/>
                <w:u w:val="single"/>
              </w:rPr>
              <w:t>ā</w:t>
            </w:r>
            <w:r w:rsidRPr="003E5C72">
              <w:rPr>
                <w:rFonts w:ascii="Times New Roman" w:hAnsi="Times New Roman" w:cs="Times New Roman"/>
                <w:sz w:val="24"/>
                <w:szCs w:val="24"/>
                <w:u w:val="single"/>
              </w:rPr>
              <w:t xml:space="preserve"> Mākslu vidusskola Rīgā</w:t>
            </w:r>
            <w:r w:rsidRPr="003E5C72">
              <w:rPr>
                <w:rFonts w:ascii="Times New Roman" w:hAnsi="Times New Roman" w:cs="Times New Roman"/>
                <w:sz w:val="24"/>
                <w:szCs w:val="24"/>
              </w:rPr>
              <w:t xml:space="preserve"> (reorganizējot Jaņa Rozentāla</w:t>
            </w:r>
            <w:r w:rsidR="00FE264F">
              <w:rPr>
                <w:rFonts w:ascii="Times New Roman" w:hAnsi="Times New Roman" w:cs="Times New Roman"/>
                <w:sz w:val="24"/>
                <w:szCs w:val="24"/>
              </w:rPr>
              <w:t xml:space="preserve"> </w:t>
            </w:r>
            <w:r w:rsidRPr="003E5C72">
              <w:rPr>
                <w:rFonts w:ascii="Times New Roman" w:hAnsi="Times New Roman" w:cs="Times New Roman"/>
                <w:sz w:val="24"/>
                <w:szCs w:val="24"/>
              </w:rPr>
              <w:t>Rīgas</w:t>
            </w:r>
            <w:r w:rsidR="00FE264F">
              <w:rPr>
                <w:rFonts w:ascii="Times New Roman" w:hAnsi="Times New Roman" w:cs="Times New Roman"/>
                <w:sz w:val="24"/>
                <w:szCs w:val="24"/>
              </w:rPr>
              <w:t xml:space="preserve"> </w:t>
            </w:r>
            <w:r w:rsidRPr="003E5C72">
              <w:rPr>
                <w:rFonts w:ascii="Times New Roman" w:hAnsi="Times New Roman" w:cs="Times New Roman"/>
                <w:sz w:val="24"/>
                <w:szCs w:val="24"/>
              </w:rPr>
              <w:t xml:space="preserve">Mākslas vidusskolu un Rīgas Doma kora skolu), </w:t>
            </w:r>
            <w:r w:rsidRPr="003E5C72">
              <w:rPr>
                <w:rFonts w:ascii="Times New Roman" w:hAnsi="Times New Roman" w:cs="Times New Roman"/>
                <w:sz w:val="24"/>
                <w:szCs w:val="24"/>
                <w:u w:val="single"/>
              </w:rPr>
              <w:t>Liepājas Mūzikas, mākslas un dizaina vidusskola</w:t>
            </w:r>
            <w:r w:rsidRPr="003E5C72">
              <w:rPr>
                <w:rFonts w:ascii="Times New Roman" w:hAnsi="Times New Roman" w:cs="Times New Roman"/>
                <w:sz w:val="24"/>
                <w:szCs w:val="24"/>
              </w:rPr>
              <w:t xml:space="preserve"> (reorganizējot Emiļa Melngaiļa Liepājas Mūzikas vidusskolu un Liepājas Dizaina un mākslas vidusskolu)</w:t>
            </w:r>
            <w:r w:rsidR="00115F23" w:rsidRPr="003E5C72">
              <w:rPr>
                <w:rFonts w:ascii="Times New Roman" w:hAnsi="Times New Roman" w:cs="Times New Roman"/>
                <w:sz w:val="24"/>
                <w:szCs w:val="24"/>
              </w:rPr>
              <w:t>,</w:t>
            </w:r>
            <w:r w:rsidR="005E6718">
              <w:rPr>
                <w:rFonts w:ascii="Times New Roman" w:hAnsi="Times New Roman" w:cs="Times New Roman"/>
                <w:sz w:val="24"/>
                <w:szCs w:val="24"/>
              </w:rPr>
              <w:t xml:space="preserve"> </w:t>
            </w:r>
            <w:r w:rsidRPr="003E5C72">
              <w:rPr>
                <w:rFonts w:ascii="Times New Roman" w:hAnsi="Times New Roman" w:cs="Times New Roman"/>
                <w:sz w:val="24"/>
                <w:szCs w:val="24"/>
                <w:u w:val="single"/>
              </w:rPr>
              <w:t xml:space="preserve">Rēzeknes Mūzikas, mākslas un dizaina vidusskola </w:t>
            </w:r>
            <w:r w:rsidRPr="003E5C72">
              <w:rPr>
                <w:rFonts w:ascii="Times New Roman" w:hAnsi="Times New Roman" w:cs="Times New Roman"/>
                <w:sz w:val="24"/>
                <w:szCs w:val="24"/>
              </w:rPr>
              <w:t>(reorganizējot Rēzeknes Mākslas un dizaina vidusskolu un Jāņa Ivanova Rēzeknes mūzikas vidusskolu).</w:t>
            </w:r>
          </w:p>
          <w:p w:rsidR="004C7E21" w:rsidRPr="004C7E21" w:rsidRDefault="004C7E21" w:rsidP="004C7E21">
            <w:pPr>
              <w:spacing w:after="0" w:line="240" w:lineRule="auto"/>
              <w:jc w:val="both"/>
              <w:rPr>
                <w:rFonts w:ascii="Times New Roman" w:hAnsi="Times New Roman" w:cs="Times New Roman"/>
                <w:sz w:val="24"/>
                <w:szCs w:val="24"/>
              </w:rPr>
            </w:pPr>
            <w:r w:rsidRPr="004C7E21">
              <w:rPr>
                <w:rFonts w:ascii="Times New Roman" w:hAnsi="Times New Roman" w:cs="Times New Roman"/>
                <w:sz w:val="24"/>
                <w:szCs w:val="24"/>
              </w:rPr>
              <w:t>Noteikumu projekts tiks īstenots esoš</w:t>
            </w:r>
            <w:r>
              <w:rPr>
                <w:rFonts w:ascii="Times New Roman" w:hAnsi="Times New Roman" w:cs="Times New Roman"/>
                <w:sz w:val="24"/>
                <w:szCs w:val="24"/>
              </w:rPr>
              <w:t>o</w:t>
            </w:r>
            <w:r w:rsidRPr="004C7E21">
              <w:rPr>
                <w:rFonts w:ascii="Times New Roman" w:hAnsi="Times New Roman" w:cs="Times New Roman"/>
                <w:sz w:val="24"/>
                <w:szCs w:val="24"/>
              </w:rPr>
              <w:t xml:space="preserve"> institūciju un cilvēkresursu ietvaros</w:t>
            </w:r>
            <w:r>
              <w:rPr>
                <w:rFonts w:ascii="Times New Roman" w:hAnsi="Times New Roman" w:cs="Times New Roman"/>
                <w:sz w:val="24"/>
                <w:szCs w:val="24"/>
              </w:rPr>
              <w:t>.</w:t>
            </w:r>
          </w:p>
        </w:tc>
      </w:tr>
      <w:tr w:rsidR="00043AFB" w:rsidRPr="003E5C72" w:rsidTr="008A4CF8">
        <w:trPr>
          <w:trHeight w:val="264"/>
          <w:tblCellSpacing w:w="7" w:type="dxa"/>
        </w:trPr>
        <w:tc>
          <w:tcPr>
            <w:tcW w:w="289" w:type="pct"/>
            <w:tcBorders>
              <w:top w:val="outset" w:sz="6" w:space="0" w:color="auto"/>
              <w:left w:val="outset" w:sz="6" w:space="0" w:color="auto"/>
              <w:bottom w:val="outset" w:sz="6" w:space="0" w:color="auto"/>
              <w:right w:val="outset" w:sz="6" w:space="0" w:color="auto"/>
            </w:tcBorders>
          </w:tcPr>
          <w:p w:rsidR="008638A3" w:rsidRPr="003E5C72" w:rsidRDefault="00043AFB">
            <w:pPr>
              <w:spacing w:after="0" w:line="240" w:lineRule="auto"/>
              <w:jc w:val="center"/>
              <w:rPr>
                <w:rFonts w:ascii="Times New Roman" w:hAnsi="Times New Roman" w:cs="Times New Roman"/>
                <w:sz w:val="24"/>
                <w:szCs w:val="24"/>
              </w:rPr>
            </w:pPr>
            <w:r w:rsidRPr="003E5C72">
              <w:rPr>
                <w:rFonts w:ascii="Times New Roman" w:hAnsi="Times New Roman" w:cs="Times New Roman"/>
                <w:sz w:val="24"/>
                <w:szCs w:val="24"/>
              </w:rPr>
              <w:lastRenderedPageBreak/>
              <w:t>3.</w:t>
            </w:r>
          </w:p>
        </w:tc>
        <w:tc>
          <w:tcPr>
            <w:tcW w:w="1889" w:type="pct"/>
            <w:tcBorders>
              <w:top w:val="outset" w:sz="6" w:space="0" w:color="auto"/>
              <w:left w:val="outset" w:sz="6" w:space="0" w:color="auto"/>
              <w:bottom w:val="outset" w:sz="6" w:space="0" w:color="auto"/>
              <w:right w:val="outset" w:sz="6" w:space="0" w:color="auto"/>
            </w:tcBorders>
          </w:tcPr>
          <w:p w:rsidR="00043AFB" w:rsidRPr="003E5C72" w:rsidRDefault="00043AFB"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Cita informācija</w:t>
            </w:r>
          </w:p>
        </w:tc>
        <w:tc>
          <w:tcPr>
            <w:tcW w:w="2792" w:type="pct"/>
            <w:tcBorders>
              <w:top w:val="outset" w:sz="6" w:space="0" w:color="auto"/>
              <w:left w:val="outset" w:sz="6" w:space="0" w:color="auto"/>
              <w:bottom w:val="outset" w:sz="6" w:space="0" w:color="auto"/>
              <w:right w:val="outset" w:sz="6" w:space="0" w:color="auto"/>
            </w:tcBorders>
          </w:tcPr>
          <w:p w:rsidR="00043AFB" w:rsidRPr="003E5C72" w:rsidRDefault="00043AFB" w:rsidP="00DF5E93">
            <w:pPr>
              <w:spacing w:after="0" w:line="240" w:lineRule="auto"/>
              <w:rPr>
                <w:rFonts w:ascii="Times New Roman" w:hAnsi="Times New Roman" w:cs="Times New Roman"/>
                <w:sz w:val="24"/>
                <w:szCs w:val="24"/>
              </w:rPr>
            </w:pPr>
            <w:r w:rsidRPr="003E5C72">
              <w:rPr>
                <w:rFonts w:ascii="Times New Roman" w:hAnsi="Times New Roman" w:cs="Times New Roman"/>
                <w:sz w:val="24"/>
                <w:szCs w:val="24"/>
              </w:rPr>
              <w:t>Nav</w:t>
            </w:r>
          </w:p>
        </w:tc>
      </w:tr>
    </w:tbl>
    <w:p w:rsidR="00FC0BD0" w:rsidRPr="003E5C72" w:rsidRDefault="00FC0BD0" w:rsidP="00DF5E93">
      <w:pPr>
        <w:spacing w:after="0" w:line="240" w:lineRule="auto"/>
        <w:rPr>
          <w:rFonts w:ascii="Times New Roman" w:hAnsi="Times New Roman" w:cs="Times New Roman"/>
          <w:b/>
          <w:bCs/>
          <w:sz w:val="24"/>
          <w:szCs w:val="24"/>
        </w:rPr>
      </w:pPr>
    </w:p>
    <w:p w:rsidR="008A4CF8" w:rsidRPr="003E5C72" w:rsidRDefault="008A4CF8" w:rsidP="00DF5E93">
      <w:pPr>
        <w:spacing w:after="0" w:line="240" w:lineRule="auto"/>
        <w:rPr>
          <w:rFonts w:ascii="Times New Roman" w:hAnsi="Times New Roman" w:cs="Times New Roman"/>
          <w:b/>
          <w:bCs/>
          <w:sz w:val="24"/>
          <w:szCs w:val="24"/>
        </w:rPr>
      </w:pPr>
    </w:p>
    <w:p w:rsidR="00D6627F" w:rsidRPr="00D6627F" w:rsidRDefault="00D6627F" w:rsidP="00D6627F">
      <w:pPr>
        <w:spacing w:after="0" w:line="240" w:lineRule="auto"/>
        <w:ind w:right="141"/>
        <w:rPr>
          <w:rFonts w:ascii="Times New Roman" w:hAnsi="Times New Roman"/>
          <w:sz w:val="24"/>
          <w:szCs w:val="24"/>
        </w:rPr>
      </w:pPr>
      <w:r>
        <w:rPr>
          <w:rFonts w:ascii="Times New Roman" w:hAnsi="Times New Roman"/>
          <w:sz w:val="24"/>
          <w:szCs w:val="24"/>
        </w:rPr>
        <w:t xml:space="preserve">    </w:t>
      </w:r>
      <w:r w:rsidRPr="00D6627F">
        <w:rPr>
          <w:rFonts w:ascii="Times New Roman" w:hAnsi="Times New Roman"/>
          <w:sz w:val="24"/>
          <w:szCs w:val="24"/>
        </w:rPr>
        <w:t>Kultūras ministres p.i.</w:t>
      </w:r>
    </w:p>
    <w:p w:rsidR="00D6627F" w:rsidRPr="00D6627F" w:rsidRDefault="00D6627F" w:rsidP="00D6627F">
      <w:pPr>
        <w:spacing w:after="0" w:line="240" w:lineRule="auto"/>
        <w:ind w:right="141"/>
        <w:rPr>
          <w:rFonts w:ascii="Times New Roman" w:hAnsi="Times New Roman"/>
          <w:sz w:val="24"/>
          <w:szCs w:val="24"/>
        </w:rPr>
      </w:pPr>
      <w:r>
        <w:rPr>
          <w:rFonts w:ascii="Times New Roman" w:hAnsi="Times New Roman"/>
          <w:sz w:val="24"/>
          <w:szCs w:val="24"/>
        </w:rPr>
        <w:t xml:space="preserve">    </w:t>
      </w:r>
      <w:r w:rsidRPr="00D6627F">
        <w:rPr>
          <w:rFonts w:ascii="Times New Roman" w:hAnsi="Times New Roman"/>
          <w:sz w:val="24"/>
          <w:szCs w:val="24"/>
        </w:rPr>
        <w:t xml:space="preserve">vides aizsardzības un </w:t>
      </w:r>
    </w:p>
    <w:p w:rsidR="00D6627F" w:rsidRPr="00D6627F" w:rsidRDefault="00D6627F" w:rsidP="00D6627F">
      <w:pPr>
        <w:spacing w:after="0" w:line="240" w:lineRule="auto"/>
        <w:ind w:right="141"/>
        <w:rPr>
          <w:rFonts w:ascii="Times New Roman" w:hAnsi="Times New Roman"/>
          <w:sz w:val="24"/>
          <w:szCs w:val="24"/>
        </w:rPr>
      </w:pPr>
      <w:r>
        <w:rPr>
          <w:rFonts w:ascii="Times New Roman" w:hAnsi="Times New Roman"/>
          <w:sz w:val="24"/>
          <w:szCs w:val="24"/>
        </w:rPr>
        <w:t xml:space="preserve">    </w:t>
      </w:r>
      <w:r w:rsidRPr="00D6627F">
        <w:rPr>
          <w:rFonts w:ascii="Times New Roman" w:hAnsi="Times New Roman"/>
          <w:sz w:val="24"/>
          <w:szCs w:val="24"/>
        </w:rPr>
        <w:t>reģionālās attīstības ministrs</w:t>
      </w:r>
      <w:r w:rsidRPr="00D6627F">
        <w:rPr>
          <w:rFonts w:ascii="Times New Roman" w:hAnsi="Times New Roman"/>
          <w:sz w:val="24"/>
          <w:szCs w:val="24"/>
        </w:rPr>
        <w:tab/>
      </w:r>
      <w:r w:rsidRPr="00D6627F">
        <w:rPr>
          <w:rFonts w:ascii="Times New Roman" w:hAnsi="Times New Roman"/>
          <w:sz w:val="24"/>
          <w:szCs w:val="24"/>
        </w:rPr>
        <w:tab/>
      </w:r>
      <w:r w:rsidRPr="00D6627F">
        <w:rPr>
          <w:rFonts w:ascii="Times New Roman" w:hAnsi="Times New Roman"/>
          <w:sz w:val="24"/>
          <w:szCs w:val="24"/>
        </w:rPr>
        <w:tab/>
      </w:r>
      <w:r w:rsidRPr="00D6627F">
        <w:rPr>
          <w:rFonts w:ascii="Times New Roman" w:hAnsi="Times New Roman"/>
          <w:sz w:val="24"/>
          <w:szCs w:val="24"/>
        </w:rPr>
        <w:tab/>
      </w:r>
      <w:r w:rsidRPr="00D6627F">
        <w:rPr>
          <w:rFonts w:ascii="Times New Roman" w:hAnsi="Times New Roman"/>
          <w:sz w:val="24"/>
          <w:szCs w:val="24"/>
        </w:rPr>
        <w:tab/>
        <w:t xml:space="preserve"> K.Gerhards</w:t>
      </w:r>
    </w:p>
    <w:p w:rsidR="003877D3" w:rsidRPr="003E5C72" w:rsidRDefault="003877D3" w:rsidP="00DF5E93">
      <w:pPr>
        <w:spacing w:after="0" w:line="240" w:lineRule="auto"/>
        <w:ind w:firstLine="284"/>
        <w:rPr>
          <w:rFonts w:ascii="Times New Roman" w:hAnsi="Times New Roman" w:cs="Times New Roman"/>
          <w:sz w:val="24"/>
          <w:szCs w:val="24"/>
        </w:rPr>
      </w:pPr>
    </w:p>
    <w:p w:rsidR="00217170" w:rsidRPr="003E5C72" w:rsidRDefault="00217170" w:rsidP="00DF5E93">
      <w:pPr>
        <w:spacing w:after="0" w:line="240" w:lineRule="auto"/>
        <w:ind w:firstLine="284"/>
        <w:rPr>
          <w:rFonts w:ascii="Times New Roman" w:hAnsi="Times New Roman" w:cs="Times New Roman"/>
          <w:sz w:val="24"/>
          <w:szCs w:val="24"/>
        </w:rPr>
      </w:pPr>
      <w:r w:rsidRPr="003E5C72">
        <w:rPr>
          <w:rFonts w:ascii="Times New Roman" w:hAnsi="Times New Roman" w:cs="Times New Roman"/>
          <w:sz w:val="24"/>
          <w:szCs w:val="24"/>
        </w:rPr>
        <w:t>Vīza: Valsts sekretār</w:t>
      </w:r>
      <w:r w:rsidR="000D6A8D">
        <w:rPr>
          <w:rFonts w:ascii="Times New Roman" w:hAnsi="Times New Roman" w:cs="Times New Roman"/>
          <w:sz w:val="24"/>
          <w:szCs w:val="24"/>
        </w:rPr>
        <w:t>s</w:t>
      </w:r>
      <w:r w:rsidR="003F7226" w:rsidRPr="003E5C72">
        <w:rPr>
          <w:rFonts w:ascii="Times New Roman" w:hAnsi="Times New Roman" w:cs="Times New Roman"/>
          <w:sz w:val="24"/>
          <w:szCs w:val="24"/>
        </w:rPr>
        <w:tab/>
      </w:r>
      <w:r w:rsidRPr="003E5C72">
        <w:rPr>
          <w:rFonts w:ascii="Times New Roman" w:hAnsi="Times New Roman" w:cs="Times New Roman"/>
          <w:sz w:val="24"/>
          <w:szCs w:val="24"/>
        </w:rPr>
        <w:tab/>
      </w:r>
      <w:r w:rsidRPr="003E5C72">
        <w:rPr>
          <w:rFonts w:ascii="Times New Roman" w:hAnsi="Times New Roman" w:cs="Times New Roman"/>
          <w:sz w:val="24"/>
          <w:szCs w:val="24"/>
        </w:rPr>
        <w:tab/>
      </w:r>
      <w:r w:rsidRPr="003E5C72">
        <w:rPr>
          <w:rFonts w:ascii="Times New Roman" w:hAnsi="Times New Roman" w:cs="Times New Roman"/>
          <w:sz w:val="24"/>
          <w:szCs w:val="24"/>
        </w:rPr>
        <w:tab/>
      </w:r>
      <w:r w:rsidRPr="003E5C72">
        <w:rPr>
          <w:rFonts w:ascii="Times New Roman" w:hAnsi="Times New Roman" w:cs="Times New Roman"/>
          <w:sz w:val="24"/>
          <w:szCs w:val="24"/>
        </w:rPr>
        <w:tab/>
      </w:r>
      <w:r w:rsidRPr="003E5C72">
        <w:rPr>
          <w:rFonts w:ascii="Times New Roman" w:hAnsi="Times New Roman" w:cs="Times New Roman"/>
          <w:sz w:val="24"/>
          <w:szCs w:val="24"/>
        </w:rPr>
        <w:tab/>
      </w:r>
      <w:r w:rsidR="00D6627F">
        <w:rPr>
          <w:rFonts w:ascii="Times New Roman" w:hAnsi="Times New Roman" w:cs="Times New Roman"/>
          <w:sz w:val="24"/>
          <w:szCs w:val="24"/>
        </w:rPr>
        <w:t xml:space="preserve"> </w:t>
      </w:r>
      <w:r w:rsidR="000D6A8D">
        <w:rPr>
          <w:rFonts w:ascii="Times New Roman" w:hAnsi="Times New Roman" w:cs="Times New Roman"/>
          <w:sz w:val="24"/>
          <w:szCs w:val="24"/>
        </w:rPr>
        <w:t>S.Voldiņš</w:t>
      </w:r>
    </w:p>
    <w:p w:rsidR="00BC2D71" w:rsidRPr="003E5C72" w:rsidRDefault="00BC2D71" w:rsidP="00DF5E93">
      <w:pPr>
        <w:spacing w:after="0" w:line="240" w:lineRule="auto"/>
        <w:rPr>
          <w:rFonts w:ascii="Times New Roman" w:hAnsi="Times New Roman" w:cs="Times New Roman"/>
          <w:b/>
          <w:bCs/>
          <w:sz w:val="24"/>
          <w:szCs w:val="24"/>
        </w:rPr>
      </w:pPr>
    </w:p>
    <w:p w:rsidR="00BC2D71" w:rsidRPr="003E5C72" w:rsidRDefault="00BC2D71" w:rsidP="00DF5E93">
      <w:pPr>
        <w:spacing w:after="0" w:line="240" w:lineRule="auto"/>
        <w:rPr>
          <w:rFonts w:ascii="Times New Roman" w:hAnsi="Times New Roman" w:cs="Times New Roman"/>
          <w:b/>
          <w:bCs/>
          <w:sz w:val="24"/>
          <w:szCs w:val="24"/>
        </w:rPr>
      </w:pPr>
    </w:p>
    <w:p w:rsidR="00690E03" w:rsidRPr="003E5C72" w:rsidRDefault="00690E03" w:rsidP="00DF5E93">
      <w:pPr>
        <w:spacing w:after="0" w:line="240" w:lineRule="auto"/>
        <w:rPr>
          <w:rFonts w:ascii="Times New Roman" w:hAnsi="Times New Roman" w:cs="Times New Roman"/>
          <w:b/>
          <w:bCs/>
          <w:sz w:val="24"/>
          <w:szCs w:val="24"/>
        </w:rPr>
      </w:pPr>
    </w:p>
    <w:p w:rsidR="001F30E2" w:rsidRPr="003E5C72" w:rsidRDefault="001F30E2" w:rsidP="00DF5E93">
      <w:pPr>
        <w:spacing w:after="0" w:line="240" w:lineRule="auto"/>
        <w:rPr>
          <w:rFonts w:ascii="Times New Roman" w:hAnsi="Times New Roman" w:cs="Times New Roman"/>
          <w:b/>
          <w:bCs/>
          <w:sz w:val="24"/>
          <w:szCs w:val="24"/>
        </w:rPr>
      </w:pPr>
    </w:p>
    <w:p w:rsidR="001F30E2" w:rsidRPr="003E5C72" w:rsidRDefault="001F30E2" w:rsidP="00DF5E93">
      <w:pPr>
        <w:spacing w:after="0" w:line="240" w:lineRule="auto"/>
        <w:rPr>
          <w:rFonts w:ascii="Times New Roman" w:hAnsi="Times New Roman" w:cs="Times New Roman"/>
          <w:b/>
          <w:bCs/>
          <w:sz w:val="24"/>
          <w:szCs w:val="24"/>
        </w:rPr>
      </w:pPr>
    </w:p>
    <w:p w:rsidR="008A4CF8" w:rsidRPr="00E76C35" w:rsidRDefault="008A4CF8" w:rsidP="00DF5E93">
      <w:pPr>
        <w:spacing w:after="0" w:line="240" w:lineRule="auto"/>
        <w:rPr>
          <w:rFonts w:ascii="Times New Roman" w:hAnsi="Times New Roman" w:cs="Times New Roman"/>
          <w:b/>
          <w:bCs/>
        </w:rPr>
      </w:pPr>
    </w:p>
    <w:p w:rsidR="008A4CF8" w:rsidRPr="00E76C35" w:rsidRDefault="00A42FFB" w:rsidP="00A42FFB">
      <w:pPr>
        <w:tabs>
          <w:tab w:val="left" w:pos="2280"/>
        </w:tabs>
        <w:spacing w:after="0" w:line="240" w:lineRule="auto"/>
        <w:rPr>
          <w:rFonts w:ascii="Times New Roman" w:hAnsi="Times New Roman" w:cs="Times New Roman"/>
          <w:b/>
          <w:bCs/>
        </w:rPr>
      </w:pPr>
      <w:r>
        <w:rPr>
          <w:rFonts w:ascii="Times New Roman" w:hAnsi="Times New Roman" w:cs="Times New Roman"/>
          <w:b/>
          <w:bCs/>
        </w:rPr>
        <w:tab/>
      </w:r>
    </w:p>
    <w:p w:rsidR="00FC0BD0" w:rsidRPr="00E76C35" w:rsidRDefault="00BF70CB" w:rsidP="00FC0BD0">
      <w:pPr>
        <w:spacing w:after="0" w:line="240" w:lineRule="auto"/>
        <w:jc w:val="both"/>
        <w:rPr>
          <w:rFonts w:ascii="Times New Roman" w:hAnsi="Times New Roman" w:cs="Times New Roman"/>
        </w:rPr>
      </w:pPr>
      <w:r>
        <w:rPr>
          <w:rFonts w:ascii="Times New Roman" w:hAnsi="Times New Roman" w:cs="Times New Roman"/>
        </w:rPr>
        <w:t>1</w:t>
      </w:r>
      <w:r w:rsidR="00295B0C">
        <w:rPr>
          <w:rFonts w:ascii="Times New Roman" w:hAnsi="Times New Roman" w:cs="Times New Roman"/>
        </w:rPr>
        <w:t>6</w:t>
      </w:r>
      <w:r w:rsidR="007A7B6A">
        <w:rPr>
          <w:rFonts w:ascii="Times New Roman" w:hAnsi="Times New Roman" w:cs="Times New Roman"/>
        </w:rPr>
        <w:t>.07.</w:t>
      </w:r>
      <w:r w:rsidR="00FC0BD0" w:rsidRPr="00E76C35">
        <w:rPr>
          <w:rFonts w:ascii="Times New Roman" w:hAnsi="Times New Roman" w:cs="Times New Roman"/>
        </w:rPr>
        <w:t xml:space="preserve">2015. </w:t>
      </w:r>
      <w:r w:rsidR="000D6A8D">
        <w:rPr>
          <w:rFonts w:ascii="Times New Roman" w:hAnsi="Times New Roman" w:cs="Times New Roman"/>
        </w:rPr>
        <w:t>9</w:t>
      </w:r>
      <w:r w:rsidR="00FC0BD0" w:rsidRPr="00E76C35">
        <w:rPr>
          <w:rFonts w:ascii="Times New Roman" w:hAnsi="Times New Roman" w:cs="Times New Roman"/>
        </w:rPr>
        <w:t>:</w:t>
      </w:r>
      <w:r w:rsidR="000D6A8D">
        <w:rPr>
          <w:rFonts w:ascii="Times New Roman" w:hAnsi="Times New Roman" w:cs="Times New Roman"/>
        </w:rPr>
        <w:t>35</w:t>
      </w:r>
      <w:bookmarkStart w:id="3" w:name="_GoBack"/>
      <w:bookmarkEnd w:id="3"/>
    </w:p>
    <w:p w:rsidR="00FC0BD0" w:rsidRPr="00E76C35" w:rsidRDefault="003A7689" w:rsidP="00FC0BD0">
      <w:pPr>
        <w:spacing w:after="0" w:line="240" w:lineRule="auto"/>
        <w:rPr>
          <w:rFonts w:ascii="Times New Roman" w:hAnsi="Times New Roman" w:cs="Times New Roman"/>
        </w:rPr>
      </w:pPr>
      <w:r>
        <w:rPr>
          <w:rFonts w:ascii="Times New Roman" w:hAnsi="Times New Roman" w:cs="Times New Roman"/>
        </w:rPr>
        <w:t>4</w:t>
      </w:r>
      <w:r w:rsidR="00295B0C">
        <w:rPr>
          <w:rFonts w:ascii="Times New Roman" w:hAnsi="Times New Roman" w:cs="Times New Roman"/>
        </w:rPr>
        <w:t>9</w:t>
      </w:r>
      <w:r w:rsidR="00047BED">
        <w:rPr>
          <w:rFonts w:ascii="Times New Roman" w:hAnsi="Times New Roman" w:cs="Times New Roman"/>
        </w:rPr>
        <w:t>10</w:t>
      </w:r>
    </w:p>
    <w:p w:rsidR="00FC0BD0" w:rsidRPr="00E76C35" w:rsidRDefault="00FC0BD0" w:rsidP="00FC0BD0">
      <w:pPr>
        <w:pStyle w:val="Galvene"/>
        <w:rPr>
          <w:rFonts w:ascii="Times New Roman" w:hAnsi="Times New Roman" w:cs="Times New Roman"/>
        </w:rPr>
      </w:pPr>
      <w:bookmarkStart w:id="4" w:name="OLE_LINK9"/>
      <w:bookmarkStart w:id="5" w:name="OLE_LINK10"/>
      <w:bookmarkStart w:id="6" w:name="OLE_LINK35"/>
      <w:bookmarkStart w:id="7" w:name="OLE_LINK7"/>
      <w:bookmarkStart w:id="8" w:name="OLE_LINK8"/>
      <w:bookmarkStart w:id="9" w:name="OLE_LINK19"/>
      <w:r w:rsidRPr="00E76C35">
        <w:rPr>
          <w:rFonts w:ascii="Times New Roman" w:hAnsi="Times New Roman" w:cs="Times New Roman"/>
        </w:rPr>
        <w:t>B.Beinaroviča</w:t>
      </w:r>
    </w:p>
    <w:p w:rsidR="00FC0BD0" w:rsidRPr="00E76C35" w:rsidRDefault="00FC0BD0" w:rsidP="00FC0BD0">
      <w:pPr>
        <w:pStyle w:val="Galvene"/>
        <w:rPr>
          <w:rFonts w:ascii="Times New Roman" w:hAnsi="Times New Roman" w:cs="Times New Roman"/>
        </w:rPr>
      </w:pPr>
      <w:r w:rsidRPr="00E76C35">
        <w:rPr>
          <w:rFonts w:ascii="Times New Roman" w:hAnsi="Times New Roman" w:cs="Times New Roman"/>
        </w:rPr>
        <w:t>Tālr.</w:t>
      </w:r>
      <w:fldSimple w:instr=" COMMENTS   \* MERGEFORMAT ">
        <w:r w:rsidRPr="00E76C35">
          <w:rPr>
            <w:rFonts w:ascii="Times New Roman" w:hAnsi="Times New Roman" w:cs="Times New Roman"/>
          </w:rPr>
          <w:t xml:space="preserve"> 6735628</w:t>
        </w:r>
        <w:r w:rsidR="00DF5308">
          <w:rPr>
            <w:rFonts w:ascii="Times New Roman" w:hAnsi="Times New Roman" w:cs="Times New Roman"/>
          </w:rPr>
          <w:t>4</w:t>
        </w:r>
        <w:r w:rsidRPr="00E76C35">
          <w:rPr>
            <w:rFonts w:ascii="Times New Roman" w:hAnsi="Times New Roman" w:cs="Times New Roman"/>
          </w:rPr>
          <w:t xml:space="preserve">; fakss </w:t>
        </w:r>
      </w:fldSimple>
      <w:r w:rsidRPr="00E76C35">
        <w:rPr>
          <w:rFonts w:ascii="Times New Roman" w:hAnsi="Times New Roman" w:cs="Times New Roman"/>
        </w:rPr>
        <w:t xml:space="preserve"> 67227405</w:t>
      </w:r>
    </w:p>
    <w:p w:rsidR="00FC0BD0" w:rsidRPr="00E76C35" w:rsidRDefault="001B5864" w:rsidP="00FC0BD0">
      <w:pPr>
        <w:pStyle w:val="Galvene"/>
        <w:rPr>
          <w:rFonts w:ascii="Times New Roman" w:hAnsi="Times New Roman" w:cs="Times New Roman"/>
        </w:rPr>
      </w:pPr>
      <w:hyperlink r:id="rId8" w:history="1">
        <w:r w:rsidR="0048302B" w:rsidRPr="00E76C35">
          <w:rPr>
            <w:rStyle w:val="Hipersaite"/>
            <w:rFonts w:ascii="Times New Roman" w:hAnsi="Times New Roman" w:cs="Times New Roman"/>
          </w:rPr>
          <w:t>Baiba.Beinarovica@lnkc.gov.lv</w:t>
        </w:r>
      </w:hyperlink>
      <w:bookmarkEnd w:id="4"/>
      <w:bookmarkEnd w:id="5"/>
      <w:bookmarkEnd w:id="6"/>
    </w:p>
    <w:bookmarkEnd w:id="7"/>
    <w:bookmarkEnd w:id="8"/>
    <w:bookmarkEnd w:id="9"/>
    <w:p w:rsidR="00577D1A" w:rsidRDefault="00577D1A" w:rsidP="00577D1A">
      <w:pPr>
        <w:rPr>
          <w:rFonts w:ascii="Times New Roman" w:hAnsi="Times New Roman" w:cs="Times New Roman"/>
          <w:sz w:val="24"/>
          <w:szCs w:val="24"/>
        </w:rPr>
      </w:pPr>
    </w:p>
    <w:p w:rsidR="00217170" w:rsidRPr="00577D1A" w:rsidRDefault="00217170" w:rsidP="00577D1A">
      <w:pPr>
        <w:jc w:val="center"/>
        <w:rPr>
          <w:rFonts w:ascii="Times New Roman" w:hAnsi="Times New Roman" w:cs="Times New Roman"/>
          <w:sz w:val="24"/>
          <w:szCs w:val="24"/>
        </w:rPr>
      </w:pPr>
    </w:p>
    <w:sectPr w:rsidR="00217170" w:rsidRPr="00577D1A" w:rsidSect="00FE264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DE" w:rsidRDefault="00ED2BDE" w:rsidP="00A74211">
      <w:pPr>
        <w:spacing w:after="0" w:line="240" w:lineRule="auto"/>
      </w:pPr>
      <w:r>
        <w:separator/>
      </w:r>
    </w:p>
  </w:endnote>
  <w:endnote w:type="continuationSeparator" w:id="0">
    <w:p w:rsidR="00ED2BDE" w:rsidRDefault="00ED2BDE" w:rsidP="00A7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50" w:rsidRPr="005623EA" w:rsidRDefault="00005AAD" w:rsidP="005623EA">
    <w:pPr>
      <w:pStyle w:val="Kjene"/>
      <w:jc w:val="both"/>
      <w:rPr>
        <w:rFonts w:ascii="Times New Roman" w:hAnsi="Times New Roman" w:cs="Times New Roman"/>
      </w:rPr>
    </w:pPr>
    <w:bookmarkStart w:id="10" w:name="OLE_LINK17"/>
    <w:bookmarkStart w:id="11" w:name="OLE_LINK18"/>
    <w:r>
      <w:rPr>
        <w:rFonts w:ascii="Times New Roman" w:hAnsi="Times New Roman" w:cs="Times New Roman"/>
      </w:rPr>
      <w:t>KMAnot_</w:t>
    </w:r>
    <w:r w:rsidR="003B3BF2">
      <w:rPr>
        <w:rFonts w:ascii="Times New Roman" w:hAnsi="Times New Roman" w:cs="Times New Roman"/>
      </w:rPr>
      <w:t>16</w:t>
    </w:r>
    <w:r w:rsidR="007A7B6A">
      <w:rPr>
        <w:rFonts w:ascii="Times New Roman" w:hAnsi="Times New Roman" w:cs="Times New Roman"/>
      </w:rPr>
      <w:t>07</w:t>
    </w:r>
    <w:r w:rsidR="002D5F50" w:rsidRPr="005623EA">
      <w:rPr>
        <w:rFonts w:ascii="Times New Roman" w:hAnsi="Times New Roman" w:cs="Times New Roman"/>
      </w:rPr>
      <w:t>15_PIKC_kult</w:t>
    </w:r>
    <w:bookmarkEnd w:id="10"/>
    <w:bookmarkEnd w:id="11"/>
    <w:r w:rsidR="002D5F50" w:rsidRPr="005623EA">
      <w:rPr>
        <w:rFonts w:ascii="Times New Roman" w:hAnsi="Times New Roman" w:cs="Times New Roman"/>
      </w:rPr>
      <w:t xml:space="preserve">; </w:t>
    </w:r>
    <w:bookmarkStart w:id="12" w:name="OLE_LINK13"/>
    <w:bookmarkStart w:id="13" w:name="OLE_LINK14"/>
    <w:bookmarkStart w:id="14" w:name="OLE_LINK11"/>
    <w:bookmarkStart w:id="15" w:name="OLE_LINK12"/>
    <w:r w:rsidR="002D5F50" w:rsidRPr="005623EA">
      <w:rPr>
        <w:rFonts w:ascii="Times New Roman" w:hAnsi="Times New Roman" w:cs="Times New Roman"/>
      </w:rPr>
      <w:t xml:space="preserve">Ministru kabineta noteikumu projekta </w:t>
    </w:r>
    <w:bookmarkEnd w:id="12"/>
    <w:bookmarkEnd w:id="13"/>
    <w:r w:rsidR="002D5F50" w:rsidRPr="005623EA">
      <w:rPr>
        <w:rFonts w:ascii="Times New Roman" w:hAnsi="Times New Roman" w:cs="Times New Roman"/>
      </w:rPr>
      <w:t>„</w:t>
    </w:r>
    <w:r w:rsidR="002D5F50" w:rsidRPr="005623EA">
      <w:rPr>
        <w:rFonts w:ascii="Times New Roman" w:hAnsi="Times New Roman" w:cs="Times New Roman"/>
        <w:bCs/>
      </w:rPr>
      <w:t>Profesionālās izglītības kompetences centra statusa piešķiršanas un anulēšanas kārtība mākslā, mūzikā vai dejā</w:t>
    </w:r>
    <w:r w:rsidR="002D5F50" w:rsidRPr="005623EA">
      <w:rPr>
        <w:rFonts w:ascii="Times New Roman" w:hAnsi="Times New Roman" w:cs="Times New Roman"/>
      </w:rPr>
      <w:t xml:space="preserve">” </w:t>
    </w:r>
    <w:bookmarkStart w:id="16" w:name="OLE_LINK15"/>
    <w:bookmarkStart w:id="17" w:name="OLE_LINK16"/>
    <w:bookmarkStart w:id="18" w:name="_Hlk413940026"/>
    <w:bookmarkEnd w:id="14"/>
    <w:bookmarkEnd w:id="15"/>
    <w:r w:rsidR="002D5F50" w:rsidRPr="005623EA">
      <w:rPr>
        <w:rFonts w:ascii="Times New Roman" w:hAnsi="Times New Roman" w:cs="Times New Roman"/>
      </w:rPr>
      <w:t>sākotnējās ietekmes novērtējuma ziņojums (anotācija)</w:t>
    </w:r>
    <w:bookmarkEnd w:id="16"/>
    <w:bookmarkEnd w:id="17"/>
    <w:bookmarkEnd w:id="1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50" w:rsidRDefault="009953CB">
    <w:pPr>
      <w:pStyle w:val="Kjene"/>
      <w:jc w:val="both"/>
      <w:rPr>
        <w:rFonts w:ascii="Times New Roman" w:hAnsi="Times New Roman" w:cs="Times New Roman"/>
      </w:rPr>
    </w:pPr>
    <w:r>
      <w:rPr>
        <w:rFonts w:ascii="Times New Roman" w:hAnsi="Times New Roman" w:cs="Times New Roman"/>
      </w:rPr>
      <w:t>KMAnot_</w:t>
    </w:r>
    <w:r w:rsidR="00584B7E">
      <w:rPr>
        <w:rFonts w:ascii="Times New Roman" w:hAnsi="Times New Roman" w:cs="Times New Roman"/>
      </w:rPr>
      <w:t>1</w:t>
    </w:r>
    <w:r w:rsidR="003B3BF2">
      <w:rPr>
        <w:rFonts w:ascii="Times New Roman" w:hAnsi="Times New Roman" w:cs="Times New Roman"/>
      </w:rPr>
      <w:t>6</w:t>
    </w:r>
    <w:r w:rsidR="007A7B6A">
      <w:rPr>
        <w:rFonts w:ascii="Times New Roman" w:hAnsi="Times New Roman" w:cs="Times New Roman"/>
      </w:rPr>
      <w:t>07</w:t>
    </w:r>
    <w:r w:rsidR="002D5F50" w:rsidRPr="005623EA">
      <w:rPr>
        <w:rFonts w:ascii="Times New Roman" w:hAnsi="Times New Roman" w:cs="Times New Roman"/>
      </w:rPr>
      <w:t>15_PIKC_kult; Ministru kabineta noteikumu projekta „</w:t>
    </w:r>
    <w:r w:rsidR="002D5F50" w:rsidRPr="005623EA">
      <w:rPr>
        <w:rFonts w:ascii="Times New Roman" w:hAnsi="Times New Roman" w:cs="Times New Roman"/>
        <w:bCs/>
      </w:rPr>
      <w:t>Profesionālās izglītības kompetences centra statusa piešķiršanas un anulēšanas kārtība mākslā, mūzikā vai dejā</w:t>
    </w:r>
    <w:r w:rsidR="002D5F50" w:rsidRPr="005623EA">
      <w:rPr>
        <w:rFonts w:ascii="Times New Roman" w:hAnsi="Times New Roman" w:cs="Times New Roman"/>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DE" w:rsidRDefault="00ED2BDE" w:rsidP="00A74211">
      <w:pPr>
        <w:spacing w:after="0" w:line="240" w:lineRule="auto"/>
      </w:pPr>
      <w:r>
        <w:separator/>
      </w:r>
    </w:p>
  </w:footnote>
  <w:footnote w:type="continuationSeparator" w:id="0">
    <w:p w:rsidR="00ED2BDE" w:rsidRDefault="00ED2BDE" w:rsidP="00A74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2379"/>
      <w:docPartObj>
        <w:docPartGallery w:val="Page Numbers (Top of Page)"/>
        <w:docPartUnique/>
      </w:docPartObj>
    </w:sdtPr>
    <w:sdtEndPr>
      <w:rPr>
        <w:rFonts w:ascii="Times New Roman" w:hAnsi="Times New Roman" w:cs="Times New Roman"/>
      </w:rPr>
    </w:sdtEndPr>
    <w:sdtContent>
      <w:p w:rsidR="002D5F50" w:rsidRPr="00E8108B" w:rsidRDefault="001B5864">
        <w:pPr>
          <w:pStyle w:val="Galvene"/>
          <w:jc w:val="center"/>
          <w:rPr>
            <w:rFonts w:ascii="Times New Roman" w:hAnsi="Times New Roman" w:cs="Times New Roman"/>
          </w:rPr>
        </w:pPr>
        <w:r w:rsidRPr="0048302B">
          <w:rPr>
            <w:rFonts w:ascii="Times New Roman" w:hAnsi="Times New Roman" w:cs="Times New Roman"/>
          </w:rPr>
          <w:fldChar w:fldCharType="begin"/>
        </w:r>
        <w:r w:rsidR="002D5F50" w:rsidRPr="0048302B">
          <w:rPr>
            <w:rFonts w:ascii="Times New Roman" w:hAnsi="Times New Roman" w:cs="Times New Roman"/>
          </w:rPr>
          <w:instrText xml:space="preserve"> PAGE   \* MERGEFORMAT </w:instrText>
        </w:r>
        <w:r w:rsidRPr="0048302B">
          <w:rPr>
            <w:rFonts w:ascii="Times New Roman" w:hAnsi="Times New Roman" w:cs="Times New Roman"/>
          </w:rPr>
          <w:fldChar w:fldCharType="separate"/>
        </w:r>
        <w:r w:rsidR="005B1156">
          <w:rPr>
            <w:rFonts w:ascii="Times New Roman" w:hAnsi="Times New Roman" w:cs="Times New Roman"/>
            <w:noProof/>
          </w:rPr>
          <w:t>18</w:t>
        </w:r>
        <w:r w:rsidRPr="0048302B">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340"/>
    <w:multiLevelType w:val="hybridMultilevel"/>
    <w:tmpl w:val="51A81DB2"/>
    <w:lvl w:ilvl="0" w:tplc="6B145DDC">
      <w:start w:val="2015"/>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nsid w:val="0FB711B0"/>
    <w:multiLevelType w:val="multilevel"/>
    <w:tmpl w:val="7B387E5C"/>
    <w:lvl w:ilvl="0">
      <w:start w:val="5"/>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1255" w:hanging="540"/>
      </w:pPr>
      <w:rPr>
        <w:rFonts w:ascii="Times New Roman" w:hAnsi="Times New Roman" w:cs="Times New Roman" w:hint="default"/>
        <w:sz w:val="24"/>
      </w:rPr>
    </w:lvl>
    <w:lvl w:ilvl="2">
      <w:start w:val="5"/>
      <w:numFmt w:val="decimal"/>
      <w:lvlText w:val="%1.%2.%3."/>
      <w:lvlJc w:val="left"/>
      <w:pPr>
        <w:ind w:left="862" w:hanging="720"/>
      </w:pPr>
      <w:rPr>
        <w:rFonts w:ascii="Times New Roman" w:hAnsi="Times New Roman" w:cs="Times New Roman" w:hint="default"/>
        <w:sz w:val="24"/>
      </w:rPr>
    </w:lvl>
    <w:lvl w:ilvl="3">
      <w:start w:val="1"/>
      <w:numFmt w:val="decimal"/>
      <w:lvlText w:val="%1.%2.%3.%4."/>
      <w:lvlJc w:val="left"/>
      <w:pPr>
        <w:ind w:left="2865" w:hanging="720"/>
      </w:pPr>
      <w:rPr>
        <w:rFonts w:ascii="Times New Roman" w:hAnsi="Times New Roman" w:cs="Times New Roman" w:hint="default"/>
        <w:sz w:val="24"/>
      </w:rPr>
    </w:lvl>
    <w:lvl w:ilvl="4">
      <w:start w:val="1"/>
      <w:numFmt w:val="decimal"/>
      <w:lvlText w:val="%1.%2.%3.%4.%5."/>
      <w:lvlJc w:val="left"/>
      <w:pPr>
        <w:ind w:left="3940" w:hanging="1080"/>
      </w:pPr>
      <w:rPr>
        <w:rFonts w:ascii="Times New Roman" w:hAnsi="Times New Roman" w:cs="Times New Roman" w:hint="default"/>
        <w:sz w:val="24"/>
      </w:rPr>
    </w:lvl>
    <w:lvl w:ilvl="5">
      <w:start w:val="1"/>
      <w:numFmt w:val="decimal"/>
      <w:lvlText w:val="%1.%2.%3.%4.%5.%6."/>
      <w:lvlJc w:val="left"/>
      <w:pPr>
        <w:ind w:left="4655" w:hanging="1080"/>
      </w:pPr>
      <w:rPr>
        <w:rFonts w:ascii="Times New Roman" w:hAnsi="Times New Roman" w:cs="Times New Roman" w:hint="default"/>
        <w:sz w:val="24"/>
      </w:rPr>
    </w:lvl>
    <w:lvl w:ilvl="6">
      <w:start w:val="1"/>
      <w:numFmt w:val="decimal"/>
      <w:lvlText w:val="%1.%2.%3.%4.%5.%6.%7."/>
      <w:lvlJc w:val="left"/>
      <w:pPr>
        <w:ind w:left="5730" w:hanging="1440"/>
      </w:pPr>
      <w:rPr>
        <w:rFonts w:ascii="Times New Roman" w:hAnsi="Times New Roman" w:cs="Times New Roman" w:hint="default"/>
        <w:sz w:val="24"/>
      </w:rPr>
    </w:lvl>
    <w:lvl w:ilvl="7">
      <w:start w:val="1"/>
      <w:numFmt w:val="decimal"/>
      <w:lvlText w:val="%1.%2.%3.%4.%5.%6.%7.%8."/>
      <w:lvlJc w:val="left"/>
      <w:pPr>
        <w:ind w:left="6445" w:hanging="1440"/>
      </w:pPr>
      <w:rPr>
        <w:rFonts w:ascii="Times New Roman" w:hAnsi="Times New Roman" w:cs="Times New Roman" w:hint="default"/>
        <w:sz w:val="24"/>
      </w:rPr>
    </w:lvl>
    <w:lvl w:ilvl="8">
      <w:start w:val="1"/>
      <w:numFmt w:val="decimal"/>
      <w:lvlText w:val="%1.%2.%3.%4.%5.%6.%7.%8.%9."/>
      <w:lvlJc w:val="left"/>
      <w:pPr>
        <w:ind w:left="7520" w:hanging="1800"/>
      </w:pPr>
      <w:rPr>
        <w:rFonts w:ascii="Times New Roman" w:hAnsi="Times New Roman" w:cs="Times New Roman" w:hint="default"/>
        <w:sz w:val="24"/>
      </w:rPr>
    </w:lvl>
  </w:abstractNum>
  <w:abstractNum w:abstractNumId="2">
    <w:nsid w:val="1927175B"/>
    <w:multiLevelType w:val="multilevel"/>
    <w:tmpl w:val="9B5EF600"/>
    <w:lvl w:ilvl="0">
      <w:start w:val="5"/>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1255" w:hanging="540"/>
      </w:pPr>
      <w:rPr>
        <w:rFonts w:ascii="Times New Roman" w:hAnsi="Times New Roman" w:cs="Times New Roman" w:hint="default"/>
        <w:sz w:val="24"/>
      </w:rPr>
    </w:lvl>
    <w:lvl w:ilvl="2">
      <w:start w:val="1"/>
      <w:numFmt w:val="decimal"/>
      <w:lvlText w:val="%1.%2.%3."/>
      <w:lvlJc w:val="left"/>
      <w:pPr>
        <w:ind w:left="862" w:hanging="720"/>
      </w:pPr>
      <w:rPr>
        <w:rFonts w:ascii="Times New Roman" w:hAnsi="Times New Roman" w:cs="Times New Roman" w:hint="default"/>
        <w:b/>
        <w:sz w:val="24"/>
      </w:rPr>
    </w:lvl>
    <w:lvl w:ilvl="3">
      <w:start w:val="1"/>
      <w:numFmt w:val="decimal"/>
      <w:lvlText w:val="%1.%2.%3.%4."/>
      <w:lvlJc w:val="left"/>
      <w:pPr>
        <w:ind w:left="2865" w:hanging="720"/>
      </w:pPr>
      <w:rPr>
        <w:rFonts w:ascii="Times New Roman" w:hAnsi="Times New Roman" w:cs="Times New Roman" w:hint="default"/>
        <w:sz w:val="24"/>
      </w:rPr>
    </w:lvl>
    <w:lvl w:ilvl="4">
      <w:start w:val="1"/>
      <w:numFmt w:val="decimal"/>
      <w:lvlText w:val="%1.%2.%3.%4.%5."/>
      <w:lvlJc w:val="left"/>
      <w:pPr>
        <w:ind w:left="3940" w:hanging="1080"/>
      </w:pPr>
      <w:rPr>
        <w:rFonts w:ascii="Times New Roman" w:hAnsi="Times New Roman" w:cs="Times New Roman" w:hint="default"/>
        <w:sz w:val="24"/>
      </w:rPr>
    </w:lvl>
    <w:lvl w:ilvl="5">
      <w:start w:val="1"/>
      <w:numFmt w:val="decimal"/>
      <w:lvlText w:val="%1.%2.%3.%4.%5.%6."/>
      <w:lvlJc w:val="left"/>
      <w:pPr>
        <w:ind w:left="4655" w:hanging="1080"/>
      </w:pPr>
      <w:rPr>
        <w:rFonts w:ascii="Times New Roman" w:hAnsi="Times New Roman" w:cs="Times New Roman" w:hint="default"/>
        <w:sz w:val="24"/>
      </w:rPr>
    </w:lvl>
    <w:lvl w:ilvl="6">
      <w:start w:val="1"/>
      <w:numFmt w:val="decimal"/>
      <w:lvlText w:val="%1.%2.%3.%4.%5.%6.%7."/>
      <w:lvlJc w:val="left"/>
      <w:pPr>
        <w:ind w:left="5730" w:hanging="1440"/>
      </w:pPr>
      <w:rPr>
        <w:rFonts w:ascii="Times New Roman" w:hAnsi="Times New Roman" w:cs="Times New Roman" w:hint="default"/>
        <w:sz w:val="24"/>
      </w:rPr>
    </w:lvl>
    <w:lvl w:ilvl="7">
      <w:start w:val="1"/>
      <w:numFmt w:val="decimal"/>
      <w:lvlText w:val="%1.%2.%3.%4.%5.%6.%7.%8."/>
      <w:lvlJc w:val="left"/>
      <w:pPr>
        <w:ind w:left="6445" w:hanging="1440"/>
      </w:pPr>
      <w:rPr>
        <w:rFonts w:ascii="Times New Roman" w:hAnsi="Times New Roman" w:cs="Times New Roman" w:hint="default"/>
        <w:sz w:val="24"/>
      </w:rPr>
    </w:lvl>
    <w:lvl w:ilvl="8">
      <w:start w:val="1"/>
      <w:numFmt w:val="decimal"/>
      <w:lvlText w:val="%1.%2.%3.%4.%5.%6.%7.%8.%9."/>
      <w:lvlJc w:val="left"/>
      <w:pPr>
        <w:ind w:left="7520" w:hanging="1800"/>
      </w:pPr>
      <w:rPr>
        <w:rFonts w:ascii="Times New Roman" w:hAnsi="Times New Roman" w:cs="Times New Roman" w:hint="default"/>
        <w:sz w:val="24"/>
      </w:rPr>
    </w:lvl>
  </w:abstractNum>
  <w:abstractNum w:abstractNumId="3">
    <w:nsid w:val="28C724E1"/>
    <w:multiLevelType w:val="hybridMultilevel"/>
    <w:tmpl w:val="54547D82"/>
    <w:lvl w:ilvl="0" w:tplc="D14E4F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1A0511D"/>
    <w:multiLevelType w:val="hybridMultilevel"/>
    <w:tmpl w:val="567E94DC"/>
    <w:lvl w:ilvl="0" w:tplc="EA1856D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nsid w:val="476D6C75"/>
    <w:multiLevelType w:val="hybridMultilevel"/>
    <w:tmpl w:val="E522CBD2"/>
    <w:lvl w:ilvl="0" w:tplc="83140C0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79C6D04"/>
    <w:multiLevelType w:val="hybridMultilevel"/>
    <w:tmpl w:val="B9D833B4"/>
    <w:lvl w:ilvl="0" w:tplc="EF96145E">
      <w:start w:val="1"/>
      <w:numFmt w:val="decimal"/>
      <w:lvlText w:val="%1."/>
      <w:lvlJc w:val="left"/>
      <w:pPr>
        <w:ind w:left="720" w:hanging="360"/>
      </w:pPr>
      <w:rPr>
        <w:rFonts w:asciiTheme="minorHAnsi" w:eastAsiaTheme="minorHAnsi" w:hAnsiTheme="minorHAnsi" w:cstheme="minorBidi"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9C13680"/>
    <w:multiLevelType w:val="hybridMultilevel"/>
    <w:tmpl w:val="25C8EB9C"/>
    <w:lvl w:ilvl="0" w:tplc="B2DAC7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D655D"/>
    <w:rsid w:val="0000063B"/>
    <w:rsid w:val="00002670"/>
    <w:rsid w:val="00002F00"/>
    <w:rsid w:val="00003C62"/>
    <w:rsid w:val="00005AAD"/>
    <w:rsid w:val="00015F77"/>
    <w:rsid w:val="000168BA"/>
    <w:rsid w:val="00017B8C"/>
    <w:rsid w:val="000213CF"/>
    <w:rsid w:val="000232F6"/>
    <w:rsid w:val="00024383"/>
    <w:rsid w:val="00024761"/>
    <w:rsid w:val="00024B1E"/>
    <w:rsid w:val="00026C98"/>
    <w:rsid w:val="0003073A"/>
    <w:rsid w:val="000319B7"/>
    <w:rsid w:val="00033CD7"/>
    <w:rsid w:val="00033D9F"/>
    <w:rsid w:val="00035B4D"/>
    <w:rsid w:val="000403BE"/>
    <w:rsid w:val="00042622"/>
    <w:rsid w:val="00042764"/>
    <w:rsid w:val="00043AFB"/>
    <w:rsid w:val="0004405E"/>
    <w:rsid w:val="00047396"/>
    <w:rsid w:val="0004776E"/>
    <w:rsid w:val="00047BED"/>
    <w:rsid w:val="00050F68"/>
    <w:rsid w:val="00051C39"/>
    <w:rsid w:val="00054C52"/>
    <w:rsid w:val="00057C49"/>
    <w:rsid w:val="00060260"/>
    <w:rsid w:val="0006248F"/>
    <w:rsid w:val="0006432A"/>
    <w:rsid w:val="000742BD"/>
    <w:rsid w:val="00074F56"/>
    <w:rsid w:val="000811A3"/>
    <w:rsid w:val="000855BB"/>
    <w:rsid w:val="00086964"/>
    <w:rsid w:val="00087C61"/>
    <w:rsid w:val="000A2B9B"/>
    <w:rsid w:val="000A391F"/>
    <w:rsid w:val="000A589A"/>
    <w:rsid w:val="000B0C4B"/>
    <w:rsid w:val="000B3D30"/>
    <w:rsid w:val="000B4F89"/>
    <w:rsid w:val="000B5401"/>
    <w:rsid w:val="000B732B"/>
    <w:rsid w:val="000C000A"/>
    <w:rsid w:val="000C2E87"/>
    <w:rsid w:val="000C4A19"/>
    <w:rsid w:val="000C6D77"/>
    <w:rsid w:val="000D6A8D"/>
    <w:rsid w:val="000E4A76"/>
    <w:rsid w:val="000F1C85"/>
    <w:rsid w:val="000F4569"/>
    <w:rsid w:val="000F5458"/>
    <w:rsid w:val="001062FE"/>
    <w:rsid w:val="00110BBD"/>
    <w:rsid w:val="00115F23"/>
    <w:rsid w:val="001200EC"/>
    <w:rsid w:val="001225FE"/>
    <w:rsid w:val="00123D4A"/>
    <w:rsid w:val="0012509E"/>
    <w:rsid w:val="00132002"/>
    <w:rsid w:val="0013462D"/>
    <w:rsid w:val="00135B12"/>
    <w:rsid w:val="00135CC0"/>
    <w:rsid w:val="00137C65"/>
    <w:rsid w:val="00140057"/>
    <w:rsid w:val="00141A0E"/>
    <w:rsid w:val="001423CA"/>
    <w:rsid w:val="00144DE8"/>
    <w:rsid w:val="00152997"/>
    <w:rsid w:val="00156C1B"/>
    <w:rsid w:val="001574E2"/>
    <w:rsid w:val="00163ADF"/>
    <w:rsid w:val="00175400"/>
    <w:rsid w:val="00180AA6"/>
    <w:rsid w:val="001836C2"/>
    <w:rsid w:val="001858A3"/>
    <w:rsid w:val="00185D58"/>
    <w:rsid w:val="0019096B"/>
    <w:rsid w:val="00193456"/>
    <w:rsid w:val="00195D4D"/>
    <w:rsid w:val="001A2DCB"/>
    <w:rsid w:val="001B098B"/>
    <w:rsid w:val="001B0B67"/>
    <w:rsid w:val="001B5864"/>
    <w:rsid w:val="001B787B"/>
    <w:rsid w:val="001C0B0E"/>
    <w:rsid w:val="001C3B2B"/>
    <w:rsid w:val="001E370E"/>
    <w:rsid w:val="001E3905"/>
    <w:rsid w:val="001E5019"/>
    <w:rsid w:val="001E51B4"/>
    <w:rsid w:val="001F1333"/>
    <w:rsid w:val="001F25CB"/>
    <w:rsid w:val="001F2721"/>
    <w:rsid w:val="001F30E2"/>
    <w:rsid w:val="00207252"/>
    <w:rsid w:val="00210333"/>
    <w:rsid w:val="00212B81"/>
    <w:rsid w:val="002134C7"/>
    <w:rsid w:val="0021573D"/>
    <w:rsid w:val="0021606B"/>
    <w:rsid w:val="002164E3"/>
    <w:rsid w:val="00217170"/>
    <w:rsid w:val="00217C81"/>
    <w:rsid w:val="00227E4F"/>
    <w:rsid w:val="0023607F"/>
    <w:rsid w:val="002472D4"/>
    <w:rsid w:val="002576F9"/>
    <w:rsid w:val="00266075"/>
    <w:rsid w:val="00273D11"/>
    <w:rsid w:val="00273E0E"/>
    <w:rsid w:val="00284B5A"/>
    <w:rsid w:val="00295B0C"/>
    <w:rsid w:val="0029706C"/>
    <w:rsid w:val="002A1C18"/>
    <w:rsid w:val="002A2745"/>
    <w:rsid w:val="002A5B58"/>
    <w:rsid w:val="002A7F47"/>
    <w:rsid w:val="002B028E"/>
    <w:rsid w:val="002B166C"/>
    <w:rsid w:val="002B4DAB"/>
    <w:rsid w:val="002B7591"/>
    <w:rsid w:val="002C4EA8"/>
    <w:rsid w:val="002D0F63"/>
    <w:rsid w:val="002D5F50"/>
    <w:rsid w:val="002E1BBC"/>
    <w:rsid w:val="002E24E7"/>
    <w:rsid w:val="002E4955"/>
    <w:rsid w:val="002E73AA"/>
    <w:rsid w:val="002F68BB"/>
    <w:rsid w:val="002F761B"/>
    <w:rsid w:val="003051CB"/>
    <w:rsid w:val="0031084E"/>
    <w:rsid w:val="00313E9E"/>
    <w:rsid w:val="003142BB"/>
    <w:rsid w:val="003147B4"/>
    <w:rsid w:val="00317829"/>
    <w:rsid w:val="00321664"/>
    <w:rsid w:val="00323598"/>
    <w:rsid w:val="00326BC0"/>
    <w:rsid w:val="00337C1A"/>
    <w:rsid w:val="00337E9F"/>
    <w:rsid w:val="003406F7"/>
    <w:rsid w:val="00344530"/>
    <w:rsid w:val="00350834"/>
    <w:rsid w:val="0035431E"/>
    <w:rsid w:val="003560F6"/>
    <w:rsid w:val="003750E8"/>
    <w:rsid w:val="0038292E"/>
    <w:rsid w:val="003837B3"/>
    <w:rsid w:val="00384109"/>
    <w:rsid w:val="003842DB"/>
    <w:rsid w:val="003877D3"/>
    <w:rsid w:val="00387C99"/>
    <w:rsid w:val="00391441"/>
    <w:rsid w:val="00396CAB"/>
    <w:rsid w:val="003A005A"/>
    <w:rsid w:val="003A0C6C"/>
    <w:rsid w:val="003A4DE9"/>
    <w:rsid w:val="003A5876"/>
    <w:rsid w:val="003A7689"/>
    <w:rsid w:val="003B14BB"/>
    <w:rsid w:val="003B3BF2"/>
    <w:rsid w:val="003B4BEF"/>
    <w:rsid w:val="003B5BC3"/>
    <w:rsid w:val="003B7FDF"/>
    <w:rsid w:val="003C0614"/>
    <w:rsid w:val="003C2735"/>
    <w:rsid w:val="003E1FCA"/>
    <w:rsid w:val="003E5C72"/>
    <w:rsid w:val="003F7226"/>
    <w:rsid w:val="00407A00"/>
    <w:rsid w:val="00421061"/>
    <w:rsid w:val="00422C0C"/>
    <w:rsid w:val="00423FC9"/>
    <w:rsid w:val="0042581D"/>
    <w:rsid w:val="00431FE1"/>
    <w:rsid w:val="00432213"/>
    <w:rsid w:val="004336C6"/>
    <w:rsid w:val="00436B50"/>
    <w:rsid w:val="00436BB0"/>
    <w:rsid w:val="00444DE7"/>
    <w:rsid w:val="004470C8"/>
    <w:rsid w:val="0045328E"/>
    <w:rsid w:val="004558D5"/>
    <w:rsid w:val="0045650B"/>
    <w:rsid w:val="004567FB"/>
    <w:rsid w:val="00456E8F"/>
    <w:rsid w:val="004673B5"/>
    <w:rsid w:val="00470070"/>
    <w:rsid w:val="00473A22"/>
    <w:rsid w:val="00476F7E"/>
    <w:rsid w:val="00476FA7"/>
    <w:rsid w:val="00482366"/>
    <w:rsid w:val="0048302B"/>
    <w:rsid w:val="004839AB"/>
    <w:rsid w:val="00491765"/>
    <w:rsid w:val="00492F6B"/>
    <w:rsid w:val="004933F5"/>
    <w:rsid w:val="0049677E"/>
    <w:rsid w:val="00496E5F"/>
    <w:rsid w:val="004A0BAB"/>
    <w:rsid w:val="004B06E0"/>
    <w:rsid w:val="004B1207"/>
    <w:rsid w:val="004C2078"/>
    <w:rsid w:val="004C6C93"/>
    <w:rsid w:val="004C7E21"/>
    <w:rsid w:val="004D0BFF"/>
    <w:rsid w:val="004D142D"/>
    <w:rsid w:val="004D61E0"/>
    <w:rsid w:val="004E4DF2"/>
    <w:rsid w:val="004E565F"/>
    <w:rsid w:val="004E65B8"/>
    <w:rsid w:val="004E662D"/>
    <w:rsid w:val="004F2D38"/>
    <w:rsid w:val="004F2EF6"/>
    <w:rsid w:val="004F68B8"/>
    <w:rsid w:val="005062CE"/>
    <w:rsid w:val="00510EEC"/>
    <w:rsid w:val="00532DEA"/>
    <w:rsid w:val="00536635"/>
    <w:rsid w:val="005415B8"/>
    <w:rsid w:val="00544690"/>
    <w:rsid w:val="005457F2"/>
    <w:rsid w:val="00546531"/>
    <w:rsid w:val="00546A3F"/>
    <w:rsid w:val="00555914"/>
    <w:rsid w:val="005608B9"/>
    <w:rsid w:val="005623EA"/>
    <w:rsid w:val="005716A1"/>
    <w:rsid w:val="00571F7C"/>
    <w:rsid w:val="00577D1A"/>
    <w:rsid w:val="00581085"/>
    <w:rsid w:val="00582EBE"/>
    <w:rsid w:val="00584B7E"/>
    <w:rsid w:val="00591046"/>
    <w:rsid w:val="00596F90"/>
    <w:rsid w:val="005978CC"/>
    <w:rsid w:val="005A523D"/>
    <w:rsid w:val="005B1156"/>
    <w:rsid w:val="005B209B"/>
    <w:rsid w:val="005B37B6"/>
    <w:rsid w:val="005C6418"/>
    <w:rsid w:val="005C7834"/>
    <w:rsid w:val="005D1CFF"/>
    <w:rsid w:val="005D345E"/>
    <w:rsid w:val="005D4519"/>
    <w:rsid w:val="005D48FF"/>
    <w:rsid w:val="005E656B"/>
    <w:rsid w:val="005E6718"/>
    <w:rsid w:val="005F3F16"/>
    <w:rsid w:val="006025E3"/>
    <w:rsid w:val="006031B8"/>
    <w:rsid w:val="006070B4"/>
    <w:rsid w:val="00620EDF"/>
    <w:rsid w:val="006265CE"/>
    <w:rsid w:val="00626D00"/>
    <w:rsid w:val="006303C0"/>
    <w:rsid w:val="0063128D"/>
    <w:rsid w:val="00641576"/>
    <w:rsid w:val="00643CF2"/>
    <w:rsid w:val="00651F49"/>
    <w:rsid w:val="006547CC"/>
    <w:rsid w:val="00655956"/>
    <w:rsid w:val="00657A38"/>
    <w:rsid w:val="00663C3F"/>
    <w:rsid w:val="0066754C"/>
    <w:rsid w:val="00671664"/>
    <w:rsid w:val="00672E16"/>
    <w:rsid w:val="00690511"/>
    <w:rsid w:val="00690E03"/>
    <w:rsid w:val="00693C6A"/>
    <w:rsid w:val="00695751"/>
    <w:rsid w:val="006A5C15"/>
    <w:rsid w:val="006A5E2A"/>
    <w:rsid w:val="006B0843"/>
    <w:rsid w:val="006B4A0C"/>
    <w:rsid w:val="006C2360"/>
    <w:rsid w:val="006C4B5A"/>
    <w:rsid w:val="006D7932"/>
    <w:rsid w:val="006E04FF"/>
    <w:rsid w:val="006E1F64"/>
    <w:rsid w:val="006E77AB"/>
    <w:rsid w:val="006F0318"/>
    <w:rsid w:val="006F2F6C"/>
    <w:rsid w:val="00712FE8"/>
    <w:rsid w:val="0071685E"/>
    <w:rsid w:val="00720124"/>
    <w:rsid w:val="0072097B"/>
    <w:rsid w:val="00725AA9"/>
    <w:rsid w:val="00730CDA"/>
    <w:rsid w:val="00733090"/>
    <w:rsid w:val="0073437F"/>
    <w:rsid w:val="00740676"/>
    <w:rsid w:val="00744C24"/>
    <w:rsid w:val="0074559B"/>
    <w:rsid w:val="00746446"/>
    <w:rsid w:val="00747D3F"/>
    <w:rsid w:val="00754865"/>
    <w:rsid w:val="00757D00"/>
    <w:rsid w:val="007650FC"/>
    <w:rsid w:val="0076532E"/>
    <w:rsid w:val="00766562"/>
    <w:rsid w:val="00771C07"/>
    <w:rsid w:val="00772710"/>
    <w:rsid w:val="00781759"/>
    <w:rsid w:val="00782B41"/>
    <w:rsid w:val="00784F7A"/>
    <w:rsid w:val="007859AB"/>
    <w:rsid w:val="007915E3"/>
    <w:rsid w:val="00794ACC"/>
    <w:rsid w:val="00794B9A"/>
    <w:rsid w:val="00796809"/>
    <w:rsid w:val="00797A75"/>
    <w:rsid w:val="007A0954"/>
    <w:rsid w:val="007A0E5B"/>
    <w:rsid w:val="007A1F91"/>
    <w:rsid w:val="007A4374"/>
    <w:rsid w:val="007A5BEF"/>
    <w:rsid w:val="007A7B6A"/>
    <w:rsid w:val="007B0162"/>
    <w:rsid w:val="007B4569"/>
    <w:rsid w:val="007B45ED"/>
    <w:rsid w:val="007B5CBA"/>
    <w:rsid w:val="007B7861"/>
    <w:rsid w:val="007B7B01"/>
    <w:rsid w:val="007C01EC"/>
    <w:rsid w:val="007C14B2"/>
    <w:rsid w:val="007C18E1"/>
    <w:rsid w:val="007C288F"/>
    <w:rsid w:val="007C4E82"/>
    <w:rsid w:val="007C69B9"/>
    <w:rsid w:val="007C7EC1"/>
    <w:rsid w:val="007D1F33"/>
    <w:rsid w:val="007D251A"/>
    <w:rsid w:val="007D6495"/>
    <w:rsid w:val="007D655D"/>
    <w:rsid w:val="007D797F"/>
    <w:rsid w:val="007E1576"/>
    <w:rsid w:val="007E3F58"/>
    <w:rsid w:val="007E6895"/>
    <w:rsid w:val="007F0155"/>
    <w:rsid w:val="007F258A"/>
    <w:rsid w:val="007F2D7D"/>
    <w:rsid w:val="00801249"/>
    <w:rsid w:val="00807247"/>
    <w:rsid w:val="0080777E"/>
    <w:rsid w:val="00815A33"/>
    <w:rsid w:val="00822A02"/>
    <w:rsid w:val="0082595D"/>
    <w:rsid w:val="00830216"/>
    <w:rsid w:val="00835146"/>
    <w:rsid w:val="008362B5"/>
    <w:rsid w:val="008371FC"/>
    <w:rsid w:val="0083783B"/>
    <w:rsid w:val="00840CAD"/>
    <w:rsid w:val="008448B0"/>
    <w:rsid w:val="00851346"/>
    <w:rsid w:val="0085266A"/>
    <w:rsid w:val="00853DCB"/>
    <w:rsid w:val="008638A3"/>
    <w:rsid w:val="008652DD"/>
    <w:rsid w:val="00870C48"/>
    <w:rsid w:val="00886F3E"/>
    <w:rsid w:val="00894B57"/>
    <w:rsid w:val="008A193B"/>
    <w:rsid w:val="008A4CF8"/>
    <w:rsid w:val="008B3B9E"/>
    <w:rsid w:val="008B70F3"/>
    <w:rsid w:val="008C15CD"/>
    <w:rsid w:val="008C70F6"/>
    <w:rsid w:val="008D01F1"/>
    <w:rsid w:val="008D5185"/>
    <w:rsid w:val="008D6103"/>
    <w:rsid w:val="008E5D19"/>
    <w:rsid w:val="008F2C7D"/>
    <w:rsid w:val="008F4D9A"/>
    <w:rsid w:val="008F7843"/>
    <w:rsid w:val="009008BF"/>
    <w:rsid w:val="009024E0"/>
    <w:rsid w:val="00903D27"/>
    <w:rsid w:val="00905B35"/>
    <w:rsid w:val="00906D20"/>
    <w:rsid w:val="009105F6"/>
    <w:rsid w:val="00926B06"/>
    <w:rsid w:val="009317E4"/>
    <w:rsid w:val="00931AD4"/>
    <w:rsid w:val="00933543"/>
    <w:rsid w:val="00937DC6"/>
    <w:rsid w:val="009412EF"/>
    <w:rsid w:val="009441F5"/>
    <w:rsid w:val="00945B49"/>
    <w:rsid w:val="009466CD"/>
    <w:rsid w:val="00947B23"/>
    <w:rsid w:val="00950326"/>
    <w:rsid w:val="00951AA6"/>
    <w:rsid w:val="009526DA"/>
    <w:rsid w:val="00960C13"/>
    <w:rsid w:val="00963E75"/>
    <w:rsid w:val="009645B2"/>
    <w:rsid w:val="00964AAF"/>
    <w:rsid w:val="00966063"/>
    <w:rsid w:val="00970778"/>
    <w:rsid w:val="00974219"/>
    <w:rsid w:val="00975A79"/>
    <w:rsid w:val="00977CAC"/>
    <w:rsid w:val="00980804"/>
    <w:rsid w:val="00980F03"/>
    <w:rsid w:val="00986AD4"/>
    <w:rsid w:val="009878B7"/>
    <w:rsid w:val="00992992"/>
    <w:rsid w:val="00994304"/>
    <w:rsid w:val="00994457"/>
    <w:rsid w:val="0099468F"/>
    <w:rsid w:val="009951CD"/>
    <w:rsid w:val="009953CB"/>
    <w:rsid w:val="009962B9"/>
    <w:rsid w:val="009976BF"/>
    <w:rsid w:val="009977E6"/>
    <w:rsid w:val="009A2186"/>
    <w:rsid w:val="009A723C"/>
    <w:rsid w:val="009B1111"/>
    <w:rsid w:val="009B168D"/>
    <w:rsid w:val="009B2BE6"/>
    <w:rsid w:val="009B58C3"/>
    <w:rsid w:val="009B63B6"/>
    <w:rsid w:val="009C1832"/>
    <w:rsid w:val="009C2412"/>
    <w:rsid w:val="009D4DB1"/>
    <w:rsid w:val="009D6283"/>
    <w:rsid w:val="009E0AF9"/>
    <w:rsid w:val="009E0D7D"/>
    <w:rsid w:val="009E44F8"/>
    <w:rsid w:val="009F4347"/>
    <w:rsid w:val="009F60A5"/>
    <w:rsid w:val="009F7127"/>
    <w:rsid w:val="00A00B16"/>
    <w:rsid w:val="00A0641B"/>
    <w:rsid w:val="00A0654E"/>
    <w:rsid w:val="00A12B6D"/>
    <w:rsid w:val="00A140B5"/>
    <w:rsid w:val="00A155A6"/>
    <w:rsid w:val="00A2380C"/>
    <w:rsid w:val="00A27BD7"/>
    <w:rsid w:val="00A32DD3"/>
    <w:rsid w:val="00A37744"/>
    <w:rsid w:val="00A40558"/>
    <w:rsid w:val="00A40883"/>
    <w:rsid w:val="00A42FFB"/>
    <w:rsid w:val="00A43563"/>
    <w:rsid w:val="00A47C53"/>
    <w:rsid w:val="00A562F3"/>
    <w:rsid w:val="00A62A1F"/>
    <w:rsid w:val="00A640FB"/>
    <w:rsid w:val="00A74211"/>
    <w:rsid w:val="00A7647C"/>
    <w:rsid w:val="00A76C3B"/>
    <w:rsid w:val="00A80ECB"/>
    <w:rsid w:val="00A81228"/>
    <w:rsid w:val="00A8178B"/>
    <w:rsid w:val="00A82486"/>
    <w:rsid w:val="00A84863"/>
    <w:rsid w:val="00A85306"/>
    <w:rsid w:val="00A85338"/>
    <w:rsid w:val="00A87841"/>
    <w:rsid w:val="00A92E93"/>
    <w:rsid w:val="00A954D0"/>
    <w:rsid w:val="00AA11A6"/>
    <w:rsid w:val="00AA2841"/>
    <w:rsid w:val="00AA35D0"/>
    <w:rsid w:val="00AA7283"/>
    <w:rsid w:val="00AC014D"/>
    <w:rsid w:val="00AC291C"/>
    <w:rsid w:val="00AC3E20"/>
    <w:rsid w:val="00AC5B7E"/>
    <w:rsid w:val="00AC7894"/>
    <w:rsid w:val="00AC7ABC"/>
    <w:rsid w:val="00AD0A83"/>
    <w:rsid w:val="00AD0BE8"/>
    <w:rsid w:val="00AD0C34"/>
    <w:rsid w:val="00AE07CF"/>
    <w:rsid w:val="00AE2B16"/>
    <w:rsid w:val="00AE65E9"/>
    <w:rsid w:val="00AE7A86"/>
    <w:rsid w:val="00AF0FDB"/>
    <w:rsid w:val="00AF4729"/>
    <w:rsid w:val="00B00FE3"/>
    <w:rsid w:val="00B036A4"/>
    <w:rsid w:val="00B059BE"/>
    <w:rsid w:val="00B12EB4"/>
    <w:rsid w:val="00B13E4C"/>
    <w:rsid w:val="00B16004"/>
    <w:rsid w:val="00B160E8"/>
    <w:rsid w:val="00B1719A"/>
    <w:rsid w:val="00B174E9"/>
    <w:rsid w:val="00B21219"/>
    <w:rsid w:val="00B25E57"/>
    <w:rsid w:val="00B264F1"/>
    <w:rsid w:val="00B2756C"/>
    <w:rsid w:val="00B37E68"/>
    <w:rsid w:val="00B4377B"/>
    <w:rsid w:val="00B44336"/>
    <w:rsid w:val="00B45285"/>
    <w:rsid w:val="00B45728"/>
    <w:rsid w:val="00B46AA9"/>
    <w:rsid w:val="00B477E3"/>
    <w:rsid w:val="00B47ED6"/>
    <w:rsid w:val="00B605E4"/>
    <w:rsid w:val="00B64E43"/>
    <w:rsid w:val="00B65D57"/>
    <w:rsid w:val="00B66515"/>
    <w:rsid w:val="00B720C0"/>
    <w:rsid w:val="00B72C7A"/>
    <w:rsid w:val="00B7701A"/>
    <w:rsid w:val="00B8047B"/>
    <w:rsid w:val="00B8078B"/>
    <w:rsid w:val="00B808A2"/>
    <w:rsid w:val="00B84126"/>
    <w:rsid w:val="00B850A6"/>
    <w:rsid w:val="00B86047"/>
    <w:rsid w:val="00B91898"/>
    <w:rsid w:val="00B936B7"/>
    <w:rsid w:val="00B94EF2"/>
    <w:rsid w:val="00BA4A3B"/>
    <w:rsid w:val="00BB2809"/>
    <w:rsid w:val="00BB3ED4"/>
    <w:rsid w:val="00BC1D3A"/>
    <w:rsid w:val="00BC2D71"/>
    <w:rsid w:val="00BD41A8"/>
    <w:rsid w:val="00BD6131"/>
    <w:rsid w:val="00BE0277"/>
    <w:rsid w:val="00BE1C01"/>
    <w:rsid w:val="00BE433B"/>
    <w:rsid w:val="00BE573D"/>
    <w:rsid w:val="00BF70CB"/>
    <w:rsid w:val="00BF7B1C"/>
    <w:rsid w:val="00C02E6E"/>
    <w:rsid w:val="00C03877"/>
    <w:rsid w:val="00C045B1"/>
    <w:rsid w:val="00C04C6A"/>
    <w:rsid w:val="00C059CB"/>
    <w:rsid w:val="00C117A5"/>
    <w:rsid w:val="00C13DB6"/>
    <w:rsid w:val="00C32DF8"/>
    <w:rsid w:val="00C33307"/>
    <w:rsid w:val="00C461A3"/>
    <w:rsid w:val="00C54E7A"/>
    <w:rsid w:val="00C71E0D"/>
    <w:rsid w:val="00C756CE"/>
    <w:rsid w:val="00C804B0"/>
    <w:rsid w:val="00C84850"/>
    <w:rsid w:val="00C8514D"/>
    <w:rsid w:val="00C862AA"/>
    <w:rsid w:val="00C863AD"/>
    <w:rsid w:val="00C9002A"/>
    <w:rsid w:val="00C93EE4"/>
    <w:rsid w:val="00C94354"/>
    <w:rsid w:val="00C96E8D"/>
    <w:rsid w:val="00CA27D7"/>
    <w:rsid w:val="00CA33FF"/>
    <w:rsid w:val="00CA37E0"/>
    <w:rsid w:val="00CA659A"/>
    <w:rsid w:val="00CB11FD"/>
    <w:rsid w:val="00CB78CC"/>
    <w:rsid w:val="00CD0F0F"/>
    <w:rsid w:val="00CD1C07"/>
    <w:rsid w:val="00CD44B5"/>
    <w:rsid w:val="00CD49EB"/>
    <w:rsid w:val="00CF70D9"/>
    <w:rsid w:val="00D077F6"/>
    <w:rsid w:val="00D110E4"/>
    <w:rsid w:val="00D2298C"/>
    <w:rsid w:val="00D328A2"/>
    <w:rsid w:val="00D3610A"/>
    <w:rsid w:val="00D461F6"/>
    <w:rsid w:val="00D55C00"/>
    <w:rsid w:val="00D600D6"/>
    <w:rsid w:val="00D617A4"/>
    <w:rsid w:val="00D62E81"/>
    <w:rsid w:val="00D62FF1"/>
    <w:rsid w:val="00D6627F"/>
    <w:rsid w:val="00D667BA"/>
    <w:rsid w:val="00D72772"/>
    <w:rsid w:val="00D732E6"/>
    <w:rsid w:val="00D863F1"/>
    <w:rsid w:val="00D90FB9"/>
    <w:rsid w:val="00DA301F"/>
    <w:rsid w:val="00DB4385"/>
    <w:rsid w:val="00DB7EF9"/>
    <w:rsid w:val="00DC15CA"/>
    <w:rsid w:val="00DC4519"/>
    <w:rsid w:val="00DD0B1D"/>
    <w:rsid w:val="00DF33CA"/>
    <w:rsid w:val="00DF5308"/>
    <w:rsid w:val="00DF5E93"/>
    <w:rsid w:val="00DF6F72"/>
    <w:rsid w:val="00E008F1"/>
    <w:rsid w:val="00E02C99"/>
    <w:rsid w:val="00E04777"/>
    <w:rsid w:val="00E0650F"/>
    <w:rsid w:val="00E139F4"/>
    <w:rsid w:val="00E1553B"/>
    <w:rsid w:val="00E15B45"/>
    <w:rsid w:val="00E16145"/>
    <w:rsid w:val="00E2073E"/>
    <w:rsid w:val="00E31D78"/>
    <w:rsid w:val="00E35973"/>
    <w:rsid w:val="00E54D0B"/>
    <w:rsid w:val="00E634DB"/>
    <w:rsid w:val="00E66704"/>
    <w:rsid w:val="00E73C77"/>
    <w:rsid w:val="00E73F1F"/>
    <w:rsid w:val="00E742E0"/>
    <w:rsid w:val="00E76C35"/>
    <w:rsid w:val="00E80C30"/>
    <w:rsid w:val="00E8108B"/>
    <w:rsid w:val="00E8311E"/>
    <w:rsid w:val="00E90199"/>
    <w:rsid w:val="00E912FA"/>
    <w:rsid w:val="00EA188C"/>
    <w:rsid w:val="00EA23E1"/>
    <w:rsid w:val="00EA5170"/>
    <w:rsid w:val="00EA5841"/>
    <w:rsid w:val="00EB3131"/>
    <w:rsid w:val="00EB5628"/>
    <w:rsid w:val="00EC6A26"/>
    <w:rsid w:val="00EC6B18"/>
    <w:rsid w:val="00ED0A01"/>
    <w:rsid w:val="00ED1F96"/>
    <w:rsid w:val="00ED21D0"/>
    <w:rsid w:val="00ED2BDE"/>
    <w:rsid w:val="00ED42E2"/>
    <w:rsid w:val="00EE3141"/>
    <w:rsid w:val="00EF76A9"/>
    <w:rsid w:val="00F01E0F"/>
    <w:rsid w:val="00F01EE2"/>
    <w:rsid w:val="00F03640"/>
    <w:rsid w:val="00F057FE"/>
    <w:rsid w:val="00F064B6"/>
    <w:rsid w:val="00F127EC"/>
    <w:rsid w:val="00F2763E"/>
    <w:rsid w:val="00F27F40"/>
    <w:rsid w:val="00F30335"/>
    <w:rsid w:val="00F42EA0"/>
    <w:rsid w:val="00F50FA6"/>
    <w:rsid w:val="00F55240"/>
    <w:rsid w:val="00F563FF"/>
    <w:rsid w:val="00F623E5"/>
    <w:rsid w:val="00F62545"/>
    <w:rsid w:val="00F66065"/>
    <w:rsid w:val="00F7139C"/>
    <w:rsid w:val="00F766BF"/>
    <w:rsid w:val="00F76C12"/>
    <w:rsid w:val="00F77BB6"/>
    <w:rsid w:val="00F80324"/>
    <w:rsid w:val="00F80A7B"/>
    <w:rsid w:val="00F84303"/>
    <w:rsid w:val="00F94916"/>
    <w:rsid w:val="00F94D1E"/>
    <w:rsid w:val="00FA22C0"/>
    <w:rsid w:val="00FA67DD"/>
    <w:rsid w:val="00FB4596"/>
    <w:rsid w:val="00FB5666"/>
    <w:rsid w:val="00FB6797"/>
    <w:rsid w:val="00FB6B37"/>
    <w:rsid w:val="00FB7538"/>
    <w:rsid w:val="00FC0BD0"/>
    <w:rsid w:val="00FC0F27"/>
    <w:rsid w:val="00FC4F94"/>
    <w:rsid w:val="00FC6477"/>
    <w:rsid w:val="00FC6D9C"/>
    <w:rsid w:val="00FD04A4"/>
    <w:rsid w:val="00FD2179"/>
    <w:rsid w:val="00FD452D"/>
    <w:rsid w:val="00FD460C"/>
    <w:rsid w:val="00FE0A23"/>
    <w:rsid w:val="00FE0AE8"/>
    <w:rsid w:val="00FE19A1"/>
    <w:rsid w:val="00FE264F"/>
    <w:rsid w:val="00FE4567"/>
    <w:rsid w:val="00FE5D63"/>
    <w:rsid w:val="00FF24A5"/>
    <w:rsid w:val="00FF396D"/>
    <w:rsid w:val="00FF40CA"/>
    <w:rsid w:val="00FF5068"/>
    <w:rsid w:val="00FF63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94B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31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Parastais"/>
    <w:rsid w:val="0063128D"/>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ais"/>
    <w:rsid w:val="0063128D"/>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Parastais"/>
    <w:rsid w:val="0063128D"/>
    <w:pPr>
      <w:spacing w:before="75" w:after="75" w:line="240" w:lineRule="auto"/>
    </w:pPr>
    <w:rPr>
      <w:rFonts w:ascii="Times New Roman" w:eastAsia="Times New Roman" w:hAnsi="Times New Roman" w:cs="Times New Roman"/>
      <w:sz w:val="24"/>
      <w:szCs w:val="24"/>
    </w:rPr>
  </w:style>
  <w:style w:type="paragraph" w:styleId="ParastaisWeb">
    <w:name w:val="Normal (Web)"/>
    <w:basedOn w:val="Parastais"/>
    <w:uiPriority w:val="99"/>
    <w:unhideWhenUsed/>
    <w:rsid w:val="00E0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Parastais"/>
    <w:rsid w:val="000811A3"/>
    <w:pPr>
      <w:spacing w:before="75" w:after="75" w:line="240" w:lineRule="auto"/>
      <w:jc w:val="center"/>
    </w:pPr>
    <w:rPr>
      <w:rFonts w:ascii="Times New Roman" w:eastAsia="Times New Roman" w:hAnsi="Times New Roman" w:cs="Times New Roman"/>
      <w:sz w:val="24"/>
      <w:szCs w:val="24"/>
      <w:lang w:val="en-US"/>
    </w:rPr>
  </w:style>
  <w:style w:type="paragraph" w:styleId="Sarakstarindkopa">
    <w:name w:val="List Paragraph"/>
    <w:basedOn w:val="Parastais"/>
    <w:link w:val="SarakstarindkopaRakstz"/>
    <w:uiPriority w:val="34"/>
    <w:qFormat/>
    <w:rsid w:val="000811A3"/>
    <w:pPr>
      <w:ind w:left="720"/>
      <w:contextualSpacing/>
    </w:pPr>
  </w:style>
  <w:style w:type="character" w:styleId="Komentraatsauce">
    <w:name w:val="annotation reference"/>
    <w:basedOn w:val="Noklusjumarindkopasfonts"/>
    <w:unhideWhenUsed/>
    <w:rsid w:val="000B4F89"/>
    <w:rPr>
      <w:sz w:val="16"/>
      <w:szCs w:val="16"/>
    </w:rPr>
  </w:style>
  <w:style w:type="paragraph" w:styleId="Komentrateksts">
    <w:name w:val="annotation text"/>
    <w:basedOn w:val="Parastais"/>
    <w:link w:val="KomentratekstsRakstz"/>
    <w:unhideWhenUsed/>
    <w:rsid w:val="000B4F89"/>
    <w:pPr>
      <w:spacing w:line="240" w:lineRule="auto"/>
    </w:pPr>
    <w:rPr>
      <w:sz w:val="20"/>
      <w:szCs w:val="20"/>
    </w:rPr>
  </w:style>
  <w:style w:type="character" w:customStyle="1" w:styleId="KomentratekstsRakstz">
    <w:name w:val="Komentāra teksts Rakstz."/>
    <w:basedOn w:val="Noklusjumarindkopasfonts"/>
    <w:link w:val="Komentrateksts"/>
    <w:rsid w:val="000B4F89"/>
    <w:rPr>
      <w:sz w:val="20"/>
      <w:szCs w:val="20"/>
    </w:rPr>
  </w:style>
  <w:style w:type="paragraph" w:styleId="Komentratma">
    <w:name w:val="annotation subject"/>
    <w:basedOn w:val="Komentrateksts"/>
    <w:next w:val="Komentrateksts"/>
    <w:link w:val="KomentratmaRakstz"/>
    <w:uiPriority w:val="99"/>
    <w:semiHidden/>
    <w:unhideWhenUsed/>
    <w:rsid w:val="000B4F89"/>
    <w:rPr>
      <w:b/>
      <w:bCs/>
    </w:rPr>
  </w:style>
  <w:style w:type="character" w:customStyle="1" w:styleId="KomentratmaRakstz">
    <w:name w:val="Komentāra tēma Rakstz."/>
    <w:basedOn w:val="KomentratekstsRakstz"/>
    <w:link w:val="Komentratma"/>
    <w:uiPriority w:val="99"/>
    <w:semiHidden/>
    <w:rsid w:val="000B4F89"/>
    <w:rPr>
      <w:b/>
      <w:bCs/>
      <w:sz w:val="20"/>
      <w:szCs w:val="20"/>
    </w:rPr>
  </w:style>
  <w:style w:type="paragraph" w:styleId="Balonteksts">
    <w:name w:val="Balloon Text"/>
    <w:basedOn w:val="Parastais"/>
    <w:link w:val="BalontekstsRakstz"/>
    <w:uiPriority w:val="99"/>
    <w:semiHidden/>
    <w:unhideWhenUsed/>
    <w:rsid w:val="000B4F8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4F89"/>
    <w:rPr>
      <w:rFonts w:ascii="Tahoma" w:hAnsi="Tahoma" w:cs="Tahoma"/>
      <w:sz w:val="16"/>
      <w:szCs w:val="16"/>
    </w:rPr>
  </w:style>
  <w:style w:type="paragraph" w:styleId="Prskatjums">
    <w:name w:val="Revision"/>
    <w:hidden/>
    <w:uiPriority w:val="99"/>
    <w:semiHidden/>
    <w:rsid w:val="000B4F89"/>
    <w:pPr>
      <w:spacing w:after="0" w:line="240" w:lineRule="auto"/>
    </w:pPr>
  </w:style>
  <w:style w:type="paragraph" w:styleId="Pamatteksts">
    <w:name w:val="Body Text"/>
    <w:basedOn w:val="Parastais"/>
    <w:link w:val="PamattekstsRakstz"/>
    <w:rsid w:val="0019096B"/>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19096B"/>
    <w:rPr>
      <w:rFonts w:ascii="Times New Roman" w:eastAsia="Times New Roman" w:hAnsi="Times New Roman" w:cs="Times New Roman"/>
      <w:sz w:val="24"/>
      <w:szCs w:val="24"/>
    </w:rPr>
  </w:style>
  <w:style w:type="paragraph" w:styleId="Galvene">
    <w:name w:val="header"/>
    <w:basedOn w:val="Parastais"/>
    <w:link w:val="GalveneRakstz"/>
    <w:unhideWhenUsed/>
    <w:rsid w:val="00A74211"/>
    <w:pPr>
      <w:tabs>
        <w:tab w:val="center" w:pos="4153"/>
        <w:tab w:val="right" w:pos="8306"/>
      </w:tabs>
      <w:spacing w:after="0" w:line="240" w:lineRule="auto"/>
    </w:pPr>
  </w:style>
  <w:style w:type="character" w:customStyle="1" w:styleId="GalveneRakstz">
    <w:name w:val="Galvene Rakstz."/>
    <w:basedOn w:val="Noklusjumarindkopasfonts"/>
    <w:link w:val="Galvene"/>
    <w:rsid w:val="00A74211"/>
  </w:style>
  <w:style w:type="paragraph" w:styleId="Kjene">
    <w:name w:val="footer"/>
    <w:basedOn w:val="Parastais"/>
    <w:link w:val="KjeneRakstz"/>
    <w:unhideWhenUsed/>
    <w:rsid w:val="00A74211"/>
    <w:pPr>
      <w:tabs>
        <w:tab w:val="center" w:pos="4153"/>
        <w:tab w:val="right" w:pos="8306"/>
      </w:tabs>
      <w:spacing w:after="0" w:line="240" w:lineRule="auto"/>
    </w:pPr>
  </w:style>
  <w:style w:type="character" w:customStyle="1" w:styleId="KjeneRakstz">
    <w:name w:val="Kājene Rakstz."/>
    <w:basedOn w:val="Noklusjumarindkopasfonts"/>
    <w:link w:val="Kjene"/>
    <w:rsid w:val="00A74211"/>
  </w:style>
  <w:style w:type="character" w:styleId="Hipersaite">
    <w:name w:val="Hyperlink"/>
    <w:unhideWhenUsed/>
    <w:rsid w:val="00217170"/>
    <w:rPr>
      <w:color w:val="0000FF"/>
      <w:u w:val="single"/>
    </w:rPr>
  </w:style>
  <w:style w:type="paragraph" w:customStyle="1" w:styleId="tv2131">
    <w:name w:val="tv2131"/>
    <w:basedOn w:val="Parastais"/>
    <w:rsid w:val="0073437F"/>
    <w:pPr>
      <w:spacing w:after="0" w:line="360" w:lineRule="auto"/>
      <w:ind w:firstLine="300"/>
    </w:pPr>
    <w:rPr>
      <w:rFonts w:ascii="Times New Roman" w:eastAsia="Times New Roman" w:hAnsi="Times New Roman" w:cs="Times New Roman"/>
      <w:color w:val="414142"/>
      <w:sz w:val="20"/>
      <w:szCs w:val="20"/>
    </w:rPr>
  </w:style>
  <w:style w:type="paragraph" w:customStyle="1" w:styleId="Default">
    <w:name w:val="Default"/>
    <w:rsid w:val="00B605E4"/>
    <w:pPr>
      <w:autoSpaceDE w:val="0"/>
      <w:autoSpaceDN w:val="0"/>
      <w:adjustRightInd w:val="0"/>
      <w:spacing w:after="0" w:line="240" w:lineRule="auto"/>
    </w:pPr>
    <w:rPr>
      <w:rFonts w:ascii="Times New Roman" w:hAnsi="Times New Roman" w:cs="Times New Roman"/>
      <w:color w:val="000000"/>
      <w:sz w:val="24"/>
      <w:szCs w:val="24"/>
    </w:rPr>
  </w:style>
  <w:style w:type="paragraph" w:styleId="Vienkrsteksts">
    <w:name w:val="Plain Text"/>
    <w:basedOn w:val="Parastais"/>
    <w:link w:val="VienkrstekstsRakstz"/>
    <w:uiPriority w:val="99"/>
    <w:unhideWhenUsed/>
    <w:rsid w:val="008638A3"/>
    <w:pPr>
      <w:spacing w:after="0" w:line="240" w:lineRule="auto"/>
    </w:pPr>
    <w:rPr>
      <w:rFonts w:ascii="Consolas" w:eastAsiaTheme="minorHAnsi" w:hAnsi="Consolas"/>
      <w:sz w:val="21"/>
      <w:szCs w:val="21"/>
      <w:lang w:eastAsia="en-US"/>
    </w:rPr>
  </w:style>
  <w:style w:type="character" w:customStyle="1" w:styleId="VienkrstekstsRakstz">
    <w:name w:val="Vienkāršs teksts Rakstz."/>
    <w:basedOn w:val="Noklusjumarindkopasfonts"/>
    <w:link w:val="Vienkrsteksts"/>
    <w:uiPriority w:val="99"/>
    <w:rsid w:val="008638A3"/>
    <w:rPr>
      <w:rFonts w:ascii="Consolas" w:eastAsiaTheme="minorHAnsi" w:hAnsi="Consolas"/>
      <w:sz w:val="21"/>
      <w:szCs w:val="21"/>
      <w:lang w:eastAsia="en-US"/>
    </w:rPr>
  </w:style>
  <w:style w:type="character" w:customStyle="1" w:styleId="SarakstarindkopaRakstz">
    <w:name w:val="Saraksta rindkopa Rakstz."/>
    <w:link w:val="Sarakstarindkopa"/>
    <w:uiPriority w:val="34"/>
    <w:locked/>
    <w:rsid w:val="00BC2D71"/>
  </w:style>
  <w:style w:type="paragraph" w:customStyle="1" w:styleId="tv213">
    <w:name w:val="tv213"/>
    <w:basedOn w:val="Parastais"/>
    <w:rsid w:val="00EB56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63128D"/>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Normal"/>
    <w:rsid w:val="0063128D"/>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rsid w:val="0063128D"/>
    <w:pPr>
      <w:spacing w:before="75"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0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0811A3"/>
    <w:pPr>
      <w:spacing w:before="75" w:after="75" w:line="240" w:lineRule="auto"/>
      <w:jc w:val="center"/>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811A3"/>
    <w:pPr>
      <w:ind w:left="720"/>
      <w:contextualSpacing/>
    </w:pPr>
  </w:style>
  <w:style w:type="character" w:styleId="CommentReference">
    <w:name w:val="annotation reference"/>
    <w:basedOn w:val="DefaultParagraphFont"/>
    <w:unhideWhenUsed/>
    <w:rsid w:val="000B4F89"/>
    <w:rPr>
      <w:sz w:val="16"/>
      <w:szCs w:val="16"/>
    </w:rPr>
  </w:style>
  <w:style w:type="paragraph" w:styleId="CommentText">
    <w:name w:val="annotation text"/>
    <w:basedOn w:val="Normal"/>
    <w:link w:val="CommentTextChar"/>
    <w:unhideWhenUsed/>
    <w:rsid w:val="000B4F89"/>
    <w:pPr>
      <w:spacing w:line="240" w:lineRule="auto"/>
    </w:pPr>
    <w:rPr>
      <w:sz w:val="20"/>
      <w:szCs w:val="20"/>
    </w:rPr>
  </w:style>
  <w:style w:type="character" w:customStyle="1" w:styleId="CommentTextChar">
    <w:name w:val="Comment Text Char"/>
    <w:basedOn w:val="DefaultParagraphFont"/>
    <w:link w:val="CommentText"/>
    <w:rsid w:val="000B4F89"/>
    <w:rPr>
      <w:sz w:val="20"/>
      <w:szCs w:val="20"/>
    </w:rPr>
  </w:style>
  <w:style w:type="paragraph" w:styleId="CommentSubject">
    <w:name w:val="annotation subject"/>
    <w:basedOn w:val="CommentText"/>
    <w:next w:val="CommentText"/>
    <w:link w:val="CommentSubjectChar"/>
    <w:uiPriority w:val="99"/>
    <w:semiHidden/>
    <w:unhideWhenUsed/>
    <w:rsid w:val="000B4F89"/>
    <w:rPr>
      <w:b/>
      <w:bCs/>
    </w:rPr>
  </w:style>
  <w:style w:type="character" w:customStyle="1" w:styleId="CommentSubjectChar">
    <w:name w:val="Comment Subject Char"/>
    <w:basedOn w:val="CommentTextChar"/>
    <w:link w:val="CommentSubject"/>
    <w:uiPriority w:val="99"/>
    <w:semiHidden/>
    <w:rsid w:val="000B4F89"/>
    <w:rPr>
      <w:b/>
      <w:bCs/>
      <w:sz w:val="20"/>
      <w:szCs w:val="20"/>
    </w:rPr>
  </w:style>
  <w:style w:type="paragraph" w:styleId="BalloonText">
    <w:name w:val="Balloon Text"/>
    <w:basedOn w:val="Normal"/>
    <w:link w:val="BalloonTextChar"/>
    <w:uiPriority w:val="99"/>
    <w:semiHidden/>
    <w:unhideWhenUsed/>
    <w:rsid w:val="000B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89"/>
    <w:rPr>
      <w:rFonts w:ascii="Tahoma" w:hAnsi="Tahoma" w:cs="Tahoma"/>
      <w:sz w:val="16"/>
      <w:szCs w:val="16"/>
    </w:rPr>
  </w:style>
  <w:style w:type="paragraph" w:styleId="Revision">
    <w:name w:val="Revision"/>
    <w:hidden/>
    <w:uiPriority w:val="99"/>
    <w:semiHidden/>
    <w:rsid w:val="000B4F89"/>
    <w:pPr>
      <w:spacing w:after="0" w:line="240" w:lineRule="auto"/>
    </w:pPr>
  </w:style>
  <w:style w:type="paragraph" w:styleId="BodyText">
    <w:name w:val="Body Text"/>
    <w:basedOn w:val="Normal"/>
    <w:link w:val="BodyTextChar"/>
    <w:rsid w:val="001909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096B"/>
    <w:rPr>
      <w:rFonts w:ascii="Times New Roman" w:eastAsia="Times New Roman" w:hAnsi="Times New Roman" w:cs="Times New Roman"/>
      <w:sz w:val="24"/>
      <w:szCs w:val="24"/>
    </w:rPr>
  </w:style>
  <w:style w:type="paragraph" w:styleId="Header">
    <w:name w:val="header"/>
    <w:basedOn w:val="Normal"/>
    <w:link w:val="HeaderChar"/>
    <w:unhideWhenUsed/>
    <w:rsid w:val="00A74211"/>
    <w:pPr>
      <w:tabs>
        <w:tab w:val="center" w:pos="4153"/>
        <w:tab w:val="right" w:pos="8306"/>
      </w:tabs>
      <w:spacing w:after="0" w:line="240" w:lineRule="auto"/>
    </w:pPr>
  </w:style>
  <w:style w:type="character" w:customStyle="1" w:styleId="HeaderChar">
    <w:name w:val="Header Char"/>
    <w:basedOn w:val="DefaultParagraphFont"/>
    <w:link w:val="Header"/>
    <w:rsid w:val="00A74211"/>
  </w:style>
  <w:style w:type="paragraph" w:styleId="Footer">
    <w:name w:val="footer"/>
    <w:basedOn w:val="Normal"/>
    <w:link w:val="FooterChar"/>
    <w:unhideWhenUsed/>
    <w:rsid w:val="00A74211"/>
    <w:pPr>
      <w:tabs>
        <w:tab w:val="center" w:pos="4153"/>
        <w:tab w:val="right" w:pos="8306"/>
      </w:tabs>
      <w:spacing w:after="0" w:line="240" w:lineRule="auto"/>
    </w:pPr>
  </w:style>
  <w:style w:type="character" w:customStyle="1" w:styleId="FooterChar">
    <w:name w:val="Footer Char"/>
    <w:basedOn w:val="DefaultParagraphFont"/>
    <w:link w:val="Footer"/>
    <w:rsid w:val="00A74211"/>
  </w:style>
  <w:style w:type="character" w:styleId="Hyperlink">
    <w:name w:val="Hyperlink"/>
    <w:unhideWhenUsed/>
    <w:rsid w:val="00217170"/>
    <w:rPr>
      <w:color w:val="0000FF"/>
      <w:u w:val="single"/>
    </w:rPr>
  </w:style>
  <w:style w:type="paragraph" w:customStyle="1" w:styleId="tv2131">
    <w:name w:val="tv2131"/>
    <w:basedOn w:val="Normal"/>
    <w:rsid w:val="0073437F"/>
    <w:pPr>
      <w:spacing w:after="0" w:line="360" w:lineRule="auto"/>
      <w:ind w:firstLine="300"/>
    </w:pPr>
    <w:rPr>
      <w:rFonts w:ascii="Times New Roman" w:eastAsia="Times New Roman" w:hAnsi="Times New Roman" w:cs="Times New Roman"/>
      <w:color w:val="414142"/>
      <w:sz w:val="20"/>
      <w:szCs w:val="20"/>
    </w:rPr>
  </w:style>
  <w:style w:type="paragraph" w:customStyle="1" w:styleId="Default">
    <w:name w:val="Default"/>
    <w:rsid w:val="00B605E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8638A3"/>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8638A3"/>
    <w:rPr>
      <w:rFonts w:ascii="Consolas" w:eastAsiaTheme="minorHAnsi" w:hAnsi="Consolas"/>
      <w:sz w:val="21"/>
      <w:szCs w:val="21"/>
      <w:lang w:eastAsia="en-US"/>
    </w:rPr>
  </w:style>
  <w:style w:type="character" w:customStyle="1" w:styleId="ListParagraphChar">
    <w:name w:val="List Paragraph Char"/>
    <w:link w:val="ListParagraph"/>
    <w:uiPriority w:val="34"/>
    <w:locked/>
    <w:rsid w:val="00BC2D71"/>
  </w:style>
  <w:style w:type="paragraph" w:customStyle="1" w:styleId="tv213">
    <w:name w:val="tv213"/>
    <w:basedOn w:val="Normal"/>
    <w:rsid w:val="00EB5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866909">
      <w:bodyDiv w:val="1"/>
      <w:marLeft w:val="0"/>
      <w:marRight w:val="0"/>
      <w:marTop w:val="0"/>
      <w:marBottom w:val="0"/>
      <w:divBdr>
        <w:top w:val="none" w:sz="0" w:space="0" w:color="auto"/>
        <w:left w:val="none" w:sz="0" w:space="0" w:color="auto"/>
        <w:bottom w:val="none" w:sz="0" w:space="0" w:color="auto"/>
        <w:right w:val="none" w:sz="0" w:space="0" w:color="auto"/>
      </w:divBdr>
      <w:divsChild>
        <w:div w:id="1692560465">
          <w:marLeft w:val="0"/>
          <w:marRight w:val="0"/>
          <w:marTop w:val="0"/>
          <w:marBottom w:val="0"/>
          <w:divBdr>
            <w:top w:val="none" w:sz="0" w:space="0" w:color="auto"/>
            <w:left w:val="none" w:sz="0" w:space="0" w:color="auto"/>
            <w:bottom w:val="none" w:sz="0" w:space="0" w:color="auto"/>
            <w:right w:val="none" w:sz="0" w:space="0" w:color="auto"/>
          </w:divBdr>
          <w:divsChild>
            <w:div w:id="2144884885">
              <w:marLeft w:val="0"/>
              <w:marRight w:val="0"/>
              <w:marTop w:val="0"/>
              <w:marBottom w:val="0"/>
              <w:divBdr>
                <w:top w:val="none" w:sz="0" w:space="0" w:color="auto"/>
                <w:left w:val="none" w:sz="0" w:space="0" w:color="auto"/>
                <w:bottom w:val="none" w:sz="0" w:space="0" w:color="auto"/>
                <w:right w:val="none" w:sz="0" w:space="0" w:color="auto"/>
              </w:divBdr>
              <w:divsChild>
                <w:div w:id="329021241">
                  <w:marLeft w:val="0"/>
                  <w:marRight w:val="0"/>
                  <w:marTop w:val="0"/>
                  <w:marBottom w:val="0"/>
                  <w:divBdr>
                    <w:top w:val="none" w:sz="0" w:space="0" w:color="auto"/>
                    <w:left w:val="none" w:sz="0" w:space="0" w:color="auto"/>
                    <w:bottom w:val="none" w:sz="0" w:space="0" w:color="auto"/>
                    <w:right w:val="none" w:sz="0" w:space="0" w:color="auto"/>
                  </w:divBdr>
                  <w:divsChild>
                    <w:div w:id="796341689">
                      <w:marLeft w:val="0"/>
                      <w:marRight w:val="0"/>
                      <w:marTop w:val="0"/>
                      <w:marBottom w:val="0"/>
                      <w:divBdr>
                        <w:top w:val="none" w:sz="0" w:space="0" w:color="auto"/>
                        <w:left w:val="none" w:sz="0" w:space="0" w:color="auto"/>
                        <w:bottom w:val="none" w:sz="0" w:space="0" w:color="auto"/>
                        <w:right w:val="none" w:sz="0" w:space="0" w:color="auto"/>
                      </w:divBdr>
                      <w:divsChild>
                        <w:div w:id="1820414322">
                          <w:marLeft w:val="0"/>
                          <w:marRight w:val="0"/>
                          <w:marTop w:val="0"/>
                          <w:marBottom w:val="0"/>
                          <w:divBdr>
                            <w:top w:val="none" w:sz="0" w:space="0" w:color="auto"/>
                            <w:left w:val="none" w:sz="0" w:space="0" w:color="auto"/>
                            <w:bottom w:val="none" w:sz="0" w:space="0" w:color="auto"/>
                            <w:right w:val="none" w:sz="0" w:space="0" w:color="auto"/>
                          </w:divBdr>
                          <w:divsChild>
                            <w:div w:id="1565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7429">
      <w:bodyDiv w:val="1"/>
      <w:marLeft w:val="0"/>
      <w:marRight w:val="0"/>
      <w:marTop w:val="0"/>
      <w:marBottom w:val="0"/>
      <w:divBdr>
        <w:top w:val="none" w:sz="0" w:space="0" w:color="auto"/>
        <w:left w:val="none" w:sz="0" w:space="0" w:color="auto"/>
        <w:bottom w:val="none" w:sz="0" w:space="0" w:color="auto"/>
        <w:right w:val="none" w:sz="0" w:space="0" w:color="auto"/>
      </w:divBdr>
    </w:div>
    <w:div w:id="1701078873">
      <w:bodyDiv w:val="1"/>
      <w:marLeft w:val="0"/>
      <w:marRight w:val="0"/>
      <w:marTop w:val="0"/>
      <w:marBottom w:val="0"/>
      <w:divBdr>
        <w:top w:val="none" w:sz="0" w:space="0" w:color="auto"/>
        <w:left w:val="none" w:sz="0" w:space="0" w:color="auto"/>
        <w:bottom w:val="none" w:sz="0" w:space="0" w:color="auto"/>
        <w:right w:val="none" w:sz="0" w:space="0" w:color="auto"/>
      </w:divBdr>
      <w:divsChild>
        <w:div w:id="1254434788">
          <w:marLeft w:val="0"/>
          <w:marRight w:val="0"/>
          <w:marTop w:val="0"/>
          <w:marBottom w:val="0"/>
          <w:divBdr>
            <w:top w:val="none" w:sz="0" w:space="0" w:color="auto"/>
            <w:left w:val="none" w:sz="0" w:space="0" w:color="auto"/>
            <w:bottom w:val="none" w:sz="0" w:space="0" w:color="auto"/>
            <w:right w:val="none" w:sz="0" w:space="0" w:color="auto"/>
          </w:divBdr>
          <w:divsChild>
            <w:div w:id="1342316161">
              <w:marLeft w:val="0"/>
              <w:marRight w:val="0"/>
              <w:marTop w:val="0"/>
              <w:marBottom w:val="0"/>
              <w:divBdr>
                <w:top w:val="none" w:sz="0" w:space="0" w:color="auto"/>
                <w:left w:val="none" w:sz="0" w:space="0" w:color="auto"/>
                <w:bottom w:val="none" w:sz="0" w:space="0" w:color="auto"/>
                <w:right w:val="none" w:sz="0" w:space="0" w:color="auto"/>
              </w:divBdr>
              <w:divsChild>
                <w:div w:id="1812598043">
                  <w:marLeft w:val="0"/>
                  <w:marRight w:val="0"/>
                  <w:marTop w:val="0"/>
                  <w:marBottom w:val="0"/>
                  <w:divBdr>
                    <w:top w:val="none" w:sz="0" w:space="0" w:color="auto"/>
                    <w:left w:val="none" w:sz="0" w:space="0" w:color="auto"/>
                    <w:bottom w:val="none" w:sz="0" w:space="0" w:color="auto"/>
                    <w:right w:val="none" w:sz="0" w:space="0" w:color="auto"/>
                  </w:divBdr>
                  <w:divsChild>
                    <w:div w:id="1217201335">
                      <w:marLeft w:val="0"/>
                      <w:marRight w:val="0"/>
                      <w:marTop w:val="0"/>
                      <w:marBottom w:val="0"/>
                      <w:divBdr>
                        <w:top w:val="none" w:sz="0" w:space="0" w:color="auto"/>
                        <w:left w:val="none" w:sz="0" w:space="0" w:color="auto"/>
                        <w:bottom w:val="none" w:sz="0" w:space="0" w:color="auto"/>
                        <w:right w:val="none" w:sz="0" w:space="0" w:color="auto"/>
                      </w:divBdr>
                      <w:divsChild>
                        <w:div w:id="1265190942">
                          <w:marLeft w:val="0"/>
                          <w:marRight w:val="0"/>
                          <w:marTop w:val="0"/>
                          <w:marBottom w:val="0"/>
                          <w:divBdr>
                            <w:top w:val="none" w:sz="0" w:space="0" w:color="auto"/>
                            <w:left w:val="none" w:sz="0" w:space="0" w:color="auto"/>
                            <w:bottom w:val="none" w:sz="0" w:space="0" w:color="auto"/>
                            <w:right w:val="none" w:sz="0" w:space="0" w:color="auto"/>
                          </w:divBdr>
                          <w:divsChild>
                            <w:div w:id="9858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2730">
      <w:bodyDiv w:val="1"/>
      <w:marLeft w:val="0"/>
      <w:marRight w:val="0"/>
      <w:marTop w:val="0"/>
      <w:marBottom w:val="0"/>
      <w:divBdr>
        <w:top w:val="none" w:sz="0" w:space="0" w:color="auto"/>
        <w:left w:val="none" w:sz="0" w:space="0" w:color="auto"/>
        <w:bottom w:val="none" w:sz="0" w:space="0" w:color="auto"/>
        <w:right w:val="none" w:sz="0" w:space="0" w:color="auto"/>
      </w:divBdr>
    </w:div>
    <w:div w:id="1991984996">
      <w:bodyDiv w:val="1"/>
      <w:marLeft w:val="0"/>
      <w:marRight w:val="0"/>
      <w:marTop w:val="0"/>
      <w:marBottom w:val="0"/>
      <w:divBdr>
        <w:top w:val="none" w:sz="0" w:space="0" w:color="auto"/>
        <w:left w:val="none" w:sz="0" w:space="0" w:color="auto"/>
        <w:bottom w:val="none" w:sz="0" w:space="0" w:color="auto"/>
        <w:right w:val="none" w:sz="0" w:space="0" w:color="auto"/>
      </w:divBdr>
    </w:div>
    <w:div w:id="20304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Beinarovica@l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3848-8544-498B-96E4-2F6480D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26036</Words>
  <Characters>14841</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„Profesionālās izglītības kompetences centra statusa piešķiršanas un anulēšanas kārtība mākslā, mūzikā vai dejā”</vt:lpstr>
      <vt:lpstr>Ministru kabineta noteikumu projekts „Profesionālās izglītības kompetences centra statusa piešķiršanas un anulēšanas kārtība mākslā, mūzikā vai dejā”</vt:lpstr>
    </vt:vector>
  </TitlesOfParts>
  <Company>LR Kultūras Ministrija</Company>
  <LinksUpToDate>false</LinksUpToDate>
  <CharactersWithSpaces>40796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„Profesionālās izglītības kompetences centra statusa piešķiršanas un anulēšanas kārtība mākslā, mūzikā vai dejā” sākotnējās ietekmes novērtējuma ziņojums (anotācija)</dc:title>
  <dc:subject>anotācija</dc:subject>
  <dc:creator>Baiba Beinaroviča</dc:creator>
  <cp:keywords/>
  <dc:description>B.Beinaroviča
Tālr. 67356282; fakss  67227405
baiba.beinarovica@lnkc.gov.lv</dc:description>
  <cp:lastModifiedBy>Dzintra Rozīte</cp:lastModifiedBy>
  <cp:revision>21</cp:revision>
  <cp:lastPrinted>2015-07-06T12:57:00Z</cp:lastPrinted>
  <dcterms:created xsi:type="dcterms:W3CDTF">2015-07-06T10:08:00Z</dcterms:created>
  <dcterms:modified xsi:type="dcterms:W3CDTF">2015-07-24T06:28:00Z</dcterms:modified>
</cp:coreProperties>
</file>