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B45" w:rsidRPr="001E482B" w:rsidRDefault="00D02722" w:rsidP="008C1F84">
      <w:pPr>
        <w:autoSpaceDE w:val="0"/>
        <w:autoSpaceDN w:val="0"/>
        <w:adjustRightInd w:val="0"/>
        <w:spacing w:after="120" w:line="240" w:lineRule="auto"/>
        <w:jc w:val="center"/>
        <w:rPr>
          <w:rFonts w:ascii="Times New Roman" w:hAnsi="Times New Roman"/>
          <w:b/>
          <w:sz w:val="26"/>
          <w:szCs w:val="26"/>
        </w:rPr>
      </w:pPr>
      <w:r>
        <w:rPr>
          <w:rFonts w:ascii="Times New Roman" w:hAnsi="Times New Roman"/>
          <w:b/>
          <w:sz w:val="26"/>
          <w:szCs w:val="26"/>
        </w:rPr>
        <w:t>L</w:t>
      </w:r>
      <w:r w:rsidR="00E87C5E" w:rsidRPr="001E482B">
        <w:rPr>
          <w:rFonts w:ascii="Times New Roman" w:hAnsi="Times New Roman"/>
          <w:b/>
          <w:sz w:val="26"/>
          <w:szCs w:val="26"/>
        </w:rPr>
        <w:t>i</w:t>
      </w:r>
      <w:r w:rsidR="00C07E5F" w:rsidRPr="001E482B">
        <w:rPr>
          <w:rFonts w:ascii="Times New Roman" w:hAnsi="Times New Roman"/>
          <w:b/>
          <w:sz w:val="26"/>
          <w:szCs w:val="26"/>
        </w:rPr>
        <w:t>kum</w:t>
      </w:r>
      <w:r w:rsidR="006D3B45" w:rsidRPr="001E482B">
        <w:rPr>
          <w:rFonts w:ascii="Times New Roman" w:hAnsi="Times New Roman"/>
          <w:b/>
          <w:sz w:val="26"/>
          <w:szCs w:val="26"/>
        </w:rPr>
        <w:t>projekta „</w:t>
      </w:r>
      <w:r w:rsidR="00C07E5F" w:rsidRPr="001E482B">
        <w:rPr>
          <w:rFonts w:ascii="Times New Roman" w:hAnsi="Times New Roman"/>
          <w:b/>
          <w:sz w:val="26"/>
          <w:szCs w:val="26"/>
        </w:rPr>
        <w:t>P</w:t>
      </w:r>
      <w:r w:rsidR="00EF1727" w:rsidRPr="001E482B">
        <w:rPr>
          <w:rFonts w:ascii="Times New Roman" w:hAnsi="Times New Roman"/>
          <w:b/>
          <w:sz w:val="26"/>
          <w:szCs w:val="26"/>
        </w:rPr>
        <w:t>ar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r w:rsidR="006D3B45" w:rsidRPr="001E482B">
        <w:rPr>
          <w:rFonts w:ascii="Times New Roman" w:hAnsi="Times New Roman"/>
          <w:b/>
          <w:sz w:val="26"/>
          <w:szCs w:val="26"/>
        </w:rPr>
        <w:t>”</w:t>
      </w:r>
      <w:r w:rsidR="006D3B45" w:rsidRPr="001E482B">
        <w:rPr>
          <w:rFonts w:ascii="Times New Roman" w:hAnsi="Times New Roman"/>
          <w:b/>
          <w:bCs/>
          <w:sz w:val="26"/>
          <w:szCs w:val="26"/>
        </w:rPr>
        <w:t xml:space="preserve"> sākotnējās ietekmes novērtējuma </w:t>
      </w:r>
      <w:smartTag w:uri="schemas-tilde-lv/tildestengine" w:element="veidnes">
        <w:smartTagPr>
          <w:attr w:name="text" w:val="ziņojums"/>
          <w:attr w:name="baseform" w:val="ziņojums"/>
          <w:attr w:name="id" w:val="-1"/>
        </w:smartTagPr>
        <w:r w:rsidR="006D3B45" w:rsidRPr="001E482B">
          <w:rPr>
            <w:rFonts w:ascii="Times New Roman" w:hAnsi="Times New Roman"/>
            <w:b/>
            <w:bCs/>
            <w:sz w:val="26"/>
            <w:szCs w:val="26"/>
          </w:rPr>
          <w:t>ziņojums</w:t>
        </w:r>
      </w:smartTag>
      <w:r w:rsidR="006D3B45" w:rsidRPr="001E482B">
        <w:rPr>
          <w:rFonts w:ascii="Times New Roman" w:hAnsi="Times New Roman"/>
          <w:b/>
          <w:bCs/>
          <w:sz w:val="26"/>
          <w:szCs w:val="26"/>
        </w:rPr>
        <w:t xml:space="preserve"> (anotācija)</w:t>
      </w:r>
    </w:p>
    <w:tbl>
      <w:tblPr>
        <w:tblStyle w:val="TableGrid"/>
        <w:tblW w:w="9639" w:type="dxa"/>
        <w:jc w:val="center"/>
        <w:tblLook w:val="04A0"/>
      </w:tblPr>
      <w:tblGrid>
        <w:gridCol w:w="569"/>
        <w:gridCol w:w="1542"/>
        <w:gridCol w:w="7528"/>
      </w:tblGrid>
      <w:tr w:rsidR="006D3B45" w:rsidRPr="001E482B" w:rsidTr="003C6FC6">
        <w:trPr>
          <w:jc w:val="center"/>
        </w:trPr>
        <w:tc>
          <w:tcPr>
            <w:tcW w:w="9039" w:type="dxa"/>
            <w:gridSpan w:val="3"/>
          </w:tcPr>
          <w:p w:rsidR="006D3B45" w:rsidRPr="001E482B" w:rsidRDefault="006D3B45" w:rsidP="00B67029">
            <w:pPr>
              <w:pStyle w:val="BodyText"/>
              <w:spacing w:after="0"/>
              <w:rPr>
                <w:sz w:val="22"/>
                <w:szCs w:val="22"/>
                <w:lang w:val="lv-LV"/>
              </w:rPr>
            </w:pPr>
            <w:r w:rsidRPr="001E482B">
              <w:rPr>
                <w:sz w:val="22"/>
                <w:szCs w:val="22"/>
                <w:lang w:val="lv-LV"/>
              </w:rPr>
              <w:t xml:space="preserve">I. </w:t>
            </w:r>
            <w:r w:rsidRPr="001E482B">
              <w:rPr>
                <w:b/>
                <w:sz w:val="22"/>
                <w:szCs w:val="22"/>
                <w:lang w:val="lv-LV"/>
              </w:rPr>
              <w:t>Tiesību akta projekta izstrādes nepieciešamība</w:t>
            </w:r>
          </w:p>
        </w:tc>
      </w:tr>
      <w:tr w:rsidR="006D3B45" w:rsidRPr="001E482B" w:rsidTr="003C6FC6">
        <w:trPr>
          <w:jc w:val="center"/>
        </w:trPr>
        <w:tc>
          <w:tcPr>
            <w:tcW w:w="534" w:type="dxa"/>
          </w:tcPr>
          <w:p w:rsidR="006D3B45" w:rsidRPr="001E482B" w:rsidRDefault="006D3B45" w:rsidP="00B67029">
            <w:pPr>
              <w:spacing w:after="0" w:line="240" w:lineRule="auto"/>
              <w:rPr>
                <w:rFonts w:ascii="Times New Roman" w:hAnsi="Times New Roman"/>
              </w:rPr>
            </w:pPr>
            <w:r w:rsidRPr="001E482B">
              <w:rPr>
                <w:rFonts w:ascii="Times New Roman" w:hAnsi="Times New Roman"/>
              </w:rPr>
              <w:t>1.</w:t>
            </w:r>
          </w:p>
        </w:tc>
        <w:tc>
          <w:tcPr>
            <w:tcW w:w="1446" w:type="dxa"/>
          </w:tcPr>
          <w:p w:rsidR="006D3B45" w:rsidRPr="001E482B" w:rsidRDefault="006D3B45" w:rsidP="00B67029">
            <w:pPr>
              <w:spacing w:after="0" w:line="240" w:lineRule="auto"/>
              <w:rPr>
                <w:rFonts w:ascii="Times New Roman" w:hAnsi="Times New Roman"/>
              </w:rPr>
            </w:pPr>
            <w:r w:rsidRPr="001E482B">
              <w:rPr>
                <w:rFonts w:ascii="Times New Roman" w:hAnsi="Times New Roman"/>
              </w:rPr>
              <w:t>Pamatojums</w:t>
            </w:r>
          </w:p>
        </w:tc>
        <w:tc>
          <w:tcPr>
            <w:tcW w:w="7059" w:type="dxa"/>
          </w:tcPr>
          <w:p w:rsidR="008941FD" w:rsidRPr="001E482B" w:rsidRDefault="00663358" w:rsidP="00AD2CF0">
            <w:pPr>
              <w:spacing w:before="60" w:after="60" w:line="240" w:lineRule="auto"/>
              <w:jc w:val="both"/>
              <w:rPr>
                <w:rFonts w:ascii="Times New Roman" w:hAnsi="Times New Roman"/>
              </w:rPr>
            </w:pPr>
            <w:r w:rsidRPr="001E482B">
              <w:rPr>
                <w:rFonts w:ascii="Times New Roman" w:hAnsi="Times New Roman"/>
              </w:rPr>
              <w:t>Likum</w:t>
            </w:r>
            <w:r w:rsidR="00095AD3" w:rsidRPr="001E482B">
              <w:rPr>
                <w:rFonts w:ascii="Times New Roman" w:hAnsi="Times New Roman"/>
              </w:rPr>
              <w:t>projekts „</w:t>
            </w:r>
            <w:r w:rsidR="004D4432" w:rsidRPr="001E482B">
              <w:rPr>
                <w:rFonts w:ascii="Times New Roman" w:hAnsi="Times New Roman"/>
              </w:rPr>
              <w:t>P</w:t>
            </w:r>
            <w:r w:rsidR="00095AD3" w:rsidRPr="001E482B">
              <w:rPr>
                <w:rFonts w:ascii="Times New Roman" w:hAnsi="Times New Roman"/>
              </w:rPr>
              <w:t xml:space="preserve">ar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 (turpmāk – </w:t>
            </w:r>
            <w:r w:rsidR="005A0A8C" w:rsidRPr="001E482B">
              <w:rPr>
                <w:rFonts w:ascii="Times New Roman" w:hAnsi="Times New Roman"/>
              </w:rPr>
              <w:t>likum</w:t>
            </w:r>
            <w:r w:rsidR="00095AD3" w:rsidRPr="001E482B">
              <w:rPr>
                <w:rFonts w:ascii="Times New Roman" w:hAnsi="Times New Roman"/>
              </w:rPr>
              <w:t xml:space="preserve">projekts) ir izstrādāts saskaņā ar </w:t>
            </w:r>
            <w:r w:rsidR="005A0A8C" w:rsidRPr="001E482B">
              <w:rPr>
                <w:rFonts w:ascii="Times New Roman" w:hAnsi="Times New Roman"/>
              </w:rPr>
              <w:t>likuma „Par Latvijas Republikas starptautiskajiem līgumiem” 9.panta 5.punktu</w:t>
            </w:r>
            <w:r w:rsidR="006D3B45" w:rsidRPr="001E482B">
              <w:rPr>
                <w:rFonts w:ascii="Times New Roman" w:hAnsi="Times New Roman"/>
              </w:rPr>
              <w:t>.</w:t>
            </w:r>
          </w:p>
          <w:p w:rsidR="00AD2CF0" w:rsidRPr="001E482B" w:rsidRDefault="00AD2CF0" w:rsidP="00AD2CF0">
            <w:pPr>
              <w:spacing w:before="60" w:after="60" w:line="240" w:lineRule="auto"/>
              <w:jc w:val="both"/>
              <w:rPr>
                <w:rFonts w:ascii="Times New Roman" w:hAnsi="Times New Roman"/>
              </w:rPr>
            </w:pPr>
            <w:r w:rsidRPr="001E482B">
              <w:rPr>
                <w:rFonts w:ascii="Times New Roman" w:hAnsi="Times New Roman"/>
              </w:rPr>
              <w:t xml:space="preserve">Eiropas Savienības (turpmāk – ES) Padome (turpmāk – Padome) 2015.gada 26.janvārī pieņēma </w:t>
            </w:r>
            <w:r w:rsidR="00EF1727" w:rsidRPr="001E482B">
              <w:rPr>
                <w:rFonts w:ascii="Times New Roman" w:hAnsi="Times New Roman"/>
              </w:rPr>
              <w:t>Padomes lēmum</w:t>
            </w:r>
            <w:r w:rsidRPr="001E482B">
              <w:rPr>
                <w:rFonts w:ascii="Times New Roman" w:hAnsi="Times New Roman"/>
              </w:rPr>
              <w:t>u</w:t>
            </w:r>
            <w:r w:rsidR="000D6C0D" w:rsidRPr="001E482B">
              <w:rPr>
                <w:rFonts w:ascii="Times New Roman" w:hAnsi="Times New Roman"/>
              </w:rPr>
              <w:t xml:space="preserve"> (ES)</w:t>
            </w:r>
            <w:r w:rsidR="00EF1727" w:rsidRPr="001E482B">
              <w:rPr>
                <w:rFonts w:ascii="Times New Roman" w:hAnsi="Times New Roman"/>
              </w:rPr>
              <w:t xml:space="preserve"> Nr.</w:t>
            </w:r>
            <w:r w:rsidR="000D6C0D" w:rsidRPr="001E482B">
              <w:rPr>
                <w:rFonts w:ascii="Times New Roman" w:hAnsi="Times New Roman"/>
              </w:rPr>
              <w:t>2015/146</w:t>
            </w:r>
            <w:r w:rsidR="00193C11" w:rsidRPr="001E482B">
              <w:rPr>
                <w:rFonts w:ascii="Times New Roman" w:hAnsi="Times New Roman"/>
              </w:rPr>
              <w:t xml:space="preserve"> </w:t>
            </w:r>
            <w:r w:rsidR="000D6C0D" w:rsidRPr="001E482B">
              <w:rPr>
                <w:rFonts w:ascii="Times New Roman" w:hAnsi="Times New Roman"/>
              </w:rPr>
              <w:t>par to, lai Eiropas Savienības vārdā parakstītu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r w:rsidR="0036422A" w:rsidRPr="001E482B">
              <w:rPr>
                <w:rFonts w:ascii="Times New Roman" w:hAnsi="Times New Roman"/>
              </w:rPr>
              <w:t xml:space="preserve"> (turpmāk – Lēmum</w:t>
            </w:r>
            <w:r w:rsidR="00F63F5E" w:rsidRPr="001E482B">
              <w:rPr>
                <w:rFonts w:ascii="Times New Roman" w:hAnsi="Times New Roman"/>
              </w:rPr>
              <w:t>s</w:t>
            </w:r>
            <w:r w:rsidR="0036422A" w:rsidRPr="001E482B">
              <w:rPr>
                <w:rFonts w:ascii="Times New Roman" w:hAnsi="Times New Roman"/>
              </w:rPr>
              <w:t xml:space="preserve"> par Islandes Nolīguma </w:t>
            </w:r>
            <w:r w:rsidR="00B50B11" w:rsidRPr="001E482B">
              <w:rPr>
                <w:rFonts w:ascii="Times New Roman" w:hAnsi="Times New Roman"/>
              </w:rPr>
              <w:t>parakstīšanu</w:t>
            </w:r>
            <w:r w:rsidR="0036422A" w:rsidRPr="001E482B">
              <w:rPr>
                <w:rFonts w:ascii="Times New Roman" w:hAnsi="Times New Roman"/>
              </w:rPr>
              <w:t>)</w:t>
            </w:r>
            <w:r w:rsidRPr="001E482B">
              <w:rPr>
                <w:rFonts w:ascii="Times New Roman" w:hAnsi="Times New Roman"/>
              </w:rPr>
              <w:t>.</w:t>
            </w:r>
          </w:p>
          <w:p w:rsidR="00F72B9A" w:rsidRPr="001E482B" w:rsidRDefault="00AD2CF0" w:rsidP="001E482B">
            <w:pPr>
              <w:spacing w:before="60" w:after="60" w:line="240" w:lineRule="auto"/>
              <w:jc w:val="both"/>
              <w:rPr>
                <w:rFonts w:ascii="Times New Roman" w:hAnsi="Times New Roman"/>
              </w:rPr>
            </w:pPr>
            <w:r w:rsidRPr="001E482B">
              <w:rPr>
                <w:rFonts w:ascii="Times New Roman" w:hAnsi="Times New Roman"/>
              </w:rPr>
              <w:t>Padome</w:t>
            </w:r>
            <w:r w:rsidR="008941FD" w:rsidRPr="001E482B">
              <w:rPr>
                <w:rFonts w:ascii="Times New Roman" w:hAnsi="Times New Roman"/>
              </w:rPr>
              <w:t xml:space="preserve">s </w:t>
            </w:r>
            <w:r w:rsidRPr="001E482B">
              <w:rPr>
                <w:rFonts w:ascii="Times New Roman" w:hAnsi="Times New Roman"/>
              </w:rPr>
              <w:t>lēmum</w:t>
            </w:r>
            <w:r w:rsidR="008941FD" w:rsidRPr="001E482B">
              <w:rPr>
                <w:rFonts w:ascii="Times New Roman" w:hAnsi="Times New Roman"/>
              </w:rPr>
              <w:t>s</w:t>
            </w:r>
            <w:r w:rsidRPr="001E482B">
              <w:rPr>
                <w:rFonts w:ascii="Times New Roman" w:hAnsi="Times New Roman"/>
              </w:rPr>
              <w:t xml:space="preserve"> </w:t>
            </w:r>
            <w:r w:rsidR="00EF1727" w:rsidRPr="001E482B">
              <w:rPr>
                <w:rFonts w:ascii="Times New Roman" w:hAnsi="Times New Roman"/>
              </w:rPr>
              <w:t>Nr.</w:t>
            </w:r>
            <w:r w:rsidR="001E482B" w:rsidRPr="001E482B">
              <w:rPr>
                <w:rFonts w:ascii="Times New Roman" w:hAnsi="Times New Roman"/>
              </w:rPr>
              <w:t>2015/1340</w:t>
            </w:r>
            <w:r w:rsidR="00EF1727" w:rsidRPr="001E482B">
              <w:rPr>
                <w:rFonts w:ascii="Times New Roman" w:hAnsi="Times New Roman"/>
              </w:rPr>
              <w:t xml:space="preserve"> </w:t>
            </w:r>
            <w:r w:rsidR="001E482B" w:rsidRPr="001E482B">
              <w:rPr>
                <w:rFonts w:ascii="Times New Roman" w:hAnsi="Times New Roman"/>
              </w:rPr>
              <w:t xml:space="preserve">par to, lai Eiropas Savienības vārdā noslēgtu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 </w:t>
            </w:r>
            <w:r w:rsidR="0036422A" w:rsidRPr="001E482B">
              <w:rPr>
                <w:rFonts w:ascii="Times New Roman" w:hAnsi="Times New Roman"/>
              </w:rPr>
              <w:t xml:space="preserve">(turpmāk – </w:t>
            </w:r>
            <w:r w:rsidR="008941FD" w:rsidRPr="001E482B">
              <w:rPr>
                <w:rFonts w:ascii="Times New Roman" w:hAnsi="Times New Roman"/>
              </w:rPr>
              <w:t>Padomes lēmums Nr.</w:t>
            </w:r>
            <w:r w:rsidR="001E482B" w:rsidRPr="001E482B">
              <w:rPr>
                <w:rFonts w:ascii="Times New Roman" w:hAnsi="Times New Roman"/>
              </w:rPr>
              <w:t>2015/1340</w:t>
            </w:r>
            <w:r w:rsidR="0036422A" w:rsidRPr="001E482B">
              <w:rPr>
                <w:rFonts w:ascii="Times New Roman" w:hAnsi="Times New Roman"/>
              </w:rPr>
              <w:t>)</w:t>
            </w:r>
            <w:r w:rsidR="008941FD" w:rsidRPr="001E482B">
              <w:rPr>
                <w:rFonts w:ascii="Times New Roman" w:hAnsi="Times New Roman"/>
              </w:rPr>
              <w:t xml:space="preserve"> tika pieņemts 2015.gada </w:t>
            </w:r>
            <w:r w:rsidR="001E482B" w:rsidRPr="001E482B">
              <w:rPr>
                <w:rFonts w:ascii="Times New Roman" w:hAnsi="Times New Roman"/>
              </w:rPr>
              <w:t>13</w:t>
            </w:r>
            <w:r w:rsidR="008941FD" w:rsidRPr="001E482B">
              <w:rPr>
                <w:rFonts w:ascii="Times New Roman" w:hAnsi="Times New Roman"/>
              </w:rPr>
              <w:t>.jūlijā.</w:t>
            </w:r>
          </w:p>
        </w:tc>
      </w:tr>
      <w:tr w:rsidR="006D3B45" w:rsidRPr="001E482B" w:rsidTr="003C6FC6">
        <w:trPr>
          <w:jc w:val="center"/>
        </w:trPr>
        <w:tc>
          <w:tcPr>
            <w:tcW w:w="534" w:type="dxa"/>
          </w:tcPr>
          <w:p w:rsidR="006D3B45" w:rsidRPr="001E482B" w:rsidRDefault="006D3B45" w:rsidP="00B67029">
            <w:pPr>
              <w:spacing w:after="0" w:line="240" w:lineRule="auto"/>
              <w:rPr>
                <w:rFonts w:ascii="Times New Roman" w:hAnsi="Times New Roman"/>
              </w:rPr>
            </w:pPr>
            <w:r w:rsidRPr="001E482B">
              <w:rPr>
                <w:rFonts w:ascii="Times New Roman" w:hAnsi="Times New Roman"/>
              </w:rPr>
              <w:t>2.</w:t>
            </w:r>
          </w:p>
        </w:tc>
        <w:tc>
          <w:tcPr>
            <w:tcW w:w="1446" w:type="dxa"/>
          </w:tcPr>
          <w:p w:rsidR="006D3B45" w:rsidRPr="001E482B" w:rsidRDefault="006D3B45" w:rsidP="00B67029">
            <w:pPr>
              <w:spacing w:after="0" w:line="240" w:lineRule="auto"/>
              <w:rPr>
                <w:rFonts w:ascii="Times New Roman" w:hAnsi="Times New Roman"/>
              </w:rPr>
            </w:pPr>
            <w:r w:rsidRPr="001E482B">
              <w:rPr>
                <w:rFonts w:ascii="Times New Roman" w:hAnsi="Times New Roman"/>
              </w:rPr>
              <w:t>Pašreizējā situācija un problēmas, kuru risināšanai tiesību akta projekts izstrādāts, tiesiskā regulējuma mērķis un būtība</w:t>
            </w:r>
          </w:p>
        </w:tc>
        <w:tc>
          <w:tcPr>
            <w:tcW w:w="7059" w:type="dxa"/>
          </w:tcPr>
          <w:p w:rsidR="00095AD3" w:rsidRPr="001E482B" w:rsidRDefault="00095AD3">
            <w:pPr>
              <w:pStyle w:val="BodyText"/>
              <w:spacing w:before="60" w:after="60"/>
              <w:jc w:val="both"/>
              <w:rPr>
                <w:rFonts w:eastAsiaTheme="minorHAnsi"/>
                <w:bCs/>
                <w:i/>
                <w:color w:val="000000"/>
                <w:sz w:val="22"/>
                <w:szCs w:val="22"/>
                <w:lang w:val="lv-LV"/>
              </w:rPr>
            </w:pPr>
            <w:r w:rsidRPr="001E482B">
              <w:rPr>
                <w:rFonts w:eastAsiaTheme="minorHAnsi"/>
                <w:bCs/>
                <w:i/>
                <w:color w:val="000000"/>
                <w:sz w:val="22"/>
                <w:szCs w:val="22"/>
                <w:lang w:val="lv-LV"/>
              </w:rPr>
              <w:t>Problēmu, kuras risināšanai nepieciešama projekta izstrāde</w:t>
            </w:r>
          </w:p>
          <w:p w:rsidR="00905D04" w:rsidRPr="001E482B" w:rsidRDefault="00905D04">
            <w:pPr>
              <w:pStyle w:val="BodyText"/>
              <w:spacing w:before="60" w:after="60"/>
              <w:ind w:firstLine="227"/>
              <w:jc w:val="both"/>
              <w:rPr>
                <w:rFonts w:eastAsiaTheme="minorHAnsi"/>
                <w:bCs/>
                <w:color w:val="000000"/>
                <w:sz w:val="22"/>
                <w:szCs w:val="22"/>
                <w:lang w:val="lv-LV"/>
              </w:rPr>
            </w:pPr>
            <w:r w:rsidRPr="001E482B">
              <w:rPr>
                <w:rFonts w:eastAsiaTheme="minorHAnsi"/>
                <w:bCs/>
                <w:color w:val="000000"/>
                <w:sz w:val="22"/>
                <w:szCs w:val="22"/>
                <w:lang w:val="lv-LV"/>
              </w:rPr>
              <w:t xml:space="preserve">Atbilstoši </w:t>
            </w:r>
            <w:r w:rsidR="00657206" w:rsidRPr="001E482B">
              <w:rPr>
                <w:rFonts w:eastAsiaTheme="minorHAnsi"/>
                <w:bCs/>
                <w:color w:val="000000"/>
                <w:sz w:val="22"/>
                <w:szCs w:val="22"/>
                <w:lang w:val="lv-LV"/>
              </w:rPr>
              <w:t>Apvienoto Nāciju Organizācijas Vispārējai konvencija</w:t>
            </w:r>
            <w:r w:rsidR="00AD2CF0" w:rsidRPr="001E482B">
              <w:rPr>
                <w:rFonts w:eastAsiaTheme="minorHAnsi"/>
                <w:bCs/>
                <w:color w:val="000000"/>
                <w:sz w:val="22"/>
                <w:szCs w:val="22"/>
                <w:lang w:val="lv-LV"/>
              </w:rPr>
              <w:t>s</w:t>
            </w:r>
            <w:r w:rsidR="00657206" w:rsidRPr="001E482B">
              <w:rPr>
                <w:rFonts w:eastAsiaTheme="minorHAnsi"/>
                <w:bCs/>
                <w:color w:val="000000"/>
                <w:sz w:val="22"/>
                <w:szCs w:val="22"/>
                <w:lang w:val="lv-LV"/>
              </w:rPr>
              <w:t xml:space="preserve"> par klimata pārmaiņām Kioto protokola</w:t>
            </w:r>
            <w:r w:rsidR="00927678" w:rsidRPr="001E482B">
              <w:rPr>
                <w:rFonts w:eastAsiaTheme="minorHAnsi"/>
                <w:bCs/>
                <w:color w:val="000000"/>
                <w:sz w:val="22"/>
                <w:szCs w:val="22"/>
                <w:lang w:val="lv-LV"/>
              </w:rPr>
              <w:t xml:space="preserve"> (turpmāk – Kioto protokols)</w:t>
            </w:r>
            <w:r w:rsidR="004572B4" w:rsidRPr="001E482B">
              <w:rPr>
                <w:rFonts w:eastAsiaTheme="minorHAnsi"/>
                <w:bCs/>
                <w:color w:val="000000"/>
                <w:sz w:val="22"/>
                <w:szCs w:val="22"/>
                <w:lang w:val="lv-LV"/>
              </w:rPr>
              <w:t xml:space="preserve"> </w:t>
            </w:r>
            <w:r w:rsidRPr="001E482B">
              <w:rPr>
                <w:rFonts w:eastAsiaTheme="minorHAnsi"/>
                <w:bCs/>
                <w:color w:val="000000"/>
                <w:sz w:val="22"/>
                <w:szCs w:val="22"/>
                <w:lang w:val="lv-LV"/>
              </w:rPr>
              <w:t>4.panta 1.punkta nosacījumiem, Apvienoto Nāciju Organizācijas Vispārējās konvencijas par klimata pārmaiņām I pielikuma</w:t>
            </w:r>
            <w:r w:rsidR="004572B4" w:rsidRPr="001E482B">
              <w:rPr>
                <w:rFonts w:eastAsiaTheme="minorHAnsi"/>
                <w:bCs/>
                <w:color w:val="000000"/>
                <w:sz w:val="22"/>
                <w:szCs w:val="22"/>
                <w:lang w:val="lv-LV"/>
              </w:rPr>
              <w:t>m</w:t>
            </w:r>
            <w:r w:rsidRPr="001E482B">
              <w:rPr>
                <w:rFonts w:eastAsiaTheme="minorHAnsi"/>
                <w:bCs/>
                <w:color w:val="000000"/>
                <w:sz w:val="22"/>
                <w:szCs w:val="22"/>
                <w:lang w:val="lv-LV"/>
              </w:rPr>
              <w:t xml:space="preserve"> jebkuras</w:t>
            </w:r>
            <w:r w:rsidR="00AD2CF0" w:rsidRPr="001E482B">
              <w:rPr>
                <w:rFonts w:eastAsiaTheme="minorHAnsi"/>
                <w:bCs/>
                <w:color w:val="000000"/>
                <w:sz w:val="22"/>
                <w:szCs w:val="22"/>
                <w:lang w:val="lv-LV"/>
              </w:rPr>
              <w:t xml:space="preserve"> Apvienoto Nāciju Organizācijas Vispārējās konvencijas par klimata pārmaiņām līgumslēdzēja puses (turpmāk – </w:t>
            </w:r>
            <w:r w:rsidRPr="001E482B">
              <w:rPr>
                <w:rFonts w:eastAsiaTheme="minorHAnsi"/>
                <w:bCs/>
                <w:color w:val="000000"/>
                <w:sz w:val="22"/>
                <w:szCs w:val="22"/>
                <w:lang w:val="lv-LV"/>
              </w:rPr>
              <w:t>Puses</w:t>
            </w:r>
            <w:r w:rsidR="00AD2CF0" w:rsidRPr="001E482B">
              <w:rPr>
                <w:rFonts w:eastAsiaTheme="minorHAnsi"/>
                <w:bCs/>
                <w:color w:val="000000"/>
                <w:sz w:val="22"/>
                <w:szCs w:val="22"/>
                <w:lang w:val="lv-LV"/>
              </w:rPr>
              <w:t>)</w:t>
            </w:r>
            <w:r w:rsidRPr="001E482B">
              <w:rPr>
                <w:rFonts w:eastAsiaTheme="minorHAnsi"/>
                <w:bCs/>
                <w:color w:val="000000"/>
                <w:sz w:val="22"/>
                <w:szCs w:val="22"/>
                <w:lang w:val="lv-LV"/>
              </w:rPr>
              <w:t xml:space="preserve"> (tostarp arī Eiropas Savienība, tās dalībvalstis un Islande) var vienoties, ka tās kopīgi nodrošinās savu emisiju samazināšanas saistību izpildi.</w:t>
            </w:r>
          </w:p>
          <w:p w:rsidR="00905D04" w:rsidRPr="001E482B" w:rsidRDefault="00905D04">
            <w:pPr>
              <w:pStyle w:val="BodyText"/>
              <w:spacing w:before="60" w:after="60"/>
              <w:ind w:firstLine="227"/>
              <w:jc w:val="both"/>
              <w:rPr>
                <w:rFonts w:eastAsiaTheme="minorHAnsi"/>
                <w:bCs/>
                <w:color w:val="000000"/>
                <w:sz w:val="22"/>
                <w:szCs w:val="22"/>
                <w:lang w:val="lv-LV"/>
              </w:rPr>
            </w:pPr>
            <w:r w:rsidRPr="001E482B">
              <w:rPr>
                <w:rFonts w:eastAsiaTheme="minorHAnsi"/>
                <w:bCs/>
                <w:color w:val="000000"/>
                <w:sz w:val="22"/>
                <w:szCs w:val="22"/>
                <w:lang w:val="lv-LV"/>
              </w:rPr>
              <w:t xml:space="preserve">2013.gada 17.decembrī Padome pilnvaroja Eiropas Komisiju (turpmāk – Komisija) uzsākt sarunas ar Islandi par Nolīgumu starp Eiropas Savienību un tās dalībvalstīm, no vienas puses, un Islandi, no otras puses, attiecībā uz Islandes dalību Kioto protokola </w:t>
            </w:r>
            <w:r w:rsidR="006F60DC" w:rsidRPr="001E482B">
              <w:rPr>
                <w:rFonts w:eastAsiaTheme="minorHAnsi"/>
                <w:bCs/>
                <w:color w:val="000000"/>
                <w:sz w:val="22"/>
                <w:szCs w:val="22"/>
                <w:lang w:val="lv-LV"/>
              </w:rPr>
              <w:t>otrā</w:t>
            </w:r>
            <w:r w:rsidR="00AD2CF0" w:rsidRPr="001E482B">
              <w:rPr>
                <w:rFonts w:eastAsiaTheme="minorHAnsi"/>
                <w:bCs/>
                <w:color w:val="000000"/>
                <w:sz w:val="22"/>
                <w:szCs w:val="22"/>
                <w:lang w:val="lv-LV"/>
              </w:rPr>
              <w:t xml:space="preserve"> </w:t>
            </w:r>
            <w:r w:rsidRPr="001E482B">
              <w:rPr>
                <w:rFonts w:eastAsiaTheme="minorHAnsi"/>
                <w:bCs/>
                <w:color w:val="000000"/>
                <w:sz w:val="22"/>
                <w:szCs w:val="22"/>
                <w:lang w:val="lv-LV"/>
              </w:rPr>
              <w:t>saistību perioda Eiropas Savienības un tās dalībvalstu saistību kopīgajā izpildē.</w:t>
            </w:r>
          </w:p>
          <w:p w:rsidR="00156D35" w:rsidRPr="001E482B" w:rsidRDefault="00905D04">
            <w:pPr>
              <w:pStyle w:val="BodyText"/>
              <w:spacing w:before="60" w:after="60"/>
              <w:ind w:firstLine="227"/>
              <w:jc w:val="both"/>
              <w:rPr>
                <w:rFonts w:eastAsiaTheme="minorHAnsi"/>
                <w:bCs/>
                <w:color w:val="000000"/>
                <w:sz w:val="22"/>
                <w:szCs w:val="22"/>
                <w:lang w:val="lv-LV"/>
              </w:rPr>
            </w:pPr>
            <w:r w:rsidRPr="001E482B">
              <w:rPr>
                <w:rFonts w:eastAsiaTheme="minorHAnsi"/>
                <w:bCs/>
                <w:color w:val="000000"/>
                <w:sz w:val="22"/>
                <w:szCs w:val="22"/>
                <w:lang w:val="lv-LV"/>
              </w:rPr>
              <w:t>Pēc sarunu noslēguma Komisija 2014.gada 23.maij</w:t>
            </w:r>
            <w:r w:rsidR="0016639E" w:rsidRPr="001E482B">
              <w:rPr>
                <w:rFonts w:eastAsiaTheme="minorHAnsi"/>
                <w:bCs/>
                <w:color w:val="000000"/>
                <w:sz w:val="22"/>
                <w:szCs w:val="22"/>
                <w:lang w:val="lv-LV"/>
              </w:rPr>
              <w:t>ā</w:t>
            </w:r>
            <w:r w:rsidRPr="001E482B">
              <w:rPr>
                <w:rFonts w:eastAsiaTheme="minorHAnsi"/>
                <w:bCs/>
                <w:color w:val="000000"/>
                <w:sz w:val="22"/>
                <w:szCs w:val="22"/>
                <w:lang w:val="lv-LV"/>
              </w:rPr>
              <w:t xml:space="preserve"> iesniedza Padomei </w:t>
            </w:r>
            <w:r w:rsidR="00156D35" w:rsidRPr="001E482B">
              <w:rPr>
                <w:rFonts w:eastAsiaTheme="minorHAnsi"/>
                <w:bCs/>
                <w:color w:val="000000"/>
                <w:sz w:val="22"/>
                <w:szCs w:val="22"/>
                <w:lang w:val="lv-LV"/>
              </w:rPr>
              <w:t xml:space="preserve">šādus </w:t>
            </w:r>
            <w:r w:rsidRPr="001E482B">
              <w:rPr>
                <w:rFonts w:eastAsiaTheme="minorHAnsi"/>
                <w:bCs/>
                <w:color w:val="000000"/>
                <w:sz w:val="22"/>
                <w:szCs w:val="22"/>
                <w:lang w:val="lv-LV"/>
              </w:rPr>
              <w:t>priekšlikumu</w:t>
            </w:r>
            <w:r w:rsidR="00156D35" w:rsidRPr="001E482B">
              <w:rPr>
                <w:rFonts w:eastAsiaTheme="minorHAnsi"/>
                <w:bCs/>
                <w:color w:val="000000"/>
                <w:sz w:val="22"/>
                <w:szCs w:val="22"/>
                <w:lang w:val="lv-LV"/>
              </w:rPr>
              <w:t>s</w:t>
            </w:r>
            <w:r w:rsidRPr="001E482B">
              <w:rPr>
                <w:rFonts w:eastAsiaTheme="minorHAnsi"/>
                <w:bCs/>
                <w:color w:val="000000"/>
                <w:sz w:val="22"/>
                <w:szCs w:val="22"/>
                <w:lang w:val="lv-LV"/>
              </w:rPr>
              <w:t xml:space="preserve"> Padomes lēmum</w:t>
            </w:r>
            <w:r w:rsidR="00156D35" w:rsidRPr="001E482B">
              <w:rPr>
                <w:rFonts w:eastAsiaTheme="minorHAnsi"/>
                <w:bCs/>
                <w:color w:val="000000"/>
                <w:sz w:val="22"/>
                <w:szCs w:val="22"/>
                <w:lang w:val="lv-LV"/>
              </w:rPr>
              <w:t>iem:</w:t>
            </w:r>
          </w:p>
          <w:p w:rsidR="00156D35" w:rsidRPr="001E482B" w:rsidRDefault="00156D35" w:rsidP="008C1F84">
            <w:pPr>
              <w:pStyle w:val="BodyText"/>
              <w:numPr>
                <w:ilvl w:val="0"/>
                <w:numId w:val="4"/>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 xml:space="preserve">Priekšlikums Padomes Lēmumam par to, lai Eiropas Savienības vārdā noslēgtu Nolīgumu starp Eiropas Savienību, tās dalībvalstīm un Islandi par Islandes dalību Eiropas Savienības, tās dalībvalstu un Islandes saistību kopīgajā izpildē Apvienoto Nāciju Organizācijas Vispārējai konvencijai par klimata pārmaiņām pievienotā Kioto protokola otrajā saistību periodā </w:t>
            </w:r>
          </w:p>
          <w:p w:rsidR="00156D35" w:rsidRPr="001E482B" w:rsidRDefault="00FB574E" w:rsidP="008C1F84">
            <w:pPr>
              <w:pStyle w:val="BodyText"/>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 xml:space="preserve">   </w:t>
            </w:r>
            <w:r w:rsidR="00156D35" w:rsidRPr="001E482B">
              <w:rPr>
                <w:rFonts w:eastAsiaTheme="minorHAnsi"/>
                <w:bCs/>
                <w:color w:val="000000"/>
                <w:sz w:val="22"/>
                <w:szCs w:val="22"/>
                <w:lang w:val="lv-LV"/>
              </w:rPr>
              <w:t>COM/2014/0290 final - 2014/0151 (NLCOM(2014)0290);</w:t>
            </w:r>
          </w:p>
          <w:p w:rsidR="00156D35" w:rsidRPr="001E482B" w:rsidRDefault="00156D35" w:rsidP="008C1F84">
            <w:pPr>
              <w:pStyle w:val="BodyText"/>
              <w:numPr>
                <w:ilvl w:val="0"/>
                <w:numId w:val="4"/>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 xml:space="preserve">Priekšlikums Padomes Lēmumam par to, lai Eiropas Savienības vārdā parakstītu Nolīgumu starp Eiropas Savienību, tās dalībvalstīm un Islandi par Islandes dalību Eiropas Savienības, tās dalībvalstu un Islandes saistību kopīgajā izpildē Apvienoto Nāciju Organizācijas Vispārējai konvencijai par klimata </w:t>
            </w:r>
            <w:r w:rsidRPr="001E482B">
              <w:rPr>
                <w:rFonts w:eastAsiaTheme="minorHAnsi"/>
                <w:bCs/>
                <w:color w:val="000000"/>
                <w:sz w:val="22"/>
                <w:szCs w:val="22"/>
                <w:lang w:val="lv-LV"/>
              </w:rPr>
              <w:lastRenderedPageBreak/>
              <w:t>pārmaiņām pievienotā Kioto protokola otrajā saistību periodā (COM/2014/0291 final - 2014/0152 (NLE)</w:t>
            </w:r>
            <w:r w:rsidR="00FB574E" w:rsidRPr="001E482B">
              <w:rPr>
                <w:rFonts w:eastAsiaTheme="minorHAnsi"/>
                <w:bCs/>
                <w:color w:val="000000"/>
                <w:sz w:val="22"/>
                <w:szCs w:val="22"/>
                <w:lang w:val="lv-LV"/>
              </w:rPr>
              <w:t>).</w:t>
            </w:r>
          </w:p>
          <w:p w:rsidR="00905D04" w:rsidRPr="001E482B" w:rsidRDefault="00927678">
            <w:pPr>
              <w:pStyle w:val="BodyText"/>
              <w:spacing w:before="60" w:after="60"/>
              <w:ind w:firstLine="227"/>
              <w:jc w:val="both"/>
              <w:rPr>
                <w:rFonts w:eastAsiaTheme="minorHAnsi"/>
                <w:bCs/>
                <w:color w:val="000000"/>
                <w:sz w:val="22"/>
                <w:szCs w:val="22"/>
                <w:lang w:val="lv-LV"/>
              </w:rPr>
            </w:pPr>
            <w:r w:rsidRPr="001E482B">
              <w:rPr>
                <w:rFonts w:eastAsiaTheme="minorHAnsi"/>
                <w:bCs/>
                <w:color w:val="000000"/>
                <w:sz w:val="22"/>
                <w:szCs w:val="22"/>
                <w:lang w:val="lv-LV"/>
              </w:rPr>
              <w:t xml:space="preserve">Ar </w:t>
            </w:r>
            <w:r w:rsidR="00905D04" w:rsidRPr="001E482B">
              <w:rPr>
                <w:rFonts w:eastAsiaTheme="minorHAnsi"/>
                <w:bCs/>
                <w:color w:val="000000"/>
                <w:sz w:val="22"/>
                <w:szCs w:val="22"/>
                <w:lang w:val="lv-LV"/>
              </w:rPr>
              <w:t>Nolīgum</w:t>
            </w:r>
            <w:r w:rsidRPr="001E482B">
              <w:rPr>
                <w:rFonts w:eastAsiaTheme="minorHAnsi"/>
                <w:bCs/>
                <w:color w:val="000000"/>
                <w:sz w:val="22"/>
                <w:szCs w:val="22"/>
                <w:lang w:val="lv-LV"/>
              </w:rPr>
              <w:t>u</w:t>
            </w:r>
            <w:r w:rsidR="00905D04" w:rsidRPr="001E482B">
              <w:rPr>
                <w:rFonts w:eastAsiaTheme="minorHAnsi"/>
                <w:bCs/>
                <w:color w:val="000000"/>
                <w:sz w:val="22"/>
                <w:szCs w:val="22"/>
                <w:lang w:val="lv-LV"/>
              </w:rPr>
              <w:t xml:space="preserve"> tiek noteikti konkrēti nosacījumi Islandei tās siltumnīcefekta gāzu (turpmāk – SEG) emisiju no darbībām, kuras nav iekļautas Eiropas Savienības Emisijas kvotu tirdzniecības sistēmā (turpmāk – ne-ETS darbības), samazināšanai:</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 xml:space="preserve">Islande </w:t>
            </w:r>
            <w:r w:rsidR="00927678" w:rsidRPr="001E482B">
              <w:rPr>
                <w:rFonts w:eastAsiaTheme="minorHAnsi"/>
                <w:bCs/>
                <w:color w:val="000000"/>
                <w:sz w:val="22"/>
                <w:szCs w:val="22"/>
                <w:lang w:val="lv-LV"/>
              </w:rPr>
              <w:t xml:space="preserve">apņemas </w:t>
            </w:r>
            <w:r w:rsidRPr="001E482B">
              <w:rPr>
                <w:rFonts w:eastAsiaTheme="minorHAnsi"/>
                <w:bCs/>
                <w:color w:val="000000"/>
                <w:sz w:val="22"/>
                <w:szCs w:val="22"/>
                <w:lang w:val="lv-LV"/>
              </w:rPr>
              <w:t>veikt visus vajadzīgos pasākumus, lai nodrošinātu, ka tās kopējās ne-ETS darbību SEG emisijas, uz kurām attiecas Kioto protokols, nepārsniedz tai noteikto daudzumu, k</w:t>
            </w:r>
            <w:r w:rsidR="00927678" w:rsidRPr="001E482B">
              <w:rPr>
                <w:rFonts w:eastAsiaTheme="minorHAnsi"/>
                <w:bCs/>
                <w:color w:val="000000"/>
                <w:sz w:val="22"/>
                <w:szCs w:val="22"/>
                <w:lang w:val="lv-LV"/>
              </w:rPr>
              <w:t>as</w:t>
            </w:r>
            <w:r w:rsidRPr="001E482B">
              <w:rPr>
                <w:rFonts w:eastAsiaTheme="minorHAnsi"/>
                <w:bCs/>
                <w:color w:val="000000"/>
                <w:sz w:val="22"/>
                <w:szCs w:val="22"/>
                <w:lang w:val="lv-LV"/>
              </w:rPr>
              <w:t xml:space="preserve"> ir noteikts Nolīguma 1.tabulā;</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 xml:space="preserve">tiek </w:t>
            </w:r>
            <w:r w:rsidR="00927678" w:rsidRPr="001E482B">
              <w:rPr>
                <w:rFonts w:eastAsiaTheme="minorHAnsi"/>
                <w:bCs/>
                <w:color w:val="000000"/>
                <w:sz w:val="22"/>
                <w:szCs w:val="22"/>
                <w:lang w:val="lv-LV"/>
              </w:rPr>
              <w:t>ietverts</w:t>
            </w:r>
            <w:r w:rsidRPr="001E482B">
              <w:rPr>
                <w:rFonts w:eastAsiaTheme="minorHAnsi"/>
                <w:bCs/>
                <w:color w:val="000000"/>
                <w:sz w:val="22"/>
                <w:szCs w:val="22"/>
                <w:lang w:val="lv-LV"/>
              </w:rPr>
              <w:t xml:space="preserve"> Islandei saistoš</w:t>
            </w:r>
            <w:r w:rsidR="00927678" w:rsidRPr="001E482B">
              <w:rPr>
                <w:rFonts w:eastAsiaTheme="minorHAnsi"/>
                <w:bCs/>
                <w:color w:val="000000"/>
                <w:sz w:val="22"/>
                <w:szCs w:val="22"/>
                <w:lang w:val="lv-LV"/>
              </w:rPr>
              <w:t>ais normatīvais regulējums -</w:t>
            </w:r>
            <w:r w:rsidRPr="001E482B">
              <w:rPr>
                <w:rFonts w:eastAsiaTheme="minorHAnsi"/>
                <w:bCs/>
                <w:color w:val="000000"/>
                <w:sz w:val="22"/>
                <w:szCs w:val="22"/>
                <w:lang w:val="lv-LV"/>
              </w:rPr>
              <w:t xml:space="preserve"> tiesību akti (</w:t>
            </w:r>
            <w:r w:rsidR="00927678" w:rsidRPr="001E482B">
              <w:rPr>
                <w:rFonts w:eastAsiaTheme="minorHAnsi"/>
                <w:bCs/>
                <w:color w:val="000000"/>
                <w:sz w:val="22"/>
                <w:szCs w:val="22"/>
                <w:lang w:val="lv-LV"/>
              </w:rPr>
              <w:t>N</w:t>
            </w:r>
            <w:r w:rsidRPr="001E482B">
              <w:rPr>
                <w:rFonts w:eastAsiaTheme="minorHAnsi"/>
                <w:bCs/>
                <w:color w:val="000000"/>
                <w:sz w:val="22"/>
                <w:szCs w:val="22"/>
                <w:lang w:val="lv-LV"/>
              </w:rPr>
              <w:t xml:space="preserve">olīguma 1.pielikums – Eiropas Parlamenta un Padomes </w:t>
            </w:r>
            <w:r w:rsidR="00927678" w:rsidRPr="001E482B">
              <w:rPr>
                <w:rFonts w:eastAsiaTheme="minorHAnsi"/>
                <w:bCs/>
                <w:color w:val="000000"/>
                <w:sz w:val="22"/>
                <w:szCs w:val="22"/>
                <w:lang w:val="lv-LV"/>
              </w:rPr>
              <w:t>2013.gada 21.maija R</w:t>
            </w:r>
            <w:r w:rsidRPr="001E482B">
              <w:rPr>
                <w:rFonts w:eastAsiaTheme="minorHAnsi"/>
                <w:bCs/>
                <w:color w:val="000000"/>
                <w:sz w:val="22"/>
                <w:szCs w:val="22"/>
                <w:lang w:val="lv-LV"/>
              </w:rPr>
              <w:t>egula 525/2013</w:t>
            </w:r>
            <w:r w:rsidR="00927678" w:rsidRPr="001E482B">
              <w:rPr>
                <w:rFonts w:eastAsiaTheme="minorHAnsi"/>
                <w:bCs/>
                <w:color w:val="000000"/>
                <w:sz w:val="22"/>
                <w:szCs w:val="22"/>
                <w:lang w:val="lv-LV"/>
              </w:rPr>
              <w:t xml:space="preserve"> </w:t>
            </w:r>
            <w:r w:rsidR="00657206" w:rsidRPr="001E482B">
              <w:rPr>
                <w:rFonts w:eastAsiaTheme="minorHAnsi"/>
                <w:color w:val="000000"/>
                <w:sz w:val="22"/>
                <w:szCs w:val="22"/>
                <w:lang w:val="lv-LV"/>
              </w:rPr>
              <w:t>par mehānismu siltumnīcefekta gāzu emisiju pārraudzībai un ziņošanai un citas informācijas ziņošanai valstu un Savienības līmenī saistībā ar klimata pārmaiņām un par Lēmuma Nr. 280/2004/EK atcelšanu</w:t>
            </w:r>
            <w:r w:rsidR="00C51908" w:rsidRPr="001E482B">
              <w:rPr>
                <w:rFonts w:eastAsiaTheme="minorHAnsi"/>
                <w:bCs/>
                <w:color w:val="000000"/>
                <w:sz w:val="22"/>
                <w:szCs w:val="22"/>
                <w:lang w:val="lv-LV"/>
              </w:rPr>
              <w:t xml:space="preserve"> (turpmāk – Regula 525/2013)</w:t>
            </w:r>
            <w:r w:rsidRPr="001E482B">
              <w:rPr>
                <w:rFonts w:eastAsiaTheme="minorHAnsi"/>
                <w:bCs/>
                <w:color w:val="000000"/>
                <w:sz w:val="22"/>
                <w:szCs w:val="22"/>
                <w:lang w:val="lv-LV"/>
              </w:rPr>
              <w:t xml:space="preserve"> un pašreiz</w:t>
            </w:r>
            <w:r w:rsidR="00C51908" w:rsidRPr="001E482B">
              <w:rPr>
                <w:rFonts w:eastAsiaTheme="minorHAnsi"/>
                <w:bCs/>
                <w:color w:val="000000"/>
                <w:sz w:val="22"/>
                <w:szCs w:val="22"/>
                <w:lang w:val="lv-LV"/>
              </w:rPr>
              <w:t xml:space="preserve"> spēkā esošie</w:t>
            </w:r>
            <w:r w:rsidRPr="001E482B">
              <w:rPr>
                <w:rFonts w:eastAsiaTheme="minorHAnsi"/>
                <w:bCs/>
                <w:color w:val="000000"/>
                <w:sz w:val="22"/>
                <w:szCs w:val="22"/>
                <w:lang w:val="lv-LV"/>
              </w:rPr>
              <w:t xml:space="preserve"> un turpmākie </w:t>
            </w:r>
            <w:r w:rsidR="00C51908" w:rsidRPr="001E482B">
              <w:rPr>
                <w:rFonts w:eastAsiaTheme="minorHAnsi"/>
                <w:bCs/>
                <w:color w:val="000000"/>
                <w:sz w:val="22"/>
                <w:szCs w:val="22"/>
                <w:lang w:val="lv-LV"/>
              </w:rPr>
              <w:t xml:space="preserve">Eiropas Savienības </w:t>
            </w:r>
            <w:r w:rsidRPr="001E482B">
              <w:rPr>
                <w:rFonts w:eastAsiaTheme="minorHAnsi"/>
                <w:bCs/>
                <w:color w:val="000000"/>
                <w:sz w:val="22"/>
                <w:szCs w:val="22"/>
                <w:lang w:val="lv-LV"/>
              </w:rPr>
              <w:t>deleģētie un īstenošanas akti, k</w:t>
            </w:r>
            <w:r w:rsidR="00C51908" w:rsidRPr="001E482B">
              <w:rPr>
                <w:rFonts w:eastAsiaTheme="minorHAnsi"/>
                <w:bCs/>
                <w:color w:val="000000"/>
                <w:sz w:val="22"/>
                <w:szCs w:val="22"/>
                <w:lang w:val="lv-LV"/>
              </w:rPr>
              <w:t>as</w:t>
            </w:r>
            <w:r w:rsidRPr="001E482B">
              <w:rPr>
                <w:rFonts w:eastAsiaTheme="minorHAnsi"/>
                <w:bCs/>
                <w:color w:val="000000"/>
                <w:sz w:val="22"/>
                <w:szCs w:val="22"/>
                <w:lang w:val="lv-LV"/>
              </w:rPr>
              <w:t xml:space="preserve"> </w:t>
            </w:r>
            <w:r w:rsidR="00C51908" w:rsidRPr="001E482B">
              <w:rPr>
                <w:rFonts w:eastAsiaTheme="minorHAnsi"/>
                <w:bCs/>
                <w:color w:val="000000"/>
                <w:sz w:val="22"/>
                <w:szCs w:val="22"/>
                <w:lang w:val="lv-LV"/>
              </w:rPr>
              <w:t xml:space="preserve">varētu tikt </w:t>
            </w:r>
            <w:r w:rsidRPr="001E482B">
              <w:rPr>
                <w:rFonts w:eastAsiaTheme="minorHAnsi"/>
                <w:bCs/>
                <w:color w:val="000000"/>
                <w:sz w:val="22"/>
                <w:szCs w:val="22"/>
                <w:lang w:val="lv-LV"/>
              </w:rPr>
              <w:t>pieņemti, pamatojoties uz Regulu 525/2013)</w:t>
            </w:r>
            <w:r w:rsidR="00C51908" w:rsidRPr="001E482B">
              <w:rPr>
                <w:rFonts w:eastAsiaTheme="minorHAnsi"/>
                <w:bCs/>
                <w:color w:val="000000"/>
                <w:sz w:val="22"/>
                <w:szCs w:val="22"/>
                <w:lang w:val="lv-LV"/>
              </w:rPr>
              <w:t>.</w:t>
            </w:r>
            <w:r w:rsidRPr="001E482B">
              <w:rPr>
                <w:rFonts w:eastAsiaTheme="minorHAnsi"/>
                <w:bCs/>
                <w:color w:val="000000"/>
                <w:sz w:val="22"/>
                <w:szCs w:val="22"/>
                <w:lang w:val="lv-LV"/>
              </w:rPr>
              <w:t xml:space="preserve"> </w:t>
            </w:r>
            <w:r w:rsidR="00C51908" w:rsidRPr="001E482B">
              <w:rPr>
                <w:rFonts w:eastAsiaTheme="minorHAnsi"/>
                <w:bCs/>
                <w:color w:val="000000"/>
                <w:sz w:val="22"/>
                <w:szCs w:val="22"/>
                <w:lang w:val="lv-LV"/>
              </w:rPr>
              <w:t>Secīgi</w:t>
            </w:r>
            <w:r w:rsidRPr="001E482B">
              <w:rPr>
                <w:rFonts w:eastAsiaTheme="minorHAnsi"/>
                <w:bCs/>
                <w:color w:val="000000"/>
                <w:sz w:val="22"/>
                <w:szCs w:val="22"/>
                <w:lang w:val="lv-LV"/>
              </w:rPr>
              <w:t xml:space="preserve"> ir noteikts, ka šajos tiesību aktos minētās atsauces uz </w:t>
            </w:r>
            <w:r w:rsidR="00C51908" w:rsidRPr="001E482B">
              <w:rPr>
                <w:rFonts w:eastAsiaTheme="minorHAnsi"/>
                <w:bCs/>
                <w:color w:val="000000"/>
                <w:sz w:val="22"/>
                <w:szCs w:val="22"/>
                <w:lang w:val="lv-LV"/>
              </w:rPr>
              <w:t xml:space="preserve">Eiropas </w:t>
            </w:r>
            <w:r w:rsidRPr="001E482B">
              <w:rPr>
                <w:rFonts w:eastAsiaTheme="minorHAnsi"/>
                <w:bCs/>
                <w:color w:val="000000"/>
                <w:sz w:val="22"/>
                <w:szCs w:val="22"/>
                <w:lang w:val="lv-LV"/>
              </w:rPr>
              <w:t>Savienības dalībvalstīm tiek saprastas arī kā atsauces uz Islandi, kā arī tiek noteikts, ka, ja ir nepieciešams veikt grozījumus noteiktajos tiesību aktos, tos veic, ievērojot ierasto praksi un apspriežoties ar visu dalībvalstu (arī Islandes) ekspertiem;</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 xml:space="preserve">tiek </w:t>
            </w:r>
            <w:r w:rsidR="00C51908" w:rsidRPr="001E482B">
              <w:rPr>
                <w:rFonts w:eastAsiaTheme="minorHAnsi"/>
                <w:bCs/>
                <w:color w:val="000000"/>
                <w:sz w:val="22"/>
                <w:szCs w:val="22"/>
                <w:lang w:val="lv-LV"/>
              </w:rPr>
              <w:t>ietverts pienākums</w:t>
            </w:r>
            <w:r w:rsidRPr="001E482B">
              <w:rPr>
                <w:rFonts w:eastAsiaTheme="minorHAnsi"/>
                <w:bCs/>
                <w:color w:val="000000"/>
                <w:sz w:val="22"/>
                <w:szCs w:val="22"/>
                <w:lang w:val="lv-LV"/>
              </w:rPr>
              <w:t>, Islande</w:t>
            </w:r>
            <w:r w:rsidR="00C51908" w:rsidRPr="001E482B">
              <w:rPr>
                <w:rFonts w:eastAsiaTheme="minorHAnsi"/>
                <w:bCs/>
                <w:color w:val="000000"/>
                <w:sz w:val="22"/>
                <w:szCs w:val="22"/>
                <w:lang w:val="lv-LV"/>
              </w:rPr>
              <w:t>i</w:t>
            </w:r>
            <w:r w:rsidRPr="001E482B">
              <w:rPr>
                <w:rFonts w:eastAsiaTheme="minorHAnsi"/>
                <w:bCs/>
                <w:color w:val="000000"/>
                <w:sz w:val="22"/>
                <w:szCs w:val="22"/>
                <w:lang w:val="lv-LV"/>
              </w:rPr>
              <w:t xml:space="preserve"> līdz 2015.gada 15.aprīlim iesniedz </w:t>
            </w:r>
            <w:r w:rsidR="00AD2CF0" w:rsidRPr="001E482B">
              <w:rPr>
                <w:rFonts w:eastAsiaTheme="minorHAnsi"/>
                <w:bCs/>
                <w:color w:val="000000"/>
                <w:sz w:val="22"/>
                <w:szCs w:val="22"/>
                <w:lang w:val="lv-LV"/>
              </w:rPr>
              <w:t>Apvienoto Nāciju Organizācijas Vispārējās konvencijas par klimata pārmaiņām</w:t>
            </w:r>
            <w:r w:rsidRPr="001E482B">
              <w:rPr>
                <w:rFonts w:eastAsiaTheme="minorHAnsi"/>
                <w:bCs/>
                <w:color w:val="000000"/>
                <w:sz w:val="22"/>
                <w:szCs w:val="22"/>
                <w:lang w:val="lv-LV"/>
              </w:rPr>
              <w:t xml:space="preserve"> sekretariātam ziņojumu, lai atvieglotu tai noteiktā daudzuma </w:t>
            </w:r>
            <w:r w:rsidR="00AD2CF0" w:rsidRPr="001E482B">
              <w:rPr>
                <w:sz w:val="22"/>
                <w:szCs w:val="22"/>
                <w:lang w:val="lv-LV"/>
              </w:rPr>
              <w:t>(</w:t>
            </w:r>
            <w:r w:rsidR="00AD2CF0" w:rsidRPr="001E482B">
              <w:rPr>
                <w:i/>
                <w:sz w:val="22"/>
                <w:szCs w:val="22"/>
                <w:lang w:val="lv-LV"/>
              </w:rPr>
              <w:t>assigned amount</w:t>
            </w:r>
            <w:r w:rsidR="00AD2CF0" w:rsidRPr="001E482B">
              <w:rPr>
                <w:sz w:val="22"/>
                <w:szCs w:val="22"/>
                <w:lang w:val="lv-LV"/>
              </w:rPr>
              <w:t xml:space="preserve"> jeb</w:t>
            </w:r>
            <w:r w:rsidR="00AD2CF0" w:rsidRPr="001E482B">
              <w:rPr>
                <w:b/>
                <w:sz w:val="22"/>
                <w:szCs w:val="22"/>
                <w:lang w:val="lv-LV"/>
              </w:rPr>
              <w:t xml:space="preserve"> </w:t>
            </w:r>
            <w:r w:rsidR="00AD2CF0" w:rsidRPr="001E482B">
              <w:rPr>
                <w:i/>
                <w:sz w:val="22"/>
                <w:szCs w:val="22"/>
                <w:lang w:val="lv-LV"/>
              </w:rPr>
              <w:t>AA</w:t>
            </w:r>
            <w:r w:rsidR="00AD2CF0" w:rsidRPr="001E482B">
              <w:rPr>
                <w:sz w:val="22"/>
                <w:szCs w:val="22"/>
                <w:lang w:val="lv-LV"/>
              </w:rPr>
              <w:t xml:space="preserve">) </w:t>
            </w:r>
            <w:r w:rsidRPr="001E482B">
              <w:rPr>
                <w:rFonts w:eastAsiaTheme="minorHAnsi"/>
                <w:bCs/>
                <w:color w:val="000000"/>
                <w:sz w:val="22"/>
                <w:szCs w:val="22"/>
                <w:lang w:val="lv-LV"/>
              </w:rPr>
              <w:t>aprēķināšanu;</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 xml:space="preserve">tiek noteikts, ka Nolīgums ir noslēgts uz laiku, līdz beigsies Kioto protokola </w:t>
            </w:r>
            <w:r w:rsidR="006F60DC" w:rsidRPr="001E482B">
              <w:rPr>
                <w:rFonts w:eastAsiaTheme="minorHAnsi"/>
                <w:bCs/>
                <w:color w:val="000000"/>
                <w:sz w:val="22"/>
                <w:szCs w:val="22"/>
                <w:lang w:val="lv-LV"/>
              </w:rPr>
              <w:t>otrā</w:t>
            </w:r>
            <w:r w:rsidR="00AD2CF0" w:rsidRPr="001E482B">
              <w:rPr>
                <w:rFonts w:eastAsiaTheme="minorHAnsi"/>
                <w:bCs/>
                <w:color w:val="000000"/>
                <w:sz w:val="22"/>
                <w:szCs w:val="22"/>
                <w:lang w:val="lv-LV"/>
              </w:rPr>
              <w:t xml:space="preserve"> </w:t>
            </w:r>
            <w:r w:rsidRPr="001E482B">
              <w:rPr>
                <w:rFonts w:eastAsiaTheme="minorHAnsi"/>
                <w:bCs/>
                <w:color w:val="000000"/>
                <w:sz w:val="22"/>
                <w:szCs w:val="22"/>
                <w:lang w:val="lv-LV"/>
              </w:rPr>
              <w:t>saistību perioda saistību izpildes papildu periods vai kad būs atrisināti visi jautājumi par saistību periodu vai kopīgās izpildes īstenošanu, kā arī to, ka Nolīgumu nevar izbeigt pirms minētā laika;</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 xml:space="preserve">tiek noteikts, ka Nolīguma noslēdzošās Puses šo Nolīgumu ratificē saskaņā ar </w:t>
            </w:r>
            <w:r w:rsidR="00C51908" w:rsidRPr="001E482B">
              <w:rPr>
                <w:rFonts w:eastAsiaTheme="minorHAnsi"/>
                <w:bCs/>
                <w:color w:val="000000"/>
                <w:sz w:val="22"/>
                <w:szCs w:val="22"/>
                <w:lang w:val="lv-LV"/>
              </w:rPr>
              <w:t xml:space="preserve">atbilstošajām un </w:t>
            </w:r>
            <w:r w:rsidR="00657206" w:rsidRPr="001E482B">
              <w:rPr>
                <w:rFonts w:eastAsiaTheme="minorHAnsi"/>
                <w:bCs/>
                <w:color w:val="000000"/>
                <w:sz w:val="22"/>
                <w:szCs w:val="22"/>
                <w:lang w:val="lv-LV"/>
              </w:rPr>
              <w:t>saistošajām valsts normatīvo aktu un likumdošanas prasībām.</w:t>
            </w:r>
            <w:r w:rsidR="00AD2CF0" w:rsidRPr="001E482B">
              <w:rPr>
                <w:rFonts w:eastAsiaTheme="minorHAnsi"/>
                <w:bCs/>
                <w:color w:val="000000"/>
                <w:sz w:val="22"/>
                <w:szCs w:val="22"/>
                <w:lang w:val="lv-LV"/>
              </w:rPr>
              <w:t xml:space="preserve"> </w:t>
            </w:r>
            <w:r w:rsidR="00E20F79" w:rsidRPr="001E482B">
              <w:rPr>
                <w:rFonts w:eastAsiaTheme="minorHAnsi"/>
                <w:bCs/>
                <w:color w:val="000000"/>
                <w:sz w:val="22"/>
                <w:szCs w:val="22"/>
                <w:lang w:val="lv-LV"/>
              </w:rPr>
              <w:t>K</w:t>
            </w:r>
            <w:r w:rsidRPr="001E482B">
              <w:rPr>
                <w:rFonts w:eastAsiaTheme="minorHAnsi"/>
                <w:bCs/>
                <w:color w:val="000000"/>
                <w:sz w:val="22"/>
                <w:szCs w:val="22"/>
                <w:lang w:val="lv-LV"/>
              </w:rPr>
              <w:t>atra Puse savu ratifikācijas instrumentu deponē Eiropas Savienības Padomes ģenerālsekre</w:t>
            </w:r>
            <w:r w:rsidR="00E20F79" w:rsidRPr="001E482B">
              <w:rPr>
                <w:rFonts w:eastAsiaTheme="minorHAnsi"/>
                <w:bCs/>
                <w:color w:val="000000"/>
                <w:sz w:val="22"/>
                <w:szCs w:val="22"/>
                <w:lang w:val="lv-LV"/>
              </w:rPr>
              <w:t>tariātā</w:t>
            </w:r>
            <w:r w:rsidRPr="001E482B">
              <w:rPr>
                <w:rFonts w:eastAsiaTheme="minorHAnsi"/>
                <w:bCs/>
                <w:color w:val="000000"/>
                <w:sz w:val="22"/>
                <w:szCs w:val="22"/>
                <w:lang w:val="lv-LV"/>
              </w:rPr>
              <w:t xml:space="preserve"> vai nu pirms sava </w:t>
            </w:r>
            <w:r w:rsidR="00F3599A" w:rsidRPr="001E482B">
              <w:rPr>
                <w:rFonts w:eastAsiaTheme="minorHAnsi"/>
                <w:bCs/>
                <w:color w:val="000000"/>
                <w:sz w:val="22"/>
                <w:szCs w:val="22"/>
                <w:lang w:val="lv-LV"/>
              </w:rPr>
              <w:t xml:space="preserve">Apvienoto Nāciju Organizācijas Vispārējās konvencijas par klimata pārmaiņām Kioto protokola Dohas grozījuma (turpmāk – Dohas grozījums) </w:t>
            </w:r>
            <w:r w:rsidR="00657206" w:rsidRPr="001E482B">
              <w:rPr>
                <w:rFonts w:eastAsiaTheme="minorHAnsi"/>
                <w:bCs/>
                <w:color w:val="000000"/>
                <w:sz w:val="22"/>
                <w:szCs w:val="22"/>
                <w:lang w:val="lv-LV"/>
              </w:rPr>
              <w:t>apstiprināšanas dokumenta deponēšanas</w:t>
            </w:r>
            <w:r w:rsidR="00E20F79" w:rsidRPr="001E482B">
              <w:rPr>
                <w:rFonts w:eastAsiaTheme="minorHAnsi"/>
                <w:bCs/>
                <w:color w:val="000000"/>
                <w:sz w:val="22"/>
                <w:szCs w:val="22"/>
                <w:lang w:val="lv-LV"/>
              </w:rPr>
              <w:t xml:space="preserve"> </w:t>
            </w:r>
            <w:r w:rsidRPr="001E482B">
              <w:rPr>
                <w:rFonts w:eastAsiaTheme="minorHAnsi"/>
                <w:bCs/>
                <w:color w:val="000000"/>
                <w:sz w:val="22"/>
                <w:szCs w:val="22"/>
                <w:lang w:val="lv-LV"/>
              </w:rPr>
              <w:t>vai vienlaikus ar apstiprināšanas dokumenta deponēšanu.</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 xml:space="preserve">Islande </w:t>
            </w:r>
            <w:r w:rsidR="00E20F79" w:rsidRPr="001E482B">
              <w:rPr>
                <w:rFonts w:eastAsiaTheme="minorHAnsi"/>
                <w:bCs/>
                <w:color w:val="000000"/>
                <w:sz w:val="22"/>
                <w:szCs w:val="22"/>
                <w:lang w:val="lv-LV"/>
              </w:rPr>
              <w:t xml:space="preserve">apņemas </w:t>
            </w:r>
            <w:r w:rsidRPr="001E482B">
              <w:rPr>
                <w:rFonts w:eastAsiaTheme="minorHAnsi"/>
                <w:bCs/>
                <w:color w:val="000000"/>
                <w:sz w:val="22"/>
                <w:szCs w:val="22"/>
                <w:lang w:val="lv-LV"/>
              </w:rPr>
              <w:t>savu Dohas</w:t>
            </w:r>
            <w:r w:rsidR="00122BBD" w:rsidRPr="001E482B">
              <w:rPr>
                <w:rFonts w:eastAsiaTheme="minorHAnsi"/>
                <w:bCs/>
                <w:color w:val="000000"/>
                <w:sz w:val="22"/>
                <w:szCs w:val="22"/>
                <w:lang w:val="lv-LV"/>
              </w:rPr>
              <w:t xml:space="preserve"> </w:t>
            </w:r>
            <w:r w:rsidRPr="001E482B">
              <w:rPr>
                <w:rFonts w:eastAsiaTheme="minorHAnsi"/>
                <w:bCs/>
                <w:color w:val="000000"/>
                <w:sz w:val="22"/>
                <w:szCs w:val="22"/>
                <w:lang w:val="lv-LV"/>
              </w:rPr>
              <w:t>grozījuma pieņemšanas dokumentu saskaņā ar Kioto protokola 20.panta 4.punktu un 21.panta 7.punktu deponē</w:t>
            </w:r>
            <w:r w:rsidR="00E20F79" w:rsidRPr="001E482B">
              <w:rPr>
                <w:rFonts w:eastAsiaTheme="minorHAnsi"/>
                <w:bCs/>
                <w:color w:val="000000"/>
                <w:sz w:val="22"/>
                <w:szCs w:val="22"/>
                <w:lang w:val="lv-LV"/>
              </w:rPr>
              <w:t>t</w:t>
            </w:r>
            <w:r w:rsidRPr="001E482B">
              <w:rPr>
                <w:rFonts w:eastAsiaTheme="minorHAnsi"/>
                <w:bCs/>
                <w:color w:val="000000"/>
                <w:sz w:val="22"/>
                <w:szCs w:val="22"/>
                <w:lang w:val="lv-LV"/>
              </w:rPr>
              <w:t xml:space="preserve"> A</w:t>
            </w:r>
            <w:r w:rsidR="00E20F79" w:rsidRPr="001E482B">
              <w:rPr>
                <w:rFonts w:eastAsiaTheme="minorHAnsi"/>
                <w:bCs/>
                <w:color w:val="000000"/>
                <w:sz w:val="22"/>
                <w:szCs w:val="22"/>
                <w:lang w:val="lv-LV"/>
              </w:rPr>
              <w:t>pvienoto Nāciju Organizācijas</w:t>
            </w:r>
            <w:r w:rsidRPr="001E482B">
              <w:rPr>
                <w:rFonts w:eastAsiaTheme="minorHAnsi"/>
                <w:bCs/>
                <w:color w:val="000000"/>
                <w:sz w:val="22"/>
                <w:szCs w:val="22"/>
                <w:lang w:val="lv-LV"/>
              </w:rPr>
              <w:t xml:space="preserve"> ģenerālsekret</w:t>
            </w:r>
            <w:r w:rsidR="00E20F79" w:rsidRPr="001E482B">
              <w:rPr>
                <w:rFonts w:eastAsiaTheme="minorHAnsi"/>
                <w:bCs/>
                <w:color w:val="000000"/>
                <w:sz w:val="22"/>
                <w:szCs w:val="22"/>
                <w:lang w:val="lv-LV"/>
              </w:rPr>
              <w:t>a</w:t>
            </w:r>
            <w:r w:rsidRPr="001E482B">
              <w:rPr>
                <w:rFonts w:eastAsiaTheme="minorHAnsi"/>
                <w:bCs/>
                <w:color w:val="000000"/>
                <w:sz w:val="22"/>
                <w:szCs w:val="22"/>
                <w:lang w:val="lv-LV"/>
              </w:rPr>
              <w:t>r</w:t>
            </w:r>
            <w:r w:rsidR="00E20F79" w:rsidRPr="001E482B">
              <w:rPr>
                <w:rFonts w:eastAsiaTheme="minorHAnsi"/>
                <w:bCs/>
                <w:color w:val="000000"/>
                <w:sz w:val="22"/>
                <w:szCs w:val="22"/>
                <w:lang w:val="lv-LV"/>
              </w:rPr>
              <w:t>iātā</w:t>
            </w:r>
            <w:r w:rsidRPr="001E482B">
              <w:rPr>
                <w:rFonts w:eastAsiaTheme="minorHAnsi"/>
                <w:bCs/>
                <w:color w:val="000000"/>
                <w:sz w:val="22"/>
                <w:szCs w:val="22"/>
                <w:lang w:val="lv-LV"/>
              </w:rPr>
              <w:t xml:space="preserve"> vēlākais dienā, kad </w:t>
            </w:r>
            <w:r w:rsidR="00E20F79" w:rsidRPr="001E482B">
              <w:rPr>
                <w:rFonts w:eastAsiaTheme="minorHAnsi"/>
                <w:bCs/>
                <w:color w:val="000000"/>
                <w:sz w:val="22"/>
                <w:szCs w:val="22"/>
                <w:lang w:val="lv-LV"/>
              </w:rPr>
              <w:t xml:space="preserve">Eiropas </w:t>
            </w:r>
            <w:r w:rsidRPr="001E482B">
              <w:rPr>
                <w:rFonts w:eastAsiaTheme="minorHAnsi"/>
                <w:bCs/>
                <w:color w:val="000000"/>
                <w:sz w:val="22"/>
                <w:szCs w:val="22"/>
                <w:lang w:val="lv-LV"/>
              </w:rPr>
              <w:t>Savienība vai tās dalībvalstis deponē savu pēdējo pieņemšanas dokumentu, un</w:t>
            </w:r>
            <w:r w:rsidR="00E20F79" w:rsidRPr="001E482B">
              <w:rPr>
                <w:rFonts w:eastAsiaTheme="minorHAnsi"/>
                <w:bCs/>
                <w:color w:val="000000"/>
                <w:sz w:val="22"/>
                <w:szCs w:val="22"/>
                <w:lang w:val="lv-LV"/>
              </w:rPr>
              <w:t>,</w:t>
            </w:r>
            <w:r w:rsidRPr="001E482B">
              <w:rPr>
                <w:rFonts w:eastAsiaTheme="minorHAnsi"/>
                <w:bCs/>
                <w:color w:val="000000"/>
                <w:sz w:val="22"/>
                <w:szCs w:val="22"/>
                <w:lang w:val="lv-LV"/>
              </w:rPr>
              <w:t xml:space="preserve"> deponējot savu </w:t>
            </w:r>
            <w:r w:rsidR="00E20F79" w:rsidRPr="001E482B">
              <w:rPr>
                <w:rFonts w:eastAsiaTheme="minorHAnsi"/>
                <w:bCs/>
                <w:color w:val="000000"/>
                <w:sz w:val="22"/>
                <w:szCs w:val="22"/>
                <w:lang w:val="lv-LV"/>
              </w:rPr>
              <w:t xml:space="preserve">Dohas grozījuma pieņemšanas </w:t>
            </w:r>
            <w:r w:rsidRPr="001E482B">
              <w:rPr>
                <w:rFonts w:eastAsiaTheme="minorHAnsi"/>
                <w:bCs/>
                <w:color w:val="000000"/>
                <w:sz w:val="22"/>
                <w:szCs w:val="22"/>
                <w:lang w:val="lv-LV"/>
              </w:rPr>
              <w:t>dokumentu, Islande no savas puses A</w:t>
            </w:r>
            <w:r w:rsidR="00E20F79" w:rsidRPr="001E482B">
              <w:rPr>
                <w:rFonts w:eastAsiaTheme="minorHAnsi"/>
                <w:bCs/>
                <w:color w:val="000000"/>
                <w:sz w:val="22"/>
                <w:szCs w:val="22"/>
                <w:lang w:val="lv-LV"/>
              </w:rPr>
              <w:t xml:space="preserve">pvienoto Nāciju Organizācijas </w:t>
            </w:r>
            <w:r w:rsidRPr="001E482B">
              <w:rPr>
                <w:rFonts w:eastAsiaTheme="minorHAnsi"/>
                <w:bCs/>
                <w:color w:val="000000"/>
                <w:sz w:val="22"/>
                <w:szCs w:val="22"/>
                <w:lang w:val="lv-LV"/>
              </w:rPr>
              <w:t xml:space="preserve"> Vispārējās konvencijas par klimata pārmaiņām sekretariātam paziņo arī kopīgās izpildes noteikumus saskaņā ar Kioto protokola 4. panta 2. punktu</w:t>
            </w:r>
          </w:p>
          <w:p w:rsidR="00905D04" w:rsidRPr="001E482B" w:rsidRDefault="00905D04">
            <w:pPr>
              <w:pStyle w:val="BodyText"/>
              <w:spacing w:before="60" w:after="60"/>
              <w:jc w:val="both"/>
              <w:rPr>
                <w:rFonts w:eastAsiaTheme="minorHAnsi"/>
                <w:bCs/>
                <w:color w:val="000000"/>
                <w:sz w:val="22"/>
                <w:szCs w:val="22"/>
                <w:lang w:val="lv-LV"/>
              </w:rPr>
            </w:pPr>
            <w:r w:rsidRPr="001E482B">
              <w:rPr>
                <w:rFonts w:eastAsiaTheme="minorHAnsi"/>
                <w:bCs/>
                <w:color w:val="000000"/>
                <w:sz w:val="22"/>
                <w:szCs w:val="22"/>
                <w:lang w:val="lv-LV"/>
              </w:rPr>
              <w:t>Nolīguma 2.pielikumā ir iekļauts paziņojums par Nolīguma noteikumiem, lai kopīgi izpildītu Eiropas Savienības, tās dalībvalstu un Islandes saistību saskaņā ar Kioto protokola 3.pantu, kur cita starpā ir noteikts, ka:</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Nolīguma dalībnieki saskaņā ar Kioto protokola 4.panta 5. un 6.punktu nodrošinās, ka dalībvalstīs un Islandē kopsumma Kioto protokola A pielikumā uzskaitīto kopējam SEG emisiju apjomam nepārsniedz to kopējo noteikto daudzumu;</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katrs dalībnieks var paaugstināt savu mērķi anulējot savas noteiktā daudzuma vienības (</w:t>
            </w:r>
            <w:r w:rsidR="00657206" w:rsidRPr="001E482B">
              <w:rPr>
                <w:rFonts w:eastAsiaTheme="minorHAnsi"/>
                <w:bCs/>
                <w:i/>
                <w:color w:val="000000"/>
                <w:sz w:val="22"/>
                <w:szCs w:val="22"/>
                <w:lang w:val="lv-LV"/>
              </w:rPr>
              <w:t>AAU</w:t>
            </w:r>
            <w:r w:rsidRPr="001E482B">
              <w:rPr>
                <w:rFonts w:eastAsiaTheme="minorHAnsi"/>
                <w:bCs/>
                <w:color w:val="000000"/>
                <w:sz w:val="22"/>
                <w:szCs w:val="22"/>
                <w:lang w:val="lv-LV"/>
              </w:rPr>
              <w:t>), emisijas samazināšanas vienības (</w:t>
            </w:r>
            <w:r w:rsidR="00657206" w:rsidRPr="001E482B">
              <w:rPr>
                <w:rFonts w:eastAsiaTheme="minorHAnsi"/>
                <w:bCs/>
                <w:i/>
                <w:color w:val="000000"/>
                <w:sz w:val="22"/>
                <w:szCs w:val="22"/>
                <w:lang w:val="lv-LV"/>
              </w:rPr>
              <w:t>ERU</w:t>
            </w:r>
            <w:r w:rsidRPr="001E482B">
              <w:rPr>
                <w:rFonts w:eastAsiaTheme="minorHAnsi"/>
                <w:bCs/>
                <w:color w:val="000000"/>
                <w:sz w:val="22"/>
                <w:szCs w:val="22"/>
                <w:lang w:val="lv-LV"/>
              </w:rPr>
              <w:t>) vai sertificētas emisijas samazināšanas vienības (</w:t>
            </w:r>
            <w:r w:rsidR="00657206" w:rsidRPr="001E482B">
              <w:rPr>
                <w:rFonts w:eastAsiaTheme="minorHAnsi"/>
                <w:bCs/>
                <w:i/>
                <w:color w:val="000000"/>
                <w:sz w:val="22"/>
                <w:szCs w:val="22"/>
                <w:lang w:val="lv-LV"/>
              </w:rPr>
              <w:t>CER</w:t>
            </w:r>
            <w:r w:rsidRPr="001E482B">
              <w:rPr>
                <w:rFonts w:eastAsiaTheme="minorHAnsi"/>
                <w:bCs/>
                <w:color w:val="000000"/>
                <w:sz w:val="22"/>
                <w:szCs w:val="22"/>
                <w:lang w:val="lv-LV"/>
              </w:rPr>
              <w:t>);</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lastRenderedPageBreak/>
              <w:t xml:space="preserve">dalībnieki kopīgi iesniegs informāciju, </w:t>
            </w:r>
            <w:r w:rsidR="00C64697" w:rsidRPr="001E482B">
              <w:rPr>
                <w:rFonts w:eastAsiaTheme="minorHAnsi"/>
                <w:bCs/>
                <w:color w:val="000000"/>
                <w:sz w:val="22"/>
                <w:szCs w:val="22"/>
                <w:lang w:val="lv-LV"/>
              </w:rPr>
              <w:t>atbilstoši</w:t>
            </w:r>
            <w:r w:rsidR="00F3599A" w:rsidRPr="001E482B">
              <w:rPr>
                <w:rFonts w:eastAsiaTheme="minorHAnsi"/>
                <w:bCs/>
                <w:color w:val="000000"/>
                <w:sz w:val="22"/>
                <w:szCs w:val="22"/>
                <w:lang w:val="lv-LV"/>
              </w:rPr>
              <w:t xml:space="preserve"> </w:t>
            </w:r>
            <w:r w:rsidRPr="001E482B">
              <w:rPr>
                <w:rFonts w:eastAsiaTheme="minorHAnsi"/>
                <w:bCs/>
                <w:color w:val="000000"/>
                <w:sz w:val="22"/>
                <w:szCs w:val="22"/>
                <w:lang w:val="lv-LV"/>
              </w:rPr>
              <w:t>Lēmuma 1/CMP.8 9. punkt</w:t>
            </w:r>
            <w:r w:rsidR="00C64697" w:rsidRPr="001E482B">
              <w:rPr>
                <w:rFonts w:eastAsiaTheme="minorHAnsi"/>
                <w:bCs/>
                <w:color w:val="000000"/>
                <w:sz w:val="22"/>
                <w:szCs w:val="22"/>
                <w:lang w:val="lv-LV"/>
              </w:rPr>
              <w:t>am</w:t>
            </w:r>
            <w:r w:rsidRPr="001E482B">
              <w:rPr>
                <w:rFonts w:eastAsiaTheme="minorHAnsi"/>
                <w:bCs/>
                <w:color w:val="000000"/>
                <w:sz w:val="22"/>
                <w:szCs w:val="22"/>
                <w:lang w:val="lv-LV"/>
              </w:rPr>
              <w:t>, un kopīgi nāks klajā ar jebkādiem priekšlikumiem</w:t>
            </w:r>
            <w:r w:rsidR="00C64697" w:rsidRPr="001E482B">
              <w:rPr>
                <w:rFonts w:eastAsiaTheme="minorHAnsi"/>
                <w:bCs/>
                <w:color w:val="000000"/>
                <w:sz w:val="22"/>
                <w:szCs w:val="22"/>
                <w:lang w:val="lv-LV"/>
              </w:rPr>
              <w:t xml:space="preserve"> saistībā ar  </w:t>
            </w:r>
            <w:r w:rsidRPr="001E482B">
              <w:rPr>
                <w:rFonts w:eastAsiaTheme="minorHAnsi"/>
                <w:bCs/>
                <w:color w:val="000000"/>
                <w:sz w:val="22"/>
                <w:szCs w:val="22"/>
                <w:lang w:val="lv-LV"/>
              </w:rPr>
              <w:t xml:space="preserve">Kioto protokola 3.panta 1.b un 1.c </w:t>
            </w:r>
            <w:r w:rsidR="00C64697" w:rsidRPr="001E482B">
              <w:rPr>
                <w:rFonts w:eastAsiaTheme="minorHAnsi"/>
                <w:bCs/>
                <w:color w:val="000000"/>
                <w:sz w:val="22"/>
                <w:szCs w:val="22"/>
                <w:lang w:val="lv-LV"/>
              </w:rPr>
              <w:t>apakš</w:t>
            </w:r>
            <w:r w:rsidRPr="001E482B">
              <w:rPr>
                <w:rFonts w:eastAsiaTheme="minorHAnsi"/>
                <w:bCs/>
                <w:color w:val="000000"/>
                <w:sz w:val="22"/>
                <w:szCs w:val="22"/>
                <w:lang w:val="lv-LV"/>
              </w:rPr>
              <w:t>punkt</w:t>
            </w:r>
            <w:r w:rsidR="00C64697" w:rsidRPr="001E482B">
              <w:rPr>
                <w:rFonts w:eastAsiaTheme="minorHAnsi"/>
                <w:bCs/>
                <w:color w:val="000000"/>
                <w:sz w:val="22"/>
                <w:szCs w:val="22"/>
                <w:lang w:val="lv-LV"/>
              </w:rPr>
              <w:t>u</w:t>
            </w:r>
            <w:r w:rsidRPr="001E482B">
              <w:rPr>
                <w:rFonts w:eastAsiaTheme="minorHAnsi"/>
                <w:bCs/>
                <w:color w:val="000000"/>
                <w:sz w:val="22"/>
                <w:szCs w:val="22"/>
                <w:lang w:val="lv-LV"/>
              </w:rPr>
              <w:t>;</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 xml:space="preserve">dalībnieki turpinās piemērot Kioto protokola 3. panta 3.un 4. punktu un šajā sakarā individuāli pieņemtos lēmumus (attiecas uz zemes izmantošanas, zemes izmantošanas maiņas un mežsaimniecības (turpmāk – </w:t>
            </w:r>
            <w:r w:rsidR="00F3599A" w:rsidRPr="001E482B">
              <w:rPr>
                <w:rFonts w:eastAsiaTheme="minorHAnsi"/>
                <w:bCs/>
                <w:i/>
                <w:color w:val="000000"/>
                <w:sz w:val="22"/>
                <w:szCs w:val="22"/>
                <w:lang w:val="lv-LV"/>
              </w:rPr>
              <w:t>ZIZIMM</w:t>
            </w:r>
            <w:r w:rsidRPr="001E482B">
              <w:rPr>
                <w:rFonts w:eastAsiaTheme="minorHAnsi"/>
                <w:bCs/>
                <w:color w:val="000000"/>
                <w:sz w:val="22"/>
                <w:szCs w:val="22"/>
                <w:lang w:val="lv-LV"/>
              </w:rPr>
              <w:t xml:space="preserve"> darbībām);</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dalībnieku kopējās bāzes gada emisijas ir vienādas ar katrai</w:t>
            </w:r>
            <w:r w:rsidR="00AD2CF0" w:rsidRPr="001E482B">
              <w:rPr>
                <w:rFonts w:eastAsiaTheme="minorHAnsi"/>
                <w:bCs/>
                <w:color w:val="000000"/>
                <w:sz w:val="22"/>
                <w:szCs w:val="22"/>
                <w:lang w:val="lv-LV"/>
              </w:rPr>
              <w:t xml:space="preserve"> ES </w:t>
            </w:r>
            <w:r w:rsidRPr="001E482B">
              <w:rPr>
                <w:rFonts w:eastAsiaTheme="minorHAnsi"/>
                <w:bCs/>
                <w:color w:val="000000"/>
                <w:sz w:val="22"/>
                <w:szCs w:val="22"/>
                <w:lang w:val="lv-LV"/>
              </w:rPr>
              <w:t>dalībvalstij un Islandei attiecīgajos bāzes gados piemērojamo emisiju summu;</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 xml:space="preserve">ja </w:t>
            </w:r>
            <w:r w:rsidR="00F3599A" w:rsidRPr="001E482B">
              <w:rPr>
                <w:rFonts w:eastAsiaTheme="minorHAnsi"/>
                <w:bCs/>
                <w:i/>
                <w:color w:val="000000"/>
                <w:sz w:val="22"/>
                <w:szCs w:val="22"/>
                <w:lang w:val="lv-LV"/>
              </w:rPr>
              <w:t>ZIZIMM</w:t>
            </w:r>
            <w:r w:rsidR="00F3599A" w:rsidRPr="001E482B">
              <w:rPr>
                <w:rFonts w:eastAsiaTheme="minorHAnsi"/>
                <w:bCs/>
                <w:color w:val="000000"/>
                <w:sz w:val="22"/>
                <w:szCs w:val="22"/>
                <w:lang w:val="lv-LV"/>
              </w:rPr>
              <w:t xml:space="preserve"> </w:t>
            </w:r>
            <w:r w:rsidRPr="001E482B">
              <w:rPr>
                <w:rFonts w:eastAsiaTheme="minorHAnsi"/>
                <w:bCs/>
                <w:color w:val="000000"/>
                <w:sz w:val="22"/>
                <w:szCs w:val="22"/>
                <w:lang w:val="lv-LV"/>
              </w:rPr>
              <w:t>1990.gadā jebkurai</w:t>
            </w:r>
            <w:r w:rsidR="00F3599A" w:rsidRPr="001E482B">
              <w:rPr>
                <w:rFonts w:eastAsiaTheme="minorHAnsi"/>
                <w:bCs/>
                <w:color w:val="000000"/>
                <w:sz w:val="22"/>
                <w:szCs w:val="22"/>
                <w:lang w:val="lv-LV"/>
              </w:rPr>
              <w:t xml:space="preserve"> ES</w:t>
            </w:r>
            <w:r w:rsidRPr="001E482B">
              <w:rPr>
                <w:rFonts w:eastAsiaTheme="minorHAnsi"/>
                <w:bCs/>
                <w:color w:val="000000"/>
                <w:sz w:val="22"/>
                <w:szCs w:val="22"/>
                <w:lang w:val="lv-LV"/>
              </w:rPr>
              <w:t xml:space="preserve"> dalībvalstij vai Islandei bija SEG emisijas neto avots (SEG emisijas no šīm darbībām bija lielākas nekā CO</w:t>
            </w:r>
            <w:r w:rsidR="00657206" w:rsidRPr="001E482B">
              <w:rPr>
                <w:rFonts w:eastAsiaTheme="minorHAnsi"/>
                <w:bCs/>
                <w:color w:val="000000"/>
                <w:sz w:val="22"/>
                <w:szCs w:val="22"/>
                <w:vertAlign w:val="subscript"/>
                <w:lang w:val="lv-LV"/>
              </w:rPr>
              <w:t>2</w:t>
            </w:r>
            <w:r w:rsidRPr="001E482B">
              <w:rPr>
                <w:rFonts w:eastAsiaTheme="minorHAnsi"/>
                <w:bCs/>
                <w:color w:val="000000"/>
                <w:sz w:val="22"/>
                <w:szCs w:val="22"/>
                <w:lang w:val="lv-LV"/>
              </w:rPr>
              <w:t xml:space="preserve"> piesaiste meža apsaimniekošanas darbībās), šis dalībnieks saskaņā ar Kioto protokola 3.panta 7.a </w:t>
            </w:r>
            <w:r w:rsidR="00C64697" w:rsidRPr="001E482B">
              <w:rPr>
                <w:rFonts w:eastAsiaTheme="minorHAnsi"/>
                <w:bCs/>
                <w:color w:val="000000"/>
                <w:sz w:val="22"/>
                <w:szCs w:val="22"/>
                <w:lang w:val="lv-LV"/>
              </w:rPr>
              <w:t>apakš</w:t>
            </w:r>
            <w:r w:rsidRPr="001E482B">
              <w:rPr>
                <w:rFonts w:eastAsiaTheme="minorHAnsi"/>
                <w:bCs/>
                <w:color w:val="000000"/>
                <w:sz w:val="22"/>
                <w:szCs w:val="22"/>
                <w:lang w:val="lv-LV"/>
              </w:rPr>
              <w:t>punktu savā bāzes gadā vai periodā iekļauj kopējo SEG emisiju apjomu (</w:t>
            </w:r>
            <w:r w:rsidR="006F60DC" w:rsidRPr="001E482B">
              <w:rPr>
                <w:rFonts w:eastAsiaTheme="minorHAnsi"/>
                <w:bCs/>
                <w:color w:val="000000"/>
                <w:sz w:val="22"/>
                <w:szCs w:val="22"/>
                <w:lang w:val="lv-LV"/>
              </w:rPr>
              <w:t>atņemot</w:t>
            </w:r>
            <w:r w:rsidRPr="001E482B">
              <w:rPr>
                <w:rFonts w:eastAsiaTheme="minorHAnsi"/>
                <w:bCs/>
                <w:color w:val="000000"/>
                <w:sz w:val="22"/>
                <w:szCs w:val="22"/>
                <w:lang w:val="lv-LV"/>
              </w:rPr>
              <w:t xml:space="preserve"> CO</w:t>
            </w:r>
            <w:r w:rsidRPr="001E482B">
              <w:rPr>
                <w:rFonts w:eastAsiaTheme="minorHAnsi"/>
                <w:bCs/>
                <w:color w:val="000000"/>
                <w:sz w:val="22"/>
                <w:szCs w:val="22"/>
                <w:vertAlign w:val="subscript"/>
                <w:lang w:val="lv-LV"/>
              </w:rPr>
              <w:t>2</w:t>
            </w:r>
            <w:r w:rsidRPr="001E482B">
              <w:rPr>
                <w:rFonts w:eastAsiaTheme="minorHAnsi"/>
                <w:bCs/>
                <w:color w:val="000000"/>
                <w:sz w:val="22"/>
                <w:szCs w:val="22"/>
                <w:lang w:val="lv-LV"/>
              </w:rPr>
              <w:t xml:space="preserve"> piesaist</w:t>
            </w:r>
            <w:r w:rsidR="006F60DC" w:rsidRPr="001E482B">
              <w:rPr>
                <w:rFonts w:eastAsiaTheme="minorHAnsi"/>
                <w:bCs/>
                <w:color w:val="000000"/>
                <w:sz w:val="22"/>
                <w:szCs w:val="22"/>
                <w:lang w:val="lv-LV"/>
              </w:rPr>
              <w:t>i</w:t>
            </w:r>
            <w:r w:rsidRPr="001E482B">
              <w:rPr>
                <w:rFonts w:eastAsiaTheme="minorHAnsi"/>
                <w:bCs/>
                <w:color w:val="000000"/>
                <w:sz w:val="22"/>
                <w:szCs w:val="22"/>
                <w:lang w:val="lv-LV"/>
              </w:rPr>
              <w:t xml:space="preserve">) bāzes gadā vai periodā no </w:t>
            </w:r>
            <w:r w:rsidR="00F3599A" w:rsidRPr="001E482B">
              <w:rPr>
                <w:rFonts w:eastAsiaTheme="minorHAnsi"/>
                <w:bCs/>
                <w:i/>
                <w:color w:val="000000"/>
                <w:sz w:val="22"/>
                <w:szCs w:val="22"/>
                <w:lang w:val="lv-LV"/>
              </w:rPr>
              <w:t>ZIZIMM</w:t>
            </w:r>
            <w:r w:rsidRPr="001E482B">
              <w:rPr>
                <w:rFonts w:eastAsiaTheme="minorHAnsi"/>
                <w:bCs/>
                <w:color w:val="000000"/>
                <w:sz w:val="22"/>
                <w:szCs w:val="22"/>
                <w:lang w:val="lv-LV"/>
              </w:rPr>
              <w:t>, lai būtu iespējams aprēķināt dalībnieku kopējo noteikto daudzumu, kas noteikts saskaņā ar Kioto protokola 3.panta 7.a</w:t>
            </w:r>
            <w:r w:rsidR="00C64697" w:rsidRPr="001E482B">
              <w:rPr>
                <w:rFonts w:eastAsiaTheme="minorHAnsi"/>
                <w:bCs/>
                <w:color w:val="000000"/>
                <w:sz w:val="22"/>
                <w:szCs w:val="22"/>
                <w:lang w:val="lv-LV"/>
              </w:rPr>
              <w:t xml:space="preserve"> apakšpunktu</w:t>
            </w:r>
            <w:r w:rsidRPr="001E482B">
              <w:rPr>
                <w:rFonts w:eastAsiaTheme="minorHAnsi"/>
                <w:bCs/>
                <w:color w:val="000000"/>
                <w:sz w:val="22"/>
                <w:szCs w:val="22"/>
                <w:lang w:val="lv-LV"/>
              </w:rPr>
              <w:t>, 8.</w:t>
            </w:r>
            <w:r w:rsidR="000807CB" w:rsidRPr="001E482B">
              <w:rPr>
                <w:rFonts w:eastAsiaTheme="minorHAnsi"/>
                <w:bCs/>
                <w:color w:val="000000"/>
                <w:sz w:val="22"/>
                <w:szCs w:val="22"/>
                <w:lang w:val="lv-LV"/>
              </w:rPr>
              <w:t>punktu</w:t>
            </w:r>
            <w:r w:rsidRPr="001E482B">
              <w:rPr>
                <w:rFonts w:eastAsiaTheme="minorHAnsi"/>
                <w:bCs/>
                <w:color w:val="000000"/>
                <w:sz w:val="22"/>
                <w:szCs w:val="22"/>
                <w:lang w:val="lv-LV"/>
              </w:rPr>
              <w:t xml:space="preserve"> un 8.a </w:t>
            </w:r>
            <w:r w:rsidR="000807CB" w:rsidRPr="001E482B">
              <w:rPr>
                <w:rFonts w:eastAsiaTheme="minorHAnsi"/>
                <w:bCs/>
                <w:color w:val="000000"/>
                <w:sz w:val="22"/>
                <w:szCs w:val="22"/>
                <w:lang w:val="lv-LV"/>
              </w:rPr>
              <w:t>apakš</w:t>
            </w:r>
            <w:r w:rsidRPr="001E482B">
              <w:rPr>
                <w:rFonts w:eastAsiaTheme="minorHAnsi"/>
                <w:bCs/>
                <w:color w:val="000000"/>
                <w:sz w:val="22"/>
                <w:szCs w:val="22"/>
                <w:lang w:val="lv-LV"/>
              </w:rPr>
              <w:t>punktu;</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saskaņā ar Lēmumu 1/CMP.8 dalībnieka iepriekšējā perioda pārpalikuma rezerves (</w:t>
            </w:r>
            <w:r w:rsidR="00657206" w:rsidRPr="001E482B">
              <w:rPr>
                <w:rFonts w:eastAsiaTheme="minorHAnsi"/>
                <w:bCs/>
                <w:i/>
                <w:color w:val="000000"/>
                <w:sz w:val="22"/>
                <w:szCs w:val="22"/>
                <w:lang w:val="lv-LV"/>
              </w:rPr>
              <w:t>PPSR</w:t>
            </w:r>
            <w:r w:rsidRPr="001E482B">
              <w:rPr>
                <w:rFonts w:eastAsiaTheme="minorHAnsi"/>
                <w:bCs/>
                <w:color w:val="000000"/>
                <w:sz w:val="22"/>
                <w:szCs w:val="22"/>
                <w:lang w:val="lv-LV"/>
              </w:rPr>
              <w:t xml:space="preserve">) kontā esošas vienības drīkst izmantot norakstīšanai papildu periodā, lai izpildītu </w:t>
            </w:r>
            <w:r w:rsidR="006F60DC" w:rsidRPr="001E482B">
              <w:rPr>
                <w:rFonts w:eastAsiaTheme="minorHAnsi"/>
                <w:bCs/>
                <w:color w:val="000000"/>
                <w:sz w:val="22"/>
                <w:szCs w:val="22"/>
                <w:lang w:val="lv-LV"/>
              </w:rPr>
              <w:t>saistības otrajā</w:t>
            </w:r>
            <w:r w:rsidR="00F3599A" w:rsidRPr="001E482B">
              <w:rPr>
                <w:rFonts w:eastAsiaTheme="minorHAnsi"/>
                <w:bCs/>
                <w:color w:val="000000"/>
                <w:sz w:val="22"/>
                <w:szCs w:val="22"/>
                <w:lang w:val="lv-LV"/>
              </w:rPr>
              <w:t xml:space="preserve"> </w:t>
            </w:r>
            <w:r w:rsidRPr="001E482B">
              <w:rPr>
                <w:rFonts w:eastAsiaTheme="minorHAnsi"/>
                <w:bCs/>
                <w:color w:val="000000"/>
                <w:sz w:val="22"/>
                <w:szCs w:val="22"/>
                <w:lang w:val="lv-LV"/>
              </w:rPr>
              <w:t>saistību period</w:t>
            </w:r>
            <w:r w:rsidR="006F60DC" w:rsidRPr="001E482B">
              <w:rPr>
                <w:rFonts w:eastAsiaTheme="minorHAnsi"/>
                <w:bCs/>
                <w:color w:val="000000"/>
                <w:sz w:val="22"/>
                <w:szCs w:val="22"/>
                <w:lang w:val="lv-LV"/>
              </w:rPr>
              <w:t>ā</w:t>
            </w:r>
            <w:r w:rsidRPr="001E482B">
              <w:rPr>
                <w:rFonts w:eastAsiaTheme="minorHAnsi"/>
                <w:bCs/>
                <w:color w:val="000000"/>
                <w:sz w:val="22"/>
                <w:szCs w:val="22"/>
                <w:lang w:val="lv-LV"/>
              </w:rPr>
              <w:t>, ciktāl attiecīgā dalībnieka emisijas otrajā saistību periodā pārsniedz tā attiecīgo noteikto daudzumu minētajā saistību periodā;</w:t>
            </w:r>
          </w:p>
          <w:p w:rsidR="00905D04" w:rsidRPr="001E482B" w:rsidRDefault="006F60DC">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e</w:t>
            </w:r>
            <w:r w:rsidR="00905D04" w:rsidRPr="001E482B">
              <w:rPr>
                <w:rFonts w:eastAsiaTheme="minorHAnsi"/>
                <w:bCs/>
                <w:color w:val="000000"/>
                <w:sz w:val="22"/>
                <w:szCs w:val="22"/>
                <w:lang w:val="lv-LV"/>
              </w:rPr>
              <w:t>misiju līmenis E</w:t>
            </w:r>
            <w:r w:rsidR="00F3599A" w:rsidRPr="001E482B">
              <w:rPr>
                <w:rFonts w:eastAsiaTheme="minorHAnsi"/>
                <w:bCs/>
                <w:color w:val="000000"/>
                <w:sz w:val="22"/>
                <w:szCs w:val="22"/>
                <w:lang w:val="lv-LV"/>
              </w:rPr>
              <w:t>S</w:t>
            </w:r>
            <w:r w:rsidR="00905D04" w:rsidRPr="001E482B">
              <w:rPr>
                <w:rFonts w:eastAsiaTheme="minorHAnsi"/>
                <w:bCs/>
                <w:color w:val="000000"/>
                <w:sz w:val="22"/>
                <w:szCs w:val="22"/>
                <w:lang w:val="lv-LV"/>
              </w:rPr>
              <w:t xml:space="preserve"> ir starpība starp dalībnieku kopējo noteikto daudzumu un dalībvalstu un Islandes emisiju līmeņu summu;</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dalībvalstu un Islandes attiecīgie emisiju līmeņi saskaņā ar Kioto protokola 4.panta 1.un 5.punktu ir summa, ko veido to attiecīgie daudzumi, k</w:t>
            </w:r>
            <w:r w:rsidR="006F60DC" w:rsidRPr="001E482B">
              <w:rPr>
                <w:rFonts w:eastAsiaTheme="minorHAnsi"/>
                <w:bCs/>
                <w:color w:val="000000"/>
                <w:sz w:val="22"/>
                <w:szCs w:val="22"/>
                <w:lang w:val="lv-LV"/>
              </w:rPr>
              <w:t>as</w:t>
            </w:r>
            <w:r w:rsidRPr="001E482B">
              <w:rPr>
                <w:rFonts w:eastAsiaTheme="minorHAnsi"/>
                <w:bCs/>
                <w:color w:val="000000"/>
                <w:sz w:val="22"/>
                <w:szCs w:val="22"/>
                <w:lang w:val="lv-LV"/>
              </w:rPr>
              <w:t xml:space="preserve"> norādīti Nolīguma 1.tabulā, un jebkādi rezultāti, kurus iegūst, piemērojot Kioto protokola 3.panta 7.a </w:t>
            </w:r>
            <w:r w:rsidR="006F60DC" w:rsidRPr="001E482B">
              <w:rPr>
                <w:rFonts w:eastAsiaTheme="minorHAnsi"/>
                <w:bCs/>
                <w:color w:val="000000"/>
                <w:sz w:val="22"/>
                <w:szCs w:val="22"/>
                <w:lang w:val="lv-LV"/>
              </w:rPr>
              <w:t>apakš</w:t>
            </w:r>
            <w:r w:rsidRPr="001E482B">
              <w:rPr>
                <w:rFonts w:eastAsiaTheme="minorHAnsi"/>
                <w:bCs/>
                <w:color w:val="000000"/>
                <w:sz w:val="22"/>
                <w:szCs w:val="22"/>
                <w:lang w:val="lv-LV"/>
              </w:rPr>
              <w:t>punkta otro teikumu attiecīgajai dalībvalstij vai Islandei;</w:t>
            </w:r>
          </w:p>
          <w:p w:rsidR="00905D04" w:rsidRPr="001E482B" w:rsidRDefault="00905D04">
            <w:pPr>
              <w:pStyle w:val="BodyText"/>
              <w:numPr>
                <w:ilvl w:val="0"/>
                <w:numId w:val="2"/>
              </w:numPr>
              <w:spacing w:before="60" w:after="60"/>
              <w:ind w:left="227" w:hanging="227"/>
              <w:jc w:val="both"/>
              <w:rPr>
                <w:rFonts w:eastAsiaTheme="minorHAnsi"/>
                <w:bCs/>
                <w:color w:val="000000"/>
                <w:sz w:val="22"/>
                <w:szCs w:val="22"/>
                <w:lang w:val="lv-LV"/>
              </w:rPr>
            </w:pPr>
            <w:r w:rsidRPr="001E482B">
              <w:rPr>
                <w:rFonts w:eastAsiaTheme="minorHAnsi"/>
                <w:bCs/>
                <w:color w:val="000000"/>
                <w:sz w:val="22"/>
                <w:szCs w:val="22"/>
                <w:lang w:val="lv-LV"/>
              </w:rPr>
              <w:t>Nolīguma dalībnieki atsevišķi ziņo par SEG emisijām un CO</w:t>
            </w:r>
            <w:r w:rsidR="00657206" w:rsidRPr="001E482B">
              <w:rPr>
                <w:rFonts w:eastAsiaTheme="minorHAnsi"/>
                <w:bCs/>
                <w:color w:val="000000"/>
                <w:sz w:val="22"/>
                <w:szCs w:val="22"/>
                <w:vertAlign w:val="subscript"/>
                <w:lang w:val="lv-LV"/>
              </w:rPr>
              <w:t>2</w:t>
            </w:r>
            <w:r w:rsidRPr="001E482B">
              <w:rPr>
                <w:rFonts w:eastAsiaTheme="minorHAnsi"/>
                <w:bCs/>
                <w:color w:val="000000"/>
                <w:sz w:val="22"/>
                <w:szCs w:val="22"/>
                <w:lang w:val="lv-LV"/>
              </w:rPr>
              <w:t xml:space="preserve"> piesaisti, uz ko attiecas to attiecīgie noteiktie daudzumi.</w:t>
            </w:r>
          </w:p>
          <w:p w:rsidR="00905D04" w:rsidRPr="001E482B" w:rsidRDefault="00905D04" w:rsidP="00FB574E">
            <w:pPr>
              <w:pStyle w:val="BodyText"/>
              <w:spacing w:before="60" w:after="60"/>
              <w:ind w:firstLine="227"/>
              <w:jc w:val="both"/>
              <w:rPr>
                <w:rFonts w:eastAsiaTheme="minorHAnsi"/>
                <w:bCs/>
                <w:color w:val="000000"/>
                <w:sz w:val="22"/>
                <w:szCs w:val="22"/>
                <w:lang w:val="lv-LV"/>
              </w:rPr>
            </w:pPr>
            <w:r w:rsidRPr="001E482B">
              <w:rPr>
                <w:rFonts w:eastAsiaTheme="minorHAnsi"/>
                <w:bCs/>
                <w:color w:val="000000"/>
                <w:sz w:val="22"/>
                <w:szCs w:val="22"/>
                <w:lang w:val="lv-LV"/>
              </w:rPr>
              <w:t xml:space="preserve">Lai nodrošinātu, ka Islandei un </w:t>
            </w:r>
            <w:r w:rsidR="00F3599A" w:rsidRPr="001E482B">
              <w:rPr>
                <w:rFonts w:eastAsiaTheme="minorHAnsi"/>
                <w:bCs/>
                <w:color w:val="000000"/>
                <w:sz w:val="22"/>
                <w:szCs w:val="22"/>
                <w:lang w:val="lv-LV"/>
              </w:rPr>
              <w:t xml:space="preserve">ES </w:t>
            </w:r>
            <w:r w:rsidRPr="001E482B">
              <w:rPr>
                <w:rFonts w:eastAsiaTheme="minorHAnsi"/>
                <w:bCs/>
                <w:color w:val="000000"/>
                <w:sz w:val="22"/>
                <w:szCs w:val="22"/>
                <w:lang w:val="lv-LV"/>
              </w:rPr>
              <w:t xml:space="preserve">dalībvalstīm piemēro vienādus noteikumus, Islandes emisiju līmenis tika noteikts tādā veidā, kas atbilst gan Kioto protokola B pielikuma trešajā </w:t>
            </w:r>
            <w:r w:rsidR="00C7608A" w:rsidRPr="001E482B">
              <w:rPr>
                <w:rFonts w:eastAsiaTheme="minorHAnsi"/>
                <w:bCs/>
                <w:color w:val="000000"/>
                <w:sz w:val="22"/>
                <w:szCs w:val="22"/>
                <w:lang w:val="lv-LV"/>
              </w:rPr>
              <w:t>ailē</w:t>
            </w:r>
            <w:r w:rsidRPr="001E482B">
              <w:rPr>
                <w:rFonts w:eastAsiaTheme="minorHAnsi"/>
                <w:bCs/>
                <w:color w:val="000000"/>
                <w:sz w:val="22"/>
                <w:szCs w:val="22"/>
                <w:lang w:val="lv-LV"/>
              </w:rPr>
              <w:t xml:space="preserve"> ierakstītajām kvantitatīvajām emisiju samazināšanas saistībām</w:t>
            </w:r>
            <w:r w:rsidR="00FF450C" w:rsidRPr="001E482B">
              <w:rPr>
                <w:rFonts w:eastAsiaTheme="minorHAnsi"/>
                <w:bCs/>
                <w:color w:val="000000"/>
                <w:sz w:val="22"/>
                <w:szCs w:val="22"/>
                <w:lang w:val="lv-LV"/>
              </w:rPr>
              <w:t xml:space="preserve"> Dohas grozījumiem</w:t>
            </w:r>
            <w:r w:rsidRPr="001E482B">
              <w:rPr>
                <w:rFonts w:eastAsiaTheme="minorHAnsi"/>
                <w:bCs/>
                <w:color w:val="000000"/>
                <w:sz w:val="22"/>
                <w:szCs w:val="22"/>
                <w:lang w:val="lv-LV"/>
              </w:rPr>
              <w:t>, gan E</w:t>
            </w:r>
            <w:r w:rsidR="00F3599A" w:rsidRPr="001E482B">
              <w:rPr>
                <w:rFonts w:eastAsiaTheme="minorHAnsi"/>
                <w:bCs/>
                <w:color w:val="000000"/>
                <w:sz w:val="22"/>
                <w:szCs w:val="22"/>
                <w:lang w:val="lv-LV"/>
              </w:rPr>
              <w:t>S</w:t>
            </w:r>
            <w:r w:rsidRPr="001E482B">
              <w:rPr>
                <w:rFonts w:eastAsiaTheme="minorHAnsi"/>
                <w:bCs/>
                <w:color w:val="000000"/>
                <w:sz w:val="22"/>
                <w:szCs w:val="22"/>
                <w:lang w:val="lv-LV"/>
              </w:rPr>
              <w:t xml:space="preserve"> aktiem,</w:t>
            </w:r>
            <w:r w:rsidR="008D33E3" w:rsidRPr="001E482B">
              <w:rPr>
                <w:rFonts w:eastAsiaTheme="minorHAnsi"/>
                <w:bCs/>
                <w:color w:val="000000"/>
                <w:sz w:val="22"/>
                <w:szCs w:val="22"/>
                <w:lang w:val="lv-LV"/>
              </w:rPr>
              <w:t xml:space="preserve"> kas minēti Nolīguma 1.pielikumā</w:t>
            </w:r>
            <w:r w:rsidR="008D33E3" w:rsidRPr="001E482B">
              <w:rPr>
                <w:rStyle w:val="FootnoteReference"/>
                <w:rFonts w:eastAsiaTheme="minorHAnsi"/>
                <w:bCs/>
                <w:color w:val="000000"/>
                <w:sz w:val="22"/>
                <w:szCs w:val="22"/>
                <w:lang w:val="lv-LV"/>
              </w:rPr>
              <w:footnoteReference w:id="1"/>
            </w:r>
            <w:r w:rsidR="008D33E3" w:rsidRPr="001E482B">
              <w:rPr>
                <w:rFonts w:eastAsiaTheme="minorHAnsi"/>
                <w:bCs/>
                <w:color w:val="000000"/>
                <w:sz w:val="22"/>
                <w:szCs w:val="22"/>
                <w:lang w:val="lv-LV"/>
              </w:rPr>
              <w:t xml:space="preserve">, un arī </w:t>
            </w:r>
            <w:r w:rsidRPr="001E482B">
              <w:rPr>
                <w:rFonts w:eastAsiaTheme="minorHAnsi"/>
                <w:bCs/>
                <w:color w:val="000000"/>
                <w:sz w:val="22"/>
                <w:szCs w:val="22"/>
                <w:lang w:val="lv-LV"/>
              </w:rPr>
              <w:t>2009.gada Klimata un enerģētikas pakotnei</w:t>
            </w:r>
            <w:r w:rsidR="00F3599A" w:rsidRPr="001E482B">
              <w:rPr>
                <w:rStyle w:val="FootnoteReference"/>
                <w:rFonts w:eastAsiaTheme="minorHAnsi"/>
                <w:bCs/>
                <w:color w:val="000000"/>
                <w:sz w:val="22"/>
                <w:szCs w:val="22"/>
                <w:lang w:val="lv-LV"/>
              </w:rPr>
              <w:footnoteReference w:id="2"/>
            </w:r>
            <w:r w:rsidR="008D33E3" w:rsidRPr="001E482B">
              <w:rPr>
                <w:rFonts w:eastAsiaTheme="minorHAnsi"/>
                <w:bCs/>
                <w:color w:val="000000"/>
                <w:sz w:val="22"/>
                <w:szCs w:val="22"/>
                <w:lang w:val="lv-LV"/>
              </w:rPr>
              <w:t>,</w:t>
            </w:r>
            <w:r w:rsidRPr="001E482B">
              <w:rPr>
                <w:rFonts w:eastAsiaTheme="minorHAnsi"/>
                <w:bCs/>
                <w:color w:val="000000"/>
                <w:sz w:val="22"/>
                <w:szCs w:val="22"/>
                <w:lang w:val="lv-LV"/>
              </w:rPr>
              <w:t xml:space="preserve"> un principiem un kritērijiem, kas ir minētajos tiesību aktos izvirzīto mērķu pamatā.</w:t>
            </w:r>
          </w:p>
          <w:p w:rsidR="00036309" w:rsidRPr="001E482B" w:rsidRDefault="00FF450C">
            <w:pPr>
              <w:pStyle w:val="BodyText"/>
              <w:spacing w:before="60" w:after="60"/>
              <w:ind w:firstLine="227"/>
              <w:jc w:val="both"/>
              <w:rPr>
                <w:rFonts w:eastAsiaTheme="minorHAnsi"/>
                <w:bCs/>
                <w:color w:val="000000"/>
                <w:sz w:val="22"/>
                <w:szCs w:val="22"/>
                <w:lang w:val="lv-LV"/>
              </w:rPr>
            </w:pPr>
            <w:r w:rsidRPr="001E482B">
              <w:rPr>
                <w:rFonts w:eastAsiaTheme="minorHAnsi"/>
                <w:bCs/>
                <w:color w:val="000000"/>
                <w:sz w:val="22"/>
                <w:szCs w:val="22"/>
                <w:lang w:val="lv-LV"/>
              </w:rPr>
              <w:t xml:space="preserve">Atbilstoši </w:t>
            </w:r>
            <w:r w:rsidR="00905D04" w:rsidRPr="001E482B">
              <w:rPr>
                <w:rFonts w:eastAsiaTheme="minorHAnsi"/>
                <w:bCs/>
                <w:color w:val="000000"/>
                <w:sz w:val="22"/>
                <w:szCs w:val="22"/>
                <w:lang w:val="lv-LV"/>
              </w:rPr>
              <w:t>Nolīgum</w:t>
            </w:r>
            <w:r w:rsidRPr="001E482B">
              <w:rPr>
                <w:rFonts w:eastAsiaTheme="minorHAnsi"/>
                <w:bCs/>
                <w:color w:val="000000"/>
                <w:sz w:val="22"/>
                <w:szCs w:val="22"/>
                <w:lang w:val="lv-LV"/>
              </w:rPr>
              <w:t xml:space="preserve">a 11.pantam </w:t>
            </w:r>
            <w:r w:rsidR="00905D04" w:rsidRPr="001E482B">
              <w:rPr>
                <w:rFonts w:eastAsiaTheme="minorHAnsi"/>
                <w:bCs/>
                <w:color w:val="000000"/>
                <w:sz w:val="22"/>
                <w:szCs w:val="22"/>
                <w:lang w:val="lv-LV"/>
              </w:rPr>
              <w:t>tas stājas spēkā deviņdesmitajā dienā pēc tam, kad Eiropas Savienība un visas tās dalībvalstis</w:t>
            </w:r>
            <w:r w:rsidRPr="001E482B">
              <w:rPr>
                <w:rFonts w:eastAsiaTheme="minorHAnsi"/>
                <w:bCs/>
                <w:color w:val="000000"/>
                <w:sz w:val="22"/>
                <w:szCs w:val="22"/>
                <w:lang w:val="lv-LV"/>
              </w:rPr>
              <w:t>, kā arī Islande</w:t>
            </w:r>
            <w:r w:rsidR="00905D04" w:rsidRPr="001E482B">
              <w:rPr>
                <w:rFonts w:eastAsiaTheme="minorHAnsi"/>
                <w:bCs/>
                <w:color w:val="000000"/>
                <w:sz w:val="22"/>
                <w:szCs w:val="22"/>
                <w:lang w:val="lv-LV"/>
              </w:rPr>
              <w:t xml:space="preserve"> ir ratificējušas Nolīgumu un ir </w:t>
            </w:r>
            <w:r w:rsidRPr="001E482B">
              <w:rPr>
                <w:rFonts w:eastAsiaTheme="minorHAnsi"/>
                <w:bCs/>
                <w:color w:val="000000"/>
                <w:sz w:val="22"/>
                <w:szCs w:val="22"/>
                <w:lang w:val="lv-LV"/>
              </w:rPr>
              <w:t>deponējušas</w:t>
            </w:r>
            <w:r w:rsidR="00905D04" w:rsidRPr="001E482B">
              <w:rPr>
                <w:rFonts w:eastAsiaTheme="minorHAnsi"/>
                <w:bCs/>
                <w:color w:val="000000"/>
                <w:sz w:val="22"/>
                <w:szCs w:val="22"/>
                <w:lang w:val="lv-LV"/>
              </w:rPr>
              <w:t xml:space="preserve"> savus ratifikācijas instrumentus.</w:t>
            </w:r>
          </w:p>
          <w:p w:rsidR="00905D04" w:rsidRPr="001E482B" w:rsidRDefault="006B3DE7" w:rsidP="00933129">
            <w:pPr>
              <w:pStyle w:val="BodyText"/>
              <w:spacing w:before="60" w:after="60"/>
              <w:ind w:firstLine="227"/>
              <w:jc w:val="both"/>
              <w:rPr>
                <w:rFonts w:eastAsiaTheme="minorHAnsi"/>
                <w:bCs/>
                <w:color w:val="000000"/>
                <w:sz w:val="22"/>
                <w:szCs w:val="22"/>
                <w:lang w:val="lv-LV"/>
              </w:rPr>
            </w:pPr>
            <w:r w:rsidRPr="001E482B">
              <w:rPr>
                <w:rFonts w:eastAsiaTheme="minorHAnsi"/>
                <w:bCs/>
                <w:color w:val="000000"/>
                <w:sz w:val="22"/>
                <w:szCs w:val="22"/>
                <w:lang w:val="lv-LV"/>
              </w:rPr>
              <w:t xml:space="preserve">Atbilstoši </w:t>
            </w:r>
            <w:r w:rsidR="00FE68A4" w:rsidRPr="001E482B">
              <w:rPr>
                <w:rFonts w:eastAsiaTheme="minorHAnsi"/>
                <w:bCs/>
                <w:color w:val="000000"/>
                <w:sz w:val="22"/>
                <w:szCs w:val="22"/>
                <w:lang w:val="lv-LV"/>
              </w:rPr>
              <w:t xml:space="preserve">aktuālajai informācijai </w:t>
            </w:r>
            <w:r w:rsidR="00905D04" w:rsidRPr="001E482B">
              <w:rPr>
                <w:rFonts w:eastAsiaTheme="minorHAnsi"/>
                <w:bCs/>
                <w:color w:val="000000"/>
                <w:sz w:val="22"/>
                <w:szCs w:val="22"/>
                <w:lang w:val="lv-LV"/>
              </w:rPr>
              <w:t>visas Eiropas Savienības dalībvalstis</w:t>
            </w:r>
            <w:r w:rsidR="00933129" w:rsidRPr="001E482B">
              <w:rPr>
                <w:rFonts w:eastAsiaTheme="minorHAnsi"/>
                <w:bCs/>
                <w:color w:val="000000"/>
                <w:sz w:val="22"/>
                <w:szCs w:val="22"/>
                <w:lang w:val="lv-LV"/>
              </w:rPr>
              <w:t xml:space="preserve"> ir parakstījušas Nolīgumu,</w:t>
            </w:r>
            <w:r w:rsidR="00905D04" w:rsidRPr="001E482B">
              <w:rPr>
                <w:rFonts w:eastAsiaTheme="minorHAnsi"/>
                <w:bCs/>
                <w:color w:val="000000"/>
                <w:sz w:val="22"/>
                <w:szCs w:val="22"/>
                <w:lang w:val="lv-LV"/>
              </w:rPr>
              <w:t xml:space="preserve"> </w:t>
            </w:r>
            <w:r w:rsidR="009C71C2" w:rsidRPr="001E482B">
              <w:rPr>
                <w:rFonts w:eastAsiaTheme="minorHAnsi"/>
                <w:bCs/>
                <w:color w:val="000000"/>
                <w:sz w:val="22"/>
                <w:szCs w:val="22"/>
                <w:lang w:val="lv-LV"/>
              </w:rPr>
              <w:t>un</w:t>
            </w:r>
            <w:r w:rsidR="00933129" w:rsidRPr="001E482B">
              <w:rPr>
                <w:rFonts w:eastAsiaTheme="minorHAnsi"/>
                <w:bCs/>
                <w:color w:val="000000"/>
                <w:sz w:val="22"/>
                <w:szCs w:val="22"/>
                <w:lang w:val="lv-LV"/>
              </w:rPr>
              <w:t xml:space="preserve"> 2015.gada 1.aprīlī</w:t>
            </w:r>
            <w:r w:rsidR="009C71C2" w:rsidRPr="001E482B">
              <w:rPr>
                <w:rFonts w:eastAsiaTheme="minorHAnsi"/>
                <w:bCs/>
                <w:color w:val="000000"/>
                <w:sz w:val="22"/>
                <w:szCs w:val="22"/>
                <w:lang w:val="lv-LV"/>
              </w:rPr>
              <w:t xml:space="preserve"> arī E</w:t>
            </w:r>
            <w:r w:rsidR="00FE68A4" w:rsidRPr="001E482B">
              <w:rPr>
                <w:rFonts w:eastAsiaTheme="minorHAnsi"/>
                <w:bCs/>
                <w:color w:val="000000"/>
                <w:sz w:val="22"/>
                <w:szCs w:val="22"/>
                <w:lang w:val="lv-LV"/>
              </w:rPr>
              <w:t xml:space="preserve">iropas </w:t>
            </w:r>
            <w:r w:rsidR="009C71C2" w:rsidRPr="001E482B">
              <w:rPr>
                <w:rFonts w:eastAsiaTheme="minorHAnsi"/>
                <w:bCs/>
                <w:color w:val="000000"/>
                <w:sz w:val="22"/>
                <w:szCs w:val="22"/>
                <w:lang w:val="lv-LV"/>
              </w:rPr>
              <w:t>S</w:t>
            </w:r>
            <w:r w:rsidR="00FE68A4" w:rsidRPr="001E482B">
              <w:rPr>
                <w:rFonts w:eastAsiaTheme="minorHAnsi"/>
                <w:bCs/>
                <w:color w:val="000000"/>
                <w:sz w:val="22"/>
                <w:szCs w:val="22"/>
                <w:lang w:val="lv-LV"/>
              </w:rPr>
              <w:t>avienība</w:t>
            </w:r>
            <w:r w:rsidR="009C71C2" w:rsidRPr="001E482B">
              <w:rPr>
                <w:rFonts w:eastAsiaTheme="minorHAnsi"/>
                <w:bCs/>
                <w:color w:val="000000"/>
                <w:sz w:val="22"/>
                <w:szCs w:val="22"/>
                <w:lang w:val="lv-LV"/>
              </w:rPr>
              <w:t xml:space="preserve"> (Padomes ģenerālsekretārs)</w:t>
            </w:r>
            <w:r w:rsidR="00933129" w:rsidRPr="001E482B">
              <w:rPr>
                <w:rFonts w:eastAsiaTheme="minorHAnsi"/>
                <w:bCs/>
                <w:color w:val="000000"/>
                <w:sz w:val="22"/>
                <w:szCs w:val="22"/>
                <w:lang w:val="lv-LV"/>
              </w:rPr>
              <w:t xml:space="preserve"> </w:t>
            </w:r>
            <w:r w:rsidR="00933129" w:rsidRPr="001E482B">
              <w:rPr>
                <w:bCs/>
                <w:lang w:val="lv-LV"/>
              </w:rPr>
              <w:t xml:space="preserve">Pastāvīgo pārstāvju sanāksmē (Coreper I) parakstīja </w:t>
            </w:r>
            <w:r w:rsidR="00933129" w:rsidRPr="001E482B">
              <w:rPr>
                <w:bCs/>
                <w:lang w:val="lv-LV"/>
              </w:rPr>
              <w:lastRenderedPageBreak/>
              <w:t xml:space="preserve">Nolīgumu. </w:t>
            </w:r>
            <w:r w:rsidR="00905D04" w:rsidRPr="001E482B">
              <w:rPr>
                <w:rFonts w:eastAsiaTheme="minorHAnsi"/>
                <w:bCs/>
                <w:color w:val="000000"/>
                <w:sz w:val="22"/>
                <w:szCs w:val="22"/>
                <w:lang w:val="lv-LV"/>
              </w:rPr>
              <w:t>Padome formāli to</w:t>
            </w:r>
            <w:r w:rsidR="00933129" w:rsidRPr="001E482B">
              <w:rPr>
                <w:rFonts w:eastAsiaTheme="minorHAnsi"/>
                <w:bCs/>
                <w:color w:val="000000"/>
                <w:sz w:val="22"/>
                <w:szCs w:val="22"/>
                <w:lang w:val="lv-LV"/>
              </w:rPr>
              <w:t xml:space="preserve"> arī</w:t>
            </w:r>
            <w:r w:rsidR="00905D04" w:rsidRPr="001E482B">
              <w:rPr>
                <w:rFonts w:eastAsiaTheme="minorHAnsi"/>
                <w:bCs/>
                <w:color w:val="000000"/>
                <w:sz w:val="22"/>
                <w:szCs w:val="22"/>
                <w:lang w:val="lv-LV"/>
              </w:rPr>
              <w:t xml:space="preserve"> </w:t>
            </w:r>
            <w:r w:rsidR="009C71C2" w:rsidRPr="001E482B">
              <w:rPr>
                <w:rFonts w:eastAsiaTheme="minorHAnsi"/>
                <w:bCs/>
                <w:color w:val="000000"/>
                <w:sz w:val="22"/>
                <w:szCs w:val="22"/>
                <w:lang w:val="lv-LV"/>
              </w:rPr>
              <w:t xml:space="preserve">ir </w:t>
            </w:r>
            <w:r w:rsidR="00905D04" w:rsidRPr="001E482B">
              <w:rPr>
                <w:rFonts w:eastAsiaTheme="minorHAnsi"/>
                <w:bCs/>
                <w:color w:val="000000"/>
                <w:sz w:val="22"/>
                <w:szCs w:val="22"/>
                <w:lang w:val="lv-LV"/>
              </w:rPr>
              <w:t>apstiprinā</w:t>
            </w:r>
            <w:r w:rsidR="009C71C2" w:rsidRPr="001E482B">
              <w:rPr>
                <w:rFonts w:eastAsiaTheme="minorHAnsi"/>
                <w:bCs/>
                <w:color w:val="000000"/>
                <w:sz w:val="22"/>
                <w:szCs w:val="22"/>
                <w:lang w:val="lv-LV"/>
              </w:rPr>
              <w:t>jusi</w:t>
            </w:r>
            <w:r w:rsidR="00905D04" w:rsidRPr="001E482B">
              <w:rPr>
                <w:rFonts w:eastAsiaTheme="minorHAnsi"/>
                <w:bCs/>
                <w:color w:val="000000"/>
                <w:sz w:val="22"/>
                <w:szCs w:val="22"/>
                <w:lang w:val="lv-LV"/>
              </w:rPr>
              <w:t>.</w:t>
            </w:r>
          </w:p>
          <w:p w:rsidR="00095AD3" w:rsidRPr="001E482B" w:rsidRDefault="00FE68A4">
            <w:pPr>
              <w:pStyle w:val="BodyText"/>
              <w:spacing w:before="60" w:after="60"/>
              <w:jc w:val="both"/>
              <w:rPr>
                <w:rFonts w:eastAsiaTheme="minorHAnsi"/>
                <w:b/>
                <w:bCs/>
                <w:i/>
                <w:color w:val="000000"/>
                <w:sz w:val="22"/>
                <w:szCs w:val="22"/>
                <w:u w:val="single"/>
                <w:lang w:val="lv-LV"/>
              </w:rPr>
            </w:pPr>
            <w:r w:rsidRPr="001E482B">
              <w:rPr>
                <w:rFonts w:eastAsiaTheme="minorHAnsi"/>
                <w:b/>
                <w:bCs/>
                <w:i/>
                <w:color w:val="000000"/>
                <w:sz w:val="22"/>
                <w:szCs w:val="22"/>
                <w:u w:val="single"/>
                <w:lang w:val="lv-LV"/>
              </w:rPr>
              <w:t>Spēkā esošais</w:t>
            </w:r>
            <w:r w:rsidR="00095AD3" w:rsidRPr="001E482B">
              <w:rPr>
                <w:rFonts w:eastAsiaTheme="minorHAnsi"/>
                <w:b/>
                <w:bCs/>
                <w:i/>
                <w:color w:val="000000"/>
                <w:sz w:val="22"/>
                <w:szCs w:val="22"/>
                <w:u w:val="single"/>
                <w:lang w:val="lv-LV"/>
              </w:rPr>
              <w:t xml:space="preserve"> tiesiskais regulējums un tā būtība</w:t>
            </w:r>
          </w:p>
          <w:p w:rsidR="00C76C09" w:rsidRPr="001E482B" w:rsidRDefault="00C76C09">
            <w:pPr>
              <w:pStyle w:val="BodyText"/>
              <w:spacing w:before="60" w:after="60"/>
              <w:ind w:firstLine="227"/>
              <w:jc w:val="both"/>
              <w:rPr>
                <w:rFonts w:eastAsiaTheme="minorHAnsi"/>
                <w:bCs/>
                <w:color w:val="000000"/>
                <w:sz w:val="22"/>
                <w:szCs w:val="22"/>
                <w:lang w:val="lv-LV"/>
              </w:rPr>
            </w:pPr>
            <w:r w:rsidRPr="001E482B">
              <w:rPr>
                <w:rFonts w:eastAsiaTheme="minorHAnsi"/>
                <w:bCs/>
                <w:color w:val="000000"/>
                <w:sz w:val="22"/>
                <w:szCs w:val="22"/>
                <w:lang w:val="lv-LV"/>
              </w:rPr>
              <w:t>Likuma „Par Latvijas Republikas starptautiskajiem līgumiem” 9. panta 5.punkt</w:t>
            </w:r>
            <w:r w:rsidR="00FE68A4" w:rsidRPr="001E482B">
              <w:rPr>
                <w:rFonts w:eastAsiaTheme="minorHAnsi"/>
                <w:bCs/>
                <w:color w:val="000000"/>
                <w:sz w:val="22"/>
                <w:szCs w:val="22"/>
                <w:lang w:val="lv-LV"/>
              </w:rPr>
              <w:t>ā</w:t>
            </w:r>
            <w:r w:rsidRPr="001E482B">
              <w:rPr>
                <w:rFonts w:eastAsiaTheme="minorHAnsi"/>
                <w:bCs/>
                <w:color w:val="000000"/>
                <w:sz w:val="22"/>
                <w:szCs w:val="22"/>
                <w:lang w:val="lv-LV"/>
              </w:rPr>
              <w:t xml:space="preserve"> no</w:t>
            </w:r>
            <w:r w:rsidR="00FE68A4" w:rsidRPr="001E482B">
              <w:rPr>
                <w:rFonts w:eastAsiaTheme="minorHAnsi"/>
                <w:bCs/>
                <w:color w:val="000000"/>
                <w:sz w:val="22"/>
                <w:szCs w:val="22"/>
                <w:lang w:val="lv-LV"/>
              </w:rPr>
              <w:t>teikts</w:t>
            </w:r>
            <w:r w:rsidRPr="001E482B">
              <w:rPr>
                <w:rFonts w:eastAsiaTheme="minorHAnsi"/>
                <w:bCs/>
                <w:color w:val="000000"/>
                <w:sz w:val="22"/>
                <w:szCs w:val="22"/>
                <w:lang w:val="lv-LV"/>
              </w:rPr>
              <w:t>, ka</w:t>
            </w:r>
            <w:r w:rsidRPr="001E482B">
              <w:rPr>
                <w:sz w:val="22"/>
                <w:szCs w:val="22"/>
                <w:lang w:val="lv-LV"/>
              </w:rPr>
              <w:t xml:space="preserve"> </w:t>
            </w:r>
            <w:r w:rsidRPr="001E482B">
              <w:rPr>
                <w:rFonts w:eastAsiaTheme="minorHAnsi"/>
                <w:bCs/>
                <w:color w:val="000000"/>
                <w:sz w:val="22"/>
                <w:szCs w:val="22"/>
                <w:lang w:val="lv-LV"/>
              </w:rPr>
              <w:t>Saeimā ir apstiprināmi arī tādi līgumi, ja ratifikācija tieši paredzēta līguma tekstā (</w:t>
            </w:r>
            <w:r w:rsidR="00FE68A4" w:rsidRPr="001E482B">
              <w:rPr>
                <w:rFonts w:eastAsiaTheme="minorHAnsi"/>
                <w:bCs/>
                <w:color w:val="000000"/>
                <w:sz w:val="22"/>
                <w:szCs w:val="22"/>
                <w:lang w:val="lv-LV"/>
              </w:rPr>
              <w:t>tas noteikts</w:t>
            </w:r>
            <w:r w:rsidR="00A34CCF" w:rsidRPr="001E482B">
              <w:rPr>
                <w:rFonts w:eastAsiaTheme="minorHAnsi"/>
                <w:bCs/>
                <w:color w:val="000000"/>
                <w:sz w:val="22"/>
                <w:szCs w:val="22"/>
                <w:lang w:val="lv-LV"/>
              </w:rPr>
              <w:t xml:space="preserve"> </w:t>
            </w:r>
            <w:r w:rsidRPr="001E482B">
              <w:rPr>
                <w:rFonts w:eastAsiaTheme="minorHAnsi"/>
                <w:bCs/>
                <w:color w:val="000000"/>
                <w:sz w:val="22"/>
                <w:szCs w:val="22"/>
                <w:lang w:val="lv-LV"/>
              </w:rPr>
              <w:t>Nolīguma 10.panta 1.punktā)</w:t>
            </w:r>
            <w:r w:rsidR="004F2F6D" w:rsidRPr="001E482B">
              <w:rPr>
                <w:rFonts w:eastAsiaTheme="minorHAnsi"/>
                <w:bCs/>
                <w:color w:val="000000"/>
                <w:sz w:val="22"/>
                <w:szCs w:val="22"/>
                <w:lang w:val="lv-LV"/>
              </w:rPr>
              <w:t>.</w:t>
            </w:r>
          </w:p>
          <w:p w:rsidR="00095AD3" w:rsidRPr="001E482B" w:rsidRDefault="00095AD3" w:rsidP="00CD6790">
            <w:pPr>
              <w:pStyle w:val="BodyText"/>
              <w:spacing w:before="60" w:after="60"/>
              <w:ind w:firstLine="227"/>
              <w:jc w:val="both"/>
              <w:rPr>
                <w:rFonts w:eastAsiaTheme="minorHAnsi"/>
                <w:b/>
                <w:bCs/>
                <w:i/>
                <w:color w:val="000000"/>
                <w:sz w:val="22"/>
                <w:szCs w:val="22"/>
                <w:u w:val="single"/>
                <w:lang w:val="lv-LV"/>
              </w:rPr>
            </w:pPr>
            <w:r w:rsidRPr="001E482B">
              <w:rPr>
                <w:rFonts w:eastAsiaTheme="minorHAnsi"/>
                <w:b/>
                <w:bCs/>
                <w:i/>
                <w:color w:val="000000"/>
                <w:sz w:val="22"/>
                <w:szCs w:val="22"/>
                <w:u w:val="single"/>
                <w:lang w:val="lv-LV"/>
              </w:rPr>
              <w:t>Projekta izdošanas mērķis</w:t>
            </w:r>
          </w:p>
          <w:p w:rsidR="00AD2CF0" w:rsidRPr="001E482B" w:rsidRDefault="00AD2CF0" w:rsidP="008C1F84">
            <w:pPr>
              <w:spacing w:before="60" w:after="60" w:line="240" w:lineRule="auto"/>
              <w:ind w:firstLine="170"/>
              <w:jc w:val="both"/>
              <w:rPr>
                <w:rFonts w:ascii="Times New Roman" w:hAnsi="Times New Roman"/>
              </w:rPr>
            </w:pPr>
            <w:r w:rsidRPr="001E482B">
              <w:rPr>
                <w:rFonts w:ascii="Times New Roman" w:hAnsi="Times New Roman"/>
              </w:rPr>
              <w:t>Padome</w:t>
            </w:r>
            <w:r w:rsidR="0060692A" w:rsidRPr="001E482B">
              <w:rPr>
                <w:rFonts w:ascii="Times New Roman" w:hAnsi="Times New Roman"/>
              </w:rPr>
              <w:t>,</w:t>
            </w:r>
            <w:r w:rsidRPr="001E482B">
              <w:rPr>
                <w:rFonts w:ascii="Times New Roman" w:hAnsi="Times New Roman"/>
              </w:rPr>
              <w:t xml:space="preserve"> 2015.gada 26.janvārī apstiprinot Lēmumu par Islandes Nolīguma parakstīšanu un </w:t>
            </w:r>
            <w:r w:rsidR="008941FD" w:rsidRPr="001E482B">
              <w:rPr>
                <w:rFonts w:ascii="Times New Roman" w:hAnsi="Times New Roman"/>
              </w:rPr>
              <w:t xml:space="preserve">2015.gada </w:t>
            </w:r>
            <w:r w:rsidR="001E482B" w:rsidRPr="001E482B">
              <w:rPr>
                <w:rFonts w:ascii="Times New Roman" w:hAnsi="Times New Roman"/>
              </w:rPr>
              <w:t>13.</w:t>
            </w:r>
            <w:r w:rsidR="008941FD" w:rsidRPr="001E482B">
              <w:rPr>
                <w:rFonts w:ascii="Times New Roman" w:hAnsi="Times New Roman"/>
              </w:rPr>
              <w:t>jūlijā stājoties spēkā Padomes lēmumam Nr.</w:t>
            </w:r>
            <w:r w:rsidR="001E482B" w:rsidRPr="001E482B">
              <w:rPr>
                <w:rFonts w:ascii="Times New Roman" w:hAnsi="Times New Roman"/>
              </w:rPr>
              <w:t>2013/1340</w:t>
            </w:r>
            <w:r w:rsidRPr="001E482B">
              <w:rPr>
                <w:rFonts w:ascii="Times New Roman" w:hAnsi="Times New Roman"/>
              </w:rPr>
              <w:t>, panāca vienošanos par Nolīguma noslēgšanu.</w:t>
            </w:r>
          </w:p>
          <w:p w:rsidR="00AD2CF0" w:rsidRPr="001E482B" w:rsidRDefault="00AD2CF0" w:rsidP="008C1F84">
            <w:pPr>
              <w:spacing w:before="60" w:after="60" w:line="240" w:lineRule="auto"/>
              <w:ind w:firstLine="170"/>
              <w:jc w:val="both"/>
              <w:rPr>
                <w:rFonts w:ascii="Times New Roman" w:hAnsi="Times New Roman"/>
                <w:b/>
              </w:rPr>
            </w:pPr>
            <w:r w:rsidRPr="001E482B">
              <w:rPr>
                <w:rFonts w:ascii="Times New Roman" w:hAnsi="Times New Roman"/>
                <w:b/>
              </w:rPr>
              <w:t>Saskaņā ar Nolīguma 10.panta 1.punktu, katrai Nolīguma Pusei (arī Latvijai) ir jāratificē Nolīgums saskaņā ar Pusei saistošajām valsts normatīvo aktu un likumdošanas prasībām.</w:t>
            </w:r>
          </w:p>
          <w:p w:rsidR="000847B8" w:rsidRPr="001E482B" w:rsidRDefault="000847B8" w:rsidP="008C1F84">
            <w:pPr>
              <w:spacing w:before="60" w:after="60" w:line="240" w:lineRule="auto"/>
              <w:ind w:firstLine="170"/>
              <w:jc w:val="both"/>
              <w:rPr>
                <w:rFonts w:ascii="Times New Roman" w:hAnsi="Times New Roman"/>
                <w:b/>
              </w:rPr>
            </w:pPr>
            <w:r w:rsidRPr="001E482B">
              <w:rPr>
                <w:rFonts w:ascii="Times New Roman" w:hAnsi="Times New Roman"/>
              </w:rPr>
              <w:t>Nolīguma izpilde ir gan ES, gan dalībvalstu kompetencē, tāpēc tas tika parakstīts kā jaukts starptautisks līgums, kas pirms noslēgšanas ES līmenī ir apstiprinām saskaņā ar visu dalībvalstu nacionālajām procedūrām.</w:t>
            </w:r>
          </w:p>
          <w:p w:rsidR="00AD2CF0" w:rsidRPr="001E482B" w:rsidRDefault="00AD2CF0" w:rsidP="008C1F84">
            <w:pPr>
              <w:pStyle w:val="BodyText"/>
              <w:spacing w:before="60" w:after="60"/>
              <w:ind w:firstLine="170"/>
              <w:jc w:val="both"/>
              <w:rPr>
                <w:rFonts w:eastAsiaTheme="minorHAnsi"/>
                <w:bCs/>
                <w:i/>
                <w:color w:val="000000"/>
                <w:sz w:val="22"/>
                <w:szCs w:val="22"/>
                <w:lang w:val="lv-LV"/>
              </w:rPr>
            </w:pPr>
            <w:r w:rsidRPr="001E482B">
              <w:rPr>
                <w:sz w:val="22"/>
                <w:szCs w:val="22"/>
                <w:lang w:val="lv-LV"/>
              </w:rPr>
              <w:t>Nolīgumā ir arī noteikts, ka katra Puse savu ratifikācijas instrumentu deponē Padomes ģenerālsekretariātā vai nu pirms sava Dohas grozījum</w:t>
            </w:r>
            <w:r w:rsidR="004D17B2" w:rsidRPr="001E482B">
              <w:rPr>
                <w:sz w:val="22"/>
                <w:szCs w:val="22"/>
                <w:lang w:val="lv-LV"/>
              </w:rPr>
              <w:t>a</w:t>
            </w:r>
            <w:r w:rsidRPr="001E482B">
              <w:rPr>
                <w:sz w:val="22"/>
                <w:szCs w:val="22"/>
                <w:lang w:val="lv-LV"/>
              </w:rPr>
              <w:t xml:space="preserve"> apstiprināšanas dokumenta deponēšanas Apvienoto Nāciju Organizācijas ģenerālsekretariātā, vai vienlaikus ar apstiprināšanas dokumenta deponēšanu. Tāpēc ir plānots, ka likumprojekts tiks virzīts apstiprināšanai Saeimā kopā ar likumprojektu „Par Apvienoto Nāciju Organizācijas Vispārējās konvencijas par klimata pārmaiņām Kioto protokola Dohas grozījumu”.</w:t>
            </w:r>
          </w:p>
          <w:p w:rsidR="00C90696" w:rsidRPr="001E482B" w:rsidRDefault="004F2F6D" w:rsidP="000847B8">
            <w:pPr>
              <w:pStyle w:val="BodyText"/>
              <w:spacing w:before="60" w:after="60"/>
              <w:ind w:firstLine="170"/>
              <w:jc w:val="both"/>
              <w:rPr>
                <w:rFonts w:eastAsiaTheme="minorHAnsi"/>
                <w:bCs/>
                <w:color w:val="000000"/>
                <w:sz w:val="22"/>
                <w:szCs w:val="22"/>
                <w:lang w:val="lv-LV"/>
              </w:rPr>
            </w:pPr>
            <w:r w:rsidRPr="001E482B">
              <w:rPr>
                <w:rFonts w:eastAsiaTheme="minorHAnsi"/>
                <w:bCs/>
                <w:color w:val="000000"/>
                <w:sz w:val="22"/>
                <w:szCs w:val="22"/>
                <w:lang w:val="lv-LV"/>
              </w:rPr>
              <w:t>Likumprojekts ir izstrādāts, lai pieņemtu un apstiprinātu Nolīgumu, kā arī, lai noteiktu, ka Nolīgumā paredzēto saistību izpildi koordinē Vides aizsardzības un reģionālās attīstības ministrija</w:t>
            </w:r>
            <w:r w:rsidR="00C90696" w:rsidRPr="001E482B">
              <w:rPr>
                <w:rFonts w:eastAsiaTheme="minorHAnsi"/>
                <w:bCs/>
                <w:color w:val="000000"/>
                <w:sz w:val="22"/>
                <w:szCs w:val="22"/>
                <w:lang w:val="lv-LV"/>
              </w:rPr>
              <w:t>.</w:t>
            </w:r>
          </w:p>
        </w:tc>
      </w:tr>
      <w:tr w:rsidR="006D3B45" w:rsidRPr="001E482B" w:rsidTr="003C6FC6">
        <w:trPr>
          <w:jc w:val="center"/>
        </w:trPr>
        <w:tc>
          <w:tcPr>
            <w:tcW w:w="534" w:type="dxa"/>
          </w:tcPr>
          <w:p w:rsidR="006D3B45" w:rsidRPr="001E482B" w:rsidRDefault="006D3B45" w:rsidP="00B67029">
            <w:pPr>
              <w:spacing w:after="0" w:line="240" w:lineRule="auto"/>
              <w:rPr>
                <w:rFonts w:ascii="Times New Roman" w:hAnsi="Times New Roman"/>
              </w:rPr>
            </w:pPr>
            <w:r w:rsidRPr="001E482B">
              <w:rPr>
                <w:rFonts w:ascii="Times New Roman" w:hAnsi="Times New Roman"/>
              </w:rPr>
              <w:lastRenderedPageBreak/>
              <w:t>3.</w:t>
            </w:r>
          </w:p>
        </w:tc>
        <w:tc>
          <w:tcPr>
            <w:tcW w:w="1446" w:type="dxa"/>
          </w:tcPr>
          <w:p w:rsidR="006D3B45" w:rsidRPr="001E482B" w:rsidRDefault="006D3B45" w:rsidP="00B67029">
            <w:pPr>
              <w:spacing w:after="0" w:line="240" w:lineRule="auto"/>
              <w:rPr>
                <w:rFonts w:ascii="Times New Roman" w:hAnsi="Times New Roman"/>
              </w:rPr>
            </w:pPr>
            <w:r w:rsidRPr="001E482B">
              <w:rPr>
                <w:rFonts w:ascii="Times New Roman" w:hAnsi="Times New Roman"/>
              </w:rPr>
              <w:t>Projekta izstrādē iesaistītās institūcijas</w:t>
            </w:r>
          </w:p>
        </w:tc>
        <w:tc>
          <w:tcPr>
            <w:tcW w:w="7059" w:type="dxa"/>
          </w:tcPr>
          <w:p w:rsidR="00F63F5E" w:rsidRPr="001E482B" w:rsidRDefault="00F752E3" w:rsidP="00B67029">
            <w:pPr>
              <w:autoSpaceDE w:val="0"/>
              <w:autoSpaceDN w:val="0"/>
              <w:adjustRightInd w:val="0"/>
              <w:spacing w:after="0" w:line="240" w:lineRule="auto"/>
              <w:jc w:val="both"/>
              <w:rPr>
                <w:rFonts w:ascii="Times New Roman" w:hAnsi="Times New Roman"/>
              </w:rPr>
            </w:pPr>
            <w:r w:rsidRPr="001E482B">
              <w:rPr>
                <w:rFonts w:ascii="Times New Roman" w:hAnsi="Times New Roman"/>
              </w:rPr>
              <w:t>Vides aizsardzības un reģionālās attīstības ministrija</w:t>
            </w:r>
            <w:r w:rsidR="00D144CC" w:rsidRPr="001E482B">
              <w:rPr>
                <w:rFonts w:ascii="Times New Roman" w:hAnsi="Times New Roman"/>
              </w:rPr>
              <w:t xml:space="preserve"> (turpmāk – VARAM)</w:t>
            </w:r>
            <w:r w:rsidRPr="001E482B">
              <w:rPr>
                <w:rFonts w:ascii="Times New Roman" w:hAnsi="Times New Roman"/>
              </w:rPr>
              <w:t>.</w:t>
            </w:r>
          </w:p>
        </w:tc>
      </w:tr>
      <w:tr w:rsidR="006D3B45" w:rsidRPr="001E482B" w:rsidTr="003C6FC6">
        <w:trPr>
          <w:jc w:val="center"/>
        </w:trPr>
        <w:tc>
          <w:tcPr>
            <w:tcW w:w="534" w:type="dxa"/>
            <w:tcBorders>
              <w:bottom w:val="single" w:sz="4" w:space="0" w:color="auto"/>
            </w:tcBorders>
          </w:tcPr>
          <w:p w:rsidR="006D3B45" w:rsidRPr="001E482B" w:rsidRDefault="006D3B45" w:rsidP="00B67029">
            <w:pPr>
              <w:spacing w:after="0" w:line="240" w:lineRule="auto"/>
              <w:rPr>
                <w:rFonts w:ascii="Times New Roman" w:hAnsi="Times New Roman"/>
              </w:rPr>
            </w:pPr>
            <w:r w:rsidRPr="001E482B">
              <w:rPr>
                <w:rFonts w:ascii="Times New Roman" w:hAnsi="Times New Roman"/>
              </w:rPr>
              <w:t>4.</w:t>
            </w:r>
          </w:p>
        </w:tc>
        <w:tc>
          <w:tcPr>
            <w:tcW w:w="1446" w:type="dxa"/>
            <w:tcBorders>
              <w:bottom w:val="single" w:sz="4" w:space="0" w:color="auto"/>
            </w:tcBorders>
          </w:tcPr>
          <w:p w:rsidR="006D3B45" w:rsidRPr="001E482B" w:rsidRDefault="006D3B45" w:rsidP="00B67029">
            <w:pPr>
              <w:spacing w:after="0" w:line="240" w:lineRule="auto"/>
              <w:rPr>
                <w:rFonts w:ascii="Times New Roman" w:hAnsi="Times New Roman"/>
              </w:rPr>
            </w:pPr>
            <w:r w:rsidRPr="001E482B">
              <w:rPr>
                <w:rFonts w:ascii="Times New Roman" w:hAnsi="Times New Roman"/>
              </w:rPr>
              <w:t xml:space="preserve">Cita informācija </w:t>
            </w:r>
          </w:p>
        </w:tc>
        <w:tc>
          <w:tcPr>
            <w:tcW w:w="7059" w:type="dxa"/>
            <w:tcBorders>
              <w:bottom w:val="single" w:sz="4" w:space="0" w:color="auto"/>
            </w:tcBorders>
          </w:tcPr>
          <w:p w:rsidR="00657206" w:rsidRPr="001E482B" w:rsidRDefault="005A44F7" w:rsidP="008C1F84">
            <w:pPr>
              <w:spacing w:after="0" w:line="240" w:lineRule="auto"/>
              <w:jc w:val="both"/>
              <w:rPr>
                <w:rFonts w:ascii="Times New Roman" w:hAnsi="Times New Roman"/>
              </w:rPr>
            </w:pPr>
            <w:r w:rsidRPr="001E482B">
              <w:rPr>
                <w:rFonts w:ascii="Times New Roman" w:hAnsi="Times New Roman"/>
                <w:color w:val="000000"/>
              </w:rPr>
              <w:t>Nav</w:t>
            </w:r>
          </w:p>
        </w:tc>
      </w:tr>
    </w:tbl>
    <w:p w:rsidR="00F752E3" w:rsidRPr="001E482B" w:rsidRDefault="00F752E3" w:rsidP="00F752E3">
      <w:pPr>
        <w:spacing w:after="0" w:line="240" w:lineRule="auto"/>
        <w:rPr>
          <w:rFonts w:ascii="Times New Roman" w:eastAsia="Times New Roman" w:hAnsi="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82"/>
        <w:gridCol w:w="2913"/>
        <w:gridCol w:w="6244"/>
      </w:tblGrid>
      <w:tr w:rsidR="00F752E3" w:rsidRPr="001E482B" w:rsidTr="003C6FC6">
        <w:trPr>
          <w:trHeight w:val="255"/>
          <w:jc w:val="center"/>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52E3" w:rsidRPr="001E482B" w:rsidRDefault="00F752E3" w:rsidP="00F752E3">
            <w:pPr>
              <w:spacing w:before="100" w:beforeAutospacing="1" w:after="100" w:afterAutospacing="1" w:line="293" w:lineRule="atLeast"/>
              <w:jc w:val="center"/>
              <w:rPr>
                <w:rFonts w:ascii="Times New Roman" w:eastAsia="Times New Roman" w:hAnsi="Times New Roman"/>
                <w:b/>
                <w:bCs/>
                <w:lang w:eastAsia="lv-LV"/>
              </w:rPr>
            </w:pPr>
            <w:r w:rsidRPr="001E482B">
              <w:rPr>
                <w:rFonts w:ascii="Times New Roman" w:eastAsia="Times New Roman" w:hAnsi="Times New Roman"/>
                <w:b/>
                <w:bCs/>
                <w:lang w:eastAsia="lv-LV"/>
              </w:rPr>
              <w:t>II. Tiesību akta projekta ietekme uz sabiedrību, tautsaimniecības attīstību un administratīvo slogu</w:t>
            </w:r>
          </w:p>
        </w:tc>
      </w:tr>
      <w:tr w:rsidR="002204DD" w:rsidRPr="001E482B" w:rsidTr="003C6FC6">
        <w:trPr>
          <w:trHeight w:val="465"/>
          <w:jc w:val="center"/>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2204DD" w:rsidRPr="001E482B" w:rsidRDefault="002204DD" w:rsidP="00F752E3">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t>1.</w:t>
            </w:r>
          </w:p>
        </w:tc>
        <w:tc>
          <w:tcPr>
            <w:tcW w:w="1511" w:type="pct"/>
            <w:tcBorders>
              <w:top w:val="outset" w:sz="6" w:space="0" w:color="414142"/>
              <w:left w:val="outset" w:sz="6" w:space="0" w:color="414142"/>
              <w:bottom w:val="outset" w:sz="6" w:space="0" w:color="414142"/>
              <w:right w:val="outset" w:sz="6" w:space="0" w:color="414142"/>
            </w:tcBorders>
            <w:shd w:val="clear" w:color="auto" w:fill="FFFFFF"/>
            <w:hideMark/>
          </w:tcPr>
          <w:p w:rsidR="002204DD" w:rsidRPr="001E482B" w:rsidRDefault="002204DD" w:rsidP="00F752E3">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t>Sabiedrības mērķgrupas, kuras tiesiskais regulējums ietekmē vai varētu ietekmēt</w:t>
            </w:r>
          </w:p>
        </w:tc>
        <w:tc>
          <w:tcPr>
            <w:tcW w:w="3239" w:type="pct"/>
            <w:tcBorders>
              <w:top w:val="outset" w:sz="6" w:space="0" w:color="414142"/>
              <w:left w:val="outset" w:sz="6" w:space="0" w:color="414142"/>
              <w:bottom w:val="outset" w:sz="6" w:space="0" w:color="414142"/>
              <w:right w:val="outset" w:sz="6" w:space="0" w:color="414142"/>
            </w:tcBorders>
            <w:shd w:val="clear" w:color="auto" w:fill="FFFFFF"/>
            <w:hideMark/>
          </w:tcPr>
          <w:p w:rsidR="002204DD" w:rsidRPr="001E482B" w:rsidRDefault="002204DD" w:rsidP="002204DD">
            <w:pPr>
              <w:spacing w:after="0" w:line="240" w:lineRule="auto"/>
              <w:jc w:val="both"/>
              <w:rPr>
                <w:rFonts w:ascii="Times New Roman" w:eastAsia="Times New Roman" w:hAnsi="Times New Roman"/>
                <w:lang w:eastAsia="lv-LV"/>
              </w:rPr>
            </w:pPr>
            <w:r w:rsidRPr="001E482B">
              <w:rPr>
                <w:rFonts w:ascii="Times New Roman" w:hAnsi="Times New Roman"/>
              </w:rPr>
              <w:t>Tā kā Nolīgums nosaka, ka Islande iekļaujas ES kopējo siltumnīcefekta gāzu emisiju samazināšanas saistību līdz 2020.gadam izpildē, tad šis likumprojekts varētu ietekmēt visu Latvijas sabiedrību.</w:t>
            </w:r>
          </w:p>
        </w:tc>
      </w:tr>
      <w:tr w:rsidR="002204DD" w:rsidRPr="001E482B" w:rsidTr="003C6FC6">
        <w:trPr>
          <w:trHeight w:val="510"/>
          <w:jc w:val="center"/>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2204DD" w:rsidRPr="001E482B" w:rsidRDefault="002204DD" w:rsidP="00F752E3">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t>2.</w:t>
            </w:r>
          </w:p>
        </w:tc>
        <w:tc>
          <w:tcPr>
            <w:tcW w:w="1511" w:type="pct"/>
            <w:tcBorders>
              <w:top w:val="outset" w:sz="6" w:space="0" w:color="414142"/>
              <w:left w:val="outset" w:sz="6" w:space="0" w:color="414142"/>
              <w:bottom w:val="outset" w:sz="6" w:space="0" w:color="414142"/>
              <w:right w:val="outset" w:sz="6" w:space="0" w:color="414142"/>
            </w:tcBorders>
            <w:shd w:val="clear" w:color="auto" w:fill="FFFFFF"/>
            <w:hideMark/>
          </w:tcPr>
          <w:p w:rsidR="002204DD" w:rsidRPr="001E482B" w:rsidRDefault="002204DD" w:rsidP="00F752E3">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t>Tiesiskā regulējuma ietekme uz tautsaimniecību un administratīvo slogu</w:t>
            </w:r>
          </w:p>
        </w:tc>
        <w:tc>
          <w:tcPr>
            <w:tcW w:w="3239" w:type="pct"/>
            <w:tcBorders>
              <w:top w:val="outset" w:sz="6" w:space="0" w:color="414142"/>
              <w:left w:val="outset" w:sz="6" w:space="0" w:color="414142"/>
              <w:bottom w:val="outset" w:sz="6" w:space="0" w:color="414142"/>
              <w:right w:val="outset" w:sz="6" w:space="0" w:color="414142"/>
            </w:tcBorders>
            <w:shd w:val="clear" w:color="auto" w:fill="FFFFFF"/>
            <w:hideMark/>
          </w:tcPr>
          <w:p w:rsidR="002204DD" w:rsidRPr="001E482B" w:rsidRDefault="002204DD" w:rsidP="007078C8">
            <w:pPr>
              <w:spacing w:after="0" w:line="240" w:lineRule="auto"/>
              <w:jc w:val="both"/>
              <w:rPr>
                <w:rFonts w:ascii="Times New Roman" w:eastAsia="Times New Roman" w:hAnsi="Times New Roman"/>
                <w:lang w:eastAsia="lv-LV"/>
              </w:rPr>
            </w:pPr>
            <w:r w:rsidRPr="001E482B">
              <w:rPr>
                <w:rFonts w:ascii="Times New Roman" w:eastAsia="Times New Roman" w:hAnsi="Times New Roman"/>
                <w:lang w:eastAsia="lv-LV"/>
              </w:rPr>
              <w:t>Nav paredzēta būtiska likumprojekta ietekme uz uzņēmējdarbības vidi.</w:t>
            </w:r>
          </w:p>
          <w:p w:rsidR="002204DD" w:rsidRPr="001E482B" w:rsidRDefault="002204DD" w:rsidP="005B5200">
            <w:pPr>
              <w:spacing w:after="0" w:line="240" w:lineRule="auto"/>
              <w:jc w:val="both"/>
              <w:rPr>
                <w:rFonts w:ascii="Times New Roman" w:eastAsia="Times New Roman" w:hAnsi="Times New Roman"/>
                <w:lang w:eastAsia="lv-LV"/>
              </w:rPr>
            </w:pPr>
            <w:r w:rsidRPr="001E482B">
              <w:rPr>
                <w:rFonts w:ascii="Times New Roman" w:hAnsi="Times New Roman"/>
              </w:rPr>
              <w:t>Nav paredzēta likumprojekta ietekme uz Latvijas iestāžu administratīvo slogu.</w:t>
            </w:r>
          </w:p>
        </w:tc>
      </w:tr>
      <w:tr w:rsidR="00F752E3" w:rsidRPr="001E482B" w:rsidTr="003C6FC6">
        <w:trPr>
          <w:trHeight w:val="510"/>
          <w:jc w:val="center"/>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1E482B" w:rsidRDefault="00F752E3" w:rsidP="00F752E3">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t>3.</w:t>
            </w:r>
          </w:p>
        </w:tc>
        <w:tc>
          <w:tcPr>
            <w:tcW w:w="1511"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1E482B" w:rsidRDefault="00F752E3" w:rsidP="00F752E3">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t>Administratīvo izmaksu monetārs novērtējums</w:t>
            </w:r>
          </w:p>
        </w:tc>
        <w:tc>
          <w:tcPr>
            <w:tcW w:w="3239"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1E482B" w:rsidRDefault="00F752E3" w:rsidP="005B5200">
            <w:pPr>
              <w:spacing w:after="0" w:line="240" w:lineRule="auto"/>
              <w:jc w:val="both"/>
              <w:rPr>
                <w:rFonts w:ascii="Times New Roman" w:eastAsia="Times New Roman" w:hAnsi="Times New Roman"/>
                <w:lang w:eastAsia="lv-LV"/>
              </w:rPr>
            </w:pPr>
            <w:r w:rsidRPr="001E482B">
              <w:rPr>
                <w:rFonts w:ascii="Times New Roman" w:eastAsia="Times New Roman" w:hAnsi="Times New Roman"/>
                <w:lang w:eastAsia="lv-LV"/>
              </w:rPr>
              <w:t>Projekts šo jomu neskar.</w:t>
            </w:r>
          </w:p>
        </w:tc>
      </w:tr>
      <w:tr w:rsidR="00F752E3" w:rsidRPr="001E482B" w:rsidTr="003C6FC6">
        <w:trPr>
          <w:trHeight w:val="345"/>
          <w:jc w:val="center"/>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1E482B" w:rsidRDefault="00F752E3" w:rsidP="00F752E3">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t>4.</w:t>
            </w:r>
          </w:p>
        </w:tc>
        <w:tc>
          <w:tcPr>
            <w:tcW w:w="1511"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1E482B" w:rsidRDefault="00F752E3" w:rsidP="00F752E3">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t>Cita informācija</w:t>
            </w:r>
          </w:p>
        </w:tc>
        <w:tc>
          <w:tcPr>
            <w:tcW w:w="3239"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1E482B" w:rsidRDefault="00F752E3" w:rsidP="005B5200">
            <w:pPr>
              <w:spacing w:before="100" w:beforeAutospacing="1" w:after="100" w:afterAutospacing="1" w:line="293" w:lineRule="atLeast"/>
              <w:jc w:val="both"/>
              <w:rPr>
                <w:rFonts w:ascii="Times New Roman" w:eastAsia="Times New Roman" w:hAnsi="Times New Roman"/>
                <w:lang w:eastAsia="lv-LV"/>
              </w:rPr>
            </w:pPr>
            <w:r w:rsidRPr="001E482B">
              <w:rPr>
                <w:rFonts w:ascii="Times New Roman" w:eastAsia="Times New Roman" w:hAnsi="Times New Roman"/>
                <w:lang w:eastAsia="lv-LV"/>
              </w:rPr>
              <w:t>Nav.</w:t>
            </w:r>
          </w:p>
        </w:tc>
      </w:tr>
    </w:tbl>
    <w:p w:rsidR="00D60F3D" w:rsidRPr="001E482B" w:rsidRDefault="00D60F3D" w:rsidP="00C8071B">
      <w:pPr>
        <w:shd w:val="clear" w:color="auto" w:fill="FFFFFF"/>
        <w:spacing w:after="0" w:line="240" w:lineRule="auto"/>
        <w:rPr>
          <w:rFonts w:ascii="Times New Roman" w:eastAsia="Times New Roman" w:hAnsi="Times New Roman"/>
          <w:color w:val="414142"/>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379"/>
        <w:gridCol w:w="1749"/>
        <w:gridCol w:w="191"/>
        <w:gridCol w:w="3210"/>
        <w:gridCol w:w="4110"/>
      </w:tblGrid>
      <w:tr w:rsidR="00D8478F" w:rsidRPr="001E482B" w:rsidTr="00485DA0">
        <w:trPr>
          <w:jc w:val="center"/>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752E3" w:rsidRPr="001E482B" w:rsidRDefault="00F752E3" w:rsidP="005B5200">
            <w:pPr>
              <w:spacing w:before="60" w:after="60" w:line="240" w:lineRule="auto"/>
              <w:jc w:val="center"/>
              <w:rPr>
                <w:rFonts w:ascii="Times New Roman" w:eastAsia="Times New Roman" w:hAnsi="Times New Roman"/>
                <w:b/>
                <w:bCs/>
                <w:lang w:eastAsia="lv-LV"/>
              </w:rPr>
            </w:pPr>
            <w:r w:rsidRPr="001E482B">
              <w:rPr>
                <w:rFonts w:ascii="Times New Roman" w:eastAsia="Times New Roman" w:hAnsi="Times New Roman"/>
                <w:b/>
                <w:bCs/>
                <w:lang w:eastAsia="lv-LV"/>
              </w:rPr>
              <w:t>V. Tiesību akta projekta atbilstība Latvijas Republikas starptautiskajām saistībām</w:t>
            </w:r>
          </w:p>
        </w:tc>
      </w:tr>
      <w:tr w:rsidR="00D8478F" w:rsidRPr="001E482B" w:rsidTr="001E482B">
        <w:trPr>
          <w:jc w:val="center"/>
        </w:trPr>
        <w:tc>
          <w:tcPr>
            <w:tcW w:w="197"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1E482B" w:rsidRDefault="00F752E3" w:rsidP="005B5200">
            <w:pPr>
              <w:spacing w:before="60" w:after="60" w:line="240" w:lineRule="auto"/>
              <w:rPr>
                <w:rFonts w:ascii="Times New Roman" w:eastAsia="Times New Roman" w:hAnsi="Times New Roman"/>
                <w:lang w:eastAsia="lv-LV"/>
              </w:rPr>
            </w:pPr>
            <w:r w:rsidRPr="001E482B">
              <w:rPr>
                <w:rFonts w:ascii="Times New Roman" w:eastAsia="Times New Roman" w:hAnsi="Times New Roman"/>
                <w:lang w:eastAsia="lv-LV"/>
              </w:rPr>
              <w:t>1.</w:t>
            </w:r>
          </w:p>
        </w:tc>
        <w:tc>
          <w:tcPr>
            <w:tcW w:w="907"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1E482B" w:rsidRDefault="00F752E3" w:rsidP="005B5200">
            <w:pPr>
              <w:spacing w:before="60" w:after="60" w:line="240" w:lineRule="auto"/>
              <w:rPr>
                <w:rFonts w:ascii="Times New Roman" w:eastAsia="Times New Roman" w:hAnsi="Times New Roman"/>
                <w:lang w:eastAsia="lv-LV"/>
              </w:rPr>
            </w:pPr>
            <w:r w:rsidRPr="001E482B">
              <w:rPr>
                <w:rFonts w:ascii="Times New Roman" w:eastAsia="Times New Roman" w:hAnsi="Times New Roman"/>
                <w:lang w:eastAsia="lv-LV"/>
              </w:rPr>
              <w:t>Saistības pret Eiropas Savienību</w:t>
            </w:r>
          </w:p>
        </w:tc>
        <w:tc>
          <w:tcPr>
            <w:tcW w:w="389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63F5E" w:rsidRPr="001E482B" w:rsidRDefault="005B5200" w:rsidP="00F63F5E">
            <w:pPr>
              <w:spacing w:before="60" w:after="60" w:line="240" w:lineRule="auto"/>
              <w:jc w:val="both"/>
              <w:rPr>
                <w:rFonts w:ascii="Times New Roman" w:hAnsi="Times New Roman"/>
              </w:rPr>
            </w:pPr>
            <w:r w:rsidRPr="001E482B">
              <w:rPr>
                <w:rFonts w:ascii="Times New Roman" w:eastAsia="Times New Roman" w:hAnsi="Times New Roman"/>
                <w:lang w:eastAsia="lv-LV"/>
              </w:rPr>
              <w:t xml:space="preserve">1) </w:t>
            </w:r>
            <w:r w:rsidR="00F63F5E" w:rsidRPr="001E482B">
              <w:rPr>
                <w:rFonts w:ascii="Times New Roman" w:hAnsi="Times New Roman"/>
              </w:rPr>
              <w:t xml:space="preserve">Padomes </w:t>
            </w:r>
            <w:r w:rsidR="006F1449" w:rsidRPr="001E482B">
              <w:rPr>
                <w:rFonts w:ascii="Times New Roman" w:hAnsi="Times New Roman"/>
              </w:rPr>
              <w:t xml:space="preserve">2015.gada 26.janvāra </w:t>
            </w:r>
            <w:r w:rsidR="00F63F5E" w:rsidRPr="001E482B">
              <w:rPr>
                <w:rFonts w:ascii="Times New Roman" w:hAnsi="Times New Roman"/>
              </w:rPr>
              <w:t xml:space="preserve">lēmums (ES) Nr.2015/146 par to, lai Eiropas Savienības vārdā parakstītu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w:t>
            </w:r>
            <w:r w:rsidR="00F63F5E" w:rsidRPr="001E482B">
              <w:rPr>
                <w:rFonts w:ascii="Times New Roman" w:hAnsi="Times New Roman"/>
              </w:rPr>
              <w:lastRenderedPageBreak/>
              <w:t>saistību periodā</w:t>
            </w:r>
            <w:r w:rsidR="00C8071B" w:rsidRPr="001E482B">
              <w:rPr>
                <w:rFonts w:ascii="Times New Roman" w:hAnsi="Times New Roman"/>
              </w:rPr>
              <w:t>;</w:t>
            </w:r>
          </w:p>
          <w:p w:rsidR="00F752E3" w:rsidRPr="001E482B" w:rsidRDefault="005B5200" w:rsidP="001E482B">
            <w:pPr>
              <w:spacing w:before="60" w:after="60" w:line="240" w:lineRule="auto"/>
              <w:jc w:val="both"/>
              <w:rPr>
                <w:rFonts w:ascii="Times New Roman" w:eastAsia="Times New Roman" w:hAnsi="Times New Roman"/>
                <w:lang w:eastAsia="lv-LV"/>
              </w:rPr>
            </w:pPr>
            <w:r w:rsidRPr="001E482B">
              <w:rPr>
                <w:rFonts w:ascii="Times New Roman" w:eastAsia="Times New Roman" w:hAnsi="Times New Roman"/>
                <w:lang w:eastAsia="lv-LV"/>
              </w:rPr>
              <w:t>2) Padomes</w:t>
            </w:r>
            <w:r w:rsidR="008941FD" w:rsidRPr="001E482B">
              <w:rPr>
                <w:rFonts w:ascii="Times New Roman" w:eastAsia="Times New Roman" w:hAnsi="Times New Roman"/>
                <w:lang w:eastAsia="lv-LV"/>
              </w:rPr>
              <w:t xml:space="preserve"> 2015.gada </w:t>
            </w:r>
            <w:r w:rsidR="001E482B" w:rsidRPr="001E482B">
              <w:rPr>
                <w:rFonts w:ascii="Times New Roman" w:eastAsia="Times New Roman" w:hAnsi="Times New Roman"/>
                <w:lang w:eastAsia="lv-LV"/>
              </w:rPr>
              <w:t>13</w:t>
            </w:r>
            <w:r w:rsidR="008941FD" w:rsidRPr="001E482B">
              <w:rPr>
                <w:rFonts w:ascii="Times New Roman" w:eastAsia="Times New Roman" w:hAnsi="Times New Roman"/>
                <w:lang w:eastAsia="lv-LV"/>
              </w:rPr>
              <w:t>.jūlija</w:t>
            </w:r>
            <w:r w:rsidRPr="001E482B">
              <w:rPr>
                <w:rFonts w:ascii="Times New Roman" w:eastAsia="Times New Roman" w:hAnsi="Times New Roman"/>
                <w:lang w:eastAsia="lv-LV"/>
              </w:rPr>
              <w:t xml:space="preserve"> lēmums Nr.</w:t>
            </w:r>
            <w:r w:rsidR="001E482B" w:rsidRPr="001E482B">
              <w:rPr>
                <w:rFonts w:ascii="Times New Roman" w:eastAsia="Times New Roman" w:hAnsi="Times New Roman"/>
                <w:lang w:eastAsia="lv-LV"/>
              </w:rPr>
              <w:t>2015/1340</w:t>
            </w:r>
            <w:r w:rsidR="008941FD" w:rsidRPr="001E482B">
              <w:rPr>
                <w:rFonts w:ascii="Times New Roman" w:eastAsia="Times New Roman" w:hAnsi="Times New Roman"/>
                <w:lang w:eastAsia="lv-LV"/>
              </w:rPr>
              <w:t xml:space="preserve"> </w:t>
            </w:r>
            <w:r w:rsidRPr="001E482B">
              <w:rPr>
                <w:rFonts w:ascii="Times New Roman" w:eastAsia="Times New Roman" w:hAnsi="Times New Roman"/>
                <w:lang w:eastAsia="lv-LV"/>
              </w:rPr>
              <w:t xml:space="preserve"> </w:t>
            </w:r>
            <w:r w:rsidR="001E482B" w:rsidRPr="001E482B">
              <w:rPr>
                <w:rFonts w:ascii="Times New Roman" w:eastAsia="Times New Roman" w:hAnsi="Times New Roman"/>
                <w:lang w:eastAsia="lv-LV"/>
              </w:rPr>
              <w:t>par to, lai Eiropas Savienības vārdā noslēgtu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w:t>
            </w:r>
            <w:r w:rsidRPr="001E482B">
              <w:rPr>
                <w:rFonts w:ascii="Times New Roman" w:eastAsia="Times New Roman" w:hAnsi="Times New Roman"/>
                <w:lang w:eastAsia="lv-LV"/>
              </w:rPr>
              <w:t>;</w:t>
            </w:r>
          </w:p>
          <w:p w:rsidR="003C6FC6" w:rsidRPr="001E482B" w:rsidRDefault="005B5200" w:rsidP="003C6FC6">
            <w:pPr>
              <w:spacing w:before="60" w:after="60" w:line="240" w:lineRule="auto"/>
              <w:jc w:val="both"/>
              <w:rPr>
                <w:rFonts w:ascii="Times New Roman" w:hAnsi="Times New Roman"/>
              </w:rPr>
            </w:pPr>
            <w:r w:rsidRPr="001E482B">
              <w:rPr>
                <w:rFonts w:ascii="Times New Roman" w:eastAsia="Times New Roman" w:hAnsi="Times New Roman"/>
                <w:lang w:eastAsia="lv-LV"/>
              </w:rPr>
              <w:t xml:space="preserve">3) </w:t>
            </w:r>
            <w:r w:rsidRPr="001E482B">
              <w:rPr>
                <w:rFonts w:ascii="Times New Roman" w:hAnsi="Times New Roman"/>
              </w:rPr>
              <w:t>Nolīgum</w:t>
            </w:r>
            <w:r w:rsidR="00F63F5E" w:rsidRPr="001E482B">
              <w:rPr>
                <w:rFonts w:ascii="Times New Roman" w:hAnsi="Times New Roman"/>
              </w:rPr>
              <w:t>s</w:t>
            </w:r>
            <w:r w:rsidRPr="001E482B">
              <w:rPr>
                <w:rFonts w:ascii="Times New Roman" w:hAnsi="Times New Roman"/>
              </w:rPr>
              <w:t xml:space="preserve">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 noslēgšanu.</w:t>
            </w:r>
          </w:p>
          <w:p w:rsidR="005B5200" w:rsidRPr="001E482B" w:rsidRDefault="003C6FC6" w:rsidP="001E482B">
            <w:pPr>
              <w:spacing w:before="60" w:after="60" w:line="240" w:lineRule="auto"/>
              <w:jc w:val="both"/>
              <w:rPr>
                <w:rFonts w:ascii="Times New Roman" w:eastAsia="Times New Roman" w:hAnsi="Times New Roman"/>
                <w:lang w:eastAsia="lv-LV"/>
              </w:rPr>
            </w:pPr>
            <w:r w:rsidRPr="001E482B">
              <w:rPr>
                <w:rFonts w:ascii="Times New Roman" w:eastAsia="Times New Roman" w:hAnsi="Times New Roman"/>
                <w:lang w:eastAsia="lv-LV"/>
              </w:rPr>
              <w:t>Padomes lēmums Nr.</w:t>
            </w:r>
            <w:r w:rsidR="001E482B" w:rsidRPr="001E482B">
              <w:rPr>
                <w:rFonts w:ascii="Times New Roman" w:eastAsia="Times New Roman" w:hAnsi="Times New Roman"/>
                <w:lang w:eastAsia="lv-LV"/>
              </w:rPr>
              <w:t>205/1340</w:t>
            </w:r>
            <w:r w:rsidRPr="001E482B">
              <w:rPr>
                <w:rFonts w:ascii="Times New Roman" w:eastAsia="Times New Roman" w:hAnsi="Times New Roman"/>
                <w:lang w:eastAsia="lv-LV"/>
              </w:rPr>
              <w:t xml:space="preserve">  </w:t>
            </w:r>
            <w:r w:rsidR="00082C13" w:rsidRPr="001E482B">
              <w:rPr>
                <w:rFonts w:ascii="Times New Roman" w:eastAsia="Times New Roman" w:hAnsi="Times New Roman"/>
                <w:lang w:eastAsia="lv-LV"/>
              </w:rPr>
              <w:t>nosaka nosacījumus, kas attiecas uz Nolīgumu un to, kā Islande izpildīs Kioto protokola Dohas grozījuma kopīgo ratifikāciju un kopīgās saistības</w:t>
            </w:r>
            <w:r w:rsidR="00CB5FC0" w:rsidRPr="001E482B">
              <w:rPr>
                <w:rFonts w:ascii="Times New Roman" w:eastAsia="Times New Roman" w:hAnsi="Times New Roman"/>
                <w:lang w:eastAsia="lv-LV"/>
              </w:rPr>
              <w:t>.</w:t>
            </w:r>
            <w:r w:rsidR="00082C13" w:rsidRPr="001E482B">
              <w:rPr>
                <w:rFonts w:ascii="Times New Roman" w:eastAsia="Times New Roman" w:hAnsi="Times New Roman"/>
                <w:lang w:eastAsia="lv-LV"/>
              </w:rPr>
              <w:t xml:space="preserve"> Lēmumā iekļautie nosacījumi attiecas uz dalībvalsti, līdz ar to nav jāpārņem nacionālajā likumdošanā.</w:t>
            </w:r>
          </w:p>
        </w:tc>
      </w:tr>
      <w:tr w:rsidR="00D8478F" w:rsidRPr="001E482B" w:rsidTr="001E482B">
        <w:trPr>
          <w:jc w:val="center"/>
        </w:trPr>
        <w:tc>
          <w:tcPr>
            <w:tcW w:w="197"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1E482B" w:rsidRDefault="00F752E3" w:rsidP="005B5200">
            <w:pPr>
              <w:spacing w:before="60" w:after="60" w:line="240" w:lineRule="auto"/>
              <w:rPr>
                <w:rFonts w:ascii="Times New Roman" w:eastAsia="Times New Roman" w:hAnsi="Times New Roman"/>
                <w:lang w:eastAsia="lv-LV"/>
              </w:rPr>
            </w:pPr>
            <w:r w:rsidRPr="001E482B">
              <w:rPr>
                <w:rFonts w:ascii="Times New Roman" w:eastAsia="Times New Roman" w:hAnsi="Times New Roman"/>
                <w:lang w:eastAsia="lv-LV"/>
              </w:rPr>
              <w:lastRenderedPageBreak/>
              <w:t>2.</w:t>
            </w:r>
          </w:p>
        </w:tc>
        <w:tc>
          <w:tcPr>
            <w:tcW w:w="907"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1E482B" w:rsidRDefault="00F752E3" w:rsidP="005B5200">
            <w:pPr>
              <w:spacing w:before="60" w:after="60" w:line="240" w:lineRule="auto"/>
              <w:rPr>
                <w:rFonts w:ascii="Times New Roman" w:eastAsia="Times New Roman" w:hAnsi="Times New Roman"/>
                <w:lang w:eastAsia="lv-LV"/>
              </w:rPr>
            </w:pPr>
            <w:r w:rsidRPr="001E482B">
              <w:rPr>
                <w:rFonts w:ascii="Times New Roman" w:eastAsia="Times New Roman" w:hAnsi="Times New Roman"/>
                <w:lang w:eastAsia="lv-LV"/>
              </w:rPr>
              <w:t>Citas starptautiskās saistības</w:t>
            </w:r>
          </w:p>
        </w:tc>
        <w:tc>
          <w:tcPr>
            <w:tcW w:w="389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752E3" w:rsidRPr="001E482B" w:rsidRDefault="00C8071B" w:rsidP="00C8071B">
            <w:pPr>
              <w:spacing w:before="60" w:after="60" w:line="240" w:lineRule="auto"/>
              <w:rPr>
                <w:rFonts w:ascii="Times New Roman" w:eastAsia="Times New Roman" w:hAnsi="Times New Roman"/>
                <w:lang w:eastAsia="lv-LV"/>
              </w:rPr>
            </w:pPr>
            <w:r w:rsidRPr="001E482B">
              <w:rPr>
                <w:rFonts w:ascii="Times New Roman" w:hAnsi="Times New Roman"/>
              </w:rPr>
              <w:t>Apvienoto Nāciju Organizācijas Vispārējā konvencija par klimata pārmaiņām un tai pievienotā Kioto protokola Dohas grozījums.</w:t>
            </w:r>
          </w:p>
        </w:tc>
      </w:tr>
      <w:tr w:rsidR="00D8478F" w:rsidRPr="001E482B" w:rsidTr="001E482B">
        <w:trPr>
          <w:jc w:val="center"/>
        </w:trPr>
        <w:tc>
          <w:tcPr>
            <w:tcW w:w="197"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1E482B" w:rsidRDefault="00F752E3" w:rsidP="005B5200">
            <w:pPr>
              <w:spacing w:before="60" w:after="60" w:line="240" w:lineRule="auto"/>
              <w:rPr>
                <w:rFonts w:ascii="Times New Roman" w:eastAsia="Times New Roman" w:hAnsi="Times New Roman"/>
                <w:lang w:eastAsia="lv-LV"/>
              </w:rPr>
            </w:pPr>
            <w:r w:rsidRPr="001E482B">
              <w:rPr>
                <w:rFonts w:ascii="Times New Roman" w:eastAsia="Times New Roman" w:hAnsi="Times New Roman"/>
                <w:lang w:eastAsia="lv-LV"/>
              </w:rPr>
              <w:t>3.</w:t>
            </w:r>
          </w:p>
        </w:tc>
        <w:tc>
          <w:tcPr>
            <w:tcW w:w="907" w:type="pct"/>
            <w:tcBorders>
              <w:top w:val="outset" w:sz="6" w:space="0" w:color="414142"/>
              <w:left w:val="outset" w:sz="6" w:space="0" w:color="414142"/>
              <w:bottom w:val="outset" w:sz="6" w:space="0" w:color="414142"/>
              <w:right w:val="outset" w:sz="6" w:space="0" w:color="414142"/>
            </w:tcBorders>
            <w:shd w:val="clear" w:color="auto" w:fill="FFFFFF"/>
            <w:hideMark/>
          </w:tcPr>
          <w:p w:rsidR="00F752E3" w:rsidRPr="001E482B" w:rsidRDefault="00F752E3" w:rsidP="005B5200">
            <w:pPr>
              <w:spacing w:before="60" w:after="60" w:line="240" w:lineRule="auto"/>
              <w:rPr>
                <w:rFonts w:ascii="Times New Roman" w:eastAsia="Times New Roman" w:hAnsi="Times New Roman"/>
                <w:lang w:eastAsia="lv-LV"/>
              </w:rPr>
            </w:pPr>
            <w:r w:rsidRPr="001E482B">
              <w:rPr>
                <w:rFonts w:ascii="Times New Roman" w:eastAsia="Times New Roman" w:hAnsi="Times New Roman"/>
                <w:lang w:eastAsia="lv-LV"/>
              </w:rPr>
              <w:t>Cita informācija</w:t>
            </w:r>
          </w:p>
        </w:tc>
        <w:tc>
          <w:tcPr>
            <w:tcW w:w="3896"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F752E3" w:rsidRPr="001E482B" w:rsidRDefault="00C8071B" w:rsidP="005B5200">
            <w:pPr>
              <w:spacing w:before="60" w:after="60" w:line="240" w:lineRule="auto"/>
              <w:rPr>
                <w:rFonts w:ascii="Times New Roman" w:eastAsia="Times New Roman" w:hAnsi="Times New Roman"/>
                <w:lang w:eastAsia="lv-LV"/>
              </w:rPr>
            </w:pPr>
            <w:r w:rsidRPr="001E482B">
              <w:rPr>
                <w:rFonts w:ascii="Times New Roman" w:eastAsia="Times New Roman" w:hAnsi="Times New Roman"/>
                <w:lang w:eastAsia="lv-LV"/>
              </w:rPr>
              <w:t>Nolīguma projekts atbilst Latvijas Republikas starptautiskajām saistībām un saistībām pret Eiropas Savienību.</w:t>
            </w:r>
          </w:p>
        </w:tc>
      </w:tr>
      <w:tr w:rsidR="00D8478F" w:rsidRPr="001E482B" w:rsidTr="00485DA0">
        <w:trPr>
          <w:jc w:val="center"/>
        </w:trPr>
        <w:tc>
          <w:tcPr>
            <w:tcW w:w="500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0EF8" w:rsidRPr="001E482B" w:rsidRDefault="00440EF8" w:rsidP="003C6FC6">
            <w:pPr>
              <w:spacing w:after="0" w:line="240" w:lineRule="auto"/>
              <w:jc w:val="center"/>
              <w:rPr>
                <w:rFonts w:ascii="Times New Roman" w:eastAsia="Times New Roman" w:hAnsi="Times New Roman"/>
                <w:b/>
                <w:bCs/>
                <w:lang w:eastAsia="lv-LV"/>
              </w:rPr>
            </w:pPr>
            <w:r w:rsidRPr="001E482B">
              <w:rPr>
                <w:rFonts w:ascii="Times New Roman" w:eastAsia="Times New Roman" w:hAnsi="Times New Roman"/>
                <w:b/>
                <w:bCs/>
                <w:lang w:eastAsia="lv-LV"/>
              </w:rPr>
              <w:t>2.tabula</w:t>
            </w:r>
            <w:r w:rsidRPr="001E482B">
              <w:rPr>
                <w:rFonts w:ascii="Times New Roman" w:eastAsia="Times New Roman" w:hAnsi="Times New Roman"/>
                <w:b/>
                <w:bCs/>
                <w:lang w:eastAsia="lv-LV"/>
              </w:rPr>
              <w:br/>
              <w:t>Ar tiesību akta projektu izpildītās vai uzņemtās saistības, kas izriet no starptautiskajiem tiesību aktiem vai starptautiskas institūcijas vai organizācijas dokumentiem.</w:t>
            </w:r>
            <w:r w:rsidRPr="001E482B">
              <w:rPr>
                <w:rFonts w:ascii="Times New Roman" w:eastAsia="Times New Roman" w:hAnsi="Times New Roman"/>
                <w:b/>
                <w:bCs/>
                <w:lang w:eastAsia="lv-LV"/>
              </w:rPr>
              <w:br/>
              <w:t>Pasākumi šo saistību izpildei</w:t>
            </w:r>
          </w:p>
        </w:tc>
      </w:tr>
      <w:tr w:rsidR="00D8478F" w:rsidRPr="001E482B" w:rsidTr="001E482B">
        <w:trPr>
          <w:jc w:val="center"/>
        </w:trPr>
        <w:tc>
          <w:tcPr>
            <w:tcW w:w="1203"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0EF8" w:rsidRPr="001E482B" w:rsidRDefault="00440EF8" w:rsidP="00440EF8">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t>Attiecīgā starptautiskā tiesību akta vai starptautiskas institūcijas vai organizācijas dokumenta (turpmāk – starptautiskais dokuments) datums, numurs un nosaukums</w:t>
            </w:r>
          </w:p>
        </w:tc>
        <w:tc>
          <w:tcPr>
            <w:tcW w:w="379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440EF8" w:rsidRPr="001E482B" w:rsidRDefault="003730E1">
            <w:pPr>
              <w:spacing w:after="0" w:line="240" w:lineRule="auto"/>
              <w:rPr>
                <w:rFonts w:ascii="Times New Roman" w:eastAsia="Times New Roman" w:hAnsi="Times New Roman"/>
                <w:b/>
                <w:lang w:eastAsia="lv-LV"/>
              </w:rPr>
            </w:pPr>
            <w:r w:rsidRPr="001E482B">
              <w:rPr>
                <w:rFonts w:ascii="Times New Roman" w:hAnsi="Times New Roman"/>
                <w:b/>
              </w:rPr>
              <w:t>Apvienoto Nāciju Organizācijas Vispārējā konvencija par klimata pārmaiņām un tai pievienotā Kioto protokola Dohas grozījums</w:t>
            </w:r>
          </w:p>
        </w:tc>
      </w:tr>
      <w:tr w:rsidR="00D8478F" w:rsidRPr="001E482B" w:rsidTr="001E482B">
        <w:trPr>
          <w:jc w:val="center"/>
        </w:trPr>
        <w:tc>
          <w:tcPr>
            <w:tcW w:w="1203"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0EF8" w:rsidRPr="001E482B" w:rsidRDefault="00440EF8" w:rsidP="00440EF8">
            <w:pPr>
              <w:spacing w:before="100" w:beforeAutospacing="1" w:after="100" w:afterAutospacing="1" w:line="293" w:lineRule="atLeast"/>
              <w:jc w:val="center"/>
              <w:rPr>
                <w:rFonts w:ascii="Times New Roman" w:eastAsia="Times New Roman" w:hAnsi="Times New Roman"/>
                <w:sz w:val="20"/>
                <w:szCs w:val="20"/>
                <w:lang w:eastAsia="lv-LV"/>
              </w:rPr>
            </w:pPr>
            <w:r w:rsidRPr="001E482B">
              <w:rPr>
                <w:rFonts w:ascii="Times New Roman" w:eastAsia="Times New Roman" w:hAnsi="Times New Roman"/>
                <w:sz w:val="20"/>
                <w:szCs w:val="20"/>
                <w:lang w:eastAsia="lv-LV"/>
              </w:rPr>
              <w:t>A</w:t>
            </w:r>
          </w:p>
        </w:tc>
        <w:tc>
          <w:tcPr>
            <w:tcW w:w="16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0EF8" w:rsidRPr="001E482B" w:rsidRDefault="00440EF8" w:rsidP="003C6FC6">
            <w:pPr>
              <w:spacing w:after="0" w:line="240" w:lineRule="auto"/>
              <w:jc w:val="center"/>
              <w:rPr>
                <w:rFonts w:ascii="Times New Roman" w:eastAsia="Times New Roman" w:hAnsi="Times New Roman"/>
                <w:sz w:val="20"/>
                <w:szCs w:val="20"/>
                <w:lang w:eastAsia="lv-LV"/>
              </w:rPr>
            </w:pPr>
            <w:r w:rsidRPr="001E482B">
              <w:rPr>
                <w:rFonts w:ascii="Times New Roman" w:eastAsia="Times New Roman" w:hAnsi="Times New Roman"/>
                <w:sz w:val="20"/>
                <w:szCs w:val="20"/>
                <w:lang w:eastAsia="lv-LV"/>
              </w:rPr>
              <w:t>B</w:t>
            </w:r>
          </w:p>
        </w:tc>
        <w:tc>
          <w:tcPr>
            <w:tcW w:w="21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440EF8" w:rsidRPr="001E482B" w:rsidRDefault="00440EF8" w:rsidP="003C6FC6">
            <w:pPr>
              <w:spacing w:after="0" w:line="240" w:lineRule="auto"/>
              <w:jc w:val="center"/>
              <w:rPr>
                <w:rFonts w:ascii="Times New Roman" w:eastAsia="Times New Roman" w:hAnsi="Times New Roman"/>
                <w:sz w:val="20"/>
                <w:szCs w:val="20"/>
                <w:lang w:eastAsia="lv-LV"/>
              </w:rPr>
            </w:pPr>
            <w:r w:rsidRPr="001E482B">
              <w:rPr>
                <w:rFonts w:ascii="Times New Roman" w:eastAsia="Times New Roman" w:hAnsi="Times New Roman"/>
                <w:sz w:val="20"/>
                <w:szCs w:val="20"/>
                <w:lang w:eastAsia="lv-LV"/>
              </w:rPr>
              <w:t>C</w:t>
            </w:r>
          </w:p>
        </w:tc>
      </w:tr>
      <w:tr w:rsidR="00D8478F" w:rsidRPr="001E482B" w:rsidTr="001E482B">
        <w:trPr>
          <w:jc w:val="center"/>
        </w:trPr>
        <w:tc>
          <w:tcPr>
            <w:tcW w:w="120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440EF8" w:rsidRPr="001E482B" w:rsidRDefault="00440EF8" w:rsidP="00440EF8">
            <w:pPr>
              <w:spacing w:after="0" w:line="240" w:lineRule="auto"/>
              <w:rPr>
                <w:rFonts w:ascii="Times New Roman" w:eastAsia="Times New Roman" w:hAnsi="Times New Roman"/>
                <w:sz w:val="20"/>
                <w:szCs w:val="20"/>
                <w:lang w:eastAsia="lv-LV"/>
              </w:rPr>
            </w:pPr>
            <w:r w:rsidRPr="001E482B">
              <w:rPr>
                <w:rFonts w:ascii="Times New Roman" w:eastAsia="Times New Roman" w:hAnsi="Times New Roman"/>
                <w:sz w:val="20"/>
                <w:szCs w:val="20"/>
                <w:lang w:eastAsia="lv-LV"/>
              </w:rPr>
              <w:t>Starptautiskās saistības (pēc būtības), kas izriet no norādītā starptautiskā dokumenta.</w:t>
            </w:r>
          </w:p>
          <w:p w:rsidR="00A12018" w:rsidRPr="001E482B" w:rsidRDefault="00A12018" w:rsidP="00440EF8">
            <w:pPr>
              <w:spacing w:after="0" w:line="240" w:lineRule="auto"/>
              <w:rPr>
                <w:rFonts w:ascii="Times New Roman" w:eastAsia="Times New Roman" w:hAnsi="Times New Roman"/>
                <w:sz w:val="20"/>
                <w:szCs w:val="20"/>
                <w:lang w:eastAsia="lv-LV"/>
              </w:rPr>
            </w:pPr>
          </w:p>
          <w:p w:rsidR="00440EF8" w:rsidRPr="001E482B" w:rsidRDefault="00440EF8" w:rsidP="003C6FC6">
            <w:pPr>
              <w:spacing w:after="0" w:line="240" w:lineRule="auto"/>
              <w:rPr>
                <w:rFonts w:ascii="Times New Roman" w:eastAsia="Times New Roman" w:hAnsi="Times New Roman"/>
                <w:sz w:val="20"/>
                <w:szCs w:val="20"/>
                <w:lang w:eastAsia="lv-LV"/>
              </w:rPr>
            </w:pPr>
            <w:r w:rsidRPr="001E482B">
              <w:rPr>
                <w:rFonts w:ascii="Times New Roman" w:eastAsia="Times New Roman" w:hAnsi="Times New Roman"/>
                <w:sz w:val="20"/>
                <w:szCs w:val="20"/>
                <w:lang w:eastAsia="lv-LV"/>
              </w:rPr>
              <w:t>Konkrēti veicamie</w:t>
            </w:r>
            <w:r w:rsidR="00A12018" w:rsidRPr="001E482B">
              <w:rPr>
                <w:rFonts w:ascii="Times New Roman" w:eastAsia="Times New Roman" w:hAnsi="Times New Roman"/>
                <w:sz w:val="20"/>
                <w:szCs w:val="20"/>
                <w:lang w:eastAsia="lv-LV"/>
              </w:rPr>
              <w:t xml:space="preserve"> </w:t>
            </w:r>
            <w:r w:rsidRPr="001E482B">
              <w:rPr>
                <w:rFonts w:ascii="Times New Roman" w:eastAsia="Times New Roman" w:hAnsi="Times New Roman"/>
                <w:sz w:val="20"/>
                <w:szCs w:val="20"/>
                <w:lang w:eastAsia="lv-LV"/>
              </w:rPr>
              <w:t>pasākumi vai uzdevumi, kas nepieciešami šo starptautisko saistību izpildei</w:t>
            </w:r>
          </w:p>
        </w:tc>
        <w:tc>
          <w:tcPr>
            <w:tcW w:w="1665" w:type="pct"/>
            <w:tcBorders>
              <w:top w:val="outset" w:sz="6" w:space="0" w:color="414142"/>
              <w:left w:val="outset" w:sz="6" w:space="0" w:color="414142"/>
              <w:bottom w:val="outset" w:sz="6" w:space="0" w:color="414142"/>
              <w:right w:val="outset" w:sz="6" w:space="0" w:color="414142"/>
            </w:tcBorders>
            <w:shd w:val="clear" w:color="auto" w:fill="FFFFFF"/>
            <w:hideMark/>
          </w:tcPr>
          <w:p w:rsidR="00440EF8" w:rsidRPr="001E482B" w:rsidRDefault="00440EF8">
            <w:pPr>
              <w:spacing w:after="0" w:line="240" w:lineRule="auto"/>
              <w:rPr>
                <w:rFonts w:ascii="Times New Roman" w:eastAsia="Times New Roman" w:hAnsi="Times New Roman"/>
                <w:sz w:val="20"/>
                <w:szCs w:val="20"/>
                <w:lang w:eastAsia="lv-LV"/>
              </w:rPr>
            </w:pPr>
            <w:r w:rsidRPr="001E482B">
              <w:rPr>
                <w:rFonts w:ascii="Times New Roman" w:eastAsia="Times New Roman" w:hAnsi="Times New Roman"/>
                <w:sz w:val="20"/>
                <w:szCs w:val="20"/>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32" w:type="pct"/>
            <w:tcBorders>
              <w:top w:val="outset" w:sz="6" w:space="0" w:color="414142"/>
              <w:left w:val="outset" w:sz="6" w:space="0" w:color="414142"/>
              <w:bottom w:val="outset" w:sz="6" w:space="0" w:color="414142"/>
              <w:right w:val="outset" w:sz="6" w:space="0" w:color="414142"/>
            </w:tcBorders>
            <w:shd w:val="clear" w:color="auto" w:fill="FFFFFF"/>
            <w:hideMark/>
          </w:tcPr>
          <w:p w:rsidR="00440EF8" w:rsidRPr="001E482B" w:rsidRDefault="00440EF8">
            <w:pPr>
              <w:spacing w:after="0" w:line="240" w:lineRule="auto"/>
              <w:rPr>
                <w:rFonts w:ascii="Times New Roman" w:eastAsia="Times New Roman" w:hAnsi="Times New Roman"/>
                <w:sz w:val="20"/>
                <w:szCs w:val="20"/>
                <w:lang w:eastAsia="lv-LV"/>
              </w:rPr>
            </w:pPr>
            <w:r w:rsidRPr="001E482B">
              <w:rPr>
                <w:rFonts w:ascii="Times New Roman" w:eastAsia="Times New Roman" w:hAnsi="Times New Roman"/>
                <w:sz w:val="20"/>
                <w:szCs w:val="20"/>
                <w:lang w:eastAsia="lv-LV"/>
              </w:rPr>
              <w:t>Informācija par to, vai starptautiskās saistības, kas minētas šīs tabulas A ailē, tiek izpildītas pilnībā vai daļēji.</w:t>
            </w:r>
          </w:p>
          <w:p w:rsidR="00440EF8" w:rsidRPr="001E482B" w:rsidRDefault="00440EF8" w:rsidP="003C6FC6">
            <w:pPr>
              <w:spacing w:after="0" w:line="240" w:lineRule="auto"/>
              <w:rPr>
                <w:rFonts w:ascii="Times New Roman" w:eastAsia="Times New Roman" w:hAnsi="Times New Roman"/>
                <w:sz w:val="20"/>
                <w:szCs w:val="20"/>
                <w:lang w:eastAsia="lv-LV"/>
              </w:rPr>
            </w:pPr>
            <w:r w:rsidRPr="001E482B">
              <w:rPr>
                <w:rFonts w:ascii="Times New Roman" w:eastAsia="Times New Roman" w:hAnsi="Times New Roman"/>
                <w:sz w:val="20"/>
                <w:szCs w:val="20"/>
                <w:lang w:eastAsia="lv-LV"/>
              </w:rPr>
              <w:t>Ja attiecīgās starptautiskās saistības tiek izpildītas daļēji, sniedz skaidrojumu, kā arī precīzi norāda, kad un kādā veidā starptautiskās saistības tiks izpildītas pilnībā.</w:t>
            </w:r>
          </w:p>
          <w:p w:rsidR="00440EF8" w:rsidRPr="001E482B" w:rsidRDefault="00440EF8" w:rsidP="003C6FC6">
            <w:pPr>
              <w:spacing w:after="0" w:line="240" w:lineRule="auto"/>
              <w:rPr>
                <w:rFonts w:ascii="Times New Roman" w:eastAsia="Times New Roman" w:hAnsi="Times New Roman"/>
                <w:sz w:val="20"/>
                <w:szCs w:val="20"/>
                <w:lang w:eastAsia="lv-LV"/>
              </w:rPr>
            </w:pPr>
            <w:r w:rsidRPr="001E482B">
              <w:rPr>
                <w:rFonts w:ascii="Times New Roman" w:eastAsia="Times New Roman" w:hAnsi="Times New Roman"/>
                <w:sz w:val="20"/>
                <w:szCs w:val="20"/>
                <w:lang w:eastAsia="lv-LV"/>
              </w:rPr>
              <w:t>Norāda institūciju, kas ir atbildīga par šo saistību izpildi pilnībā</w:t>
            </w:r>
          </w:p>
        </w:tc>
      </w:tr>
      <w:tr w:rsidR="00D8478F" w:rsidRPr="001E482B" w:rsidTr="001E482B">
        <w:trPr>
          <w:jc w:val="center"/>
        </w:trPr>
        <w:tc>
          <w:tcPr>
            <w:tcW w:w="120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440EF8" w:rsidRPr="001E482B" w:rsidRDefault="00425469" w:rsidP="00440EF8">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t xml:space="preserve">Kioto protokola Dohas grozījums nosaka kopējo Kioto protokola līgumslēdzēju pušu SEG emisiju samazināšanas saistību izpildi – 20% kopējais Puses SEG emisiju apjoms ir </w:t>
            </w:r>
            <w:r w:rsidRPr="001E482B">
              <w:rPr>
                <w:rFonts w:ascii="Times New Roman" w:eastAsia="Times New Roman" w:hAnsi="Times New Roman"/>
                <w:lang w:eastAsia="lv-LV"/>
              </w:rPr>
              <w:lastRenderedPageBreak/>
              <w:t>jāsamazina par 20%, salīdzinot ar 1990.gada SEG emisiju apjomu</w:t>
            </w:r>
          </w:p>
        </w:tc>
        <w:tc>
          <w:tcPr>
            <w:tcW w:w="1665" w:type="pct"/>
            <w:tcBorders>
              <w:top w:val="outset" w:sz="6" w:space="0" w:color="414142"/>
              <w:left w:val="outset" w:sz="6" w:space="0" w:color="414142"/>
              <w:bottom w:val="outset" w:sz="6" w:space="0" w:color="414142"/>
              <w:right w:val="outset" w:sz="6" w:space="0" w:color="414142"/>
            </w:tcBorders>
            <w:shd w:val="clear" w:color="auto" w:fill="FFFFFF"/>
            <w:hideMark/>
          </w:tcPr>
          <w:p w:rsidR="00440EF8" w:rsidRPr="001E482B" w:rsidRDefault="00992DAE">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lastRenderedPageBreak/>
              <w:t xml:space="preserve">Kioto protokola Dohas grozījumu Eiropas Savienības dalībvalstis saskaņā ar Kioto protokola 4.punktu ir apņēmušās īstenot kopā visās ES 28 dalībvalstīs. Kioto protokola Dohas grozījuma mērķis sakrīt ar ES kopējo SEG emisiju samazināšanas mērķi, kurš tika </w:t>
            </w:r>
            <w:r w:rsidRPr="001E482B">
              <w:rPr>
                <w:rFonts w:ascii="Times New Roman" w:eastAsia="Times New Roman" w:hAnsi="Times New Roman"/>
                <w:lang w:eastAsia="lv-LV"/>
              </w:rPr>
              <w:lastRenderedPageBreak/>
              <w:t>apstiprināt Eiropadomē 2008.gadā, apstiprinot Klimata un enerģētikas pakotni 2020.gadam</w:t>
            </w:r>
            <w:r w:rsidR="003730E1" w:rsidRPr="001E482B">
              <w:rPr>
                <w:rFonts w:ascii="Times New Roman" w:eastAsia="Times New Roman" w:hAnsi="Times New Roman"/>
                <w:lang w:eastAsia="lv-LV"/>
              </w:rPr>
              <w:t>.</w:t>
            </w:r>
          </w:p>
          <w:p w:rsidR="003730E1" w:rsidRPr="001E482B" w:rsidRDefault="003730E1">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t>Kioto protokola Dohas grozījums papildus saistības uzliks minimālā apjomā (galvenokārt noteiks izmainītās ziņošanas un atskaitīšanās prasības), jo noteikto saistību izpildi jau nosaka vairāki ES tiesību akti, kuri ir vai tiek pārņemti nacionālajā likumdošanā</w:t>
            </w:r>
            <w:r w:rsidR="00293706" w:rsidRPr="001E482B">
              <w:rPr>
                <w:rFonts w:ascii="Times New Roman" w:eastAsia="Times New Roman" w:hAnsi="Times New Roman"/>
                <w:lang w:eastAsia="lv-LV"/>
              </w:rPr>
              <w:t>.</w:t>
            </w:r>
          </w:p>
        </w:tc>
        <w:tc>
          <w:tcPr>
            <w:tcW w:w="2132" w:type="pct"/>
            <w:tcBorders>
              <w:top w:val="outset" w:sz="6" w:space="0" w:color="414142"/>
              <w:left w:val="outset" w:sz="6" w:space="0" w:color="414142"/>
              <w:bottom w:val="outset" w:sz="6" w:space="0" w:color="414142"/>
              <w:right w:val="outset" w:sz="6" w:space="0" w:color="414142"/>
            </w:tcBorders>
            <w:shd w:val="clear" w:color="auto" w:fill="FFFFFF"/>
            <w:hideMark/>
          </w:tcPr>
          <w:p w:rsidR="00440EF8" w:rsidRPr="001E482B" w:rsidRDefault="003730E1" w:rsidP="003C6FC6">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lastRenderedPageBreak/>
              <w:t>Saskaņā ar likumprojektu Kioto protokola Dohas grozījuma saistību izpildi koordinē VARAM, tomēr Kioto protokola Dohas grozījuma uzlikto saistību izpildi nodrošina visas ministrijas, bet īpaši VARAM, Ekonomikas ministrijas, Zemkopības ministrijas, Satiksmes ministrija.</w:t>
            </w:r>
          </w:p>
        </w:tc>
      </w:tr>
      <w:tr w:rsidR="00D8478F" w:rsidRPr="001E482B" w:rsidTr="001E482B">
        <w:trPr>
          <w:jc w:val="center"/>
        </w:trPr>
        <w:tc>
          <w:tcPr>
            <w:tcW w:w="120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440EF8" w:rsidRPr="001E482B" w:rsidRDefault="00440EF8" w:rsidP="00440EF8">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lastRenderedPageBreak/>
              <w:t>Vai starptautiskajā dokumentā paredzētās saistības nav pretrunā ar jau esošajām Latvijas Republikas starptautiskajām saistībām</w:t>
            </w:r>
          </w:p>
        </w:tc>
        <w:tc>
          <w:tcPr>
            <w:tcW w:w="379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440EF8" w:rsidRPr="001E482B" w:rsidRDefault="003730E1">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t>Nav</w:t>
            </w:r>
          </w:p>
        </w:tc>
      </w:tr>
      <w:tr w:rsidR="00D8478F" w:rsidRPr="001E482B" w:rsidTr="001E482B">
        <w:trPr>
          <w:jc w:val="center"/>
        </w:trPr>
        <w:tc>
          <w:tcPr>
            <w:tcW w:w="1203"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rsidR="00440EF8" w:rsidRPr="001E482B" w:rsidRDefault="00440EF8" w:rsidP="00440EF8">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t>Cita informācija</w:t>
            </w:r>
          </w:p>
        </w:tc>
        <w:tc>
          <w:tcPr>
            <w:tcW w:w="3797"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440EF8" w:rsidRPr="001E482B" w:rsidRDefault="003730E1" w:rsidP="003C6FC6">
            <w:pPr>
              <w:spacing w:after="0" w:line="240" w:lineRule="auto"/>
              <w:rPr>
                <w:rFonts w:ascii="Times New Roman" w:eastAsia="Times New Roman" w:hAnsi="Times New Roman"/>
                <w:lang w:eastAsia="lv-LV"/>
              </w:rPr>
            </w:pPr>
            <w:r w:rsidRPr="001E482B">
              <w:rPr>
                <w:rFonts w:ascii="Times New Roman" w:eastAsia="Times New Roman" w:hAnsi="Times New Roman"/>
                <w:lang w:eastAsia="lv-LV"/>
              </w:rPr>
              <w:t>Nav</w:t>
            </w:r>
          </w:p>
        </w:tc>
      </w:tr>
    </w:tbl>
    <w:p w:rsidR="00440EF8" w:rsidRPr="001E482B" w:rsidRDefault="00440EF8" w:rsidP="008C1F84">
      <w:pPr>
        <w:pStyle w:val="naisf"/>
        <w:spacing w:before="0" w:beforeAutospacing="0" w:after="0" w:afterAutospacing="0"/>
        <w:rPr>
          <w:lang w:eastAsia="lv-LV"/>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9"/>
        <w:gridCol w:w="2903"/>
        <w:gridCol w:w="6287"/>
      </w:tblGrid>
      <w:tr w:rsidR="006D3B45" w:rsidRPr="001E482B" w:rsidTr="003C6FC6">
        <w:trPr>
          <w:trHeight w:val="421"/>
          <w:jc w:val="center"/>
        </w:trPr>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6D3B45" w:rsidRPr="001E482B" w:rsidRDefault="006D3B45" w:rsidP="00B67029">
            <w:pPr>
              <w:pStyle w:val="naisnod"/>
              <w:spacing w:before="0" w:beforeAutospacing="0" w:after="0" w:afterAutospacing="0"/>
              <w:ind w:right="57"/>
              <w:jc w:val="center"/>
              <w:rPr>
                <w:sz w:val="22"/>
                <w:szCs w:val="22"/>
              </w:rPr>
            </w:pPr>
            <w:r w:rsidRPr="001E482B">
              <w:rPr>
                <w:b/>
                <w:sz w:val="22"/>
                <w:szCs w:val="22"/>
              </w:rPr>
              <w:t>VI. Sabiedrības līdzdalība un komunikācijas aktivitātes</w:t>
            </w:r>
          </w:p>
        </w:tc>
      </w:tr>
      <w:tr w:rsidR="00E07132" w:rsidRPr="001E482B" w:rsidTr="003C6FC6">
        <w:trPr>
          <w:trHeight w:val="553"/>
          <w:jc w:val="center"/>
        </w:trPr>
        <w:tc>
          <w:tcPr>
            <w:tcW w:w="436" w:type="dxa"/>
            <w:tcBorders>
              <w:top w:val="single" w:sz="4" w:space="0" w:color="auto"/>
              <w:left w:val="single" w:sz="4" w:space="0" w:color="auto"/>
              <w:bottom w:val="single" w:sz="4" w:space="0" w:color="auto"/>
              <w:right w:val="single" w:sz="4" w:space="0" w:color="auto"/>
            </w:tcBorders>
            <w:hideMark/>
          </w:tcPr>
          <w:p w:rsidR="00E07132" w:rsidRPr="001E482B" w:rsidRDefault="00E07132" w:rsidP="00B67029">
            <w:pPr>
              <w:spacing w:after="0" w:line="240" w:lineRule="auto"/>
              <w:ind w:right="57"/>
              <w:jc w:val="both"/>
              <w:rPr>
                <w:rFonts w:ascii="Times New Roman" w:hAnsi="Times New Roman"/>
                <w:bCs/>
              </w:rPr>
            </w:pPr>
            <w:r w:rsidRPr="001E482B">
              <w:rPr>
                <w:rFonts w:ascii="Times New Roman" w:hAnsi="Times New Roman"/>
                <w:bCs/>
              </w:rPr>
              <w:t>1.</w:t>
            </w:r>
          </w:p>
        </w:tc>
        <w:tc>
          <w:tcPr>
            <w:tcW w:w="2818" w:type="dxa"/>
            <w:tcBorders>
              <w:top w:val="single" w:sz="4" w:space="0" w:color="auto"/>
              <w:left w:val="single" w:sz="4" w:space="0" w:color="auto"/>
              <w:bottom w:val="single" w:sz="4" w:space="0" w:color="auto"/>
              <w:right w:val="single" w:sz="4" w:space="0" w:color="auto"/>
            </w:tcBorders>
            <w:hideMark/>
          </w:tcPr>
          <w:p w:rsidR="00E07132" w:rsidRPr="001E482B" w:rsidRDefault="00E07132" w:rsidP="00B67029">
            <w:pPr>
              <w:tabs>
                <w:tab w:val="left" w:pos="170"/>
              </w:tabs>
              <w:spacing w:after="0" w:line="240" w:lineRule="auto"/>
              <w:ind w:right="57"/>
              <w:rPr>
                <w:rFonts w:ascii="Times New Roman" w:hAnsi="Times New Roman"/>
                <w:lang w:eastAsia="lv-LV"/>
              </w:rPr>
            </w:pPr>
            <w:r w:rsidRPr="001E482B">
              <w:rPr>
                <w:rFonts w:ascii="Times New Roman" w:hAnsi="Times New Roman"/>
                <w:lang w:eastAsia="lv-LV"/>
              </w:rPr>
              <w:t>Plānotās sabiedrības līdzdalības un komunikācijas aktivitātes saistībā ar projektu</w:t>
            </w:r>
          </w:p>
        </w:tc>
        <w:tc>
          <w:tcPr>
            <w:tcW w:w="610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E07132" w:rsidRPr="001E482B" w:rsidRDefault="00E07132" w:rsidP="00E2560B">
            <w:pPr>
              <w:autoSpaceDE w:val="0"/>
              <w:autoSpaceDN w:val="0"/>
              <w:adjustRightInd w:val="0"/>
              <w:spacing w:after="0" w:line="240" w:lineRule="auto"/>
              <w:ind w:firstLine="170"/>
              <w:jc w:val="both"/>
              <w:rPr>
                <w:rFonts w:ascii="Times New Roman" w:hAnsi="Times New Roman"/>
              </w:rPr>
            </w:pPr>
            <w:bookmarkStart w:id="0" w:name="p61"/>
            <w:bookmarkEnd w:id="0"/>
            <w:r w:rsidRPr="001E482B">
              <w:rPr>
                <w:rFonts w:ascii="Times New Roman" w:hAnsi="Times New Roman"/>
              </w:rPr>
              <w:t>Sabiedrība tika informēta par likumprojekta izstrādi, kad likumprojekts tika ievietots publiskai apspriešanai Vides aizsardzības un reģionālās attīstības ministrijas tīmekļa vietnē 2015.gada 24.aprīlī.</w:t>
            </w:r>
          </w:p>
        </w:tc>
      </w:tr>
      <w:tr w:rsidR="00E07132" w:rsidRPr="001E482B" w:rsidTr="003C6FC6">
        <w:trPr>
          <w:trHeight w:val="339"/>
          <w:jc w:val="center"/>
        </w:trPr>
        <w:tc>
          <w:tcPr>
            <w:tcW w:w="436" w:type="dxa"/>
            <w:tcBorders>
              <w:top w:val="single" w:sz="4" w:space="0" w:color="auto"/>
              <w:left w:val="single" w:sz="4" w:space="0" w:color="auto"/>
              <w:bottom w:val="single" w:sz="4" w:space="0" w:color="auto"/>
              <w:right w:val="single" w:sz="4" w:space="0" w:color="auto"/>
            </w:tcBorders>
            <w:hideMark/>
          </w:tcPr>
          <w:p w:rsidR="00E07132" w:rsidRPr="001E482B" w:rsidRDefault="00E07132" w:rsidP="00B67029">
            <w:pPr>
              <w:spacing w:after="0" w:line="240" w:lineRule="auto"/>
              <w:ind w:right="57"/>
              <w:jc w:val="both"/>
              <w:rPr>
                <w:rFonts w:ascii="Times New Roman" w:hAnsi="Times New Roman"/>
                <w:bCs/>
              </w:rPr>
            </w:pPr>
            <w:r w:rsidRPr="001E482B">
              <w:rPr>
                <w:rFonts w:ascii="Times New Roman" w:hAnsi="Times New Roman"/>
                <w:bCs/>
              </w:rPr>
              <w:t>2.</w:t>
            </w:r>
          </w:p>
        </w:tc>
        <w:tc>
          <w:tcPr>
            <w:tcW w:w="2818" w:type="dxa"/>
            <w:tcBorders>
              <w:top w:val="single" w:sz="4" w:space="0" w:color="auto"/>
              <w:left w:val="single" w:sz="4" w:space="0" w:color="auto"/>
              <w:bottom w:val="single" w:sz="4" w:space="0" w:color="auto"/>
              <w:right w:val="single" w:sz="4" w:space="0" w:color="auto"/>
            </w:tcBorders>
            <w:hideMark/>
          </w:tcPr>
          <w:p w:rsidR="00E07132" w:rsidRPr="001E482B" w:rsidRDefault="00E07132" w:rsidP="00B67029">
            <w:pPr>
              <w:spacing w:after="0" w:line="240" w:lineRule="auto"/>
              <w:ind w:right="57"/>
              <w:rPr>
                <w:rFonts w:ascii="Times New Roman" w:hAnsi="Times New Roman"/>
                <w:lang w:eastAsia="lv-LV"/>
              </w:rPr>
            </w:pPr>
            <w:r w:rsidRPr="001E482B">
              <w:rPr>
                <w:rFonts w:ascii="Times New Roman" w:hAnsi="Times New Roman"/>
                <w:lang w:eastAsia="lv-LV"/>
              </w:rPr>
              <w:t>Sabiedrības līdzdalība projekta izstrādē</w:t>
            </w:r>
          </w:p>
        </w:tc>
        <w:tc>
          <w:tcPr>
            <w:tcW w:w="610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E07132" w:rsidRPr="001E482B" w:rsidRDefault="00E07132" w:rsidP="00E2560B">
            <w:pPr>
              <w:autoSpaceDE w:val="0"/>
              <w:autoSpaceDN w:val="0"/>
              <w:adjustRightInd w:val="0"/>
              <w:spacing w:after="0" w:line="240" w:lineRule="auto"/>
              <w:ind w:firstLine="170"/>
              <w:jc w:val="both"/>
              <w:rPr>
                <w:rFonts w:ascii="Times New Roman" w:hAnsi="Times New Roman"/>
                <w:color w:val="000000"/>
              </w:rPr>
            </w:pPr>
            <w:bookmarkStart w:id="1" w:name="p62"/>
            <w:bookmarkEnd w:id="1"/>
            <w:r w:rsidRPr="001E482B">
              <w:rPr>
                <w:rFonts w:ascii="Times New Roman" w:hAnsi="Times New Roman"/>
              </w:rPr>
              <w:t>Likumprojekts publicēts Vides aizsardzības un reģionālās attīstības tīmekļa vietnē.</w:t>
            </w:r>
          </w:p>
        </w:tc>
      </w:tr>
      <w:tr w:rsidR="00E07132" w:rsidRPr="001E482B" w:rsidTr="003C6FC6">
        <w:trPr>
          <w:trHeight w:val="476"/>
          <w:jc w:val="center"/>
        </w:trPr>
        <w:tc>
          <w:tcPr>
            <w:tcW w:w="436" w:type="dxa"/>
            <w:tcBorders>
              <w:top w:val="single" w:sz="4" w:space="0" w:color="auto"/>
              <w:left w:val="single" w:sz="4" w:space="0" w:color="auto"/>
              <w:bottom w:val="single" w:sz="4" w:space="0" w:color="auto"/>
              <w:right w:val="single" w:sz="4" w:space="0" w:color="auto"/>
            </w:tcBorders>
            <w:hideMark/>
          </w:tcPr>
          <w:p w:rsidR="00E07132" w:rsidRPr="001E482B" w:rsidRDefault="00E07132" w:rsidP="00B67029">
            <w:pPr>
              <w:spacing w:after="0" w:line="240" w:lineRule="auto"/>
              <w:ind w:right="57"/>
              <w:jc w:val="both"/>
              <w:rPr>
                <w:rFonts w:ascii="Times New Roman" w:hAnsi="Times New Roman"/>
                <w:bCs/>
              </w:rPr>
            </w:pPr>
            <w:r w:rsidRPr="001E482B">
              <w:rPr>
                <w:rFonts w:ascii="Times New Roman" w:hAnsi="Times New Roman"/>
                <w:bCs/>
              </w:rPr>
              <w:t>3.</w:t>
            </w:r>
          </w:p>
        </w:tc>
        <w:tc>
          <w:tcPr>
            <w:tcW w:w="2818" w:type="dxa"/>
            <w:tcBorders>
              <w:top w:val="single" w:sz="4" w:space="0" w:color="auto"/>
              <w:left w:val="single" w:sz="4" w:space="0" w:color="auto"/>
              <w:bottom w:val="single" w:sz="4" w:space="0" w:color="auto"/>
              <w:right w:val="single" w:sz="4" w:space="0" w:color="auto"/>
            </w:tcBorders>
            <w:hideMark/>
          </w:tcPr>
          <w:p w:rsidR="00E07132" w:rsidRPr="001E482B" w:rsidRDefault="00E07132" w:rsidP="00B67029">
            <w:pPr>
              <w:spacing w:after="0" w:line="240" w:lineRule="auto"/>
              <w:ind w:right="57"/>
              <w:rPr>
                <w:rFonts w:ascii="Times New Roman" w:hAnsi="Times New Roman"/>
                <w:lang w:eastAsia="lv-LV"/>
              </w:rPr>
            </w:pPr>
            <w:r w:rsidRPr="001E482B">
              <w:rPr>
                <w:rFonts w:ascii="Times New Roman" w:hAnsi="Times New Roman"/>
                <w:lang w:eastAsia="lv-LV"/>
              </w:rPr>
              <w:t>Sabiedrības līdzdalības rezultāti</w:t>
            </w:r>
          </w:p>
        </w:tc>
        <w:tc>
          <w:tcPr>
            <w:tcW w:w="610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E07132" w:rsidRPr="001E482B" w:rsidRDefault="00E07132" w:rsidP="00E2560B">
            <w:pPr>
              <w:pStyle w:val="NoSpacing"/>
              <w:jc w:val="both"/>
              <w:rPr>
                <w:rFonts w:ascii="Times New Roman" w:eastAsia="Times New Roman" w:hAnsi="Times New Roman"/>
                <w:lang w:val="lv-LV"/>
              </w:rPr>
            </w:pPr>
            <w:r w:rsidRPr="001E482B">
              <w:rPr>
                <w:rFonts w:ascii="Times New Roman" w:hAnsi="Times New Roman"/>
                <w:lang w:val="lv-LV"/>
              </w:rPr>
              <w:t xml:space="preserve">  Projekts šo jomu neskar.</w:t>
            </w:r>
          </w:p>
        </w:tc>
      </w:tr>
      <w:tr w:rsidR="00E07132" w:rsidRPr="001E482B" w:rsidTr="003C6FC6">
        <w:trPr>
          <w:trHeight w:val="476"/>
          <w:jc w:val="center"/>
        </w:trPr>
        <w:tc>
          <w:tcPr>
            <w:tcW w:w="436" w:type="dxa"/>
            <w:tcBorders>
              <w:top w:val="single" w:sz="4" w:space="0" w:color="auto"/>
              <w:left w:val="single" w:sz="4" w:space="0" w:color="auto"/>
              <w:bottom w:val="single" w:sz="4" w:space="0" w:color="auto"/>
              <w:right w:val="single" w:sz="4" w:space="0" w:color="auto"/>
            </w:tcBorders>
            <w:hideMark/>
          </w:tcPr>
          <w:p w:rsidR="00E07132" w:rsidRPr="001E482B" w:rsidRDefault="00E07132" w:rsidP="00B67029">
            <w:pPr>
              <w:spacing w:after="0" w:line="240" w:lineRule="auto"/>
              <w:ind w:right="57"/>
              <w:jc w:val="both"/>
              <w:rPr>
                <w:rFonts w:ascii="Times New Roman" w:hAnsi="Times New Roman"/>
                <w:bCs/>
              </w:rPr>
            </w:pPr>
            <w:r w:rsidRPr="001E482B">
              <w:rPr>
                <w:rFonts w:ascii="Times New Roman" w:hAnsi="Times New Roman"/>
                <w:bCs/>
              </w:rPr>
              <w:t>4.</w:t>
            </w:r>
          </w:p>
        </w:tc>
        <w:tc>
          <w:tcPr>
            <w:tcW w:w="2818" w:type="dxa"/>
            <w:tcBorders>
              <w:top w:val="single" w:sz="4" w:space="0" w:color="auto"/>
              <w:left w:val="single" w:sz="4" w:space="0" w:color="auto"/>
              <w:bottom w:val="single" w:sz="4" w:space="0" w:color="auto"/>
              <w:right w:val="single" w:sz="4" w:space="0" w:color="auto"/>
            </w:tcBorders>
            <w:hideMark/>
          </w:tcPr>
          <w:p w:rsidR="00E07132" w:rsidRPr="001E482B" w:rsidRDefault="00E07132" w:rsidP="00B67029">
            <w:pPr>
              <w:spacing w:after="0" w:line="240" w:lineRule="auto"/>
              <w:ind w:right="57"/>
              <w:rPr>
                <w:rFonts w:ascii="Times New Roman" w:hAnsi="Times New Roman"/>
                <w:lang w:eastAsia="lv-LV"/>
              </w:rPr>
            </w:pPr>
            <w:r w:rsidRPr="001E482B">
              <w:rPr>
                <w:rFonts w:ascii="Times New Roman" w:hAnsi="Times New Roman"/>
                <w:lang w:eastAsia="lv-LV"/>
              </w:rPr>
              <w:t>Cita informācija</w:t>
            </w:r>
          </w:p>
        </w:tc>
        <w:tc>
          <w:tcPr>
            <w:tcW w:w="6102" w:type="dxa"/>
            <w:tcBorders>
              <w:top w:val="single" w:sz="4" w:space="0" w:color="auto"/>
              <w:left w:val="single" w:sz="4" w:space="0" w:color="auto"/>
              <w:bottom w:val="single" w:sz="4" w:space="0" w:color="auto"/>
              <w:right w:val="single" w:sz="4" w:space="0" w:color="auto"/>
            </w:tcBorders>
            <w:tcMar>
              <w:left w:w="28" w:type="dxa"/>
              <w:right w:w="28" w:type="dxa"/>
            </w:tcMar>
            <w:hideMark/>
          </w:tcPr>
          <w:p w:rsidR="00E07132" w:rsidRPr="001E482B" w:rsidRDefault="00E07132" w:rsidP="00E2560B">
            <w:pPr>
              <w:pStyle w:val="FootnoteText"/>
              <w:ind w:left="57"/>
              <w:jc w:val="both"/>
              <w:rPr>
                <w:color w:val="000000"/>
                <w:sz w:val="22"/>
                <w:szCs w:val="22"/>
              </w:rPr>
            </w:pPr>
            <w:r w:rsidRPr="001E482B">
              <w:rPr>
                <w:color w:val="000000"/>
                <w:sz w:val="22"/>
                <w:szCs w:val="22"/>
              </w:rPr>
              <w:t>Nolīgums tā izstrādes gaitā ir noteikts kā dokuments tikai „Dienesta vajadzībām” (</w:t>
            </w:r>
            <w:r w:rsidRPr="001E482B">
              <w:rPr>
                <w:i/>
                <w:color w:val="000000"/>
                <w:sz w:val="22"/>
                <w:szCs w:val="22"/>
              </w:rPr>
              <w:t>LIMITE</w:t>
            </w:r>
            <w:r w:rsidRPr="001E482B">
              <w:rPr>
                <w:color w:val="000000"/>
                <w:sz w:val="22"/>
                <w:szCs w:val="22"/>
              </w:rPr>
              <w:t>), tāpēc sabiedrības līdzdalība tā izstrādes stadijā nebija iespējama.</w:t>
            </w:r>
          </w:p>
        </w:tc>
      </w:tr>
    </w:tbl>
    <w:p w:rsidR="006D3B45" w:rsidRPr="001E482B" w:rsidRDefault="006D3B45" w:rsidP="006D3B45">
      <w:pPr>
        <w:spacing w:after="0" w:line="240" w:lineRule="auto"/>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62"/>
        <w:gridCol w:w="3693"/>
        <w:gridCol w:w="5584"/>
      </w:tblGrid>
      <w:tr w:rsidR="006D3B45" w:rsidRPr="001E482B" w:rsidTr="003C6FC6">
        <w:trPr>
          <w:trHeight w:val="381"/>
          <w:jc w:val="center"/>
        </w:trPr>
        <w:tc>
          <w:tcPr>
            <w:tcW w:w="9436" w:type="dxa"/>
            <w:gridSpan w:val="3"/>
            <w:tcBorders>
              <w:top w:val="single" w:sz="4" w:space="0" w:color="auto"/>
              <w:left w:val="single" w:sz="4" w:space="0" w:color="auto"/>
              <w:bottom w:val="single" w:sz="4" w:space="0" w:color="auto"/>
              <w:right w:val="single" w:sz="4" w:space="0" w:color="auto"/>
            </w:tcBorders>
            <w:vAlign w:val="center"/>
            <w:hideMark/>
          </w:tcPr>
          <w:p w:rsidR="006D3B45" w:rsidRPr="001E482B" w:rsidRDefault="006D3B45" w:rsidP="005B5200">
            <w:pPr>
              <w:pStyle w:val="naisnod"/>
              <w:spacing w:before="60" w:beforeAutospacing="0" w:after="60" w:afterAutospacing="0"/>
              <w:ind w:right="57"/>
              <w:jc w:val="center"/>
              <w:rPr>
                <w:sz w:val="22"/>
                <w:szCs w:val="22"/>
              </w:rPr>
            </w:pPr>
            <w:r w:rsidRPr="001E482B">
              <w:rPr>
                <w:b/>
                <w:sz w:val="22"/>
                <w:szCs w:val="22"/>
              </w:rPr>
              <w:t>VII. Tiesību akta projekta izpildes nodrošināšana un tās ietekme uz institūcijām</w:t>
            </w:r>
          </w:p>
        </w:tc>
      </w:tr>
      <w:tr w:rsidR="006D3B45" w:rsidRPr="001E482B" w:rsidTr="003C6FC6">
        <w:trPr>
          <w:trHeight w:val="427"/>
          <w:jc w:val="center"/>
        </w:trPr>
        <w:tc>
          <w:tcPr>
            <w:tcW w:w="355" w:type="dxa"/>
            <w:tcBorders>
              <w:top w:val="single" w:sz="4" w:space="0" w:color="auto"/>
              <w:left w:val="single" w:sz="4" w:space="0" w:color="auto"/>
              <w:bottom w:val="single" w:sz="4" w:space="0" w:color="auto"/>
              <w:right w:val="single" w:sz="4" w:space="0" w:color="auto"/>
            </w:tcBorders>
            <w:hideMark/>
          </w:tcPr>
          <w:p w:rsidR="006D3B45" w:rsidRPr="001E482B" w:rsidRDefault="006D3B45" w:rsidP="005B5200">
            <w:pPr>
              <w:pStyle w:val="naisnod"/>
              <w:spacing w:before="60" w:beforeAutospacing="0" w:after="60" w:afterAutospacing="0"/>
              <w:ind w:right="57"/>
              <w:jc w:val="both"/>
              <w:rPr>
                <w:sz w:val="22"/>
                <w:szCs w:val="22"/>
              </w:rPr>
            </w:pPr>
            <w:r w:rsidRPr="001E482B">
              <w:rPr>
                <w:sz w:val="22"/>
                <w:szCs w:val="22"/>
              </w:rPr>
              <w:t>1.</w:t>
            </w:r>
          </w:p>
        </w:tc>
        <w:tc>
          <w:tcPr>
            <w:tcW w:w="3615" w:type="dxa"/>
            <w:tcBorders>
              <w:top w:val="single" w:sz="4" w:space="0" w:color="auto"/>
              <w:left w:val="single" w:sz="4" w:space="0" w:color="auto"/>
              <w:bottom w:val="single" w:sz="4" w:space="0" w:color="auto"/>
              <w:right w:val="single" w:sz="4" w:space="0" w:color="auto"/>
            </w:tcBorders>
            <w:hideMark/>
          </w:tcPr>
          <w:p w:rsidR="006D3B45" w:rsidRPr="001E482B" w:rsidRDefault="006D3B45" w:rsidP="005B5200">
            <w:pPr>
              <w:pStyle w:val="naisf"/>
              <w:spacing w:before="60" w:beforeAutospacing="0" w:after="60" w:afterAutospacing="0"/>
              <w:ind w:right="57"/>
              <w:rPr>
                <w:sz w:val="22"/>
                <w:szCs w:val="22"/>
              </w:rPr>
            </w:pPr>
            <w:r w:rsidRPr="001E482B">
              <w:rPr>
                <w:sz w:val="22"/>
                <w:szCs w:val="22"/>
              </w:rPr>
              <w:t>Projekta izpildē iesaistītās institūcijas</w:t>
            </w:r>
          </w:p>
        </w:tc>
        <w:tc>
          <w:tcPr>
            <w:tcW w:w="5466" w:type="dxa"/>
            <w:tcBorders>
              <w:top w:val="single" w:sz="4" w:space="0" w:color="auto"/>
              <w:left w:val="single" w:sz="4" w:space="0" w:color="auto"/>
              <w:bottom w:val="single" w:sz="4" w:space="0" w:color="auto"/>
              <w:right w:val="single" w:sz="4" w:space="0" w:color="auto"/>
            </w:tcBorders>
          </w:tcPr>
          <w:p w:rsidR="006D3B45" w:rsidRPr="001E482B" w:rsidRDefault="005B5200" w:rsidP="005B5200">
            <w:pPr>
              <w:spacing w:before="60" w:after="60" w:line="240" w:lineRule="auto"/>
              <w:jc w:val="both"/>
              <w:rPr>
                <w:rFonts w:ascii="Times New Roman" w:hAnsi="Times New Roman"/>
              </w:rPr>
            </w:pPr>
            <w:bookmarkStart w:id="2" w:name="p69"/>
            <w:bookmarkStart w:id="3" w:name="p68"/>
            <w:bookmarkStart w:id="4" w:name="p67"/>
            <w:bookmarkStart w:id="5" w:name="p66"/>
            <w:bookmarkEnd w:id="2"/>
            <w:bookmarkEnd w:id="3"/>
            <w:bookmarkEnd w:id="4"/>
            <w:bookmarkEnd w:id="5"/>
            <w:r w:rsidRPr="001E482B">
              <w:rPr>
                <w:rFonts w:ascii="Times New Roman" w:hAnsi="Times New Roman"/>
                <w:color w:val="000000"/>
              </w:rPr>
              <w:t>V</w:t>
            </w:r>
            <w:r w:rsidR="00F960B0" w:rsidRPr="001E482B">
              <w:rPr>
                <w:rFonts w:ascii="Times New Roman" w:hAnsi="Times New Roman"/>
                <w:color w:val="000000"/>
              </w:rPr>
              <w:t>ides aizsardzības un reģionālās attīstības ministrija</w:t>
            </w:r>
          </w:p>
        </w:tc>
      </w:tr>
      <w:tr w:rsidR="006D3B45" w:rsidRPr="001E482B" w:rsidTr="003C6FC6">
        <w:trPr>
          <w:trHeight w:val="463"/>
          <w:jc w:val="center"/>
        </w:trPr>
        <w:tc>
          <w:tcPr>
            <w:tcW w:w="355" w:type="dxa"/>
            <w:tcBorders>
              <w:top w:val="single" w:sz="4" w:space="0" w:color="auto"/>
              <w:left w:val="single" w:sz="4" w:space="0" w:color="auto"/>
              <w:bottom w:val="single" w:sz="4" w:space="0" w:color="auto"/>
              <w:right w:val="single" w:sz="4" w:space="0" w:color="auto"/>
            </w:tcBorders>
            <w:hideMark/>
          </w:tcPr>
          <w:p w:rsidR="006D3B45" w:rsidRPr="001E482B" w:rsidRDefault="006D3B45" w:rsidP="005B5200">
            <w:pPr>
              <w:pStyle w:val="naisnod"/>
              <w:spacing w:before="60" w:beforeAutospacing="0" w:after="60" w:afterAutospacing="0"/>
              <w:ind w:right="57"/>
              <w:jc w:val="both"/>
              <w:rPr>
                <w:sz w:val="22"/>
                <w:szCs w:val="22"/>
              </w:rPr>
            </w:pPr>
            <w:r w:rsidRPr="001E482B">
              <w:rPr>
                <w:sz w:val="22"/>
                <w:szCs w:val="22"/>
              </w:rPr>
              <w:t>2.</w:t>
            </w:r>
          </w:p>
        </w:tc>
        <w:tc>
          <w:tcPr>
            <w:tcW w:w="3615" w:type="dxa"/>
            <w:tcBorders>
              <w:top w:val="single" w:sz="4" w:space="0" w:color="auto"/>
              <w:left w:val="single" w:sz="4" w:space="0" w:color="auto"/>
              <w:bottom w:val="single" w:sz="4" w:space="0" w:color="auto"/>
              <w:right w:val="single" w:sz="4" w:space="0" w:color="auto"/>
            </w:tcBorders>
            <w:hideMark/>
          </w:tcPr>
          <w:p w:rsidR="006D3B45" w:rsidRPr="001E482B" w:rsidRDefault="006D3B45" w:rsidP="005B5200">
            <w:pPr>
              <w:pStyle w:val="naisf"/>
              <w:spacing w:before="60" w:beforeAutospacing="0" w:after="60" w:afterAutospacing="0"/>
              <w:ind w:right="57"/>
              <w:rPr>
                <w:sz w:val="22"/>
                <w:szCs w:val="22"/>
                <w:lang w:eastAsia="lv-LV"/>
              </w:rPr>
            </w:pPr>
            <w:r w:rsidRPr="001E482B">
              <w:rPr>
                <w:sz w:val="22"/>
                <w:szCs w:val="22"/>
              </w:rPr>
              <w:t>Projekta izpildes ietekme uz pār</w:t>
            </w:r>
            <w:r w:rsidRPr="001E482B">
              <w:rPr>
                <w:sz w:val="22"/>
                <w:szCs w:val="22"/>
              </w:rPr>
              <w:softHyphen/>
              <w:t>valdes funkcijām un institucionālo struktūru.</w:t>
            </w:r>
          </w:p>
          <w:p w:rsidR="006D3B45" w:rsidRPr="001E482B" w:rsidRDefault="006D3B45" w:rsidP="00A930D5">
            <w:pPr>
              <w:pStyle w:val="naisf"/>
              <w:spacing w:before="60" w:beforeAutospacing="0" w:after="60" w:afterAutospacing="0"/>
              <w:ind w:right="57"/>
              <w:rPr>
                <w:sz w:val="22"/>
                <w:szCs w:val="22"/>
              </w:rPr>
            </w:pPr>
            <w:r w:rsidRPr="001E482B">
              <w:rPr>
                <w:sz w:val="22"/>
                <w:szCs w:val="22"/>
              </w:rPr>
              <w:t>Jaunu institūciju izveide, esošu institūciju likvidācija vai reorganizācija, to ietekme uz institūcijas cilvēkresursiem</w:t>
            </w:r>
          </w:p>
        </w:tc>
        <w:tc>
          <w:tcPr>
            <w:tcW w:w="5466" w:type="dxa"/>
            <w:tcBorders>
              <w:top w:val="single" w:sz="4" w:space="0" w:color="auto"/>
              <w:left w:val="single" w:sz="4" w:space="0" w:color="auto"/>
              <w:bottom w:val="single" w:sz="4" w:space="0" w:color="auto"/>
              <w:right w:val="single" w:sz="4" w:space="0" w:color="auto"/>
            </w:tcBorders>
          </w:tcPr>
          <w:p w:rsidR="006D3B45" w:rsidRPr="001E482B" w:rsidRDefault="006D3B45" w:rsidP="005B5200">
            <w:pPr>
              <w:spacing w:before="60" w:after="60" w:line="240" w:lineRule="auto"/>
              <w:jc w:val="both"/>
              <w:rPr>
                <w:rFonts w:ascii="Times New Roman" w:hAnsi="Times New Roman"/>
              </w:rPr>
            </w:pPr>
            <w:r w:rsidRPr="001E482B">
              <w:rPr>
                <w:rFonts w:ascii="Times New Roman" w:hAnsi="Times New Roman"/>
                <w:color w:val="000000"/>
              </w:rPr>
              <w:t>Projekts nemaina iesaistīto institūciju kompetenci</w:t>
            </w:r>
            <w:r w:rsidR="005B5200" w:rsidRPr="001E482B">
              <w:rPr>
                <w:rFonts w:ascii="Times New Roman" w:hAnsi="Times New Roman"/>
              </w:rPr>
              <w:t>.</w:t>
            </w:r>
          </w:p>
        </w:tc>
      </w:tr>
      <w:tr w:rsidR="006D3B45" w:rsidRPr="001E482B" w:rsidTr="003C6FC6">
        <w:trPr>
          <w:trHeight w:val="402"/>
          <w:jc w:val="center"/>
        </w:trPr>
        <w:tc>
          <w:tcPr>
            <w:tcW w:w="355" w:type="dxa"/>
            <w:tcBorders>
              <w:top w:val="single" w:sz="4" w:space="0" w:color="auto"/>
              <w:left w:val="single" w:sz="4" w:space="0" w:color="auto"/>
              <w:bottom w:val="single" w:sz="4" w:space="0" w:color="auto"/>
              <w:right w:val="single" w:sz="4" w:space="0" w:color="auto"/>
            </w:tcBorders>
            <w:hideMark/>
          </w:tcPr>
          <w:p w:rsidR="006D3B45" w:rsidRPr="001E482B" w:rsidRDefault="006D3B45" w:rsidP="005B5200">
            <w:pPr>
              <w:pStyle w:val="naisnod"/>
              <w:spacing w:before="60" w:beforeAutospacing="0" w:after="60" w:afterAutospacing="0"/>
              <w:ind w:right="57"/>
              <w:jc w:val="both"/>
              <w:rPr>
                <w:sz w:val="22"/>
                <w:szCs w:val="22"/>
              </w:rPr>
            </w:pPr>
            <w:r w:rsidRPr="001E482B">
              <w:rPr>
                <w:sz w:val="22"/>
                <w:szCs w:val="22"/>
              </w:rPr>
              <w:t>3.</w:t>
            </w:r>
          </w:p>
        </w:tc>
        <w:tc>
          <w:tcPr>
            <w:tcW w:w="3615" w:type="dxa"/>
            <w:tcBorders>
              <w:top w:val="single" w:sz="4" w:space="0" w:color="auto"/>
              <w:left w:val="single" w:sz="4" w:space="0" w:color="auto"/>
              <w:bottom w:val="single" w:sz="4" w:space="0" w:color="auto"/>
              <w:right w:val="single" w:sz="4" w:space="0" w:color="auto"/>
            </w:tcBorders>
            <w:hideMark/>
          </w:tcPr>
          <w:p w:rsidR="006D3B45" w:rsidRPr="001E482B" w:rsidRDefault="006D3B45" w:rsidP="005B5200">
            <w:pPr>
              <w:pStyle w:val="naisf"/>
              <w:spacing w:before="60" w:beforeAutospacing="0" w:after="60" w:afterAutospacing="0"/>
              <w:ind w:right="57"/>
              <w:rPr>
                <w:sz w:val="22"/>
                <w:szCs w:val="22"/>
              </w:rPr>
            </w:pPr>
            <w:r w:rsidRPr="001E482B">
              <w:rPr>
                <w:sz w:val="22"/>
                <w:szCs w:val="22"/>
              </w:rPr>
              <w:t>Cita informācija</w:t>
            </w:r>
          </w:p>
        </w:tc>
        <w:tc>
          <w:tcPr>
            <w:tcW w:w="5466" w:type="dxa"/>
            <w:tcBorders>
              <w:top w:val="single" w:sz="4" w:space="0" w:color="auto"/>
              <w:left w:val="single" w:sz="4" w:space="0" w:color="auto"/>
              <w:bottom w:val="single" w:sz="4" w:space="0" w:color="auto"/>
              <w:right w:val="single" w:sz="4" w:space="0" w:color="auto"/>
            </w:tcBorders>
            <w:hideMark/>
          </w:tcPr>
          <w:p w:rsidR="006D3B45" w:rsidRPr="001E482B" w:rsidRDefault="006D3B45" w:rsidP="005B5200">
            <w:pPr>
              <w:spacing w:before="60" w:after="60" w:line="240" w:lineRule="auto"/>
              <w:ind w:right="57"/>
              <w:jc w:val="both"/>
              <w:rPr>
                <w:rFonts w:ascii="Times New Roman" w:hAnsi="Times New Roman"/>
                <w:lang w:eastAsia="lv-LV"/>
              </w:rPr>
            </w:pPr>
            <w:r w:rsidRPr="001E482B">
              <w:rPr>
                <w:rFonts w:ascii="Times New Roman" w:hAnsi="Times New Roman"/>
              </w:rPr>
              <w:t>Nav.</w:t>
            </w:r>
          </w:p>
        </w:tc>
      </w:tr>
    </w:tbl>
    <w:p w:rsidR="00726D0A" w:rsidRPr="001E482B" w:rsidRDefault="00726D0A" w:rsidP="00726D0A">
      <w:pPr>
        <w:pStyle w:val="naisf"/>
        <w:tabs>
          <w:tab w:val="left" w:pos="6804"/>
        </w:tabs>
        <w:spacing w:before="120" w:beforeAutospacing="0" w:after="120" w:afterAutospacing="0"/>
        <w:rPr>
          <w:sz w:val="28"/>
          <w:szCs w:val="28"/>
          <w:u w:val="single"/>
        </w:rPr>
      </w:pPr>
      <w:r w:rsidRPr="001E482B">
        <w:rPr>
          <w:b/>
          <w:u w:val="single"/>
        </w:rPr>
        <w:t xml:space="preserve">Anotācijas </w:t>
      </w:r>
      <w:r w:rsidR="00D60F3D" w:rsidRPr="001E482B">
        <w:rPr>
          <w:b/>
          <w:u w:val="single"/>
        </w:rPr>
        <w:t xml:space="preserve"> </w:t>
      </w:r>
      <w:r w:rsidR="003C6FC6" w:rsidRPr="001E482B">
        <w:rPr>
          <w:b/>
          <w:u w:val="single"/>
        </w:rPr>
        <w:t xml:space="preserve">III un IV sadaļa, </w:t>
      </w:r>
      <w:r w:rsidRPr="001E482B">
        <w:rPr>
          <w:b/>
          <w:u w:val="single"/>
        </w:rPr>
        <w:t xml:space="preserve">V sadaļas 1.tabula – </w:t>
      </w:r>
      <w:r w:rsidR="003C6FC6" w:rsidRPr="001E482B">
        <w:rPr>
          <w:b/>
          <w:u w:val="single"/>
        </w:rPr>
        <w:t>likum</w:t>
      </w:r>
      <w:r w:rsidRPr="001E482B">
        <w:rPr>
          <w:b/>
          <w:u w:val="single"/>
        </w:rPr>
        <w:t>projekts šo jomu neskar.</w:t>
      </w:r>
    </w:p>
    <w:p w:rsidR="00A930D5" w:rsidRPr="001E482B" w:rsidRDefault="00A930D5" w:rsidP="006D3B45">
      <w:pPr>
        <w:spacing w:after="0" w:line="240" w:lineRule="auto"/>
        <w:rPr>
          <w:rFonts w:ascii="Times New Roman" w:hAnsi="Times New Roman"/>
          <w:sz w:val="26"/>
          <w:szCs w:val="26"/>
        </w:rPr>
      </w:pPr>
    </w:p>
    <w:p w:rsidR="0036422A" w:rsidRPr="001E482B" w:rsidRDefault="0036422A" w:rsidP="0036422A">
      <w:pPr>
        <w:spacing w:after="0" w:line="240" w:lineRule="auto"/>
        <w:rPr>
          <w:rFonts w:ascii="Times New Roman" w:hAnsi="Times New Roman"/>
          <w:sz w:val="28"/>
          <w:szCs w:val="28"/>
        </w:rPr>
      </w:pPr>
      <w:r w:rsidRPr="001E482B">
        <w:rPr>
          <w:rFonts w:ascii="Times New Roman" w:hAnsi="Times New Roman"/>
          <w:sz w:val="28"/>
          <w:szCs w:val="28"/>
        </w:rPr>
        <w:t>Vides aizsardzības un reģ</w:t>
      </w:r>
      <w:r w:rsidR="00D60F3D" w:rsidRPr="001E482B">
        <w:rPr>
          <w:rFonts w:ascii="Times New Roman" w:hAnsi="Times New Roman"/>
          <w:sz w:val="28"/>
          <w:szCs w:val="28"/>
        </w:rPr>
        <w:t>ionālās</w:t>
      </w:r>
      <w:r w:rsidR="003C6FC6" w:rsidRPr="001E482B">
        <w:rPr>
          <w:rFonts w:ascii="Times New Roman" w:hAnsi="Times New Roman"/>
          <w:sz w:val="28"/>
          <w:szCs w:val="28"/>
        </w:rPr>
        <w:t xml:space="preserve"> </w:t>
      </w:r>
      <w:r w:rsidR="00D60F3D" w:rsidRPr="001E482B">
        <w:rPr>
          <w:rFonts w:ascii="Times New Roman" w:hAnsi="Times New Roman"/>
          <w:sz w:val="28"/>
          <w:szCs w:val="28"/>
        </w:rPr>
        <w:t>attīstības ministrs</w:t>
      </w:r>
      <w:r w:rsidR="00D60F3D" w:rsidRPr="001E482B">
        <w:rPr>
          <w:rFonts w:ascii="Times New Roman" w:hAnsi="Times New Roman"/>
          <w:sz w:val="28"/>
          <w:szCs w:val="28"/>
        </w:rPr>
        <w:tab/>
      </w:r>
      <w:r w:rsidR="00D60F3D" w:rsidRPr="001E482B">
        <w:rPr>
          <w:rFonts w:ascii="Times New Roman" w:hAnsi="Times New Roman"/>
          <w:sz w:val="28"/>
          <w:szCs w:val="28"/>
        </w:rPr>
        <w:tab/>
      </w:r>
      <w:r w:rsidR="003C6FC6" w:rsidRPr="001E482B">
        <w:rPr>
          <w:rFonts w:ascii="Times New Roman" w:hAnsi="Times New Roman"/>
          <w:sz w:val="28"/>
          <w:szCs w:val="28"/>
        </w:rPr>
        <w:t xml:space="preserve">       </w:t>
      </w:r>
      <w:r w:rsidR="00D60F3D" w:rsidRPr="001E482B">
        <w:rPr>
          <w:rFonts w:ascii="Times New Roman" w:hAnsi="Times New Roman"/>
          <w:sz w:val="28"/>
          <w:szCs w:val="28"/>
        </w:rPr>
        <w:t xml:space="preserve">Kaspars </w:t>
      </w:r>
      <w:r w:rsidRPr="001E482B">
        <w:rPr>
          <w:rFonts w:ascii="Times New Roman" w:hAnsi="Times New Roman"/>
          <w:sz w:val="28"/>
          <w:szCs w:val="28"/>
        </w:rPr>
        <w:t>Gerhards</w:t>
      </w:r>
    </w:p>
    <w:p w:rsidR="00861501" w:rsidRPr="001E482B" w:rsidRDefault="00861501" w:rsidP="0036422A">
      <w:pPr>
        <w:spacing w:after="0" w:line="240" w:lineRule="auto"/>
        <w:rPr>
          <w:rFonts w:ascii="Times New Roman" w:hAnsi="Times New Roman"/>
          <w:sz w:val="8"/>
          <w:szCs w:val="8"/>
        </w:rPr>
      </w:pPr>
    </w:p>
    <w:p w:rsidR="00861501" w:rsidRPr="001E482B" w:rsidRDefault="00861501" w:rsidP="0036422A">
      <w:pPr>
        <w:spacing w:after="0" w:line="240" w:lineRule="auto"/>
        <w:rPr>
          <w:rFonts w:ascii="Times New Roman" w:hAnsi="Times New Roman"/>
          <w:sz w:val="8"/>
          <w:szCs w:val="8"/>
        </w:rPr>
      </w:pPr>
    </w:p>
    <w:p w:rsidR="00861501" w:rsidRPr="001E482B" w:rsidRDefault="00861501" w:rsidP="0036422A">
      <w:pPr>
        <w:spacing w:after="0" w:line="240" w:lineRule="auto"/>
        <w:rPr>
          <w:rFonts w:ascii="Times New Roman" w:hAnsi="Times New Roman"/>
          <w:sz w:val="8"/>
          <w:szCs w:val="8"/>
        </w:rPr>
      </w:pPr>
    </w:p>
    <w:p w:rsidR="00861501" w:rsidRPr="001E482B" w:rsidRDefault="00861501" w:rsidP="0036422A">
      <w:pPr>
        <w:spacing w:after="0" w:line="240" w:lineRule="auto"/>
        <w:rPr>
          <w:rFonts w:ascii="Times New Roman" w:hAnsi="Times New Roman"/>
          <w:sz w:val="8"/>
          <w:szCs w:val="8"/>
        </w:rPr>
      </w:pPr>
    </w:p>
    <w:p w:rsidR="0036422A" w:rsidRPr="001E482B" w:rsidRDefault="001E482B" w:rsidP="0036422A">
      <w:pPr>
        <w:spacing w:after="0" w:line="240" w:lineRule="auto"/>
        <w:rPr>
          <w:rFonts w:ascii="Times New Roman" w:hAnsi="Times New Roman"/>
          <w:sz w:val="18"/>
          <w:szCs w:val="18"/>
        </w:rPr>
      </w:pPr>
      <w:r w:rsidRPr="001E482B">
        <w:rPr>
          <w:rFonts w:ascii="Times New Roman" w:hAnsi="Times New Roman"/>
          <w:sz w:val="18"/>
          <w:szCs w:val="18"/>
        </w:rPr>
        <w:t>04.08</w:t>
      </w:r>
      <w:r w:rsidR="0036422A" w:rsidRPr="001E482B">
        <w:rPr>
          <w:rFonts w:ascii="Times New Roman" w:hAnsi="Times New Roman"/>
          <w:sz w:val="18"/>
          <w:szCs w:val="18"/>
        </w:rPr>
        <w:t xml:space="preserve">.2015. </w:t>
      </w:r>
      <w:r w:rsidR="00773CB4" w:rsidRPr="001E482B">
        <w:rPr>
          <w:rFonts w:ascii="Times New Roman" w:hAnsi="Times New Roman"/>
          <w:sz w:val="18"/>
          <w:szCs w:val="18"/>
        </w:rPr>
        <w:t>1</w:t>
      </w:r>
      <w:r w:rsidRPr="001E482B">
        <w:rPr>
          <w:rFonts w:ascii="Times New Roman" w:hAnsi="Times New Roman"/>
          <w:sz w:val="18"/>
          <w:szCs w:val="18"/>
        </w:rPr>
        <w:t>5</w:t>
      </w:r>
      <w:r w:rsidR="0036422A" w:rsidRPr="001E482B">
        <w:rPr>
          <w:rFonts w:ascii="Times New Roman" w:hAnsi="Times New Roman"/>
          <w:sz w:val="18"/>
          <w:szCs w:val="18"/>
        </w:rPr>
        <w:t>:00</w:t>
      </w:r>
    </w:p>
    <w:p w:rsidR="005B5200" w:rsidRPr="001E482B" w:rsidRDefault="00A35DC3" w:rsidP="0036422A">
      <w:pPr>
        <w:spacing w:after="0" w:line="240" w:lineRule="auto"/>
        <w:rPr>
          <w:rFonts w:ascii="Times New Roman" w:hAnsi="Times New Roman"/>
          <w:sz w:val="18"/>
          <w:szCs w:val="18"/>
        </w:rPr>
      </w:pPr>
      <w:fldSimple w:instr=" NUMWORDS   \* MERGEFORMAT ">
        <w:r w:rsidR="00076391" w:rsidRPr="00076391">
          <w:rPr>
            <w:rFonts w:ascii="Times New Roman" w:hAnsi="Times New Roman"/>
            <w:noProof/>
            <w:sz w:val="18"/>
            <w:szCs w:val="18"/>
          </w:rPr>
          <w:t>2337</w:t>
        </w:r>
      </w:fldSimple>
      <w:bookmarkStart w:id="6" w:name="_GoBack"/>
      <w:bookmarkEnd w:id="6"/>
    </w:p>
    <w:p w:rsidR="0036422A" w:rsidRPr="001E482B" w:rsidRDefault="0036422A" w:rsidP="0036422A">
      <w:pPr>
        <w:spacing w:after="0" w:line="240" w:lineRule="auto"/>
        <w:rPr>
          <w:rFonts w:ascii="Times New Roman" w:hAnsi="Times New Roman"/>
          <w:sz w:val="18"/>
          <w:szCs w:val="18"/>
        </w:rPr>
      </w:pPr>
      <w:r w:rsidRPr="001E482B">
        <w:rPr>
          <w:rFonts w:ascii="Times New Roman" w:hAnsi="Times New Roman"/>
          <w:sz w:val="18"/>
          <w:szCs w:val="18"/>
        </w:rPr>
        <w:t>H. Rimša</w:t>
      </w:r>
      <w:r w:rsidRPr="001E482B">
        <w:rPr>
          <w:rFonts w:ascii="Times New Roman" w:hAnsi="Times New Roman"/>
          <w:sz w:val="18"/>
          <w:szCs w:val="18"/>
        </w:rPr>
        <w:tab/>
      </w:r>
    </w:p>
    <w:p w:rsidR="001E482B" w:rsidRPr="001E482B" w:rsidRDefault="0036422A" w:rsidP="003C6FC6">
      <w:pPr>
        <w:spacing w:after="0" w:line="240" w:lineRule="auto"/>
        <w:rPr>
          <w:rFonts w:ascii="Times New Roman" w:hAnsi="Times New Roman"/>
          <w:sz w:val="18"/>
          <w:szCs w:val="18"/>
        </w:rPr>
      </w:pPr>
      <w:r w:rsidRPr="001E482B">
        <w:rPr>
          <w:rFonts w:ascii="Times New Roman" w:hAnsi="Times New Roman"/>
          <w:sz w:val="18"/>
          <w:szCs w:val="18"/>
        </w:rPr>
        <w:t>67026512,</w:t>
      </w:r>
      <w:r w:rsidR="001E482B" w:rsidRPr="001E482B">
        <w:rPr>
          <w:rFonts w:ascii="Times New Roman" w:hAnsi="Times New Roman"/>
          <w:sz w:val="18"/>
          <w:szCs w:val="18"/>
        </w:rPr>
        <w:t xml:space="preserve"> 26380127</w:t>
      </w:r>
    </w:p>
    <w:p w:rsidR="00F819BE" w:rsidRPr="007F2432" w:rsidRDefault="0036422A" w:rsidP="003C6FC6">
      <w:pPr>
        <w:spacing w:after="0" w:line="240" w:lineRule="auto"/>
        <w:rPr>
          <w:sz w:val="18"/>
          <w:szCs w:val="18"/>
        </w:rPr>
      </w:pPr>
      <w:r w:rsidRPr="001E482B">
        <w:rPr>
          <w:rFonts w:ascii="Times New Roman" w:hAnsi="Times New Roman"/>
          <w:sz w:val="18"/>
          <w:szCs w:val="18"/>
        </w:rPr>
        <w:t>Helena.Rimsa@varam.gov.lv</w:t>
      </w:r>
      <w:r w:rsidR="007F2432">
        <w:rPr>
          <w:sz w:val="18"/>
          <w:szCs w:val="18"/>
        </w:rPr>
        <w:tab/>
      </w:r>
    </w:p>
    <w:sectPr w:rsidR="00F819BE" w:rsidRPr="007F2432" w:rsidSect="001E482B">
      <w:headerReference w:type="default" r:id="rId8"/>
      <w:footerReference w:type="default" r:id="rId9"/>
      <w:footerReference w:type="first" r:id="rId10"/>
      <w:pgSz w:w="11906" w:h="16838"/>
      <w:pgMar w:top="1134" w:right="1134"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268" w:rsidRDefault="003A0268">
      <w:pPr>
        <w:spacing w:after="0" w:line="240" w:lineRule="auto"/>
      </w:pPr>
      <w:r>
        <w:separator/>
      </w:r>
    </w:p>
  </w:endnote>
  <w:endnote w:type="continuationSeparator" w:id="0">
    <w:p w:rsidR="003A0268" w:rsidRDefault="003A0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43" w:rsidRPr="005B5200" w:rsidRDefault="00D80243" w:rsidP="005B5200">
    <w:pPr>
      <w:pStyle w:val="Footer"/>
      <w:jc w:val="both"/>
      <w:rPr>
        <w:rFonts w:ascii="Times New Roman" w:hAnsi="Times New Roman"/>
        <w:sz w:val="8"/>
        <w:szCs w:val="8"/>
      </w:rPr>
    </w:pPr>
  </w:p>
  <w:p w:rsidR="00D80243" w:rsidRPr="001E482B" w:rsidRDefault="00A35DC3" w:rsidP="009F0920">
    <w:pPr>
      <w:pStyle w:val="Footer"/>
      <w:jc w:val="both"/>
      <w:rPr>
        <w:rFonts w:ascii="Times New Roman" w:hAnsi="Times New Roman"/>
        <w:sz w:val="16"/>
        <w:szCs w:val="16"/>
      </w:rPr>
    </w:pPr>
    <w:fldSimple w:instr=" FILENAME   \* MERGEFORMAT ">
      <w:r w:rsidR="001E482B" w:rsidRPr="001E482B">
        <w:rPr>
          <w:rFonts w:ascii="Times New Roman" w:hAnsi="Times New Roman"/>
          <w:noProof/>
          <w:sz w:val="16"/>
          <w:szCs w:val="16"/>
        </w:rPr>
        <w:t>VARAMAnot_IslandNoligums_040815</w:t>
      </w:r>
    </w:fldSimple>
    <w:r w:rsidR="00D80243" w:rsidRPr="001E482B">
      <w:rPr>
        <w:rFonts w:ascii="Times New Roman" w:hAnsi="Times New Roman"/>
        <w:sz w:val="16"/>
        <w:szCs w:val="16"/>
      </w:rPr>
      <w:t xml:space="preserve">; Likumprojekta „Par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 </w:t>
    </w:r>
    <w:r w:rsidR="00D80243" w:rsidRPr="001E482B">
      <w:rPr>
        <w:rFonts w:ascii="Times New Roman" w:hAnsi="Times New Roman"/>
        <w:bCs/>
        <w:sz w:val="16"/>
        <w:szCs w:val="16"/>
      </w:rPr>
      <w:t xml:space="preserve">sākotnējās ietekmes novērtējuma </w:t>
    </w:r>
    <w:smartTag w:uri="schemas-tilde-lv/tildestengine" w:element="veidnes">
      <w:smartTagPr>
        <w:attr w:name="id" w:val="-1"/>
        <w:attr w:name="baseform" w:val="ziņojums"/>
        <w:attr w:name="text" w:val="ziņojums"/>
      </w:smartTagPr>
      <w:r w:rsidR="00D80243" w:rsidRPr="001E482B">
        <w:rPr>
          <w:rFonts w:ascii="Times New Roman" w:hAnsi="Times New Roman"/>
          <w:bCs/>
          <w:sz w:val="16"/>
          <w:szCs w:val="16"/>
        </w:rPr>
        <w:t>ziņojums</w:t>
      </w:r>
    </w:smartTag>
    <w:r w:rsidR="00D80243" w:rsidRPr="001E482B">
      <w:rPr>
        <w:rFonts w:ascii="Times New Roman" w:hAnsi="Times New Roman"/>
        <w:bCs/>
        <w:sz w:val="16"/>
        <w:szCs w:val="16"/>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243" w:rsidRPr="005B5200" w:rsidRDefault="00D80243" w:rsidP="00400415">
    <w:pPr>
      <w:pStyle w:val="Footer"/>
      <w:jc w:val="both"/>
      <w:rPr>
        <w:rFonts w:ascii="Times New Roman" w:hAnsi="Times New Roman"/>
        <w:sz w:val="8"/>
        <w:szCs w:val="8"/>
      </w:rPr>
    </w:pPr>
  </w:p>
  <w:p w:rsidR="00D80243" w:rsidRPr="001E482B" w:rsidRDefault="00A35DC3" w:rsidP="00400415">
    <w:pPr>
      <w:pStyle w:val="Footer"/>
      <w:jc w:val="both"/>
      <w:rPr>
        <w:rFonts w:ascii="Times New Roman" w:hAnsi="Times New Roman"/>
        <w:sz w:val="16"/>
        <w:szCs w:val="16"/>
      </w:rPr>
    </w:pPr>
    <w:fldSimple w:instr=" FILENAME   \* MERGEFORMAT ">
      <w:r w:rsidR="001E482B" w:rsidRPr="001E482B">
        <w:rPr>
          <w:rFonts w:ascii="Times New Roman" w:hAnsi="Times New Roman"/>
          <w:noProof/>
          <w:sz w:val="16"/>
          <w:szCs w:val="16"/>
        </w:rPr>
        <w:t>VARAMAnot_IslandNoligums_040815</w:t>
      </w:r>
    </w:fldSimple>
    <w:r w:rsidR="00D80243" w:rsidRPr="001E482B">
      <w:rPr>
        <w:rFonts w:ascii="Times New Roman" w:hAnsi="Times New Roman"/>
        <w:sz w:val="16"/>
        <w:szCs w:val="16"/>
      </w:rPr>
      <w:t xml:space="preserve">; Likumprojekta „Par Nolīgumu starp Eiropas Savienību un tās dalībvalstīm, no vienas puses, un Islandi, no otras puses, par Islandes dalību Eiropas Savienības, tās dalībvalstu un Islandes saistību kopīgajā izpildē Apvienoto Nāciju Organizācijas Vispārējai konvencijai par klimata pārmaiņām pievienotā Kioto protokola otrajā saistību periodā” </w:t>
    </w:r>
    <w:r w:rsidR="00D80243" w:rsidRPr="001E482B">
      <w:rPr>
        <w:rFonts w:ascii="Times New Roman" w:hAnsi="Times New Roman"/>
        <w:bCs/>
        <w:sz w:val="16"/>
        <w:szCs w:val="16"/>
      </w:rPr>
      <w:t xml:space="preserve">sākotnējās ietekmes novērtējuma </w:t>
    </w:r>
    <w:smartTag w:uri="schemas-tilde-lv/tildestengine" w:element="veidnes">
      <w:smartTagPr>
        <w:attr w:name="id" w:val="-1"/>
        <w:attr w:name="baseform" w:val="ziņojums"/>
        <w:attr w:name="text" w:val="ziņojums"/>
      </w:smartTagPr>
      <w:r w:rsidR="00D80243" w:rsidRPr="001E482B">
        <w:rPr>
          <w:rFonts w:ascii="Times New Roman" w:hAnsi="Times New Roman"/>
          <w:bCs/>
          <w:sz w:val="16"/>
          <w:szCs w:val="16"/>
        </w:rPr>
        <w:t>ziņojums</w:t>
      </w:r>
    </w:smartTag>
    <w:r w:rsidR="00D80243" w:rsidRPr="001E482B">
      <w:rPr>
        <w:rFonts w:ascii="Times New Roman" w:hAnsi="Times New Roman"/>
        <w:bCs/>
        <w:sz w:val="16"/>
        <w:szCs w:val="16"/>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268" w:rsidRDefault="003A0268">
      <w:pPr>
        <w:spacing w:after="0" w:line="240" w:lineRule="auto"/>
      </w:pPr>
      <w:r>
        <w:separator/>
      </w:r>
    </w:p>
  </w:footnote>
  <w:footnote w:type="continuationSeparator" w:id="0">
    <w:p w:rsidR="003A0268" w:rsidRDefault="003A0268">
      <w:pPr>
        <w:spacing w:after="0" w:line="240" w:lineRule="auto"/>
      </w:pPr>
      <w:r>
        <w:continuationSeparator/>
      </w:r>
    </w:p>
  </w:footnote>
  <w:footnote w:id="1">
    <w:p w:rsidR="008D33E3" w:rsidRPr="008C1F84" w:rsidRDefault="008D33E3" w:rsidP="008C1F84">
      <w:pPr>
        <w:pStyle w:val="FootnoteText"/>
        <w:jc w:val="both"/>
        <w:rPr>
          <w:sz w:val="16"/>
          <w:szCs w:val="16"/>
        </w:rPr>
      </w:pPr>
      <w:r w:rsidRPr="008C1F84">
        <w:rPr>
          <w:rStyle w:val="FootnoteReference"/>
          <w:sz w:val="16"/>
          <w:szCs w:val="16"/>
        </w:rPr>
        <w:footnoteRef/>
      </w:r>
      <w:r w:rsidRPr="008C1F84">
        <w:rPr>
          <w:sz w:val="16"/>
          <w:szCs w:val="16"/>
        </w:rPr>
        <w:t xml:space="preserve"> Eiropas Parlamenta un Padomes 2013.gada 21.maija regula Nr. 525/2013 par mehānismu siltumnīcefekta gāzu emisiju pārraudzībai un ziņošanai un citas informācijas ziņošanai valstu un Savienības līmenī saistībā ar klimata pārmaiņām un par Lēmuma Nr. 280/2004/EK atcelšanu, izņemot tās 4. pantu, 7. panta 1. punkta f) apakšpunktu, 15.–20. pantu un 22. pantu. 21. panta noteikumus piemēro attiecīgos gadījumos.</w:t>
      </w:r>
    </w:p>
  </w:footnote>
  <w:footnote w:id="2">
    <w:p w:rsidR="00F3599A" w:rsidRPr="008D33E3" w:rsidRDefault="00F3599A" w:rsidP="008C1F84">
      <w:pPr>
        <w:pStyle w:val="FootnoteText"/>
        <w:jc w:val="both"/>
        <w:rPr>
          <w:sz w:val="16"/>
          <w:szCs w:val="16"/>
        </w:rPr>
      </w:pPr>
      <w:r w:rsidRPr="008C1F84">
        <w:rPr>
          <w:rStyle w:val="FootnoteReference"/>
          <w:sz w:val="16"/>
          <w:szCs w:val="16"/>
        </w:rPr>
        <w:footnoteRef/>
      </w:r>
      <w:r w:rsidRPr="008C1F84">
        <w:rPr>
          <w:sz w:val="16"/>
          <w:szCs w:val="16"/>
        </w:rPr>
        <w:t xml:space="preserve"> </w:t>
      </w:r>
      <w:r w:rsidRPr="008D33E3">
        <w:rPr>
          <w:sz w:val="16"/>
          <w:szCs w:val="16"/>
        </w:rPr>
        <w:t>Eiropas Parlamenta un Padomes 2009.gada 23.aprīļa lēmums Nr.406/2009/EK par dalībvalstu pasākumiem siltumnīcas efektu izraisošu gāzu emisiju samazināšanai, lai izpildītu Kopienas saistības siltumnīcas efektu izraisošu gāzu emisiju samazināšanas jomā līdz 2020.</w:t>
      </w:r>
      <w:r w:rsidRPr="008C1F84">
        <w:rPr>
          <w:sz w:val="16"/>
          <w:szCs w:val="16"/>
        </w:rPr>
        <w:t>g</w:t>
      </w:r>
      <w:r w:rsidRPr="008D33E3">
        <w:rPr>
          <w:sz w:val="16"/>
          <w:szCs w:val="16"/>
        </w:rPr>
        <w:t>adam</w:t>
      </w:r>
    </w:p>
    <w:p w:rsidR="00F3599A" w:rsidRPr="008C1F84" w:rsidRDefault="00F3599A" w:rsidP="008C1F84">
      <w:pPr>
        <w:pStyle w:val="FootnoteText"/>
        <w:jc w:val="both"/>
        <w:rPr>
          <w:sz w:val="16"/>
          <w:szCs w:val="16"/>
        </w:rPr>
      </w:pPr>
      <w:r w:rsidRPr="008D33E3">
        <w:rPr>
          <w:sz w:val="16"/>
          <w:szCs w:val="16"/>
        </w:rPr>
        <w:t>Eiropas Parlamenta un Padomes 2009.gada 23.aprīļa direktīva Nr.2009/29/EK, ar ko Direktīvu 2003/87/EK groza, lai uzlabotu un paplašinātu Kopienas siltumnīcas efektu izraisošo gāzu emisiju kvotu tirdzniecības sistēmu</w:t>
      </w:r>
    </w:p>
    <w:p w:rsidR="00F3599A" w:rsidRPr="008C1F84" w:rsidRDefault="00F3599A" w:rsidP="008C1F84">
      <w:pPr>
        <w:pStyle w:val="FootnoteText"/>
        <w:jc w:val="both"/>
        <w:rPr>
          <w:sz w:val="16"/>
          <w:szCs w:val="16"/>
        </w:rPr>
      </w:pPr>
      <w:r w:rsidRPr="008C1F84">
        <w:rPr>
          <w:sz w:val="16"/>
          <w:szCs w:val="16"/>
        </w:rPr>
        <w:t>Eiropas Parlamenta un Padomes 2009.gada 23.aprīļa direktīva Nr.2009/28/EK par atjaunojamo energoresursu izmantošanas veicināšanu un ar ko groza un sekojoši atceļ Direktīvas 2001/77/EK un 2003/30/EK</w:t>
      </w:r>
    </w:p>
    <w:p w:rsidR="00F3599A" w:rsidRPr="008C1F84" w:rsidRDefault="00F3599A" w:rsidP="008C1F84">
      <w:pPr>
        <w:pStyle w:val="FootnoteText"/>
        <w:jc w:val="both"/>
        <w:rPr>
          <w:sz w:val="18"/>
          <w:szCs w:val="18"/>
        </w:rPr>
      </w:pPr>
      <w:r w:rsidRPr="007078C8">
        <w:rPr>
          <w:sz w:val="18"/>
          <w:szCs w:val="18"/>
        </w:rPr>
        <w:t>Eiropas Parlamenta un Padomes 2009.gada 23.aprīļa direktīva</w:t>
      </w:r>
      <w:r>
        <w:rPr>
          <w:sz w:val="18"/>
          <w:szCs w:val="18"/>
        </w:rPr>
        <w:t xml:space="preserve"> Nr.2009/31/EK </w:t>
      </w:r>
      <w:r w:rsidRPr="00F3599A">
        <w:rPr>
          <w:sz w:val="18"/>
          <w:szCs w:val="18"/>
        </w:rPr>
        <w:t>par oglekļa dioksīda ģeoloģisko uzglabāšanu un grozījumiem Padomes Direktīvā 85/337/EEK, Eiropas Parlamenta un Padomes Direktīvās 2000/60/EK, 2001/80/EK, 2004/35/EK, 2006/12/EK, 2008/1/EK un Regulā (EK) Nr. 1013/2006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7355"/>
      <w:docPartObj>
        <w:docPartGallery w:val="Page Numbers (Top of Page)"/>
        <w:docPartUnique/>
      </w:docPartObj>
    </w:sdtPr>
    <w:sdtEndPr>
      <w:rPr>
        <w:rFonts w:ascii="Times New Roman" w:hAnsi="Times New Roman"/>
        <w:noProof/>
        <w:sz w:val="24"/>
        <w:szCs w:val="24"/>
      </w:rPr>
    </w:sdtEndPr>
    <w:sdtContent>
      <w:p w:rsidR="00D80243" w:rsidRPr="005B5200" w:rsidRDefault="00A35DC3">
        <w:pPr>
          <w:pStyle w:val="Header"/>
          <w:jc w:val="center"/>
          <w:rPr>
            <w:rFonts w:ascii="Times New Roman" w:hAnsi="Times New Roman"/>
            <w:sz w:val="24"/>
            <w:szCs w:val="24"/>
          </w:rPr>
        </w:pPr>
        <w:r w:rsidRPr="005B5200">
          <w:rPr>
            <w:rFonts w:ascii="Times New Roman" w:hAnsi="Times New Roman"/>
            <w:sz w:val="24"/>
            <w:szCs w:val="24"/>
          </w:rPr>
          <w:fldChar w:fldCharType="begin"/>
        </w:r>
        <w:r w:rsidR="00D80243" w:rsidRPr="005B5200">
          <w:rPr>
            <w:rFonts w:ascii="Times New Roman" w:hAnsi="Times New Roman"/>
            <w:sz w:val="24"/>
            <w:szCs w:val="24"/>
          </w:rPr>
          <w:instrText xml:space="preserve"> PAGE   \* MERGEFORMAT </w:instrText>
        </w:r>
        <w:r w:rsidRPr="005B5200">
          <w:rPr>
            <w:rFonts w:ascii="Times New Roman" w:hAnsi="Times New Roman"/>
            <w:sz w:val="24"/>
            <w:szCs w:val="24"/>
          </w:rPr>
          <w:fldChar w:fldCharType="separate"/>
        </w:r>
        <w:r w:rsidR="00D02722">
          <w:rPr>
            <w:rFonts w:ascii="Times New Roman" w:hAnsi="Times New Roman"/>
            <w:noProof/>
            <w:sz w:val="24"/>
            <w:szCs w:val="24"/>
          </w:rPr>
          <w:t>6</w:t>
        </w:r>
        <w:r w:rsidRPr="005B5200">
          <w:rPr>
            <w:rFonts w:ascii="Times New Roman" w:hAnsi="Times New Roman"/>
            <w:noProof/>
            <w:sz w:val="24"/>
            <w:szCs w:val="24"/>
          </w:rPr>
          <w:fldChar w:fldCharType="end"/>
        </w:r>
      </w:p>
    </w:sdtContent>
  </w:sdt>
  <w:p w:rsidR="00D80243" w:rsidRDefault="00D802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570C"/>
    <w:multiLevelType w:val="hybridMultilevel"/>
    <w:tmpl w:val="5E18559A"/>
    <w:lvl w:ilvl="0" w:tplc="7DFCB828">
      <w:numFmt w:val="bullet"/>
      <w:lvlText w:val="-"/>
      <w:lvlJc w:val="left"/>
      <w:pPr>
        <w:ind w:left="1004" w:hanging="720"/>
      </w:pPr>
      <w:rPr>
        <w:rFonts w:ascii="Times New Roman" w:eastAsiaTheme="minorHAns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nsid w:val="2BFD50B6"/>
    <w:multiLevelType w:val="hybridMultilevel"/>
    <w:tmpl w:val="387A305E"/>
    <w:lvl w:ilvl="0" w:tplc="2E305B90">
      <w:start w:val="9"/>
      <w:numFmt w:val="bullet"/>
      <w:lvlText w:val="-"/>
      <w:lvlJc w:val="left"/>
      <w:pPr>
        <w:ind w:left="587" w:hanging="360"/>
      </w:pPr>
      <w:rPr>
        <w:rFonts w:ascii="Times New Roman" w:eastAsiaTheme="minorHAnsi" w:hAnsi="Times New Roman" w:cs="Times New Roman" w:hint="default"/>
      </w:rPr>
    </w:lvl>
    <w:lvl w:ilvl="1" w:tplc="04260003" w:tentative="1">
      <w:start w:val="1"/>
      <w:numFmt w:val="bullet"/>
      <w:lvlText w:val="o"/>
      <w:lvlJc w:val="left"/>
      <w:pPr>
        <w:ind w:left="1307" w:hanging="360"/>
      </w:pPr>
      <w:rPr>
        <w:rFonts w:ascii="Courier New" w:hAnsi="Courier New" w:cs="Courier New" w:hint="default"/>
      </w:rPr>
    </w:lvl>
    <w:lvl w:ilvl="2" w:tplc="04260005" w:tentative="1">
      <w:start w:val="1"/>
      <w:numFmt w:val="bullet"/>
      <w:lvlText w:val=""/>
      <w:lvlJc w:val="left"/>
      <w:pPr>
        <w:ind w:left="2027" w:hanging="360"/>
      </w:pPr>
      <w:rPr>
        <w:rFonts w:ascii="Wingdings" w:hAnsi="Wingdings" w:hint="default"/>
      </w:rPr>
    </w:lvl>
    <w:lvl w:ilvl="3" w:tplc="04260001" w:tentative="1">
      <w:start w:val="1"/>
      <w:numFmt w:val="bullet"/>
      <w:lvlText w:val=""/>
      <w:lvlJc w:val="left"/>
      <w:pPr>
        <w:ind w:left="2747" w:hanging="360"/>
      </w:pPr>
      <w:rPr>
        <w:rFonts w:ascii="Symbol" w:hAnsi="Symbol" w:hint="default"/>
      </w:rPr>
    </w:lvl>
    <w:lvl w:ilvl="4" w:tplc="04260003" w:tentative="1">
      <w:start w:val="1"/>
      <w:numFmt w:val="bullet"/>
      <w:lvlText w:val="o"/>
      <w:lvlJc w:val="left"/>
      <w:pPr>
        <w:ind w:left="3467" w:hanging="360"/>
      </w:pPr>
      <w:rPr>
        <w:rFonts w:ascii="Courier New" w:hAnsi="Courier New" w:cs="Courier New" w:hint="default"/>
      </w:rPr>
    </w:lvl>
    <w:lvl w:ilvl="5" w:tplc="04260005" w:tentative="1">
      <w:start w:val="1"/>
      <w:numFmt w:val="bullet"/>
      <w:lvlText w:val=""/>
      <w:lvlJc w:val="left"/>
      <w:pPr>
        <w:ind w:left="4187" w:hanging="360"/>
      </w:pPr>
      <w:rPr>
        <w:rFonts w:ascii="Wingdings" w:hAnsi="Wingdings" w:hint="default"/>
      </w:rPr>
    </w:lvl>
    <w:lvl w:ilvl="6" w:tplc="04260001" w:tentative="1">
      <w:start w:val="1"/>
      <w:numFmt w:val="bullet"/>
      <w:lvlText w:val=""/>
      <w:lvlJc w:val="left"/>
      <w:pPr>
        <w:ind w:left="4907" w:hanging="360"/>
      </w:pPr>
      <w:rPr>
        <w:rFonts w:ascii="Symbol" w:hAnsi="Symbol" w:hint="default"/>
      </w:rPr>
    </w:lvl>
    <w:lvl w:ilvl="7" w:tplc="04260003" w:tentative="1">
      <w:start w:val="1"/>
      <w:numFmt w:val="bullet"/>
      <w:lvlText w:val="o"/>
      <w:lvlJc w:val="left"/>
      <w:pPr>
        <w:ind w:left="5627" w:hanging="360"/>
      </w:pPr>
      <w:rPr>
        <w:rFonts w:ascii="Courier New" w:hAnsi="Courier New" w:cs="Courier New" w:hint="default"/>
      </w:rPr>
    </w:lvl>
    <w:lvl w:ilvl="8" w:tplc="04260005" w:tentative="1">
      <w:start w:val="1"/>
      <w:numFmt w:val="bullet"/>
      <w:lvlText w:val=""/>
      <w:lvlJc w:val="left"/>
      <w:pPr>
        <w:ind w:left="6347" w:hanging="360"/>
      </w:pPr>
      <w:rPr>
        <w:rFonts w:ascii="Wingdings" w:hAnsi="Wingdings" w:hint="default"/>
      </w:rPr>
    </w:lvl>
  </w:abstractNum>
  <w:abstractNum w:abstractNumId="2">
    <w:nsid w:val="46527A94"/>
    <w:multiLevelType w:val="hybridMultilevel"/>
    <w:tmpl w:val="BAE6C276"/>
    <w:lvl w:ilvl="0" w:tplc="7AF6BCC0">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3">
    <w:nsid w:val="7A904171"/>
    <w:multiLevelType w:val="hybridMultilevel"/>
    <w:tmpl w:val="94806652"/>
    <w:lvl w:ilvl="0" w:tplc="44C80102">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D3B45"/>
    <w:rsid w:val="00021CEB"/>
    <w:rsid w:val="00036309"/>
    <w:rsid w:val="00046BFA"/>
    <w:rsid w:val="00066289"/>
    <w:rsid w:val="00076391"/>
    <w:rsid w:val="000807CB"/>
    <w:rsid w:val="00080CDF"/>
    <w:rsid w:val="00082C13"/>
    <w:rsid w:val="000847B8"/>
    <w:rsid w:val="00095AD3"/>
    <w:rsid w:val="000B739C"/>
    <w:rsid w:val="000D6C0D"/>
    <w:rsid w:val="00113064"/>
    <w:rsid w:val="00122BBD"/>
    <w:rsid w:val="00156D35"/>
    <w:rsid w:val="0016639E"/>
    <w:rsid w:val="00174659"/>
    <w:rsid w:val="00193C11"/>
    <w:rsid w:val="001B4440"/>
    <w:rsid w:val="001C55AF"/>
    <w:rsid w:val="001E482B"/>
    <w:rsid w:val="001F60B4"/>
    <w:rsid w:val="002177C2"/>
    <w:rsid w:val="002204DD"/>
    <w:rsid w:val="00224177"/>
    <w:rsid w:val="002343EA"/>
    <w:rsid w:val="00267512"/>
    <w:rsid w:val="00293706"/>
    <w:rsid w:val="00322FC7"/>
    <w:rsid w:val="00335BED"/>
    <w:rsid w:val="00343960"/>
    <w:rsid w:val="0036422A"/>
    <w:rsid w:val="003730E1"/>
    <w:rsid w:val="00390858"/>
    <w:rsid w:val="003A0268"/>
    <w:rsid w:val="003B533B"/>
    <w:rsid w:val="003C37C7"/>
    <w:rsid w:val="003C6FC6"/>
    <w:rsid w:val="00400415"/>
    <w:rsid w:val="00412631"/>
    <w:rsid w:val="00425469"/>
    <w:rsid w:val="00440EF8"/>
    <w:rsid w:val="004572B4"/>
    <w:rsid w:val="00464F72"/>
    <w:rsid w:val="00481211"/>
    <w:rsid w:val="00485DA0"/>
    <w:rsid w:val="004D17B2"/>
    <w:rsid w:val="004D4432"/>
    <w:rsid w:val="004D677D"/>
    <w:rsid w:val="004F2F6D"/>
    <w:rsid w:val="00565A42"/>
    <w:rsid w:val="005A0A8C"/>
    <w:rsid w:val="005A44F7"/>
    <w:rsid w:val="005B0468"/>
    <w:rsid w:val="005B5200"/>
    <w:rsid w:val="005C7EBB"/>
    <w:rsid w:val="005E431C"/>
    <w:rsid w:val="0060692A"/>
    <w:rsid w:val="0063265C"/>
    <w:rsid w:val="00657206"/>
    <w:rsid w:val="00660FE8"/>
    <w:rsid w:val="00663358"/>
    <w:rsid w:val="006746EB"/>
    <w:rsid w:val="00677331"/>
    <w:rsid w:val="006B3DE7"/>
    <w:rsid w:val="006B62F0"/>
    <w:rsid w:val="006D3B45"/>
    <w:rsid w:val="006F1449"/>
    <w:rsid w:val="006F60DC"/>
    <w:rsid w:val="00726D0A"/>
    <w:rsid w:val="00740875"/>
    <w:rsid w:val="00773CB4"/>
    <w:rsid w:val="007D4613"/>
    <w:rsid w:val="007F12BE"/>
    <w:rsid w:val="007F2432"/>
    <w:rsid w:val="008040D9"/>
    <w:rsid w:val="00834D0E"/>
    <w:rsid w:val="00846838"/>
    <w:rsid w:val="00861501"/>
    <w:rsid w:val="008941FD"/>
    <w:rsid w:val="00897ABA"/>
    <w:rsid w:val="008C1E76"/>
    <w:rsid w:val="008C1F84"/>
    <w:rsid w:val="008D33E3"/>
    <w:rsid w:val="0090224A"/>
    <w:rsid w:val="00905D04"/>
    <w:rsid w:val="009132C0"/>
    <w:rsid w:val="00927678"/>
    <w:rsid w:val="00933129"/>
    <w:rsid w:val="00940156"/>
    <w:rsid w:val="00940D0B"/>
    <w:rsid w:val="00972DA7"/>
    <w:rsid w:val="00992DAE"/>
    <w:rsid w:val="009C71C2"/>
    <w:rsid w:val="009D6037"/>
    <w:rsid w:val="009E30AC"/>
    <w:rsid w:val="009F0920"/>
    <w:rsid w:val="00A07C9C"/>
    <w:rsid w:val="00A12018"/>
    <w:rsid w:val="00A34CCF"/>
    <w:rsid w:val="00A35DC3"/>
    <w:rsid w:val="00A571AB"/>
    <w:rsid w:val="00A930D5"/>
    <w:rsid w:val="00AD2CF0"/>
    <w:rsid w:val="00B27AA8"/>
    <w:rsid w:val="00B363BC"/>
    <w:rsid w:val="00B50B11"/>
    <w:rsid w:val="00B67029"/>
    <w:rsid w:val="00BA5A96"/>
    <w:rsid w:val="00BC0D72"/>
    <w:rsid w:val="00C07E5F"/>
    <w:rsid w:val="00C51908"/>
    <w:rsid w:val="00C64697"/>
    <w:rsid w:val="00C7608A"/>
    <w:rsid w:val="00C76C09"/>
    <w:rsid w:val="00C8071B"/>
    <w:rsid w:val="00C90696"/>
    <w:rsid w:val="00CB5FC0"/>
    <w:rsid w:val="00CC2304"/>
    <w:rsid w:val="00CC53E6"/>
    <w:rsid w:val="00CD6790"/>
    <w:rsid w:val="00D02722"/>
    <w:rsid w:val="00D144CC"/>
    <w:rsid w:val="00D16E5C"/>
    <w:rsid w:val="00D60F3D"/>
    <w:rsid w:val="00D80243"/>
    <w:rsid w:val="00D8478F"/>
    <w:rsid w:val="00D86B3A"/>
    <w:rsid w:val="00E07132"/>
    <w:rsid w:val="00E20F79"/>
    <w:rsid w:val="00E2560B"/>
    <w:rsid w:val="00E777E5"/>
    <w:rsid w:val="00E81E62"/>
    <w:rsid w:val="00E87C5E"/>
    <w:rsid w:val="00E920B2"/>
    <w:rsid w:val="00EB44E9"/>
    <w:rsid w:val="00EB6AB1"/>
    <w:rsid w:val="00EE51F0"/>
    <w:rsid w:val="00EF1727"/>
    <w:rsid w:val="00EF5A56"/>
    <w:rsid w:val="00F30EF8"/>
    <w:rsid w:val="00F3599A"/>
    <w:rsid w:val="00F47AD1"/>
    <w:rsid w:val="00F63F5E"/>
    <w:rsid w:val="00F72B9A"/>
    <w:rsid w:val="00F752E3"/>
    <w:rsid w:val="00F819BE"/>
    <w:rsid w:val="00F960B0"/>
    <w:rsid w:val="00FB574E"/>
    <w:rsid w:val="00FE68A4"/>
    <w:rsid w:val="00FF4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3B45"/>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D3B45"/>
    <w:rPr>
      <w:rFonts w:ascii="Times New Roman" w:eastAsia="Times New Roman" w:hAnsi="Times New Roman" w:cs="Times New Roman"/>
      <w:sz w:val="24"/>
      <w:szCs w:val="24"/>
      <w:lang w:val="en-GB"/>
    </w:rPr>
  </w:style>
  <w:style w:type="paragraph" w:styleId="NoSpacing">
    <w:name w:val="No Spacing"/>
    <w:qFormat/>
    <w:rsid w:val="006D3B45"/>
    <w:pPr>
      <w:spacing w:after="0" w:line="240" w:lineRule="auto"/>
    </w:pPr>
    <w:rPr>
      <w:rFonts w:ascii="Calibri" w:eastAsia="Calibri" w:hAnsi="Calibri" w:cs="Times New Roman"/>
      <w:lang w:val="en-US"/>
    </w:rPr>
  </w:style>
  <w:style w:type="character" w:customStyle="1" w:styleId="naisfChar">
    <w:name w:val="naisf Char"/>
    <w:link w:val="naisf"/>
    <w:locked/>
    <w:rsid w:val="006D3B45"/>
    <w:rPr>
      <w:rFonts w:ascii="Times New Roman" w:eastAsia="Times New Roman" w:hAnsi="Times New Roman" w:cs="Times New Roman"/>
      <w:sz w:val="24"/>
      <w:szCs w:val="24"/>
    </w:rPr>
  </w:style>
  <w:style w:type="paragraph" w:customStyle="1" w:styleId="naisf">
    <w:name w:val="naisf"/>
    <w:basedOn w:val="Normal"/>
    <w:link w:val="naisfChar"/>
    <w:rsid w:val="006D3B4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6D3B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6D3B45"/>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6D3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D3B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B45"/>
    <w:rPr>
      <w:rFonts w:ascii="Calibri" w:eastAsia="Calibri" w:hAnsi="Calibri" w:cs="Times New Roman"/>
    </w:rPr>
  </w:style>
  <w:style w:type="paragraph" w:customStyle="1" w:styleId="naisc">
    <w:name w:val="naisc"/>
    <w:basedOn w:val="Normal"/>
    <w:rsid w:val="006D3B45"/>
    <w:pPr>
      <w:spacing w:before="75" w:after="75" w:line="240" w:lineRule="auto"/>
      <w:jc w:val="center"/>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semiHidden/>
    <w:unhideWhenUsed/>
    <w:rsid w:val="006D3B45"/>
    <w:pPr>
      <w:spacing w:after="120"/>
      <w:ind w:left="283"/>
    </w:pPr>
  </w:style>
  <w:style w:type="character" w:customStyle="1" w:styleId="BodyTextIndentChar">
    <w:name w:val="Body Text Indent Char"/>
    <w:basedOn w:val="DefaultParagraphFont"/>
    <w:link w:val="BodyTextIndent"/>
    <w:uiPriority w:val="99"/>
    <w:semiHidden/>
    <w:rsid w:val="006D3B45"/>
    <w:rPr>
      <w:rFonts w:ascii="Calibri" w:eastAsia="Calibri" w:hAnsi="Calibri" w:cs="Times New Roman"/>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
    <w:basedOn w:val="Normal"/>
    <w:link w:val="FootnoteTextChar"/>
    <w:uiPriority w:val="99"/>
    <w:rsid w:val="005A44F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rsid w:val="005A44F7"/>
    <w:rPr>
      <w:rFonts w:ascii="Times New Roman" w:eastAsia="Times New Roman" w:hAnsi="Times New Roman" w:cs="Times New Roman"/>
      <w:sz w:val="20"/>
      <w:szCs w:val="20"/>
      <w:lang w:eastAsia="lv-LV"/>
    </w:rPr>
  </w:style>
  <w:style w:type="paragraph" w:customStyle="1" w:styleId="naiskr">
    <w:name w:val="naiskr"/>
    <w:basedOn w:val="Normal"/>
    <w:uiPriority w:val="99"/>
    <w:rsid w:val="00224177"/>
    <w:pPr>
      <w:spacing w:before="100" w:beforeAutospacing="1" w:after="100" w:afterAutospacing="1"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464F72"/>
    <w:pPr>
      <w:spacing w:line="240" w:lineRule="auto"/>
    </w:pPr>
    <w:rPr>
      <w:sz w:val="20"/>
      <w:szCs w:val="20"/>
    </w:rPr>
  </w:style>
  <w:style w:type="character" w:customStyle="1" w:styleId="CommentTextChar">
    <w:name w:val="Comment Text Char"/>
    <w:basedOn w:val="DefaultParagraphFont"/>
    <w:link w:val="CommentText"/>
    <w:uiPriority w:val="99"/>
    <w:semiHidden/>
    <w:rsid w:val="00464F72"/>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464F72"/>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semiHidden/>
    <w:rsid w:val="00464F72"/>
    <w:rPr>
      <w:rFonts w:ascii="Times New Roman" w:eastAsia="Times New Roman" w:hAnsi="Times New Roman" w:cs="Times New Roman"/>
      <w:b/>
      <w:bCs/>
      <w:sz w:val="20"/>
      <w:szCs w:val="20"/>
      <w:lang w:eastAsia="lv-LV"/>
    </w:rPr>
  </w:style>
  <w:style w:type="paragraph" w:styleId="Footer">
    <w:name w:val="footer"/>
    <w:basedOn w:val="Normal"/>
    <w:link w:val="FooterChar"/>
    <w:unhideWhenUsed/>
    <w:rsid w:val="00400415"/>
    <w:pPr>
      <w:tabs>
        <w:tab w:val="center" w:pos="4153"/>
        <w:tab w:val="right" w:pos="8306"/>
      </w:tabs>
      <w:spacing w:after="0" w:line="240" w:lineRule="auto"/>
    </w:pPr>
  </w:style>
  <w:style w:type="character" w:customStyle="1" w:styleId="FooterChar">
    <w:name w:val="Footer Char"/>
    <w:basedOn w:val="DefaultParagraphFont"/>
    <w:link w:val="Footer"/>
    <w:rsid w:val="00400415"/>
    <w:rPr>
      <w:rFonts w:ascii="Calibri" w:eastAsia="Calibri" w:hAnsi="Calibri" w:cs="Times New Roman"/>
    </w:rPr>
  </w:style>
  <w:style w:type="paragraph" w:styleId="ListParagraph">
    <w:name w:val="List Paragraph"/>
    <w:basedOn w:val="Normal"/>
    <w:uiPriority w:val="34"/>
    <w:qFormat/>
    <w:rsid w:val="00EF1727"/>
    <w:pPr>
      <w:ind w:left="720"/>
      <w:contextualSpacing/>
    </w:pPr>
  </w:style>
  <w:style w:type="paragraph" w:customStyle="1" w:styleId="tvhtml">
    <w:name w:val="tv_html"/>
    <w:basedOn w:val="Normal"/>
    <w:rsid w:val="00F752E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63F5E"/>
  </w:style>
  <w:style w:type="paragraph" w:styleId="BalloonText">
    <w:name w:val="Balloon Text"/>
    <w:basedOn w:val="Normal"/>
    <w:link w:val="BalloonTextChar"/>
    <w:uiPriority w:val="99"/>
    <w:semiHidden/>
    <w:unhideWhenUsed/>
    <w:rsid w:val="00B6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29"/>
    <w:rPr>
      <w:rFonts w:ascii="Tahoma" w:eastAsia="Calibri" w:hAnsi="Tahoma" w:cs="Tahoma"/>
      <w:sz w:val="16"/>
      <w:szCs w:val="16"/>
    </w:rPr>
  </w:style>
  <w:style w:type="character" w:styleId="CommentReference">
    <w:name w:val="annotation reference"/>
    <w:basedOn w:val="DefaultParagraphFont"/>
    <w:uiPriority w:val="99"/>
    <w:semiHidden/>
    <w:unhideWhenUsed/>
    <w:rsid w:val="0016639E"/>
    <w:rPr>
      <w:sz w:val="16"/>
      <w:szCs w:val="16"/>
    </w:rPr>
  </w:style>
  <w:style w:type="character" w:styleId="Strong">
    <w:name w:val="Strong"/>
    <w:basedOn w:val="DefaultParagraphFont"/>
    <w:uiPriority w:val="22"/>
    <w:qFormat/>
    <w:rsid w:val="00927678"/>
    <w:rPr>
      <w:b/>
      <w:bCs/>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uiPriority w:val="99"/>
    <w:unhideWhenUsed/>
    <w:qFormat/>
    <w:rsid w:val="00F3599A"/>
    <w:rPr>
      <w:vertAlign w:val="superscript"/>
    </w:rPr>
  </w:style>
  <w:style w:type="character" w:styleId="Hyperlink">
    <w:name w:val="Hyperlink"/>
    <w:basedOn w:val="DefaultParagraphFont"/>
    <w:uiPriority w:val="99"/>
    <w:semiHidden/>
    <w:unhideWhenUsed/>
    <w:rsid w:val="00440E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6D3B45"/>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6D3B45"/>
    <w:rPr>
      <w:rFonts w:ascii="Times New Roman" w:eastAsia="Times New Roman" w:hAnsi="Times New Roman" w:cs="Times New Roman"/>
      <w:sz w:val="24"/>
      <w:szCs w:val="24"/>
      <w:lang w:val="en-GB"/>
    </w:rPr>
  </w:style>
  <w:style w:type="paragraph" w:styleId="NoSpacing">
    <w:name w:val="No Spacing"/>
    <w:qFormat/>
    <w:rsid w:val="006D3B45"/>
    <w:pPr>
      <w:spacing w:after="0" w:line="240" w:lineRule="auto"/>
    </w:pPr>
    <w:rPr>
      <w:rFonts w:ascii="Calibri" w:eastAsia="Calibri" w:hAnsi="Calibri" w:cs="Times New Roman"/>
      <w:lang w:val="en-US"/>
    </w:rPr>
  </w:style>
  <w:style w:type="character" w:customStyle="1" w:styleId="naisfChar">
    <w:name w:val="naisf Char"/>
    <w:link w:val="naisf"/>
    <w:locked/>
    <w:rsid w:val="006D3B45"/>
    <w:rPr>
      <w:rFonts w:ascii="Times New Roman" w:eastAsia="Times New Roman" w:hAnsi="Times New Roman" w:cs="Times New Roman"/>
      <w:sz w:val="24"/>
      <w:szCs w:val="24"/>
    </w:rPr>
  </w:style>
  <w:style w:type="paragraph" w:customStyle="1" w:styleId="naisf">
    <w:name w:val="naisf"/>
    <w:basedOn w:val="Normal"/>
    <w:link w:val="naisfChar"/>
    <w:rsid w:val="006D3B45"/>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6D3B4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6D3B45"/>
    <w:pPr>
      <w:spacing w:before="400" w:after="0" w:line="360" w:lineRule="auto"/>
      <w:jc w:val="center"/>
    </w:pPr>
    <w:rPr>
      <w:rFonts w:ascii="Verdana" w:eastAsia="Times New Roman" w:hAnsi="Verdana"/>
      <w:b/>
      <w:bCs/>
      <w:sz w:val="20"/>
      <w:szCs w:val="20"/>
      <w:lang w:eastAsia="lv-LV"/>
    </w:rPr>
  </w:style>
  <w:style w:type="table" w:styleId="TableGrid">
    <w:name w:val="Table Grid"/>
    <w:basedOn w:val="TableNormal"/>
    <w:uiPriority w:val="59"/>
    <w:rsid w:val="006D3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D3B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3B45"/>
    <w:rPr>
      <w:rFonts w:ascii="Calibri" w:eastAsia="Calibri" w:hAnsi="Calibri" w:cs="Times New Roman"/>
    </w:rPr>
  </w:style>
  <w:style w:type="paragraph" w:customStyle="1" w:styleId="naisc">
    <w:name w:val="naisc"/>
    <w:basedOn w:val="Normal"/>
    <w:rsid w:val="006D3B45"/>
    <w:pPr>
      <w:spacing w:before="75" w:after="75" w:line="240" w:lineRule="auto"/>
      <w:jc w:val="center"/>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semiHidden/>
    <w:unhideWhenUsed/>
    <w:rsid w:val="006D3B45"/>
    <w:pPr>
      <w:spacing w:after="120"/>
      <w:ind w:left="283"/>
    </w:pPr>
  </w:style>
  <w:style w:type="character" w:customStyle="1" w:styleId="BodyTextIndentChar">
    <w:name w:val="Body Text Indent Char"/>
    <w:basedOn w:val="DefaultParagraphFont"/>
    <w:link w:val="BodyTextIndent"/>
    <w:uiPriority w:val="99"/>
    <w:semiHidden/>
    <w:rsid w:val="006D3B45"/>
    <w:rPr>
      <w:rFonts w:ascii="Calibri" w:eastAsia="Calibri" w:hAnsi="Calibri" w:cs="Times New Roman"/>
    </w:rPr>
  </w:style>
  <w:style w:type="paragraph" w:styleId="FootnoteText">
    <w:name w:val="footnote text"/>
    <w:aliases w:val="Footnote,Fußnote,Fußnote Char,Fußnote Char Char Char, Char,-E Fußnotentext,footnote text,Fußnotentext Ursprung,(Diplomarbeit),(Diplomarbeit)1,(Diplomarbeit)2,(Diplomarbeit)3,(Diplomarbeit)4,(Diplomarbeit)5,(Diplomarbeit)6,(Diplomarbeit)7"/>
    <w:basedOn w:val="Normal"/>
    <w:link w:val="FootnoteTextChar"/>
    <w:uiPriority w:val="99"/>
    <w:rsid w:val="005A44F7"/>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ootnote Char,Fußnote Char1,Fußnote Char Char,Fußnote Char Char Char Char, Char Char,-E Fußnotentext Char,footnote text Char,Fußnotentext Ursprung Char,(Diplomarbeit) Char,(Diplomarbeit)1 Char,(Diplomarbeit)2 Char,(Diplomarbeit)3 Char"/>
    <w:basedOn w:val="DefaultParagraphFont"/>
    <w:link w:val="FootnoteText"/>
    <w:uiPriority w:val="99"/>
    <w:rsid w:val="005A44F7"/>
    <w:rPr>
      <w:rFonts w:ascii="Times New Roman" w:eastAsia="Times New Roman" w:hAnsi="Times New Roman" w:cs="Times New Roman"/>
      <w:sz w:val="20"/>
      <w:szCs w:val="20"/>
      <w:lang w:eastAsia="lv-LV"/>
    </w:rPr>
  </w:style>
  <w:style w:type="paragraph" w:customStyle="1" w:styleId="naiskr">
    <w:name w:val="naiskr"/>
    <w:basedOn w:val="Normal"/>
    <w:uiPriority w:val="99"/>
    <w:rsid w:val="00224177"/>
    <w:pPr>
      <w:spacing w:before="100" w:beforeAutospacing="1" w:after="100" w:afterAutospacing="1" w:line="240" w:lineRule="auto"/>
    </w:pPr>
    <w:rPr>
      <w:rFonts w:ascii="Times New Roman" w:eastAsia="Times New Roman" w:hAnsi="Times New Roman"/>
      <w:sz w:val="24"/>
      <w:szCs w:val="24"/>
      <w:lang w:eastAsia="lv-LV"/>
    </w:rPr>
  </w:style>
  <w:style w:type="paragraph" w:styleId="CommentText">
    <w:name w:val="annotation text"/>
    <w:basedOn w:val="Normal"/>
    <w:link w:val="CommentTextChar"/>
    <w:uiPriority w:val="99"/>
    <w:semiHidden/>
    <w:unhideWhenUsed/>
    <w:rsid w:val="00464F72"/>
    <w:pPr>
      <w:spacing w:line="240" w:lineRule="auto"/>
    </w:pPr>
    <w:rPr>
      <w:sz w:val="20"/>
      <w:szCs w:val="20"/>
    </w:rPr>
  </w:style>
  <w:style w:type="character" w:customStyle="1" w:styleId="CommentTextChar">
    <w:name w:val="Comment Text Char"/>
    <w:basedOn w:val="DefaultParagraphFont"/>
    <w:link w:val="CommentText"/>
    <w:uiPriority w:val="99"/>
    <w:semiHidden/>
    <w:rsid w:val="00464F72"/>
    <w:rPr>
      <w:rFonts w:ascii="Calibri" w:eastAsia="Calibri" w:hAnsi="Calibri" w:cs="Times New Roman"/>
      <w:sz w:val="20"/>
      <w:szCs w:val="20"/>
    </w:rPr>
  </w:style>
  <w:style w:type="paragraph" w:styleId="CommentSubject">
    <w:name w:val="annotation subject"/>
    <w:basedOn w:val="CommentText"/>
    <w:next w:val="CommentText"/>
    <w:link w:val="CommentSubjectChar"/>
    <w:semiHidden/>
    <w:rsid w:val="00464F72"/>
    <w:pPr>
      <w:spacing w:after="0"/>
    </w:pPr>
    <w:rPr>
      <w:rFonts w:ascii="Times New Roman" w:eastAsia="Times New Roman" w:hAnsi="Times New Roman"/>
      <w:b/>
      <w:bCs/>
      <w:lang w:eastAsia="lv-LV"/>
    </w:rPr>
  </w:style>
  <w:style w:type="character" w:customStyle="1" w:styleId="CommentSubjectChar">
    <w:name w:val="Comment Subject Char"/>
    <w:basedOn w:val="CommentTextChar"/>
    <w:link w:val="CommentSubject"/>
    <w:semiHidden/>
    <w:rsid w:val="00464F72"/>
    <w:rPr>
      <w:rFonts w:ascii="Times New Roman" w:eastAsia="Times New Roman" w:hAnsi="Times New Roman" w:cs="Times New Roman"/>
      <w:b/>
      <w:bCs/>
      <w:sz w:val="20"/>
      <w:szCs w:val="20"/>
      <w:lang w:eastAsia="lv-LV"/>
    </w:rPr>
  </w:style>
  <w:style w:type="paragraph" w:styleId="Footer">
    <w:name w:val="footer"/>
    <w:basedOn w:val="Normal"/>
    <w:link w:val="FooterChar"/>
    <w:unhideWhenUsed/>
    <w:rsid w:val="00400415"/>
    <w:pPr>
      <w:tabs>
        <w:tab w:val="center" w:pos="4153"/>
        <w:tab w:val="right" w:pos="8306"/>
      </w:tabs>
      <w:spacing w:after="0" w:line="240" w:lineRule="auto"/>
    </w:pPr>
  </w:style>
  <w:style w:type="character" w:customStyle="1" w:styleId="FooterChar">
    <w:name w:val="Footer Char"/>
    <w:basedOn w:val="DefaultParagraphFont"/>
    <w:link w:val="Footer"/>
    <w:rsid w:val="00400415"/>
    <w:rPr>
      <w:rFonts w:ascii="Calibri" w:eastAsia="Calibri" w:hAnsi="Calibri" w:cs="Times New Roman"/>
    </w:rPr>
  </w:style>
  <w:style w:type="paragraph" w:styleId="ListParagraph">
    <w:name w:val="List Paragraph"/>
    <w:basedOn w:val="Normal"/>
    <w:uiPriority w:val="34"/>
    <w:qFormat/>
    <w:rsid w:val="00EF1727"/>
    <w:pPr>
      <w:ind w:left="720"/>
      <w:contextualSpacing/>
    </w:pPr>
  </w:style>
  <w:style w:type="paragraph" w:customStyle="1" w:styleId="tvhtml">
    <w:name w:val="tv_html"/>
    <w:basedOn w:val="Normal"/>
    <w:rsid w:val="00F752E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F63F5E"/>
  </w:style>
  <w:style w:type="paragraph" w:styleId="BalloonText">
    <w:name w:val="Balloon Text"/>
    <w:basedOn w:val="Normal"/>
    <w:link w:val="BalloonTextChar"/>
    <w:uiPriority w:val="99"/>
    <w:semiHidden/>
    <w:unhideWhenUsed/>
    <w:rsid w:val="00B67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29"/>
    <w:rPr>
      <w:rFonts w:ascii="Tahoma" w:eastAsia="Calibri" w:hAnsi="Tahoma" w:cs="Tahoma"/>
      <w:sz w:val="16"/>
      <w:szCs w:val="16"/>
    </w:rPr>
  </w:style>
  <w:style w:type="character" w:styleId="CommentReference">
    <w:name w:val="annotation reference"/>
    <w:basedOn w:val="DefaultParagraphFont"/>
    <w:uiPriority w:val="99"/>
    <w:semiHidden/>
    <w:unhideWhenUsed/>
    <w:rsid w:val="0016639E"/>
    <w:rPr>
      <w:sz w:val="16"/>
      <w:szCs w:val="16"/>
    </w:rPr>
  </w:style>
  <w:style w:type="character" w:styleId="Strong">
    <w:name w:val="Strong"/>
    <w:basedOn w:val="DefaultParagraphFont"/>
    <w:uiPriority w:val="22"/>
    <w:qFormat/>
    <w:rsid w:val="00927678"/>
    <w:rPr>
      <w:b/>
      <w:bCs/>
    </w:rPr>
  </w:style>
  <w:style w:type="character" w:styleId="FootnoteReference">
    <w:name w:val="footnote reference"/>
    <w:aliases w:val="number,SUPERS,BVI fnr,Footnote symbol,Footnote symboFußnotenzeichen,Footnote sign,Footnote Reference Superscript,Footnote number,-E Fußnotenzeichen,EN Footnote Reference,-E Fuﬂnotenzeichen,-E Fuûnotenzeichen,stylish,(Footnote Referen"/>
    <w:basedOn w:val="DefaultParagraphFont"/>
    <w:uiPriority w:val="99"/>
    <w:unhideWhenUsed/>
    <w:qFormat/>
    <w:rsid w:val="00F3599A"/>
    <w:rPr>
      <w:vertAlign w:val="superscript"/>
    </w:rPr>
  </w:style>
  <w:style w:type="character" w:styleId="Hyperlink">
    <w:name w:val="Hyperlink"/>
    <w:basedOn w:val="DefaultParagraphFont"/>
    <w:uiPriority w:val="99"/>
    <w:semiHidden/>
    <w:unhideWhenUsed/>
    <w:rsid w:val="00440EF8"/>
    <w:rPr>
      <w:color w:val="0000FF"/>
      <w:u w:val="single"/>
    </w:rPr>
  </w:style>
</w:styles>
</file>

<file path=word/webSettings.xml><?xml version="1.0" encoding="utf-8"?>
<w:webSettings xmlns:r="http://schemas.openxmlformats.org/officeDocument/2006/relationships" xmlns:w="http://schemas.openxmlformats.org/wordprocessingml/2006/main">
  <w:divs>
    <w:div w:id="124927933">
      <w:bodyDiv w:val="1"/>
      <w:marLeft w:val="0"/>
      <w:marRight w:val="0"/>
      <w:marTop w:val="0"/>
      <w:marBottom w:val="0"/>
      <w:divBdr>
        <w:top w:val="none" w:sz="0" w:space="0" w:color="auto"/>
        <w:left w:val="none" w:sz="0" w:space="0" w:color="auto"/>
        <w:bottom w:val="none" w:sz="0" w:space="0" w:color="auto"/>
        <w:right w:val="none" w:sz="0" w:space="0" w:color="auto"/>
      </w:divBdr>
    </w:div>
    <w:div w:id="528378748">
      <w:bodyDiv w:val="1"/>
      <w:marLeft w:val="0"/>
      <w:marRight w:val="0"/>
      <w:marTop w:val="0"/>
      <w:marBottom w:val="0"/>
      <w:divBdr>
        <w:top w:val="none" w:sz="0" w:space="0" w:color="auto"/>
        <w:left w:val="none" w:sz="0" w:space="0" w:color="auto"/>
        <w:bottom w:val="none" w:sz="0" w:space="0" w:color="auto"/>
        <w:right w:val="none" w:sz="0" w:space="0" w:color="auto"/>
      </w:divBdr>
    </w:div>
    <w:div w:id="896236524">
      <w:bodyDiv w:val="1"/>
      <w:marLeft w:val="0"/>
      <w:marRight w:val="0"/>
      <w:marTop w:val="0"/>
      <w:marBottom w:val="0"/>
      <w:divBdr>
        <w:top w:val="none" w:sz="0" w:space="0" w:color="auto"/>
        <w:left w:val="none" w:sz="0" w:space="0" w:color="auto"/>
        <w:bottom w:val="none" w:sz="0" w:space="0" w:color="auto"/>
        <w:right w:val="none" w:sz="0" w:space="0" w:color="auto"/>
      </w:divBdr>
    </w:div>
    <w:div w:id="1112478087">
      <w:bodyDiv w:val="1"/>
      <w:marLeft w:val="0"/>
      <w:marRight w:val="0"/>
      <w:marTop w:val="0"/>
      <w:marBottom w:val="0"/>
      <w:divBdr>
        <w:top w:val="none" w:sz="0" w:space="0" w:color="auto"/>
        <w:left w:val="none" w:sz="0" w:space="0" w:color="auto"/>
        <w:bottom w:val="none" w:sz="0" w:space="0" w:color="auto"/>
        <w:right w:val="none" w:sz="0" w:space="0" w:color="auto"/>
      </w:divBdr>
    </w:div>
    <w:div w:id="175080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16742-FF45-4DD7-AC00-FB22F409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Ministru kabineta noteikumu projekta anotācija</vt:lpstr>
    </vt:vector>
  </TitlesOfParts>
  <Manager>Helena.Rimsa@varam.gov.lv</Manager>
  <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anotācija</dc:title>
  <dc:creator>Helena.Rimsa@varam.gov.lv</dc:creator>
  <cp:lastModifiedBy>larisat</cp:lastModifiedBy>
  <cp:revision>13</cp:revision>
  <dcterms:created xsi:type="dcterms:W3CDTF">2015-07-27T11:46:00Z</dcterms:created>
  <dcterms:modified xsi:type="dcterms:W3CDTF">2015-08-06T08:36:00Z</dcterms:modified>
  <cp:category>Vides politika</cp:category>
</cp:coreProperties>
</file>