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1" w:rsidRDefault="00494EE1" w:rsidP="00494EE1">
      <w:pPr>
        <w:jc w:val="center"/>
      </w:pPr>
      <w:bookmarkStart w:id="0" w:name="_GoBack"/>
      <w:bookmarkEnd w:id="0"/>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p>
    <w:p w:rsidR="00494EE1" w:rsidRDefault="00494EE1" w:rsidP="00494EE1">
      <w:pPr>
        <w:jc w:val="center"/>
      </w:pPr>
      <w:r w:rsidRPr="004B4BEA">
        <w:t>DOHA AMENDMENT TO THE KYOTO PROTOCOL</w:t>
      </w:r>
    </w:p>
    <w:p w:rsidR="00494EE1" w:rsidRPr="004B4BEA" w:rsidRDefault="00494EE1" w:rsidP="00494EE1"/>
    <w:p w:rsidR="00336F26" w:rsidRDefault="00336F26" w:rsidP="00494EE1">
      <w:pPr>
        <w:jc w:val="center"/>
        <w:rPr>
          <w:noProof/>
        </w:rPr>
      </w:pPr>
    </w:p>
    <w:p w:rsidR="00336F26" w:rsidRPr="00336F26" w:rsidRDefault="00336F26" w:rsidP="00336F26"/>
    <w:p w:rsidR="00336F26" w:rsidRPr="00336F26" w:rsidRDefault="00336F26" w:rsidP="00336F26"/>
    <w:p w:rsidR="00336F26" w:rsidRPr="00336F26" w:rsidRDefault="00336F26" w:rsidP="00336F26"/>
    <w:p w:rsidR="00336F26" w:rsidRPr="00336F26" w:rsidRDefault="00336F26" w:rsidP="00336F26"/>
    <w:p w:rsidR="00336F26" w:rsidRPr="00336F26" w:rsidRDefault="00336F26" w:rsidP="00336F26"/>
    <w:p w:rsidR="00336F26" w:rsidRPr="00336F26" w:rsidRDefault="00336F26" w:rsidP="00336F26"/>
    <w:p w:rsidR="00336F26" w:rsidRPr="00336F26" w:rsidRDefault="00336F26" w:rsidP="00336F26"/>
    <w:p w:rsidR="00336F26" w:rsidRPr="00336F26" w:rsidRDefault="00336F26" w:rsidP="00336F26"/>
    <w:p w:rsidR="00336F26" w:rsidRDefault="00336F26" w:rsidP="00336F26"/>
    <w:p w:rsidR="00336F26" w:rsidRDefault="00336F26" w:rsidP="00336F26">
      <w:pPr>
        <w:tabs>
          <w:tab w:val="left" w:pos="2847"/>
        </w:tabs>
      </w:pPr>
      <w:r>
        <w:tab/>
      </w:r>
    </w:p>
    <w:p w:rsidR="00494EE1" w:rsidRPr="00336F26" w:rsidRDefault="00336F26" w:rsidP="00336F26">
      <w:pPr>
        <w:tabs>
          <w:tab w:val="left" w:pos="2847"/>
        </w:tabs>
        <w:sectPr w:rsidR="00494EE1" w:rsidRPr="00336F26" w:rsidSect="00080026">
          <w:headerReference w:type="even" r:id="rId9"/>
          <w:headerReference w:type="default" r:id="rId10"/>
          <w:footerReference w:type="default" r:id="rId11"/>
          <w:footerReference w:type="first" r:id="rId12"/>
          <w:pgSz w:w="11907" w:h="16839"/>
          <w:pgMar w:top="624" w:right="1134" w:bottom="1134" w:left="1134" w:header="567" w:footer="567" w:gutter="0"/>
          <w:pgNumType w:start="1"/>
          <w:cols w:space="708"/>
          <w:titlePg/>
          <w:docGrid w:linePitch="360"/>
        </w:sectPr>
      </w:pPr>
      <w:r>
        <w:tab/>
      </w:r>
    </w:p>
    <w:p w:rsidR="00494EE1" w:rsidRPr="00871DE2" w:rsidRDefault="00494EE1" w:rsidP="00494EE1">
      <w:pPr>
        <w:jc w:val="center"/>
        <w:rPr>
          <w:b/>
          <w:noProof/>
        </w:rPr>
      </w:pPr>
      <w:r w:rsidRPr="00871DE2">
        <w:rPr>
          <w:b/>
          <w:noProof/>
        </w:rPr>
        <w:lastRenderedPageBreak/>
        <w:t>ARTICLE 1</w:t>
      </w:r>
    </w:p>
    <w:p w:rsidR="00494EE1" w:rsidRPr="00871DE2" w:rsidRDefault="00494EE1" w:rsidP="00494EE1">
      <w:pPr>
        <w:jc w:val="center"/>
        <w:rPr>
          <w:b/>
          <w:noProof/>
        </w:rPr>
      </w:pPr>
    </w:p>
    <w:p w:rsidR="00494EE1" w:rsidRPr="00871DE2" w:rsidRDefault="00494EE1" w:rsidP="00494EE1">
      <w:pPr>
        <w:jc w:val="center"/>
        <w:rPr>
          <w:b/>
          <w:noProof/>
        </w:rPr>
      </w:pPr>
      <w:r w:rsidRPr="00871DE2">
        <w:rPr>
          <w:b/>
          <w:noProof/>
        </w:rPr>
        <w:t>Amendment</w:t>
      </w:r>
    </w:p>
    <w:p w:rsidR="00494EE1" w:rsidRPr="00871DE2" w:rsidRDefault="00494EE1" w:rsidP="00494EE1">
      <w:pPr>
        <w:rPr>
          <w:b/>
          <w:noProof/>
        </w:rPr>
      </w:pPr>
    </w:p>
    <w:p w:rsidR="00494EE1" w:rsidRPr="00871DE2" w:rsidRDefault="00494EE1" w:rsidP="00494EE1">
      <w:pPr>
        <w:rPr>
          <w:b/>
          <w:noProof/>
        </w:rPr>
      </w:pPr>
      <w:r w:rsidRPr="00871DE2">
        <w:rPr>
          <w:b/>
          <w:noProof/>
        </w:rPr>
        <w:t>A.</w:t>
      </w:r>
      <w:r w:rsidRPr="00871DE2">
        <w:rPr>
          <w:b/>
          <w:noProof/>
        </w:rPr>
        <w:tab/>
        <w:t>Annex B to the Kyoto Protocol</w:t>
      </w:r>
    </w:p>
    <w:p w:rsidR="00494EE1" w:rsidRDefault="00494EE1" w:rsidP="00494EE1">
      <w:pPr>
        <w:rPr>
          <w:noProof/>
          <w:lang w:eastAsia="en-US"/>
        </w:rPr>
      </w:pPr>
    </w:p>
    <w:p w:rsidR="00494EE1" w:rsidRPr="00A03C9B" w:rsidRDefault="00494EE1" w:rsidP="00494EE1">
      <w:pPr>
        <w:rPr>
          <w:noProof/>
          <w:lang w:eastAsia="en-US"/>
        </w:rPr>
      </w:pPr>
      <w:r w:rsidRPr="00A03C9B">
        <w:rPr>
          <w:noProof/>
          <w:lang w:eastAsia="en-US"/>
        </w:rPr>
        <w:t>The following table shall replace the table in Annex B to the Protocol:</w:t>
      </w:r>
    </w:p>
    <w:p w:rsidR="00494EE1" w:rsidRPr="00A03C9B" w:rsidRDefault="00494EE1" w:rsidP="00494EE1">
      <w:pPr>
        <w:pStyle w:val="RegSingleTxtG"/>
        <w:numPr>
          <w:ilvl w:val="0"/>
          <w:numId w:val="0"/>
        </w:numPr>
        <w:tabs>
          <w:tab w:val="left" w:pos="8647"/>
        </w:tabs>
        <w:suppressAutoHyphens w:val="0"/>
        <w:spacing w:line="240" w:lineRule="auto"/>
        <w:ind w:left="1135"/>
        <w:rPr>
          <w:noProof/>
          <w:u w:val="single"/>
        </w:rPr>
      </w:pPr>
    </w:p>
    <w:tbl>
      <w:tblPr>
        <w:tblW w:w="5000" w:type="pct"/>
        <w:tblBorders>
          <w:top w:val="single" w:sz="4" w:space="0" w:color="auto"/>
        </w:tblBorders>
        <w:tblCellMar>
          <w:left w:w="0" w:type="dxa"/>
          <w:right w:w="0" w:type="dxa"/>
        </w:tblCellMar>
        <w:tblLook w:val="0000" w:firstRow="0" w:lastRow="0" w:firstColumn="0" w:lastColumn="0" w:noHBand="0" w:noVBand="0"/>
      </w:tblPr>
      <w:tblGrid>
        <w:gridCol w:w="1570"/>
        <w:gridCol w:w="2124"/>
        <w:gridCol w:w="1420"/>
        <w:gridCol w:w="1209"/>
        <w:gridCol w:w="1420"/>
        <w:gridCol w:w="1442"/>
      </w:tblGrid>
      <w:tr w:rsidR="00494EE1" w:rsidRPr="00A03C9B" w:rsidTr="00080026">
        <w:trPr>
          <w:trHeight w:val="240"/>
          <w:tblHeader/>
        </w:trPr>
        <w:tc>
          <w:tcPr>
            <w:tcW w:w="855" w:type="pct"/>
            <w:tcBorders>
              <w:top w:val="single" w:sz="4" w:space="0" w:color="auto"/>
              <w:bottom w:val="single" w:sz="12" w:space="0" w:color="auto"/>
            </w:tcBorders>
            <w:vAlign w:val="bottom"/>
          </w:tcPr>
          <w:p w:rsidR="00494EE1" w:rsidRPr="00A03C9B" w:rsidRDefault="00494EE1" w:rsidP="00080026">
            <w:pPr>
              <w:spacing w:line="240" w:lineRule="auto"/>
              <w:rPr>
                <w:noProof/>
              </w:rPr>
            </w:pPr>
            <w:r w:rsidRPr="00A03C9B">
              <w:rPr>
                <w:noProof/>
              </w:rPr>
              <w:t>1</w:t>
            </w:r>
          </w:p>
        </w:tc>
        <w:tc>
          <w:tcPr>
            <w:tcW w:w="1156" w:type="pct"/>
            <w:tcBorders>
              <w:top w:val="single" w:sz="4" w:space="0" w:color="auto"/>
              <w:bottom w:val="single" w:sz="12" w:space="0" w:color="auto"/>
            </w:tcBorders>
            <w:tcMar>
              <w:right w:w="113" w:type="dxa"/>
            </w:tcMar>
            <w:vAlign w:val="bottom"/>
          </w:tcPr>
          <w:p w:rsidR="00494EE1" w:rsidRPr="00A03C9B" w:rsidRDefault="00494EE1" w:rsidP="00080026">
            <w:pPr>
              <w:spacing w:line="240" w:lineRule="auto"/>
              <w:rPr>
                <w:noProof/>
              </w:rPr>
            </w:pPr>
            <w:r w:rsidRPr="00A03C9B">
              <w:rPr>
                <w:noProof/>
              </w:rPr>
              <w:t>2</w:t>
            </w:r>
          </w:p>
        </w:tc>
        <w:tc>
          <w:tcPr>
            <w:tcW w:w="773" w:type="pct"/>
            <w:tcBorders>
              <w:top w:val="single" w:sz="4" w:space="0" w:color="auto"/>
              <w:bottom w:val="single" w:sz="12" w:space="0" w:color="auto"/>
            </w:tcBorders>
            <w:tcMar>
              <w:right w:w="113" w:type="dxa"/>
            </w:tcMar>
            <w:vAlign w:val="bottom"/>
          </w:tcPr>
          <w:p w:rsidR="00494EE1" w:rsidRPr="00A03C9B" w:rsidRDefault="00494EE1" w:rsidP="00080026">
            <w:pPr>
              <w:spacing w:line="240" w:lineRule="auto"/>
              <w:rPr>
                <w:noProof/>
              </w:rPr>
            </w:pPr>
            <w:r w:rsidRPr="00A03C9B">
              <w:rPr>
                <w:noProof/>
              </w:rPr>
              <w:t>3</w:t>
            </w:r>
          </w:p>
        </w:tc>
        <w:tc>
          <w:tcPr>
            <w:tcW w:w="658" w:type="pct"/>
            <w:tcBorders>
              <w:top w:val="single" w:sz="4" w:space="0" w:color="auto"/>
              <w:bottom w:val="single" w:sz="12" w:space="0" w:color="auto"/>
            </w:tcBorders>
            <w:tcMar>
              <w:right w:w="113" w:type="dxa"/>
            </w:tcMar>
            <w:vAlign w:val="bottom"/>
          </w:tcPr>
          <w:p w:rsidR="00494EE1" w:rsidRPr="00A03C9B" w:rsidRDefault="00494EE1" w:rsidP="00080026">
            <w:pPr>
              <w:spacing w:line="240" w:lineRule="auto"/>
              <w:rPr>
                <w:noProof/>
              </w:rPr>
            </w:pPr>
            <w:r w:rsidRPr="00A03C9B">
              <w:rPr>
                <w:noProof/>
              </w:rPr>
              <w:t>4</w:t>
            </w:r>
          </w:p>
        </w:tc>
        <w:tc>
          <w:tcPr>
            <w:tcW w:w="773" w:type="pct"/>
            <w:tcBorders>
              <w:top w:val="single" w:sz="4" w:space="0" w:color="auto"/>
              <w:bottom w:val="single" w:sz="12" w:space="0" w:color="auto"/>
            </w:tcBorders>
            <w:tcMar>
              <w:right w:w="113" w:type="dxa"/>
            </w:tcMar>
            <w:vAlign w:val="bottom"/>
          </w:tcPr>
          <w:p w:rsidR="00494EE1" w:rsidRPr="00A03C9B" w:rsidRDefault="00494EE1" w:rsidP="00080026">
            <w:pPr>
              <w:spacing w:line="240" w:lineRule="auto"/>
              <w:rPr>
                <w:noProof/>
              </w:rPr>
            </w:pPr>
            <w:r w:rsidRPr="00A03C9B">
              <w:rPr>
                <w:noProof/>
              </w:rPr>
              <w:t>5</w:t>
            </w:r>
          </w:p>
        </w:tc>
        <w:tc>
          <w:tcPr>
            <w:tcW w:w="785" w:type="pct"/>
            <w:tcBorders>
              <w:top w:val="single" w:sz="4" w:space="0" w:color="auto"/>
              <w:bottom w:val="single" w:sz="12" w:space="0" w:color="auto"/>
            </w:tcBorders>
            <w:tcMar>
              <w:right w:w="113" w:type="dxa"/>
            </w:tcMar>
            <w:vAlign w:val="bottom"/>
          </w:tcPr>
          <w:p w:rsidR="00494EE1" w:rsidRPr="00A03C9B" w:rsidRDefault="00494EE1" w:rsidP="00080026">
            <w:pPr>
              <w:spacing w:line="240" w:lineRule="auto"/>
              <w:rPr>
                <w:noProof/>
              </w:rPr>
            </w:pPr>
            <w:r w:rsidRPr="00A03C9B">
              <w:rPr>
                <w:noProof/>
              </w:rPr>
              <w:t>6</w:t>
            </w:r>
          </w:p>
        </w:tc>
      </w:tr>
      <w:tr w:rsidR="00494EE1" w:rsidRPr="00A03C9B" w:rsidTr="00080026">
        <w:trPr>
          <w:trHeight w:val="240"/>
          <w:tblHeader/>
        </w:trPr>
        <w:tc>
          <w:tcPr>
            <w:tcW w:w="855" w:type="pct"/>
            <w:tcBorders>
              <w:top w:val="single" w:sz="12" w:space="0" w:color="auto"/>
              <w:bottom w:val="single" w:sz="12" w:space="0" w:color="auto"/>
            </w:tcBorders>
            <w:vAlign w:val="bottom"/>
          </w:tcPr>
          <w:p w:rsidR="00494EE1" w:rsidRPr="00A03C9B" w:rsidRDefault="00494EE1" w:rsidP="00080026">
            <w:pPr>
              <w:spacing w:line="240" w:lineRule="auto"/>
              <w:rPr>
                <w:noProof/>
                <w:sz w:val="18"/>
              </w:rPr>
            </w:pPr>
            <w:r w:rsidRPr="00A03C9B">
              <w:rPr>
                <w:noProof/>
                <w:sz w:val="18"/>
              </w:rPr>
              <w:t>Party</w:t>
            </w:r>
          </w:p>
        </w:tc>
        <w:tc>
          <w:tcPr>
            <w:tcW w:w="1156" w:type="pct"/>
            <w:tcBorders>
              <w:top w:val="single" w:sz="12" w:space="0" w:color="auto"/>
              <w:bottom w:val="single" w:sz="12" w:space="0" w:color="auto"/>
            </w:tcBorders>
            <w:tcMar>
              <w:right w:w="113" w:type="dxa"/>
            </w:tcMar>
            <w:vAlign w:val="bottom"/>
          </w:tcPr>
          <w:p w:rsidR="00494EE1" w:rsidRPr="00A03C9B" w:rsidRDefault="00494EE1" w:rsidP="00080026">
            <w:pPr>
              <w:spacing w:line="240" w:lineRule="auto"/>
              <w:rPr>
                <w:noProof/>
                <w:sz w:val="18"/>
              </w:rPr>
            </w:pPr>
            <w:r w:rsidRPr="00A03C9B">
              <w:rPr>
                <w:noProof/>
                <w:sz w:val="18"/>
              </w:rPr>
              <w:t>Quantified emission limitation or reduction commitment</w:t>
            </w:r>
            <w:r w:rsidRPr="00A03C9B">
              <w:rPr>
                <w:noProof/>
                <w:sz w:val="18"/>
              </w:rPr>
              <w:br/>
              <w:t>(2008–2012) (percentage of base year or period)</w:t>
            </w:r>
          </w:p>
        </w:tc>
        <w:tc>
          <w:tcPr>
            <w:tcW w:w="773" w:type="pct"/>
            <w:tcBorders>
              <w:top w:val="single" w:sz="12" w:space="0" w:color="auto"/>
              <w:bottom w:val="single" w:sz="12" w:space="0" w:color="auto"/>
            </w:tcBorders>
            <w:tcMar>
              <w:right w:w="113" w:type="dxa"/>
            </w:tcMar>
            <w:vAlign w:val="bottom"/>
          </w:tcPr>
          <w:p w:rsidR="00494EE1" w:rsidRPr="00A03C9B" w:rsidRDefault="00494EE1" w:rsidP="00080026">
            <w:pPr>
              <w:spacing w:line="240" w:lineRule="auto"/>
              <w:rPr>
                <w:noProof/>
                <w:sz w:val="18"/>
              </w:rPr>
            </w:pPr>
            <w:r w:rsidRPr="00A03C9B">
              <w:rPr>
                <w:noProof/>
                <w:sz w:val="18"/>
              </w:rPr>
              <w:t>Quantified emission limitation or reduction commitment</w:t>
            </w:r>
          </w:p>
          <w:p w:rsidR="00494EE1" w:rsidRPr="00A03C9B" w:rsidRDefault="00494EE1" w:rsidP="00080026">
            <w:pPr>
              <w:spacing w:line="240" w:lineRule="auto"/>
              <w:rPr>
                <w:noProof/>
                <w:sz w:val="18"/>
              </w:rPr>
            </w:pPr>
            <w:r w:rsidRPr="00A03C9B">
              <w:rPr>
                <w:noProof/>
                <w:sz w:val="18"/>
              </w:rPr>
              <w:t>(2013–2020)</w:t>
            </w:r>
            <w:r w:rsidRPr="00A03C9B">
              <w:rPr>
                <w:noProof/>
                <w:sz w:val="18"/>
              </w:rPr>
              <w:br/>
              <w:t>(percentage of base year or period)</w:t>
            </w:r>
          </w:p>
        </w:tc>
        <w:tc>
          <w:tcPr>
            <w:tcW w:w="658" w:type="pct"/>
            <w:tcBorders>
              <w:top w:val="single" w:sz="12" w:space="0" w:color="auto"/>
              <w:bottom w:val="single" w:sz="12" w:space="0" w:color="auto"/>
            </w:tcBorders>
            <w:tcMar>
              <w:right w:w="113" w:type="dxa"/>
            </w:tcMar>
            <w:vAlign w:val="bottom"/>
          </w:tcPr>
          <w:p w:rsidR="00494EE1" w:rsidRPr="00A03C9B" w:rsidRDefault="00494EE1" w:rsidP="00080026">
            <w:pPr>
              <w:spacing w:line="240" w:lineRule="auto"/>
              <w:rPr>
                <w:noProof/>
                <w:sz w:val="18"/>
              </w:rPr>
            </w:pPr>
          </w:p>
          <w:p w:rsidR="00494EE1" w:rsidRPr="00A03C9B" w:rsidRDefault="00494EE1" w:rsidP="00080026">
            <w:pPr>
              <w:spacing w:line="240" w:lineRule="auto"/>
              <w:rPr>
                <w:noProof/>
                <w:sz w:val="18"/>
              </w:rPr>
            </w:pPr>
            <w:r w:rsidRPr="00A03C9B">
              <w:rPr>
                <w:noProof/>
                <w:sz w:val="18"/>
              </w:rPr>
              <w:t>Reference year</w:t>
            </w:r>
            <w:r w:rsidRPr="00A03C9B">
              <w:rPr>
                <w:noProof/>
                <w:sz w:val="18"/>
                <w:vertAlign w:val="superscript"/>
              </w:rPr>
              <w:t>1</w:t>
            </w:r>
          </w:p>
        </w:tc>
        <w:tc>
          <w:tcPr>
            <w:tcW w:w="773" w:type="pct"/>
            <w:tcBorders>
              <w:top w:val="single" w:sz="12" w:space="0" w:color="auto"/>
              <w:bottom w:val="single" w:sz="12" w:space="0" w:color="auto"/>
            </w:tcBorders>
            <w:tcMar>
              <w:right w:w="113" w:type="dxa"/>
            </w:tcMar>
            <w:vAlign w:val="bottom"/>
          </w:tcPr>
          <w:p w:rsidR="00494EE1" w:rsidRPr="00A03C9B" w:rsidRDefault="00494EE1" w:rsidP="00080026">
            <w:pPr>
              <w:spacing w:line="240" w:lineRule="auto"/>
              <w:rPr>
                <w:noProof/>
                <w:sz w:val="18"/>
              </w:rPr>
            </w:pPr>
            <w:r w:rsidRPr="00A03C9B">
              <w:rPr>
                <w:noProof/>
                <w:sz w:val="18"/>
              </w:rPr>
              <w:t>Quantified emission limitation or reduction commitment</w:t>
            </w:r>
            <w:r w:rsidRPr="00A03C9B">
              <w:rPr>
                <w:noProof/>
                <w:sz w:val="18"/>
              </w:rPr>
              <w:br/>
              <w:t>(2013–2020)</w:t>
            </w:r>
          </w:p>
          <w:p w:rsidR="00494EE1" w:rsidRPr="00A03C9B" w:rsidRDefault="00494EE1" w:rsidP="00080026">
            <w:pPr>
              <w:spacing w:line="240" w:lineRule="auto"/>
              <w:rPr>
                <w:noProof/>
                <w:sz w:val="18"/>
              </w:rPr>
            </w:pPr>
            <w:r w:rsidRPr="00A03C9B">
              <w:rPr>
                <w:noProof/>
                <w:sz w:val="18"/>
              </w:rPr>
              <w:t>(expressed as percentage of reference year)</w:t>
            </w:r>
            <w:r w:rsidRPr="00A03C9B">
              <w:rPr>
                <w:noProof/>
                <w:sz w:val="18"/>
                <w:szCs w:val="18"/>
                <w:vertAlign w:val="superscript"/>
              </w:rPr>
              <w:t>1</w:t>
            </w:r>
          </w:p>
        </w:tc>
        <w:tc>
          <w:tcPr>
            <w:tcW w:w="785" w:type="pct"/>
            <w:tcBorders>
              <w:top w:val="single" w:sz="12" w:space="0" w:color="auto"/>
              <w:bottom w:val="single" w:sz="12" w:space="0" w:color="auto"/>
            </w:tcBorders>
            <w:tcMar>
              <w:right w:w="113" w:type="dxa"/>
            </w:tcMar>
            <w:vAlign w:val="bottom"/>
          </w:tcPr>
          <w:p w:rsidR="00494EE1" w:rsidRPr="00A03C9B" w:rsidRDefault="00494EE1" w:rsidP="00080026">
            <w:pPr>
              <w:spacing w:line="240" w:lineRule="auto"/>
              <w:rPr>
                <w:noProof/>
                <w:sz w:val="18"/>
              </w:rPr>
            </w:pPr>
            <w:r w:rsidRPr="00A03C9B">
              <w:rPr>
                <w:noProof/>
                <w:sz w:val="18"/>
              </w:rPr>
              <w:t>Pledges for the reduction of greenhouse gas emissions by 2020  (percentage of reference year)</w:t>
            </w:r>
            <w:r w:rsidRPr="00A03C9B">
              <w:rPr>
                <w:noProof/>
                <w:sz w:val="18"/>
                <w:vertAlign w:val="superscript"/>
              </w:rPr>
              <w:t>2</w:t>
            </w:r>
          </w:p>
        </w:tc>
      </w:tr>
      <w:tr w:rsidR="00494EE1" w:rsidRPr="00A03C9B" w:rsidTr="00080026">
        <w:trPr>
          <w:trHeight w:val="240"/>
        </w:trPr>
        <w:tc>
          <w:tcPr>
            <w:tcW w:w="855" w:type="pct"/>
            <w:tcBorders>
              <w:top w:val="single" w:sz="12" w:space="0" w:color="auto"/>
            </w:tcBorders>
          </w:tcPr>
          <w:p w:rsidR="00494EE1" w:rsidRPr="00A03C9B" w:rsidRDefault="00494EE1" w:rsidP="00080026">
            <w:pPr>
              <w:spacing w:line="240" w:lineRule="auto"/>
              <w:rPr>
                <w:noProof/>
                <w:sz w:val="18"/>
                <w:szCs w:val="18"/>
              </w:rPr>
            </w:pPr>
            <w:r w:rsidRPr="00A03C9B">
              <w:rPr>
                <w:noProof/>
                <w:sz w:val="18"/>
              </w:rPr>
              <w:t>Australia</w:t>
            </w:r>
          </w:p>
        </w:tc>
        <w:tc>
          <w:tcPr>
            <w:tcW w:w="1156" w:type="pct"/>
            <w:tcBorders>
              <w:top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rPr>
              <w:t>108</w:t>
            </w:r>
          </w:p>
        </w:tc>
        <w:tc>
          <w:tcPr>
            <w:tcW w:w="773" w:type="pct"/>
            <w:tcBorders>
              <w:top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rPr>
              <w:t>99.5</w:t>
            </w:r>
          </w:p>
        </w:tc>
        <w:tc>
          <w:tcPr>
            <w:tcW w:w="658" w:type="pct"/>
            <w:tcBorders>
              <w:top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rPr>
              <w:t>2000</w:t>
            </w:r>
          </w:p>
        </w:tc>
        <w:tc>
          <w:tcPr>
            <w:tcW w:w="773" w:type="pct"/>
            <w:tcBorders>
              <w:top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98</w:t>
            </w:r>
          </w:p>
        </w:tc>
        <w:tc>
          <w:tcPr>
            <w:tcW w:w="785" w:type="pct"/>
            <w:tcBorders>
              <w:top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 xml:space="preserve">–5 to </w:t>
            </w:r>
            <w:r w:rsidRPr="00A03C9B">
              <w:rPr>
                <w:noProof/>
                <w:sz w:val="18"/>
              </w:rPr>
              <w:t>–</w:t>
            </w:r>
            <w:r w:rsidRPr="00A03C9B">
              <w:rPr>
                <w:noProof/>
                <w:sz w:val="18"/>
                <w:szCs w:val="18"/>
              </w:rPr>
              <w:t>15% or –25%</w:t>
            </w:r>
            <w:r w:rsidRPr="00A03C9B">
              <w:rPr>
                <w:noProof/>
                <w:sz w:val="18"/>
                <w:szCs w:val="18"/>
                <w:vertAlign w:val="superscript"/>
              </w:rPr>
              <w:t>3</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Austria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shd w:val="clear" w:color="auto" w:fill="auto"/>
          </w:tcPr>
          <w:p w:rsidR="00494EE1" w:rsidRPr="00A03C9B" w:rsidRDefault="00494EE1" w:rsidP="00080026">
            <w:pPr>
              <w:spacing w:line="240" w:lineRule="auto"/>
              <w:rPr>
                <w:noProof/>
                <w:sz w:val="18"/>
                <w:szCs w:val="18"/>
              </w:rPr>
            </w:pPr>
            <w:r w:rsidRPr="00A03C9B">
              <w:rPr>
                <w:noProof/>
                <w:sz w:val="18"/>
                <w:szCs w:val="18"/>
              </w:rPr>
              <w:t>Belarus</w:t>
            </w:r>
            <w:r w:rsidRPr="00A03C9B">
              <w:rPr>
                <w:noProof/>
                <w:sz w:val="18"/>
                <w:szCs w:val="18"/>
                <w:vertAlign w:val="superscript"/>
              </w:rPr>
              <w:t>5</w:t>
            </w:r>
            <w:r w:rsidRPr="00A03C9B">
              <w:rPr>
                <w:noProof/>
                <w:sz w:val="18"/>
                <w:szCs w:val="18"/>
              </w:rPr>
              <w:t>*</w:t>
            </w:r>
          </w:p>
        </w:tc>
        <w:tc>
          <w:tcPr>
            <w:tcW w:w="1156" w:type="pct"/>
            <w:shd w:val="clear" w:color="auto" w:fill="auto"/>
            <w:tcMar>
              <w:right w:w="113" w:type="dxa"/>
            </w:tcMar>
            <w:vAlign w:val="bottom"/>
          </w:tcPr>
          <w:p w:rsidR="00494EE1" w:rsidRPr="00A03C9B" w:rsidRDefault="00494EE1" w:rsidP="00080026">
            <w:pPr>
              <w:spacing w:line="240" w:lineRule="auto"/>
              <w:rPr>
                <w:noProof/>
                <w:sz w:val="18"/>
                <w:szCs w:val="18"/>
              </w:rPr>
            </w:pPr>
          </w:p>
        </w:tc>
        <w:tc>
          <w:tcPr>
            <w:tcW w:w="773" w:type="pct"/>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88</w:t>
            </w:r>
          </w:p>
        </w:tc>
        <w:tc>
          <w:tcPr>
            <w:tcW w:w="658" w:type="pct"/>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Belgium</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Bulgaria*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vAlign w:val="bottom"/>
          </w:tcPr>
          <w:p w:rsidR="00494EE1" w:rsidRPr="00A03C9B" w:rsidRDefault="00494EE1" w:rsidP="00080026">
            <w:pPr>
              <w:spacing w:line="240" w:lineRule="auto"/>
              <w:rPr>
                <w:noProof/>
                <w:sz w:val="18"/>
                <w:szCs w:val="18"/>
              </w:rPr>
            </w:pPr>
            <w:r w:rsidRPr="00A03C9B">
              <w:rPr>
                <w:noProof/>
                <w:sz w:val="18"/>
                <w:szCs w:val="18"/>
              </w:rPr>
              <w:t>Croatia*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95</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6</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–20%/–30%</w:t>
            </w:r>
            <w:r w:rsidRPr="00A03C9B">
              <w:rPr>
                <w:noProof/>
                <w:sz w:val="18"/>
                <w:szCs w:val="18"/>
                <w:vertAlign w:val="superscript"/>
              </w:rPr>
              <w:t>7</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Cyprus</w:t>
            </w:r>
          </w:p>
        </w:tc>
        <w:tc>
          <w:tcPr>
            <w:tcW w:w="1156" w:type="pct"/>
            <w:tcMar>
              <w:right w:w="113" w:type="dxa"/>
            </w:tcMar>
            <w:vAlign w:val="bottom"/>
          </w:tcPr>
          <w:p w:rsidR="00494EE1" w:rsidRPr="00A03C9B" w:rsidRDefault="00494EE1" w:rsidP="00080026">
            <w:pPr>
              <w:spacing w:line="240" w:lineRule="auto"/>
              <w:rPr>
                <w:noProof/>
                <w:sz w:val="18"/>
                <w:szCs w:val="18"/>
              </w:rPr>
            </w:pP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Czech Republic*</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Denmark</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Estonia*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European Union</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–20%/–30%</w:t>
            </w:r>
            <w:r w:rsidRPr="00A03C9B">
              <w:rPr>
                <w:noProof/>
                <w:sz w:val="18"/>
                <w:szCs w:val="18"/>
                <w:vertAlign w:val="superscript"/>
              </w:rPr>
              <w:t>7</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Finland</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France</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Germany</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Greece</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Hungary*</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94</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Iceland</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110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8</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Ireland</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Italy</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Kazakhstan*</w:t>
            </w:r>
          </w:p>
        </w:tc>
        <w:tc>
          <w:tcPr>
            <w:tcW w:w="1156" w:type="pct"/>
            <w:tcMar>
              <w:right w:w="113" w:type="dxa"/>
            </w:tcMar>
            <w:vAlign w:val="bottom"/>
          </w:tcPr>
          <w:p w:rsidR="00494EE1" w:rsidRPr="00A03C9B" w:rsidRDefault="00494EE1" w:rsidP="00080026">
            <w:pPr>
              <w:spacing w:line="240" w:lineRule="auto"/>
              <w:rPr>
                <w:noProof/>
                <w:sz w:val="18"/>
                <w:szCs w:val="18"/>
              </w:rPr>
            </w:pP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95</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95</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–7%</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Latvia*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vAlign w:val="bottom"/>
          </w:tcPr>
          <w:p w:rsidR="00494EE1" w:rsidRPr="00A03C9B" w:rsidRDefault="00494EE1" w:rsidP="00080026">
            <w:pPr>
              <w:spacing w:line="240" w:lineRule="auto"/>
              <w:rPr>
                <w:noProof/>
                <w:sz w:val="18"/>
                <w:szCs w:val="18"/>
              </w:rPr>
            </w:pPr>
            <w:r w:rsidRPr="00A03C9B">
              <w:rPr>
                <w:noProof/>
                <w:sz w:val="18"/>
                <w:szCs w:val="18"/>
              </w:rPr>
              <w:t>Liechtenstein</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84</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–20%/–30%</w:t>
            </w:r>
            <w:r w:rsidRPr="00A03C9B">
              <w:rPr>
                <w:noProof/>
                <w:sz w:val="18"/>
                <w:szCs w:val="18"/>
                <w:vertAlign w:val="superscript"/>
              </w:rPr>
              <w:t>9</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Lithuania*</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Luxembourg</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0E61FE" w:rsidRDefault="00494EE1" w:rsidP="00080026">
            <w:pPr>
              <w:spacing w:line="240" w:lineRule="auto"/>
              <w:rPr>
                <w:noProof/>
                <w:sz w:val="18"/>
                <w:szCs w:val="18"/>
              </w:rPr>
            </w:pPr>
            <w:r w:rsidRPr="000E61FE">
              <w:rPr>
                <w:noProof/>
                <w:sz w:val="18"/>
                <w:szCs w:val="18"/>
              </w:rPr>
              <w:t>Malta</w:t>
            </w:r>
          </w:p>
        </w:tc>
        <w:tc>
          <w:tcPr>
            <w:tcW w:w="1156" w:type="pct"/>
            <w:tcMar>
              <w:right w:w="113" w:type="dxa"/>
            </w:tcMar>
            <w:vAlign w:val="bottom"/>
          </w:tcPr>
          <w:p w:rsidR="00494EE1" w:rsidRPr="00A03C9B" w:rsidRDefault="00494EE1" w:rsidP="00080026">
            <w:pPr>
              <w:spacing w:line="240" w:lineRule="auto"/>
              <w:rPr>
                <w:noProof/>
                <w:sz w:val="18"/>
                <w:szCs w:val="18"/>
              </w:rPr>
            </w:pP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Monaco</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78</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78</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–30%</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Netherlands</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vAlign w:val="bottom"/>
          </w:tcPr>
          <w:p w:rsidR="00494EE1" w:rsidRPr="00A03C9B" w:rsidRDefault="00494EE1" w:rsidP="00080026">
            <w:pPr>
              <w:pageBreakBefore/>
              <w:spacing w:line="240" w:lineRule="auto"/>
              <w:rPr>
                <w:noProof/>
                <w:sz w:val="18"/>
                <w:szCs w:val="18"/>
              </w:rPr>
            </w:pPr>
            <w:r w:rsidRPr="00A03C9B">
              <w:rPr>
                <w:noProof/>
                <w:sz w:val="18"/>
                <w:szCs w:val="18"/>
              </w:rPr>
              <w:lastRenderedPageBreak/>
              <w:t>Norway</w:t>
            </w:r>
          </w:p>
        </w:tc>
        <w:tc>
          <w:tcPr>
            <w:tcW w:w="1156"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101</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84</w:t>
            </w:r>
          </w:p>
        </w:tc>
        <w:tc>
          <w:tcPr>
            <w:tcW w:w="785"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–30% to</w:t>
            </w:r>
          </w:p>
          <w:p w:rsidR="00494EE1" w:rsidRPr="00A03C9B" w:rsidRDefault="00494EE1" w:rsidP="00080026">
            <w:pPr>
              <w:spacing w:line="240" w:lineRule="auto"/>
              <w:rPr>
                <w:noProof/>
                <w:sz w:val="18"/>
                <w:szCs w:val="18"/>
              </w:rPr>
            </w:pPr>
            <w:r w:rsidRPr="00A03C9B">
              <w:rPr>
                <w:noProof/>
                <w:sz w:val="18"/>
                <w:szCs w:val="18"/>
              </w:rPr>
              <w:t xml:space="preserve"> –40%</w:t>
            </w:r>
            <w:r w:rsidRPr="00A03C9B">
              <w:rPr>
                <w:noProof/>
                <w:sz w:val="18"/>
                <w:szCs w:val="18"/>
                <w:vertAlign w:val="superscript"/>
              </w:rPr>
              <w:t>10</w:t>
            </w: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Poland*</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94</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Portugal</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Romania*</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Slovakia*</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Slovenia*</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Spain</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Pr>
          <w:p w:rsidR="00494EE1" w:rsidRPr="00A03C9B" w:rsidRDefault="00494EE1" w:rsidP="00080026">
            <w:pPr>
              <w:spacing w:line="240" w:lineRule="auto"/>
              <w:rPr>
                <w:noProof/>
                <w:sz w:val="18"/>
                <w:szCs w:val="18"/>
              </w:rPr>
            </w:pPr>
            <w:r w:rsidRPr="00A03C9B">
              <w:rPr>
                <w:noProof/>
                <w:sz w:val="18"/>
                <w:szCs w:val="18"/>
              </w:rPr>
              <w:t>Sweden</w:t>
            </w:r>
          </w:p>
        </w:tc>
        <w:tc>
          <w:tcPr>
            <w:tcW w:w="1156" w:type="pct"/>
            <w:tcMar>
              <w:right w:w="113" w:type="dxa"/>
            </w:tcMar>
          </w:tcPr>
          <w:p w:rsidR="00494EE1" w:rsidRPr="00A03C9B" w:rsidRDefault="00494EE1" w:rsidP="00080026">
            <w:pPr>
              <w:spacing w:line="240" w:lineRule="auto"/>
              <w:rPr>
                <w:noProof/>
                <w:sz w:val="18"/>
                <w:szCs w:val="18"/>
              </w:rPr>
            </w:pPr>
            <w:r w:rsidRPr="00A03C9B">
              <w:rPr>
                <w:noProof/>
                <w:sz w:val="18"/>
                <w:szCs w:val="18"/>
              </w:rPr>
              <w:t>92</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Borders>
              <w:bottom w:val="nil"/>
            </w:tcBorders>
            <w:vAlign w:val="bottom"/>
          </w:tcPr>
          <w:p w:rsidR="00494EE1" w:rsidRPr="00A03C9B" w:rsidRDefault="00494EE1" w:rsidP="00080026">
            <w:pPr>
              <w:spacing w:line="240" w:lineRule="auto"/>
              <w:rPr>
                <w:noProof/>
                <w:sz w:val="18"/>
                <w:szCs w:val="18"/>
              </w:rPr>
            </w:pPr>
            <w:r w:rsidRPr="00A03C9B">
              <w:rPr>
                <w:noProof/>
                <w:sz w:val="18"/>
                <w:szCs w:val="18"/>
              </w:rPr>
              <w:t>Switzerland</w:t>
            </w:r>
          </w:p>
        </w:tc>
        <w:tc>
          <w:tcPr>
            <w:tcW w:w="1156" w:type="pct"/>
            <w:tcBorders>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Borders>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84.2</w:t>
            </w:r>
          </w:p>
        </w:tc>
        <w:tc>
          <w:tcPr>
            <w:tcW w:w="658" w:type="pct"/>
            <w:tcBorders>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Borders>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Borders>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–20% to</w:t>
            </w:r>
          </w:p>
          <w:p w:rsidR="00494EE1" w:rsidRPr="00A03C9B" w:rsidRDefault="00494EE1" w:rsidP="00080026">
            <w:pPr>
              <w:spacing w:line="240" w:lineRule="auto"/>
              <w:rPr>
                <w:noProof/>
                <w:sz w:val="18"/>
                <w:szCs w:val="18"/>
              </w:rPr>
            </w:pPr>
            <w:r w:rsidRPr="00A03C9B">
              <w:rPr>
                <w:noProof/>
                <w:sz w:val="18"/>
                <w:szCs w:val="18"/>
              </w:rPr>
              <w:t xml:space="preserve"> –30%</w:t>
            </w:r>
            <w:r w:rsidRPr="00A03C9B">
              <w:rPr>
                <w:noProof/>
                <w:sz w:val="18"/>
                <w:szCs w:val="18"/>
                <w:vertAlign w:val="superscript"/>
              </w:rPr>
              <w:t>11</w:t>
            </w:r>
          </w:p>
        </w:tc>
      </w:tr>
      <w:tr w:rsidR="00494EE1" w:rsidRPr="00A03C9B" w:rsidTr="00080026">
        <w:trPr>
          <w:trHeight w:val="240"/>
        </w:trPr>
        <w:tc>
          <w:tcPr>
            <w:tcW w:w="855" w:type="pct"/>
            <w:tcBorders>
              <w:top w:val="nil"/>
              <w:bottom w:val="nil"/>
            </w:tcBorders>
            <w:shd w:val="clear" w:color="auto" w:fill="auto"/>
          </w:tcPr>
          <w:p w:rsidR="00494EE1" w:rsidRPr="00A03C9B" w:rsidRDefault="00494EE1" w:rsidP="00080026">
            <w:pPr>
              <w:spacing w:line="240" w:lineRule="auto"/>
              <w:rPr>
                <w:noProof/>
                <w:sz w:val="18"/>
                <w:szCs w:val="18"/>
              </w:rPr>
            </w:pPr>
            <w:r w:rsidRPr="00A03C9B">
              <w:rPr>
                <w:noProof/>
                <w:sz w:val="18"/>
                <w:szCs w:val="18"/>
              </w:rPr>
              <w:t>Ukraine*</w:t>
            </w:r>
          </w:p>
        </w:tc>
        <w:tc>
          <w:tcPr>
            <w:tcW w:w="1156" w:type="pct"/>
            <w:tcBorders>
              <w:top w:val="nil"/>
              <w:bottom w:val="nil"/>
            </w:tcBorders>
            <w:shd w:val="clear" w:color="auto" w:fill="auto"/>
            <w:tcMar>
              <w:right w:w="113" w:type="dxa"/>
            </w:tcMar>
          </w:tcPr>
          <w:p w:rsidR="00494EE1" w:rsidRPr="00A03C9B" w:rsidRDefault="00494EE1" w:rsidP="00080026">
            <w:pPr>
              <w:spacing w:line="240" w:lineRule="auto"/>
              <w:rPr>
                <w:noProof/>
                <w:sz w:val="18"/>
                <w:szCs w:val="18"/>
              </w:rPr>
            </w:pPr>
            <w:r w:rsidRPr="00A03C9B">
              <w:rPr>
                <w:noProof/>
                <w:sz w:val="18"/>
                <w:szCs w:val="18"/>
              </w:rPr>
              <w:t>100</w:t>
            </w:r>
          </w:p>
        </w:tc>
        <w:tc>
          <w:tcPr>
            <w:tcW w:w="773" w:type="pct"/>
            <w:tcBorders>
              <w:top w:val="nil"/>
              <w:bottom w:val="nil"/>
            </w:tcBorders>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76</w:t>
            </w:r>
            <w:r w:rsidRPr="00A03C9B">
              <w:rPr>
                <w:noProof/>
                <w:sz w:val="18"/>
                <w:szCs w:val="18"/>
                <w:vertAlign w:val="superscript"/>
              </w:rPr>
              <w:t>12</w:t>
            </w:r>
          </w:p>
        </w:tc>
        <w:tc>
          <w:tcPr>
            <w:tcW w:w="658" w:type="pct"/>
            <w:tcBorders>
              <w:top w:val="nil"/>
              <w:bottom w:val="nil"/>
            </w:tcBorders>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1990</w:t>
            </w:r>
          </w:p>
        </w:tc>
        <w:tc>
          <w:tcPr>
            <w:tcW w:w="773" w:type="pct"/>
            <w:tcBorders>
              <w:top w:val="nil"/>
              <w:bottom w:val="nil"/>
            </w:tcBorders>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Borders>
              <w:top w:val="nil"/>
              <w:bottom w:val="nil"/>
            </w:tcBorders>
            <w:shd w:val="clear"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–20%</w:t>
            </w:r>
          </w:p>
        </w:tc>
      </w:tr>
      <w:tr w:rsidR="00494EE1" w:rsidRPr="00A03C9B" w:rsidTr="00080026">
        <w:trPr>
          <w:trHeight w:val="240"/>
        </w:trPr>
        <w:tc>
          <w:tcPr>
            <w:tcW w:w="855" w:type="pct"/>
            <w:tcBorders>
              <w:top w:val="nil"/>
              <w:bottom w:val="single" w:sz="12" w:space="0" w:color="auto"/>
            </w:tcBorders>
          </w:tcPr>
          <w:p w:rsidR="00494EE1" w:rsidRPr="00A03C9B" w:rsidRDefault="00494EE1" w:rsidP="00080026">
            <w:pPr>
              <w:spacing w:line="240" w:lineRule="auto"/>
              <w:rPr>
                <w:noProof/>
                <w:sz w:val="18"/>
                <w:szCs w:val="18"/>
              </w:rPr>
            </w:pPr>
            <w:r w:rsidRPr="00A03C9B">
              <w:rPr>
                <w:noProof/>
                <w:sz w:val="18"/>
                <w:szCs w:val="18"/>
              </w:rPr>
              <w:t>United Kingdom of Great Britain and Northern Ireland</w:t>
            </w:r>
          </w:p>
        </w:tc>
        <w:tc>
          <w:tcPr>
            <w:tcW w:w="1156" w:type="pct"/>
            <w:tcBorders>
              <w:top w:val="nil"/>
              <w:bottom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92</w:t>
            </w:r>
          </w:p>
        </w:tc>
        <w:tc>
          <w:tcPr>
            <w:tcW w:w="773" w:type="pct"/>
            <w:tcBorders>
              <w:top w:val="nil"/>
              <w:bottom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80</w:t>
            </w:r>
            <w:r w:rsidRPr="00A03C9B">
              <w:rPr>
                <w:noProof/>
                <w:sz w:val="18"/>
                <w:szCs w:val="18"/>
                <w:vertAlign w:val="superscript"/>
              </w:rPr>
              <w:t>4</w:t>
            </w:r>
          </w:p>
        </w:tc>
        <w:tc>
          <w:tcPr>
            <w:tcW w:w="658" w:type="pct"/>
            <w:tcBorders>
              <w:top w:val="nil"/>
              <w:bottom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73" w:type="pct"/>
            <w:tcBorders>
              <w:top w:val="nil"/>
              <w:bottom w:val="single" w:sz="12" w:space="0" w:color="auto"/>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NA</w:t>
            </w:r>
          </w:p>
        </w:tc>
        <w:tc>
          <w:tcPr>
            <w:tcW w:w="785" w:type="pct"/>
            <w:tcBorders>
              <w:top w:val="nil"/>
              <w:bottom w:val="single" w:sz="12" w:space="0" w:color="auto"/>
            </w:tcBorders>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Borders>
              <w:top w:val="single" w:sz="12" w:space="0" w:color="auto"/>
              <w:bottom w:val="single" w:sz="4" w:space="0" w:color="auto"/>
            </w:tcBorders>
            <w:vAlign w:val="bottom"/>
          </w:tcPr>
          <w:p w:rsidR="00494EE1" w:rsidRPr="00A03C9B" w:rsidRDefault="00494EE1" w:rsidP="00080026">
            <w:pPr>
              <w:spacing w:line="240" w:lineRule="auto"/>
              <w:rPr>
                <w:noProof/>
                <w:sz w:val="18"/>
                <w:szCs w:val="18"/>
              </w:rPr>
            </w:pPr>
            <w:r w:rsidRPr="00A03C9B">
              <w:rPr>
                <w:noProof/>
                <w:sz w:val="18"/>
              </w:rPr>
              <w:t>Party</w:t>
            </w:r>
          </w:p>
        </w:tc>
        <w:tc>
          <w:tcPr>
            <w:tcW w:w="1156" w:type="pct"/>
            <w:tcBorders>
              <w:top w:val="single" w:sz="12" w:space="0" w:color="auto"/>
              <w:bottom w:val="single" w:sz="4" w:space="0" w:color="auto"/>
            </w:tcBorders>
            <w:tcMar>
              <w:right w:w="113" w:type="dxa"/>
            </w:tcMar>
          </w:tcPr>
          <w:p w:rsidR="00494EE1" w:rsidRPr="00A03C9B" w:rsidRDefault="00494EE1" w:rsidP="00080026">
            <w:pPr>
              <w:spacing w:line="240" w:lineRule="auto"/>
              <w:rPr>
                <w:noProof/>
                <w:sz w:val="18"/>
                <w:szCs w:val="18"/>
              </w:rPr>
            </w:pPr>
            <w:r w:rsidRPr="00A03C9B">
              <w:rPr>
                <w:noProof/>
                <w:sz w:val="18"/>
              </w:rPr>
              <w:t>Quantified emission limitation or reduction commitment (2008–2012) (percentage of base year or period)</w:t>
            </w:r>
          </w:p>
        </w:tc>
        <w:tc>
          <w:tcPr>
            <w:tcW w:w="773" w:type="pct"/>
            <w:tcBorders>
              <w:top w:val="single" w:sz="12" w:space="0" w:color="auto"/>
              <w:bottom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c>
          <w:tcPr>
            <w:tcW w:w="658" w:type="pct"/>
            <w:tcBorders>
              <w:top w:val="single" w:sz="12" w:space="0" w:color="auto"/>
              <w:bottom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szCs w:val="18"/>
              </w:rPr>
            </w:pPr>
            <w:r w:rsidRPr="00A03C9B">
              <w:rPr>
                <w:noProof/>
                <w:sz w:val="18"/>
              </w:rPr>
              <w:br/>
            </w:r>
          </w:p>
        </w:tc>
        <w:tc>
          <w:tcPr>
            <w:tcW w:w="773" w:type="pct"/>
            <w:tcBorders>
              <w:top w:val="single" w:sz="12" w:space="0" w:color="auto"/>
              <w:bottom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c>
          <w:tcPr>
            <w:tcW w:w="785" w:type="pct"/>
            <w:tcBorders>
              <w:top w:val="single" w:sz="12" w:space="0" w:color="auto"/>
              <w:bottom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Borders>
              <w:top w:val="single" w:sz="4" w:space="0" w:color="auto"/>
            </w:tcBorders>
          </w:tcPr>
          <w:p w:rsidR="00494EE1" w:rsidRPr="00A03C9B" w:rsidRDefault="00494EE1" w:rsidP="00080026">
            <w:pPr>
              <w:spacing w:line="240" w:lineRule="auto"/>
              <w:rPr>
                <w:noProof/>
                <w:sz w:val="18"/>
              </w:rPr>
            </w:pPr>
            <w:r w:rsidRPr="00A03C9B">
              <w:rPr>
                <w:noProof/>
                <w:sz w:val="18"/>
                <w:szCs w:val="18"/>
              </w:rPr>
              <w:t>Canada</w:t>
            </w:r>
            <w:r w:rsidRPr="000A3AB4">
              <w:rPr>
                <w:noProof/>
                <w:sz w:val="18"/>
                <w:szCs w:val="18"/>
                <w:vertAlign w:val="superscript"/>
              </w:rPr>
              <w:t>13</w:t>
            </w:r>
          </w:p>
        </w:tc>
        <w:tc>
          <w:tcPr>
            <w:tcW w:w="1156" w:type="pct"/>
            <w:tcBorders>
              <w:top w:val="single" w:sz="4" w:space="0" w:color="auto"/>
            </w:tcBorders>
            <w:tcMar>
              <w:right w:w="113" w:type="dxa"/>
            </w:tcMar>
          </w:tcPr>
          <w:p w:rsidR="00494EE1" w:rsidRPr="00A03C9B" w:rsidRDefault="00494EE1" w:rsidP="00080026">
            <w:pPr>
              <w:spacing w:line="240" w:lineRule="auto"/>
              <w:rPr>
                <w:noProof/>
                <w:sz w:val="18"/>
              </w:rPr>
            </w:pPr>
            <w:r w:rsidRPr="00A03C9B">
              <w:rPr>
                <w:noProof/>
                <w:sz w:val="18"/>
                <w:szCs w:val="18"/>
              </w:rPr>
              <w:t>94</w:t>
            </w:r>
          </w:p>
        </w:tc>
        <w:tc>
          <w:tcPr>
            <w:tcW w:w="773" w:type="pct"/>
            <w:tcBorders>
              <w:top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658" w:type="pct"/>
            <w:tcBorders>
              <w:top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73" w:type="pct"/>
            <w:tcBorders>
              <w:top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85" w:type="pct"/>
            <w:tcBorders>
              <w:top w:val="single" w:sz="4"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r>
      <w:tr w:rsidR="00494EE1" w:rsidRPr="00A03C9B" w:rsidTr="00080026">
        <w:trPr>
          <w:trHeight w:val="240"/>
        </w:trPr>
        <w:tc>
          <w:tcPr>
            <w:tcW w:w="855" w:type="pct"/>
            <w:tcBorders>
              <w:bottom w:val="nil"/>
            </w:tcBorders>
          </w:tcPr>
          <w:p w:rsidR="00494EE1" w:rsidRPr="00A03C9B" w:rsidRDefault="00494EE1" w:rsidP="00080026">
            <w:pPr>
              <w:spacing w:line="240" w:lineRule="auto"/>
              <w:rPr>
                <w:noProof/>
                <w:sz w:val="18"/>
              </w:rPr>
            </w:pPr>
            <w:r w:rsidRPr="00A03C9B">
              <w:rPr>
                <w:noProof/>
                <w:sz w:val="18"/>
                <w:szCs w:val="18"/>
              </w:rPr>
              <w:t>Japan</w:t>
            </w:r>
            <w:r w:rsidRPr="00A03C9B">
              <w:rPr>
                <w:noProof/>
                <w:sz w:val="18"/>
                <w:szCs w:val="18"/>
                <w:vertAlign w:val="superscript"/>
              </w:rPr>
              <w:t>14</w:t>
            </w:r>
          </w:p>
        </w:tc>
        <w:tc>
          <w:tcPr>
            <w:tcW w:w="1156" w:type="pct"/>
            <w:tcBorders>
              <w:bottom w:val="nil"/>
            </w:tcBorders>
            <w:tcMar>
              <w:right w:w="113" w:type="dxa"/>
            </w:tcMar>
          </w:tcPr>
          <w:p w:rsidR="00494EE1" w:rsidRPr="00A03C9B" w:rsidRDefault="00494EE1" w:rsidP="00080026">
            <w:pPr>
              <w:spacing w:line="240" w:lineRule="auto"/>
              <w:rPr>
                <w:noProof/>
                <w:sz w:val="18"/>
              </w:rPr>
            </w:pPr>
            <w:r w:rsidRPr="00A03C9B">
              <w:rPr>
                <w:noProof/>
                <w:sz w:val="18"/>
                <w:szCs w:val="18"/>
              </w:rPr>
              <w:t>94</w:t>
            </w:r>
          </w:p>
        </w:tc>
        <w:tc>
          <w:tcPr>
            <w:tcW w:w="773" w:type="pct"/>
            <w:tcBorders>
              <w:bottom w:val="nil"/>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658" w:type="pct"/>
            <w:tcBorders>
              <w:bottom w:val="nil"/>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73" w:type="pct"/>
            <w:tcBorders>
              <w:bottom w:val="nil"/>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85" w:type="pct"/>
            <w:tcBorders>
              <w:bottom w:val="nil"/>
            </w:tcBorders>
            <w:shd w:val="thinDiagStripe" w:color="auto" w:fill="auto"/>
            <w:tcMar>
              <w:right w:w="113" w:type="dxa"/>
            </w:tcMar>
            <w:vAlign w:val="bottom"/>
          </w:tcPr>
          <w:p w:rsidR="00494EE1" w:rsidRPr="00A03C9B" w:rsidRDefault="00494EE1" w:rsidP="00080026">
            <w:pPr>
              <w:spacing w:line="240" w:lineRule="auto"/>
              <w:rPr>
                <w:noProof/>
                <w:sz w:val="18"/>
              </w:rPr>
            </w:pPr>
          </w:p>
        </w:tc>
      </w:tr>
      <w:tr w:rsidR="00494EE1" w:rsidRPr="00A03C9B" w:rsidTr="00080026">
        <w:trPr>
          <w:trHeight w:val="240"/>
        </w:trPr>
        <w:tc>
          <w:tcPr>
            <w:tcW w:w="855" w:type="pct"/>
            <w:tcBorders>
              <w:top w:val="nil"/>
              <w:bottom w:val="nil"/>
            </w:tcBorders>
          </w:tcPr>
          <w:p w:rsidR="00494EE1" w:rsidRPr="00A03C9B" w:rsidRDefault="00494EE1" w:rsidP="00080026">
            <w:pPr>
              <w:spacing w:line="240" w:lineRule="auto"/>
              <w:rPr>
                <w:noProof/>
                <w:sz w:val="18"/>
                <w:szCs w:val="18"/>
              </w:rPr>
            </w:pPr>
            <w:r w:rsidRPr="00A03C9B">
              <w:rPr>
                <w:noProof/>
                <w:sz w:val="18"/>
                <w:szCs w:val="18"/>
              </w:rPr>
              <w:t>New Zealand</w:t>
            </w:r>
            <w:r w:rsidRPr="00A03C9B">
              <w:rPr>
                <w:noProof/>
                <w:sz w:val="18"/>
                <w:szCs w:val="18"/>
                <w:vertAlign w:val="superscript"/>
              </w:rPr>
              <w:t>15</w:t>
            </w:r>
          </w:p>
        </w:tc>
        <w:tc>
          <w:tcPr>
            <w:tcW w:w="1156" w:type="pct"/>
            <w:tcBorders>
              <w:top w:val="nil"/>
              <w:bottom w:val="nil"/>
            </w:tcBorders>
            <w:tcMar>
              <w:right w:w="113" w:type="dxa"/>
            </w:tcMar>
            <w:vAlign w:val="bottom"/>
          </w:tcPr>
          <w:p w:rsidR="00494EE1" w:rsidRPr="00A03C9B" w:rsidRDefault="00494EE1" w:rsidP="00080026">
            <w:pPr>
              <w:spacing w:line="240" w:lineRule="auto"/>
              <w:rPr>
                <w:noProof/>
                <w:sz w:val="18"/>
                <w:szCs w:val="18"/>
              </w:rPr>
            </w:pPr>
            <w:r w:rsidRPr="00A03C9B">
              <w:rPr>
                <w:noProof/>
                <w:sz w:val="18"/>
                <w:szCs w:val="18"/>
              </w:rPr>
              <w:t>100</w:t>
            </w:r>
          </w:p>
        </w:tc>
        <w:tc>
          <w:tcPr>
            <w:tcW w:w="773" w:type="pct"/>
            <w:tcBorders>
              <w:top w:val="nil"/>
              <w:bottom w:val="nil"/>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c>
          <w:tcPr>
            <w:tcW w:w="658" w:type="pct"/>
            <w:tcBorders>
              <w:top w:val="nil"/>
              <w:bottom w:val="nil"/>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c>
          <w:tcPr>
            <w:tcW w:w="773" w:type="pct"/>
            <w:tcBorders>
              <w:top w:val="nil"/>
              <w:bottom w:val="nil"/>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c>
          <w:tcPr>
            <w:tcW w:w="785" w:type="pct"/>
            <w:tcBorders>
              <w:top w:val="nil"/>
              <w:bottom w:val="nil"/>
            </w:tcBorders>
            <w:shd w:val="thinDiagStripe" w:color="auto" w:fill="auto"/>
            <w:tcMar>
              <w:right w:w="113" w:type="dxa"/>
            </w:tcMar>
            <w:vAlign w:val="bottom"/>
          </w:tcPr>
          <w:p w:rsidR="00494EE1" w:rsidRPr="00A03C9B" w:rsidRDefault="00494EE1" w:rsidP="00080026">
            <w:pPr>
              <w:spacing w:line="240" w:lineRule="auto"/>
              <w:rPr>
                <w:noProof/>
                <w:sz w:val="18"/>
                <w:szCs w:val="18"/>
              </w:rPr>
            </w:pPr>
          </w:p>
        </w:tc>
      </w:tr>
      <w:tr w:rsidR="00494EE1" w:rsidRPr="00A03C9B" w:rsidTr="00080026">
        <w:trPr>
          <w:trHeight w:val="240"/>
        </w:trPr>
        <w:tc>
          <w:tcPr>
            <w:tcW w:w="855" w:type="pct"/>
            <w:tcBorders>
              <w:top w:val="nil"/>
              <w:bottom w:val="single" w:sz="12" w:space="0" w:color="auto"/>
            </w:tcBorders>
          </w:tcPr>
          <w:p w:rsidR="00494EE1" w:rsidRPr="00A03C9B" w:rsidRDefault="00494EE1" w:rsidP="00080026">
            <w:pPr>
              <w:spacing w:line="240" w:lineRule="auto"/>
              <w:rPr>
                <w:noProof/>
                <w:sz w:val="18"/>
                <w:szCs w:val="18"/>
              </w:rPr>
            </w:pPr>
            <w:r w:rsidRPr="00A03C9B">
              <w:rPr>
                <w:noProof/>
                <w:sz w:val="18"/>
                <w:szCs w:val="18"/>
              </w:rPr>
              <w:t>Russian Federation</w:t>
            </w:r>
            <w:r w:rsidRPr="00A03C9B">
              <w:rPr>
                <w:noProof/>
                <w:sz w:val="18"/>
                <w:szCs w:val="18"/>
                <w:vertAlign w:val="superscript"/>
              </w:rPr>
              <w:t>16</w:t>
            </w:r>
            <w:r w:rsidRPr="00A03C9B">
              <w:rPr>
                <w:noProof/>
                <w:sz w:val="18"/>
                <w:szCs w:val="18"/>
              </w:rPr>
              <w:t>*</w:t>
            </w:r>
          </w:p>
        </w:tc>
        <w:tc>
          <w:tcPr>
            <w:tcW w:w="1156" w:type="pct"/>
            <w:tcBorders>
              <w:top w:val="nil"/>
              <w:bottom w:val="single" w:sz="12" w:space="0" w:color="auto"/>
            </w:tcBorders>
            <w:tcMar>
              <w:right w:w="113" w:type="dxa"/>
            </w:tcMar>
          </w:tcPr>
          <w:p w:rsidR="00494EE1" w:rsidRPr="00A03C9B" w:rsidRDefault="00494EE1" w:rsidP="00080026">
            <w:pPr>
              <w:spacing w:line="240" w:lineRule="auto"/>
              <w:rPr>
                <w:noProof/>
                <w:sz w:val="18"/>
                <w:szCs w:val="18"/>
              </w:rPr>
            </w:pPr>
            <w:r w:rsidRPr="00A03C9B">
              <w:rPr>
                <w:noProof/>
                <w:sz w:val="18"/>
                <w:szCs w:val="18"/>
              </w:rPr>
              <w:t>100</w:t>
            </w:r>
          </w:p>
        </w:tc>
        <w:tc>
          <w:tcPr>
            <w:tcW w:w="773" w:type="pct"/>
            <w:tcBorders>
              <w:top w:val="nil"/>
              <w:bottom w:val="single" w:sz="12"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658" w:type="pct"/>
            <w:tcBorders>
              <w:top w:val="nil"/>
              <w:bottom w:val="single" w:sz="12"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73" w:type="pct"/>
            <w:tcBorders>
              <w:top w:val="nil"/>
              <w:bottom w:val="single" w:sz="12"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c>
          <w:tcPr>
            <w:tcW w:w="785" w:type="pct"/>
            <w:tcBorders>
              <w:top w:val="nil"/>
              <w:bottom w:val="single" w:sz="12" w:space="0" w:color="auto"/>
            </w:tcBorders>
            <w:shd w:val="thinDiagStripe" w:color="auto" w:fill="auto"/>
            <w:tcMar>
              <w:right w:w="113" w:type="dxa"/>
            </w:tcMar>
            <w:vAlign w:val="bottom"/>
          </w:tcPr>
          <w:p w:rsidR="00494EE1" w:rsidRPr="00A03C9B" w:rsidRDefault="00494EE1" w:rsidP="00080026">
            <w:pPr>
              <w:spacing w:line="240" w:lineRule="auto"/>
              <w:rPr>
                <w:noProof/>
                <w:sz w:val="18"/>
              </w:rPr>
            </w:pPr>
          </w:p>
        </w:tc>
      </w:tr>
    </w:tbl>
    <w:p w:rsidR="00494EE1" w:rsidRPr="00C72438" w:rsidRDefault="00494EE1" w:rsidP="00494EE1">
      <w:pPr>
        <w:rPr>
          <w:noProof/>
          <w:sz w:val="18"/>
          <w:szCs w:val="18"/>
        </w:rPr>
      </w:pPr>
      <w:r w:rsidRPr="00C72438">
        <w:rPr>
          <w:i/>
          <w:noProof/>
          <w:sz w:val="18"/>
          <w:szCs w:val="18"/>
        </w:rPr>
        <w:t>Abbreviation</w:t>
      </w:r>
      <w:r w:rsidRPr="00C72438">
        <w:rPr>
          <w:noProof/>
          <w:sz w:val="18"/>
          <w:szCs w:val="18"/>
        </w:rPr>
        <w:t>: NA = not applicable.</w:t>
      </w:r>
    </w:p>
    <w:p w:rsidR="00494EE1" w:rsidRPr="00A03C9B" w:rsidRDefault="00494EE1" w:rsidP="00494EE1">
      <w:pPr>
        <w:rPr>
          <w:noProof/>
        </w:rPr>
      </w:pPr>
      <w:r w:rsidRPr="00C72438">
        <w:rPr>
          <w:noProof/>
          <w:sz w:val="18"/>
          <w:szCs w:val="18"/>
          <w:vertAlign w:val="superscript"/>
        </w:rPr>
        <w:t>*</w:t>
      </w:r>
      <w:r w:rsidRPr="00C72438">
        <w:rPr>
          <w:noProof/>
          <w:sz w:val="18"/>
          <w:szCs w:val="18"/>
        </w:rPr>
        <w:tab/>
        <w:t>Countries that are undergoing the process of transition to a market economy</w:t>
      </w:r>
      <w:r w:rsidRPr="00A03C9B">
        <w:rPr>
          <w:noProof/>
        </w:rPr>
        <w:t>.</w:t>
      </w:r>
    </w:p>
    <w:p w:rsidR="00494EE1" w:rsidRPr="00C72438" w:rsidRDefault="00494EE1" w:rsidP="0079113E">
      <w:pPr>
        <w:jc w:val="both"/>
        <w:rPr>
          <w:noProof/>
          <w:sz w:val="18"/>
          <w:szCs w:val="18"/>
        </w:rPr>
      </w:pPr>
      <w:r>
        <w:rPr>
          <w:noProof/>
          <w:sz w:val="18"/>
          <w:szCs w:val="18"/>
        </w:rPr>
        <w:br w:type="page"/>
      </w:r>
      <w:r w:rsidRPr="00C72438">
        <w:rPr>
          <w:noProof/>
          <w:sz w:val="18"/>
          <w:szCs w:val="18"/>
        </w:rPr>
        <w:lastRenderedPageBreak/>
        <w:t>All footnotes below, except for footnotes 1, 2 and 5, have been provided through communications from the respective Parties.</w:t>
      </w:r>
    </w:p>
    <w:p w:rsidR="00494EE1" w:rsidRPr="008D4D8D" w:rsidRDefault="00494EE1" w:rsidP="0079113E">
      <w:pPr>
        <w:ind w:left="567" w:hanging="567"/>
        <w:jc w:val="both"/>
        <w:rPr>
          <w:noProof/>
          <w:sz w:val="18"/>
          <w:szCs w:val="18"/>
        </w:rPr>
      </w:pPr>
      <w:r w:rsidRPr="00C34302">
        <w:rPr>
          <w:noProof/>
          <w:sz w:val="18"/>
          <w:szCs w:val="18"/>
          <w:vertAlign w:val="superscript"/>
        </w:rPr>
        <w:t>1</w:t>
      </w:r>
      <w:r w:rsidRPr="008D4D8D">
        <w:rPr>
          <w:noProof/>
          <w:sz w:val="18"/>
          <w:szCs w:val="18"/>
        </w:rPr>
        <w:tab/>
        <w:t>A reference year may be used by a Party on an optional basis for its own purposes to express its quantified emission limitation or reduction commitment (QELRC) as a percentage of emissions of that year, that is not internationally binding under the Kyoto Protocol, in addition to the listing of its QELRC(s) in relation to the base year in the second and third columns of this table, which are internationally legally binding.</w:t>
      </w:r>
    </w:p>
    <w:p w:rsidR="00494EE1" w:rsidRPr="008D4D8D" w:rsidRDefault="00494EE1" w:rsidP="0079113E">
      <w:pPr>
        <w:ind w:left="567" w:hanging="567"/>
        <w:jc w:val="both"/>
        <w:rPr>
          <w:noProof/>
          <w:sz w:val="18"/>
          <w:szCs w:val="18"/>
        </w:rPr>
      </w:pPr>
      <w:r w:rsidRPr="00C34302">
        <w:rPr>
          <w:noProof/>
          <w:sz w:val="18"/>
          <w:szCs w:val="18"/>
          <w:vertAlign w:val="superscript"/>
        </w:rPr>
        <w:t>2</w:t>
      </w:r>
      <w:r w:rsidRPr="008D4D8D">
        <w:rPr>
          <w:noProof/>
          <w:sz w:val="18"/>
          <w:szCs w:val="18"/>
        </w:rPr>
        <w:tab/>
        <w:t xml:space="preserve">Further information on these pledges can be found in documents FCCC/SB/2011/INF.1/Rev.1 and FCCC/KP/AWG/2012/MISC.1, Add.1 and Add.2. </w:t>
      </w:r>
    </w:p>
    <w:p w:rsidR="00494EE1" w:rsidRPr="008D4D8D" w:rsidRDefault="00494EE1" w:rsidP="0079113E">
      <w:pPr>
        <w:ind w:left="567" w:hanging="567"/>
        <w:jc w:val="both"/>
        <w:rPr>
          <w:noProof/>
          <w:sz w:val="18"/>
          <w:szCs w:val="18"/>
        </w:rPr>
      </w:pPr>
      <w:r w:rsidRPr="00C34302">
        <w:rPr>
          <w:noProof/>
          <w:sz w:val="18"/>
          <w:szCs w:val="18"/>
          <w:vertAlign w:val="superscript"/>
        </w:rPr>
        <w:t>3</w:t>
      </w:r>
      <w:r>
        <w:rPr>
          <w:noProof/>
          <w:sz w:val="18"/>
          <w:szCs w:val="18"/>
        </w:rPr>
        <w:tab/>
        <w:t>Australia'</w:t>
      </w:r>
      <w:r w:rsidRPr="008D4D8D">
        <w:rPr>
          <w:noProof/>
          <w:sz w:val="18"/>
          <w:szCs w:val="18"/>
        </w:rPr>
        <w:t xml:space="preserve">s QELRC under the second commitment period of the Kyoto Protocol is consistent with the achievement of </w:t>
      </w:r>
      <w:r>
        <w:rPr>
          <w:noProof/>
          <w:sz w:val="18"/>
          <w:szCs w:val="18"/>
        </w:rPr>
        <w:t>Australia'</w:t>
      </w:r>
      <w:r w:rsidRPr="008D4D8D">
        <w:rPr>
          <w:noProof/>
          <w:sz w:val="18"/>
          <w:szCs w:val="18"/>
        </w:rPr>
        <w:t>s unconditional 2020 target of 5 per cent below 2000 levels. Australia retains the opt</w:t>
      </w:r>
      <w:r>
        <w:rPr>
          <w:noProof/>
          <w:sz w:val="18"/>
          <w:szCs w:val="18"/>
        </w:rPr>
        <w:t>ion later to move up within its </w:t>
      </w:r>
      <w:r w:rsidRPr="008D4D8D">
        <w:rPr>
          <w:noProof/>
          <w:sz w:val="18"/>
          <w:szCs w:val="18"/>
        </w:rPr>
        <w:t xml:space="preserve">2020 target of 5 to 15, or 25 per cent below 2000 levels, subject to certain conditions being met. This reference retains the status of these pledges as made under the Cancun Agreements and does not amount to a new legally binding commitment under this Protocol or its associated rules and modalities. </w:t>
      </w:r>
    </w:p>
    <w:p w:rsidR="00494EE1" w:rsidRPr="008D4D8D" w:rsidRDefault="00494EE1" w:rsidP="0079113E">
      <w:pPr>
        <w:ind w:left="567" w:hanging="567"/>
        <w:jc w:val="both"/>
        <w:rPr>
          <w:noProof/>
          <w:sz w:val="18"/>
          <w:szCs w:val="18"/>
        </w:rPr>
      </w:pPr>
      <w:r w:rsidRPr="00C34302">
        <w:rPr>
          <w:noProof/>
          <w:sz w:val="18"/>
          <w:szCs w:val="18"/>
          <w:vertAlign w:val="superscript"/>
        </w:rPr>
        <w:t>4</w:t>
      </w:r>
      <w:r w:rsidRPr="008D4D8D">
        <w:rPr>
          <w:noProof/>
          <w:sz w:val="18"/>
          <w:szCs w:val="18"/>
        </w:rPr>
        <w:tab/>
        <w:t xml:space="preserve">The QELRCs for the European Union and its member States for a second commitment period under the Kyoto Protocol are based on the understanding that these will be fulfilled jointly with the European Union and its member States, in accordance with Article 4 of the Kyoto Protocol. The QELRCs are without prejudice to the subsequent notification by the European Union and its member States of an agreement to fulfil their commitments jointly in accordance with the provisions of the Kyoto Protocol. </w:t>
      </w:r>
    </w:p>
    <w:p w:rsidR="00494EE1" w:rsidRPr="008D4D8D" w:rsidRDefault="00494EE1" w:rsidP="0079113E">
      <w:pPr>
        <w:ind w:left="567" w:hanging="567"/>
        <w:jc w:val="both"/>
        <w:rPr>
          <w:noProof/>
          <w:sz w:val="18"/>
          <w:szCs w:val="18"/>
        </w:rPr>
      </w:pPr>
      <w:r w:rsidRPr="00C34302">
        <w:rPr>
          <w:noProof/>
          <w:sz w:val="18"/>
          <w:szCs w:val="18"/>
          <w:vertAlign w:val="superscript"/>
        </w:rPr>
        <w:t>5</w:t>
      </w:r>
      <w:r w:rsidRPr="008D4D8D">
        <w:rPr>
          <w:noProof/>
          <w:sz w:val="18"/>
          <w:szCs w:val="18"/>
        </w:rPr>
        <w:tab/>
        <w:t>Added to Annex B by an amendment adopted pursuant to decision 10/CMP.2. This amendment has not yet entered into force.</w:t>
      </w:r>
    </w:p>
    <w:p w:rsidR="00494EE1" w:rsidRPr="008D4D8D" w:rsidRDefault="00494EE1" w:rsidP="0079113E">
      <w:pPr>
        <w:ind w:left="567" w:hanging="567"/>
        <w:jc w:val="both"/>
        <w:rPr>
          <w:noProof/>
          <w:sz w:val="18"/>
          <w:szCs w:val="18"/>
        </w:rPr>
      </w:pPr>
      <w:r w:rsidRPr="00C34302">
        <w:rPr>
          <w:noProof/>
          <w:sz w:val="18"/>
          <w:szCs w:val="18"/>
          <w:vertAlign w:val="superscript"/>
        </w:rPr>
        <w:t>6</w:t>
      </w:r>
      <w:r>
        <w:rPr>
          <w:noProof/>
          <w:sz w:val="18"/>
          <w:szCs w:val="18"/>
        </w:rPr>
        <w:tab/>
        <w:t>Croatia'</w:t>
      </w:r>
      <w:r w:rsidRPr="008D4D8D">
        <w:rPr>
          <w:noProof/>
          <w:sz w:val="18"/>
          <w:szCs w:val="18"/>
        </w:rPr>
        <w:t>s QELRC for a second commitment period under the Kyoto Protocol is based on the understanding that it will fulfil this QELRC jointly with the European Union and its member States, in accordance with Article 4 of the Kyoto Prot</w:t>
      </w:r>
      <w:r>
        <w:rPr>
          <w:noProof/>
          <w:sz w:val="18"/>
          <w:szCs w:val="18"/>
        </w:rPr>
        <w:t>ocol. As a consequence, Croatia'</w:t>
      </w:r>
      <w:r w:rsidRPr="008D4D8D">
        <w:rPr>
          <w:noProof/>
          <w:sz w:val="18"/>
          <w:szCs w:val="18"/>
        </w:rPr>
        <w:t xml:space="preserve">s accession to the European Union shall not affect its participation in such joint fulfilment agreement pursuant to Article 4 or its QELRC. </w:t>
      </w:r>
    </w:p>
    <w:p w:rsidR="00494EE1" w:rsidRPr="008D4D8D" w:rsidRDefault="00494EE1" w:rsidP="0079113E">
      <w:pPr>
        <w:ind w:left="567" w:hanging="567"/>
        <w:jc w:val="both"/>
        <w:rPr>
          <w:noProof/>
          <w:sz w:val="18"/>
          <w:szCs w:val="18"/>
        </w:rPr>
      </w:pPr>
      <w:r w:rsidRPr="00C34302">
        <w:rPr>
          <w:noProof/>
          <w:sz w:val="18"/>
          <w:szCs w:val="18"/>
          <w:vertAlign w:val="superscript"/>
        </w:rPr>
        <w:t>7</w:t>
      </w:r>
      <w:r w:rsidRPr="008D4D8D">
        <w:rPr>
          <w:noProof/>
          <w:sz w:val="18"/>
          <w:szCs w:val="18"/>
        </w:rPr>
        <w:tab/>
        <w:t>As part of a global and comprehensive agreement for the period beyond 2012, the European Union reiterates its conditional offer to move to a 30 per cent reduction by 2020 compared to 1990 levels, provided that other developed countries commit themselves to comparable emission reductions and developing countries contribute adequately according to their responsibilities and respective capabilities.</w:t>
      </w:r>
    </w:p>
    <w:p w:rsidR="00494EE1" w:rsidRPr="008D4D8D" w:rsidRDefault="00494EE1" w:rsidP="0079113E">
      <w:pPr>
        <w:ind w:left="567" w:hanging="567"/>
        <w:jc w:val="both"/>
        <w:rPr>
          <w:noProof/>
          <w:sz w:val="18"/>
          <w:szCs w:val="18"/>
        </w:rPr>
      </w:pPr>
      <w:r w:rsidRPr="00C34302">
        <w:rPr>
          <w:noProof/>
          <w:sz w:val="18"/>
          <w:szCs w:val="18"/>
          <w:vertAlign w:val="superscript"/>
        </w:rPr>
        <w:t>8</w:t>
      </w:r>
      <w:r w:rsidRPr="008D4D8D">
        <w:rPr>
          <w:noProof/>
          <w:sz w:val="18"/>
          <w:szCs w:val="18"/>
        </w:rPr>
        <w:tab/>
        <w:t xml:space="preserve">The QELRC for Iceland for a second commitment period under the Kyoto Protocol is based on the understanding that it will be fulfilled jointly with the European Union and its member States, in accordance with Article 4 of the Kyoto Protocol. </w:t>
      </w:r>
    </w:p>
    <w:p w:rsidR="00494EE1" w:rsidRPr="008D4D8D" w:rsidRDefault="00494EE1" w:rsidP="0079113E">
      <w:pPr>
        <w:ind w:left="567" w:hanging="567"/>
        <w:jc w:val="both"/>
        <w:rPr>
          <w:noProof/>
          <w:sz w:val="18"/>
          <w:szCs w:val="18"/>
        </w:rPr>
      </w:pPr>
      <w:r w:rsidRPr="00C34302">
        <w:rPr>
          <w:noProof/>
          <w:sz w:val="18"/>
          <w:szCs w:val="18"/>
          <w:vertAlign w:val="superscript"/>
        </w:rPr>
        <w:t>9</w:t>
      </w:r>
      <w:r w:rsidRPr="008D4D8D">
        <w:rPr>
          <w:noProof/>
          <w:sz w:val="18"/>
          <w:szCs w:val="18"/>
        </w:rPr>
        <w:tab/>
        <w:t xml:space="preserve">The QELRC presented in column three refers to a reduction target of 20 per cent by 2020 compared to 1990 levels. Liechtenstein would consider a higher reduction target of up to 30 per cent by 2020 compared to 1990 levels under the condition that other developed countries commit themselves to comparable emission reductions and that economically more advanced developing countries contribute adequately according to their responsibilities and respective capabilities. </w:t>
      </w:r>
    </w:p>
    <w:p w:rsidR="00494EE1" w:rsidRPr="008D4D8D" w:rsidRDefault="00494EE1" w:rsidP="0079113E">
      <w:pPr>
        <w:ind w:left="567" w:hanging="567"/>
        <w:jc w:val="both"/>
        <w:rPr>
          <w:noProof/>
          <w:sz w:val="18"/>
          <w:szCs w:val="18"/>
        </w:rPr>
      </w:pPr>
      <w:r>
        <w:rPr>
          <w:noProof/>
          <w:sz w:val="18"/>
          <w:szCs w:val="18"/>
          <w:vertAlign w:val="superscript"/>
        </w:rPr>
        <w:br w:type="page"/>
      </w:r>
      <w:r w:rsidRPr="00C34302">
        <w:rPr>
          <w:noProof/>
          <w:sz w:val="18"/>
          <w:szCs w:val="18"/>
          <w:vertAlign w:val="superscript"/>
        </w:rPr>
        <w:lastRenderedPageBreak/>
        <w:t>10</w:t>
      </w:r>
      <w:r>
        <w:rPr>
          <w:noProof/>
          <w:sz w:val="18"/>
          <w:szCs w:val="18"/>
        </w:rPr>
        <w:tab/>
        <w:t>Norway'</w:t>
      </w:r>
      <w:r w:rsidRPr="008D4D8D">
        <w:rPr>
          <w:noProof/>
          <w:sz w:val="18"/>
          <w:szCs w:val="18"/>
        </w:rPr>
        <w:t>s QELRC of 84 is consistent with its target of 30 per cent reduction of emissions by 2020, compared to 1990. If it can contribute to a global and comprehensive agreement where major emitting Parties agree on emission reductions in line with the 2° C target, Norway will move to a level of 40 per cent reduction for 2020 based on 1990 levels. This reference retains the status of the pledge made under the Cancun Agreements and does not amount to a new legally binding commitment under this Protocol.</w:t>
      </w:r>
    </w:p>
    <w:p w:rsidR="00494EE1" w:rsidRPr="008D4D8D" w:rsidRDefault="00494EE1" w:rsidP="0079113E">
      <w:pPr>
        <w:ind w:left="567" w:hanging="567"/>
        <w:jc w:val="both"/>
        <w:rPr>
          <w:noProof/>
          <w:sz w:val="18"/>
          <w:szCs w:val="18"/>
        </w:rPr>
      </w:pPr>
      <w:r w:rsidRPr="00C34302">
        <w:rPr>
          <w:noProof/>
          <w:sz w:val="18"/>
          <w:szCs w:val="18"/>
          <w:vertAlign w:val="superscript"/>
        </w:rPr>
        <w:t>11</w:t>
      </w:r>
      <w:r w:rsidRPr="008D4D8D">
        <w:rPr>
          <w:noProof/>
          <w:sz w:val="18"/>
          <w:szCs w:val="18"/>
        </w:rPr>
        <w:tab/>
        <w:t>The QELRC presented in the third column of this table refers to a reduction target of 20 per cent by 2020 compared to 1990 levels. Switzerland would consider a higher reduction target up to 30 per cent by 2020 compared to 1990 levels subject to comparable emission reduction commitments from other developed countries and adequate contribution from developing countries according to their responsibilities and capabilities in line with the 2° C target. This reference retains the status of the pledge made under the Cancun Agreements and does not amount to a new legally binding commitment under this Protocol or its associated rules and modalities.</w:t>
      </w:r>
    </w:p>
    <w:p w:rsidR="00494EE1" w:rsidRPr="008D4D8D" w:rsidRDefault="00494EE1" w:rsidP="0079113E">
      <w:pPr>
        <w:ind w:left="567" w:hanging="567"/>
        <w:jc w:val="both"/>
        <w:rPr>
          <w:noProof/>
          <w:sz w:val="18"/>
          <w:szCs w:val="18"/>
        </w:rPr>
      </w:pPr>
      <w:r w:rsidRPr="00C34302">
        <w:rPr>
          <w:noProof/>
          <w:sz w:val="18"/>
          <w:szCs w:val="18"/>
          <w:vertAlign w:val="superscript"/>
        </w:rPr>
        <w:t>12</w:t>
      </w:r>
      <w:r w:rsidRPr="008D4D8D">
        <w:rPr>
          <w:noProof/>
          <w:sz w:val="18"/>
          <w:szCs w:val="18"/>
        </w:rPr>
        <w:tab/>
        <w:t>Should be full carry-over and there is no acceptance of any cancellation or any limitation on use of this legitimately acquired sovereign property.</w:t>
      </w:r>
    </w:p>
    <w:p w:rsidR="00494EE1" w:rsidRPr="008D4D8D" w:rsidRDefault="00494EE1" w:rsidP="0079113E">
      <w:pPr>
        <w:ind w:left="567" w:hanging="567"/>
        <w:jc w:val="both"/>
        <w:rPr>
          <w:noProof/>
          <w:sz w:val="18"/>
          <w:szCs w:val="18"/>
        </w:rPr>
      </w:pPr>
      <w:r w:rsidRPr="00C34302">
        <w:rPr>
          <w:noProof/>
          <w:sz w:val="18"/>
          <w:szCs w:val="18"/>
          <w:vertAlign w:val="superscript"/>
        </w:rPr>
        <w:t>13</w:t>
      </w:r>
      <w:r w:rsidRPr="008D4D8D">
        <w:rPr>
          <w:noProof/>
          <w:sz w:val="18"/>
          <w:szCs w:val="18"/>
        </w:rPr>
        <w:tab/>
        <w:t>On 15 December 2011, the Depositary received</w:t>
      </w:r>
      <w:r>
        <w:rPr>
          <w:noProof/>
          <w:sz w:val="18"/>
          <w:szCs w:val="18"/>
        </w:rPr>
        <w:t xml:space="preserve"> written notification of Canada'</w:t>
      </w:r>
      <w:r w:rsidRPr="008D4D8D">
        <w:rPr>
          <w:noProof/>
          <w:sz w:val="18"/>
          <w:szCs w:val="18"/>
        </w:rPr>
        <w:t>s withdrawal from the Kyoto Protocol. This action will become effective for Canada on 15 December 2012.</w:t>
      </w:r>
    </w:p>
    <w:p w:rsidR="00494EE1" w:rsidRPr="008D4D8D" w:rsidRDefault="00494EE1" w:rsidP="0079113E">
      <w:pPr>
        <w:ind w:left="567" w:hanging="567"/>
        <w:jc w:val="both"/>
        <w:rPr>
          <w:noProof/>
          <w:sz w:val="18"/>
          <w:szCs w:val="18"/>
        </w:rPr>
      </w:pPr>
      <w:r w:rsidRPr="00C34302">
        <w:rPr>
          <w:noProof/>
          <w:sz w:val="18"/>
          <w:szCs w:val="18"/>
          <w:vertAlign w:val="superscript"/>
        </w:rPr>
        <w:t>14</w:t>
      </w:r>
      <w:r w:rsidRPr="008D4D8D">
        <w:rPr>
          <w:noProof/>
          <w:sz w:val="18"/>
          <w:szCs w:val="18"/>
        </w:rPr>
        <w:tab/>
        <w:t>In a communication dated 10 December 2010, Japan indicated that it does not have any intention to be under obligation of the second commitment period of the Kyoto Protocol after 2012.</w:t>
      </w:r>
    </w:p>
    <w:p w:rsidR="00494EE1" w:rsidRPr="008D4D8D" w:rsidRDefault="00494EE1" w:rsidP="0079113E">
      <w:pPr>
        <w:ind w:left="567" w:hanging="567"/>
        <w:jc w:val="both"/>
        <w:rPr>
          <w:noProof/>
          <w:sz w:val="18"/>
          <w:szCs w:val="18"/>
          <w:lang w:val="en-US"/>
        </w:rPr>
      </w:pPr>
      <w:r w:rsidRPr="00C34302">
        <w:rPr>
          <w:noProof/>
          <w:sz w:val="18"/>
          <w:szCs w:val="18"/>
          <w:vertAlign w:val="superscript"/>
        </w:rPr>
        <w:t>15</w:t>
      </w:r>
      <w:r w:rsidRPr="008D4D8D">
        <w:rPr>
          <w:noProof/>
          <w:sz w:val="18"/>
          <w:szCs w:val="18"/>
        </w:rPr>
        <w:tab/>
        <w:t xml:space="preserve">New Zealand remains a Party to the Kyoto Protocol. It will be taking a quantified economy-wide emission reduction target under the United Nations Framework Convention on Climate Change in the period 2013 to 2020. </w:t>
      </w:r>
    </w:p>
    <w:p w:rsidR="00494EE1" w:rsidRPr="008D4D8D" w:rsidRDefault="00494EE1" w:rsidP="0079113E">
      <w:pPr>
        <w:ind w:left="567" w:hanging="567"/>
        <w:jc w:val="both"/>
        <w:rPr>
          <w:noProof/>
          <w:sz w:val="18"/>
          <w:szCs w:val="18"/>
        </w:rPr>
      </w:pPr>
      <w:r w:rsidRPr="00C34302">
        <w:rPr>
          <w:noProof/>
          <w:sz w:val="18"/>
          <w:szCs w:val="18"/>
          <w:vertAlign w:val="superscript"/>
        </w:rPr>
        <w:t>16</w:t>
      </w:r>
      <w:r w:rsidRPr="008D4D8D">
        <w:rPr>
          <w:noProof/>
          <w:sz w:val="18"/>
          <w:szCs w:val="18"/>
        </w:rPr>
        <w:tab/>
        <w:t>In a communication dated 8 December 2010 that was received by the secretariat on 9 December 2010, the Russian Federation indicated that it does not intend to assume a quantitative emission limitation or reduction commitment for the second commitment period.</w:t>
      </w:r>
    </w:p>
    <w:p w:rsidR="00494EE1" w:rsidRPr="002A31EA" w:rsidRDefault="00494EE1" w:rsidP="00494EE1">
      <w:pPr>
        <w:rPr>
          <w:noProof/>
          <w:sz w:val="18"/>
        </w:rPr>
      </w:pPr>
    </w:p>
    <w:p w:rsidR="00494EE1" w:rsidRPr="0079113E" w:rsidRDefault="00494EE1" w:rsidP="0079113E">
      <w:pPr>
        <w:jc w:val="both"/>
        <w:rPr>
          <w:b/>
          <w:noProof/>
        </w:rPr>
      </w:pPr>
      <w:r>
        <w:rPr>
          <w:noProof/>
        </w:rPr>
        <w:br w:type="page"/>
      </w:r>
      <w:r w:rsidRPr="0079113E">
        <w:rPr>
          <w:b/>
          <w:noProof/>
        </w:rPr>
        <w:lastRenderedPageBreak/>
        <w:t>B.</w:t>
      </w:r>
      <w:r w:rsidRPr="0079113E">
        <w:rPr>
          <w:b/>
          <w:noProof/>
        </w:rPr>
        <w:tab/>
        <w:t>Annex A to the Kyoto Protocol</w:t>
      </w:r>
    </w:p>
    <w:p w:rsidR="00494EE1" w:rsidRDefault="00494EE1" w:rsidP="0079113E">
      <w:pPr>
        <w:jc w:val="both"/>
        <w:rPr>
          <w:noProof/>
        </w:rPr>
      </w:pPr>
    </w:p>
    <w:p w:rsidR="00494EE1" w:rsidRPr="00A03C9B" w:rsidRDefault="00494EE1" w:rsidP="0079113E">
      <w:pPr>
        <w:jc w:val="both"/>
        <w:rPr>
          <w:noProof/>
        </w:rPr>
      </w:pPr>
      <w:r w:rsidRPr="00A03C9B">
        <w:rPr>
          <w:noProof/>
        </w:rPr>
        <w:t xml:space="preserve">The following list shall replace the list under the heading “Greenhouse gases” in Annex A to the Protocol: </w:t>
      </w:r>
    </w:p>
    <w:p w:rsidR="00494EE1" w:rsidRDefault="00494EE1" w:rsidP="0079113E">
      <w:pPr>
        <w:jc w:val="both"/>
        <w:rPr>
          <w:b/>
          <w:bCs/>
          <w:noProof/>
          <w:sz w:val="20"/>
          <w:u w:val="single"/>
        </w:rPr>
      </w:pPr>
    </w:p>
    <w:p w:rsidR="00494EE1" w:rsidRPr="0079113E" w:rsidRDefault="00494EE1" w:rsidP="0079113E">
      <w:pPr>
        <w:jc w:val="both"/>
        <w:rPr>
          <w:b/>
          <w:noProof/>
        </w:rPr>
      </w:pPr>
      <w:r w:rsidRPr="0079113E">
        <w:rPr>
          <w:b/>
          <w:noProof/>
        </w:rPr>
        <w:t>Greenhouse gases</w:t>
      </w:r>
    </w:p>
    <w:p w:rsidR="00494EE1" w:rsidRDefault="00494EE1" w:rsidP="0079113E">
      <w:pPr>
        <w:jc w:val="both"/>
        <w:rPr>
          <w:noProof/>
        </w:rPr>
      </w:pPr>
    </w:p>
    <w:p w:rsidR="00494EE1" w:rsidRPr="00A03C9B" w:rsidRDefault="00494EE1" w:rsidP="0079113E">
      <w:pPr>
        <w:jc w:val="both"/>
        <w:rPr>
          <w:noProof/>
        </w:rPr>
      </w:pPr>
      <w:r w:rsidRPr="00A03C9B">
        <w:rPr>
          <w:noProof/>
        </w:rPr>
        <w:t>Carbon dioxide (CO</w:t>
      </w:r>
      <w:r w:rsidRPr="00A03C9B">
        <w:rPr>
          <w:noProof/>
          <w:vertAlign w:val="subscript"/>
        </w:rPr>
        <w:t>2</w:t>
      </w:r>
      <w:r w:rsidRPr="00A03C9B">
        <w:rPr>
          <w:noProof/>
        </w:rPr>
        <w:t>)</w:t>
      </w:r>
    </w:p>
    <w:p w:rsidR="00494EE1" w:rsidRPr="00A03C9B" w:rsidRDefault="00494EE1" w:rsidP="0079113E">
      <w:pPr>
        <w:jc w:val="both"/>
        <w:rPr>
          <w:noProof/>
          <w:lang w:val="pt-PT"/>
        </w:rPr>
      </w:pPr>
      <w:r w:rsidRPr="00A03C9B">
        <w:rPr>
          <w:noProof/>
          <w:lang w:val="pt-PT"/>
        </w:rPr>
        <w:t>Methane (CH</w:t>
      </w:r>
      <w:r w:rsidRPr="00A03C9B">
        <w:rPr>
          <w:noProof/>
          <w:vertAlign w:val="subscript"/>
          <w:lang w:val="pt-PT"/>
        </w:rPr>
        <w:t>4</w:t>
      </w:r>
      <w:r w:rsidRPr="00A03C9B">
        <w:rPr>
          <w:noProof/>
          <w:lang w:val="pt-PT"/>
        </w:rPr>
        <w:t>)</w:t>
      </w:r>
    </w:p>
    <w:p w:rsidR="00494EE1" w:rsidRPr="00A03C9B" w:rsidRDefault="00494EE1" w:rsidP="0079113E">
      <w:pPr>
        <w:jc w:val="both"/>
        <w:rPr>
          <w:noProof/>
          <w:lang w:val="pt-PT"/>
        </w:rPr>
      </w:pPr>
      <w:r w:rsidRPr="00A03C9B">
        <w:rPr>
          <w:noProof/>
          <w:lang w:val="pt-PT"/>
        </w:rPr>
        <w:t>Nitrous oxide (N</w:t>
      </w:r>
      <w:r w:rsidRPr="00A03C9B">
        <w:rPr>
          <w:noProof/>
          <w:vertAlign w:val="subscript"/>
          <w:lang w:val="pt-PT"/>
        </w:rPr>
        <w:t>2</w:t>
      </w:r>
      <w:r w:rsidRPr="00A03C9B">
        <w:rPr>
          <w:noProof/>
          <w:lang w:val="pt-PT"/>
        </w:rPr>
        <w:t>O)</w:t>
      </w:r>
    </w:p>
    <w:p w:rsidR="00494EE1" w:rsidRPr="00A03C9B" w:rsidRDefault="00494EE1" w:rsidP="0079113E">
      <w:pPr>
        <w:jc w:val="both"/>
        <w:rPr>
          <w:noProof/>
          <w:lang w:val="pt-PT"/>
        </w:rPr>
      </w:pPr>
      <w:r w:rsidRPr="00A03C9B">
        <w:rPr>
          <w:noProof/>
          <w:lang w:val="pt-PT"/>
        </w:rPr>
        <w:t>Hydrofluorocarbons (HFCs)</w:t>
      </w:r>
    </w:p>
    <w:p w:rsidR="00494EE1" w:rsidRPr="00A03C9B" w:rsidRDefault="00494EE1" w:rsidP="0079113E">
      <w:pPr>
        <w:jc w:val="both"/>
        <w:rPr>
          <w:noProof/>
          <w:lang w:val="pt-PT"/>
        </w:rPr>
      </w:pPr>
      <w:r w:rsidRPr="00A03C9B">
        <w:rPr>
          <w:noProof/>
          <w:lang w:val="pt-PT"/>
        </w:rPr>
        <w:t>Perfluorocarbons (PFCs)</w:t>
      </w:r>
    </w:p>
    <w:p w:rsidR="00494EE1" w:rsidRPr="00A03C9B" w:rsidRDefault="00494EE1" w:rsidP="0079113E">
      <w:pPr>
        <w:jc w:val="both"/>
        <w:rPr>
          <w:noProof/>
          <w:lang w:val="pt-PT"/>
        </w:rPr>
      </w:pPr>
      <w:r w:rsidRPr="00A03C9B">
        <w:rPr>
          <w:noProof/>
          <w:lang w:val="pt-PT"/>
        </w:rPr>
        <w:t>Sulphur hexafluoride (SF</w:t>
      </w:r>
      <w:r w:rsidRPr="00A03C9B">
        <w:rPr>
          <w:noProof/>
          <w:vertAlign w:val="subscript"/>
          <w:lang w:val="pt-PT"/>
        </w:rPr>
        <w:t>6</w:t>
      </w:r>
      <w:r w:rsidRPr="00A03C9B">
        <w:rPr>
          <w:noProof/>
          <w:lang w:val="pt-PT"/>
        </w:rPr>
        <w:t>)</w:t>
      </w:r>
    </w:p>
    <w:p w:rsidR="00494EE1" w:rsidRPr="00871DE2" w:rsidRDefault="00494EE1" w:rsidP="0079113E">
      <w:pPr>
        <w:jc w:val="both"/>
        <w:rPr>
          <w:noProof/>
          <w:lang w:val="fr-FR"/>
        </w:rPr>
      </w:pPr>
      <w:r w:rsidRPr="00871DE2">
        <w:rPr>
          <w:noProof/>
          <w:lang w:val="fr-FR"/>
        </w:rPr>
        <w:t>Nitrogen trifluoride (NF</w:t>
      </w:r>
      <w:r w:rsidRPr="00871DE2">
        <w:rPr>
          <w:noProof/>
          <w:vertAlign w:val="subscript"/>
          <w:lang w:val="fr-FR"/>
        </w:rPr>
        <w:t>3</w:t>
      </w:r>
      <w:r w:rsidRPr="00871DE2">
        <w:rPr>
          <w:noProof/>
          <w:lang w:val="fr-FR"/>
        </w:rPr>
        <w:t>)</w:t>
      </w:r>
      <w:r>
        <w:rPr>
          <w:rStyle w:val="FootnoteReference"/>
          <w:noProof/>
        </w:rPr>
        <w:footnoteReference w:id="1"/>
      </w:r>
    </w:p>
    <w:p w:rsidR="00494EE1" w:rsidRPr="00871DE2" w:rsidRDefault="00494EE1" w:rsidP="0079113E">
      <w:pPr>
        <w:jc w:val="both"/>
        <w:rPr>
          <w:noProof/>
          <w:lang w:val="fr-FR"/>
        </w:rPr>
      </w:pPr>
    </w:p>
    <w:p w:rsidR="00494EE1" w:rsidRPr="00871DE2" w:rsidRDefault="00494EE1" w:rsidP="0079113E">
      <w:pPr>
        <w:jc w:val="both"/>
        <w:rPr>
          <w:b/>
          <w:noProof/>
          <w:lang w:val="fr-FR"/>
        </w:rPr>
      </w:pPr>
      <w:r w:rsidRPr="00871DE2">
        <w:rPr>
          <w:b/>
          <w:noProof/>
          <w:lang w:val="fr-FR"/>
        </w:rPr>
        <w:t>C.</w:t>
      </w:r>
      <w:r w:rsidRPr="00871DE2">
        <w:rPr>
          <w:b/>
          <w:noProof/>
          <w:lang w:val="fr-FR"/>
        </w:rPr>
        <w:tab/>
        <w:t>Article 3, paragraph 1 bis</w:t>
      </w:r>
    </w:p>
    <w:p w:rsidR="00494EE1" w:rsidRPr="00871DE2" w:rsidRDefault="00494EE1" w:rsidP="0079113E">
      <w:pPr>
        <w:jc w:val="both"/>
        <w:rPr>
          <w:noProof/>
          <w:lang w:val="fr-FR"/>
        </w:rPr>
      </w:pPr>
    </w:p>
    <w:p w:rsidR="00494EE1" w:rsidRPr="00A03C9B" w:rsidRDefault="00494EE1" w:rsidP="0079113E">
      <w:pPr>
        <w:jc w:val="both"/>
        <w:rPr>
          <w:noProof/>
        </w:rPr>
      </w:pPr>
      <w:r w:rsidRPr="00A03C9B">
        <w:rPr>
          <w:noProof/>
        </w:rPr>
        <w:t>The following paragraph shall be inserted after paragraph 1 of Article 3 of the Protocol:</w:t>
      </w:r>
    </w:p>
    <w:p w:rsidR="00494EE1" w:rsidRDefault="00494EE1" w:rsidP="0079113E">
      <w:pPr>
        <w:jc w:val="both"/>
        <w:rPr>
          <w:noProof/>
        </w:rPr>
      </w:pPr>
    </w:p>
    <w:p w:rsidR="00494EE1" w:rsidRPr="00A03C9B" w:rsidRDefault="00494EE1" w:rsidP="0079113E">
      <w:pPr>
        <w:tabs>
          <w:tab w:val="left" w:pos="851"/>
        </w:tabs>
        <w:jc w:val="both"/>
        <w:rPr>
          <w:noProof/>
          <w:lang w:eastAsia="en-US"/>
        </w:rPr>
      </w:pPr>
      <w:r w:rsidRPr="00155795">
        <w:rPr>
          <w:noProof/>
        </w:rPr>
        <w:t>1 bis.</w:t>
      </w:r>
      <w:r w:rsidRPr="00A03C9B">
        <w:rPr>
          <w:noProof/>
        </w:rPr>
        <w:tab/>
      </w:r>
      <w:r>
        <w:rPr>
          <w:noProof/>
        </w:rPr>
        <w:t xml:space="preserve">The </w:t>
      </w:r>
      <w:r w:rsidRPr="00A03C9B">
        <w:rPr>
          <w:noProof/>
        </w:rPr>
        <w:t>Parties included in Annex I shall, individually or jointly, ensure that their aggregate anthropogenic carbon dioxide equivalent emissions of the greenhouse gases listed in Annex A do not exceed their assigned amounts, calculated pursuant to their quantified emission limitation and reduction commitments inscribed in the third column of the table contained in Annex B and in accordance with the provisions of this Article, with a view to reducing their overall emissions of such gases by at least 18 per cent below 1990 levels in the commitment period 2013 to 2020.</w:t>
      </w:r>
    </w:p>
    <w:p w:rsidR="00494EE1" w:rsidRDefault="00494EE1" w:rsidP="0079113E">
      <w:pPr>
        <w:jc w:val="both"/>
        <w:rPr>
          <w:noProof/>
        </w:rPr>
      </w:pPr>
    </w:p>
    <w:p w:rsidR="00494EE1" w:rsidRPr="00871DE2" w:rsidRDefault="00494EE1" w:rsidP="0079113E">
      <w:pPr>
        <w:jc w:val="both"/>
        <w:rPr>
          <w:b/>
          <w:noProof/>
        </w:rPr>
      </w:pPr>
      <w:r>
        <w:rPr>
          <w:noProof/>
        </w:rPr>
        <w:br w:type="page"/>
      </w:r>
      <w:r w:rsidRPr="00871DE2">
        <w:rPr>
          <w:b/>
          <w:noProof/>
        </w:rPr>
        <w:lastRenderedPageBreak/>
        <w:t>D.</w:t>
      </w:r>
      <w:r w:rsidRPr="00871DE2">
        <w:rPr>
          <w:b/>
          <w:noProof/>
        </w:rPr>
        <w:tab/>
        <w:t>Article 3, paragraph 1 ter</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 shall be inserted after paragraph 1 bis of Article 3 of the Protocol:</w:t>
      </w:r>
    </w:p>
    <w:p w:rsidR="00494EE1" w:rsidRDefault="00494EE1" w:rsidP="0079113E">
      <w:pPr>
        <w:jc w:val="both"/>
        <w:rPr>
          <w:noProof/>
        </w:rPr>
      </w:pPr>
    </w:p>
    <w:p w:rsidR="00494EE1" w:rsidRPr="00A03C9B" w:rsidRDefault="00494EE1" w:rsidP="0079113E">
      <w:pPr>
        <w:tabs>
          <w:tab w:val="left" w:pos="851"/>
        </w:tabs>
        <w:jc w:val="both"/>
        <w:rPr>
          <w:noProof/>
        </w:rPr>
      </w:pPr>
      <w:r w:rsidRPr="00155795">
        <w:rPr>
          <w:noProof/>
        </w:rPr>
        <w:t>1 ter.</w:t>
      </w:r>
      <w:r w:rsidRPr="00A03C9B">
        <w:rPr>
          <w:noProof/>
        </w:rPr>
        <w:tab/>
        <w:t>A Party included in Annex B may propose an adjustment to decrease the percentage inscribed in the third column of Annex B of its quantified emission limitation and reduction commitment inscribed in the third column of the table contained in Annex B. A proposal for such an adjustment shall be communicated to the Parties by the secretariat at least three months before the meeting of the Conference of the Parties serving as the meeting of the Parties to this Protocol at which it is proposed for adoption.</w:t>
      </w:r>
    </w:p>
    <w:p w:rsidR="00494EE1" w:rsidRDefault="00494EE1" w:rsidP="0079113E">
      <w:pPr>
        <w:jc w:val="both"/>
        <w:rPr>
          <w:noProof/>
        </w:rPr>
      </w:pPr>
    </w:p>
    <w:p w:rsidR="00494EE1" w:rsidRPr="00871DE2" w:rsidRDefault="00494EE1" w:rsidP="0079113E">
      <w:pPr>
        <w:jc w:val="both"/>
        <w:rPr>
          <w:b/>
          <w:noProof/>
        </w:rPr>
      </w:pPr>
      <w:r w:rsidRPr="00871DE2">
        <w:rPr>
          <w:b/>
          <w:noProof/>
        </w:rPr>
        <w:t>E.</w:t>
      </w:r>
      <w:r w:rsidRPr="00871DE2">
        <w:rPr>
          <w:b/>
          <w:noProof/>
        </w:rPr>
        <w:tab/>
        <w:t>Article 3, paragraph 1 quater</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 shall be inserted after paragraph 1 ter of Article 3 of the Protocol:</w:t>
      </w:r>
    </w:p>
    <w:p w:rsidR="00494EE1" w:rsidRDefault="00494EE1" w:rsidP="0079113E">
      <w:pPr>
        <w:jc w:val="both"/>
        <w:rPr>
          <w:noProof/>
        </w:rPr>
      </w:pPr>
    </w:p>
    <w:p w:rsidR="00494EE1" w:rsidRPr="00A03C9B" w:rsidRDefault="00494EE1" w:rsidP="0079113E">
      <w:pPr>
        <w:tabs>
          <w:tab w:val="left" w:pos="1134"/>
        </w:tabs>
        <w:jc w:val="both"/>
        <w:rPr>
          <w:noProof/>
        </w:rPr>
      </w:pPr>
      <w:r w:rsidRPr="00155795">
        <w:rPr>
          <w:noProof/>
        </w:rPr>
        <w:t>1 quater.</w:t>
      </w:r>
      <w:r w:rsidRPr="00A03C9B">
        <w:rPr>
          <w:noProof/>
        </w:rPr>
        <w:tab/>
        <w:t>An adjustment proposed by a Party included in Annex I to increase the ambition of its quantified emission limitation and reduction commitment in accorda</w:t>
      </w:r>
      <w:r>
        <w:rPr>
          <w:noProof/>
        </w:rPr>
        <w:t>nce with Article 3, paragraph 1 </w:t>
      </w:r>
      <w:r w:rsidRPr="00A03C9B">
        <w:rPr>
          <w:noProof/>
        </w:rPr>
        <w:t>ter</w:t>
      </w:r>
      <w:r>
        <w:rPr>
          <w:noProof/>
        </w:rPr>
        <w:t>,</w:t>
      </w:r>
      <w:r w:rsidRPr="00A03C9B">
        <w:rPr>
          <w:noProof/>
        </w:rPr>
        <w:t xml:space="preserve"> above shall be considered adopted by the Conference of the Parties serving as the meeting of the Parties to this Protocol unless more than three-</w:t>
      </w:r>
      <w:r>
        <w:rPr>
          <w:noProof/>
        </w:rPr>
        <w:t>fourths</w:t>
      </w:r>
      <w:r w:rsidRPr="00A03C9B">
        <w:rPr>
          <w:noProof/>
        </w:rPr>
        <w:t xml:space="preserve">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w:t>
      </w:r>
      <w:r>
        <w:rPr>
          <w:noProof/>
        </w:rPr>
        <w:t>justments shall be binding upon </w:t>
      </w:r>
      <w:r w:rsidRPr="00A03C9B">
        <w:rPr>
          <w:noProof/>
        </w:rPr>
        <w:t>Parties.</w:t>
      </w:r>
    </w:p>
    <w:p w:rsidR="00494EE1" w:rsidRDefault="00494EE1" w:rsidP="0079113E">
      <w:pPr>
        <w:jc w:val="both"/>
        <w:rPr>
          <w:noProof/>
        </w:rPr>
      </w:pPr>
    </w:p>
    <w:p w:rsidR="00494EE1" w:rsidRPr="00871DE2" w:rsidRDefault="00494EE1" w:rsidP="0079113E">
      <w:pPr>
        <w:jc w:val="both"/>
        <w:rPr>
          <w:b/>
          <w:noProof/>
        </w:rPr>
      </w:pPr>
      <w:r>
        <w:rPr>
          <w:noProof/>
        </w:rPr>
        <w:br w:type="page"/>
      </w:r>
      <w:r w:rsidRPr="00871DE2">
        <w:rPr>
          <w:b/>
          <w:noProof/>
        </w:rPr>
        <w:lastRenderedPageBreak/>
        <w:t>F.</w:t>
      </w:r>
      <w:r w:rsidRPr="00871DE2">
        <w:rPr>
          <w:b/>
          <w:noProof/>
        </w:rPr>
        <w:tab/>
        <w:t>Article 3, paragraph 7 bis</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paragraphs shall be inserted after paragraph 7 of Article 3 of the Protocol:</w:t>
      </w:r>
    </w:p>
    <w:p w:rsidR="00494EE1" w:rsidRDefault="00494EE1" w:rsidP="0079113E">
      <w:pPr>
        <w:jc w:val="both"/>
        <w:rPr>
          <w:noProof/>
        </w:rPr>
      </w:pPr>
    </w:p>
    <w:p w:rsidR="00494EE1" w:rsidRPr="00A03C9B" w:rsidRDefault="00494EE1" w:rsidP="0079113E">
      <w:pPr>
        <w:tabs>
          <w:tab w:val="left" w:pos="851"/>
        </w:tabs>
        <w:jc w:val="both"/>
        <w:rPr>
          <w:noProof/>
        </w:rPr>
      </w:pPr>
      <w:r w:rsidRPr="00A03C9B">
        <w:rPr>
          <w:noProof/>
        </w:rPr>
        <w:t>7 bis.</w:t>
      </w:r>
      <w:r w:rsidRPr="00A03C9B">
        <w:rPr>
          <w:noProof/>
        </w:rPr>
        <w:tab/>
        <w:t xml:space="preserve">In the second quantified emission limitation and reduction </w:t>
      </w:r>
      <w:r>
        <w:rPr>
          <w:noProof/>
        </w:rPr>
        <w:t>commitment period, from 2013 to </w:t>
      </w:r>
      <w:r w:rsidRPr="00A03C9B">
        <w:rPr>
          <w:noProof/>
        </w:rPr>
        <w:t>2020, the assigned amount for each Party included in Annex I shall be equal to the percentage inscribed for it in the third column of the table contained in Annex B of its aggregate anthropogenic carbon dioxide equivalent emissions of the greenhouse</w:t>
      </w:r>
      <w:r>
        <w:rPr>
          <w:noProof/>
        </w:rPr>
        <w:t xml:space="preserve"> gases listed in Annex A in </w:t>
      </w:r>
      <w:r w:rsidRPr="00A03C9B">
        <w:rPr>
          <w:noProof/>
        </w:rPr>
        <w:t>1990, or the base year or period determined in accordance with paragraph 5 above, multiplied by eight. Those Parties included in Annex I for whom land-use change and forestry constituted a net source of greenhouse gas emissions in 1990 shall include in their 1990 emissions base year or period the aggregate anthropogenic carbon dioxide equivalent emissions by sources minus removals by sinks in 1990 from land-use change for the purposes of calculating their assigned amount.</w:t>
      </w:r>
    </w:p>
    <w:p w:rsidR="00494EE1" w:rsidRDefault="00494EE1" w:rsidP="0079113E">
      <w:pPr>
        <w:jc w:val="both"/>
        <w:rPr>
          <w:noProof/>
        </w:rPr>
      </w:pPr>
    </w:p>
    <w:p w:rsidR="00494EE1" w:rsidRPr="00871DE2" w:rsidRDefault="00494EE1" w:rsidP="0079113E">
      <w:pPr>
        <w:jc w:val="both"/>
        <w:rPr>
          <w:b/>
          <w:noProof/>
        </w:rPr>
      </w:pPr>
      <w:r w:rsidRPr="00871DE2">
        <w:rPr>
          <w:b/>
          <w:noProof/>
        </w:rPr>
        <w:t>G.</w:t>
      </w:r>
      <w:r w:rsidRPr="00871DE2">
        <w:rPr>
          <w:b/>
          <w:noProof/>
        </w:rPr>
        <w:tab/>
        <w:t>Article 3, paragraph 7 ter</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 shall be inserted after paragraph 7 bis of Article 3 of the Protocol:</w:t>
      </w:r>
    </w:p>
    <w:p w:rsidR="00494EE1" w:rsidRDefault="00494EE1" w:rsidP="0079113E">
      <w:pPr>
        <w:jc w:val="both"/>
        <w:rPr>
          <w:noProof/>
        </w:rPr>
      </w:pPr>
    </w:p>
    <w:p w:rsidR="00494EE1" w:rsidRPr="00A03C9B" w:rsidRDefault="00494EE1" w:rsidP="0079113E">
      <w:pPr>
        <w:tabs>
          <w:tab w:val="left" w:pos="851"/>
        </w:tabs>
        <w:jc w:val="both"/>
        <w:rPr>
          <w:noProof/>
        </w:rPr>
      </w:pPr>
      <w:r>
        <w:rPr>
          <w:noProof/>
        </w:rPr>
        <w:t>7 ter.</w:t>
      </w:r>
      <w:r>
        <w:rPr>
          <w:noProof/>
        </w:rPr>
        <w:tab/>
      </w:r>
      <w:r w:rsidRPr="00A03C9B">
        <w:rPr>
          <w:noProof/>
        </w:rPr>
        <w:t xml:space="preserve">Any positive difference between the assigned amount of the second commitment period for a Party included in the Annex I and average annual emissions for the first three years of the preceding commitment period multiplied by eight shall be transferred to the cancellation account of that Party. </w:t>
      </w:r>
    </w:p>
    <w:p w:rsidR="00494EE1" w:rsidRDefault="00494EE1" w:rsidP="0079113E">
      <w:pPr>
        <w:jc w:val="both"/>
        <w:rPr>
          <w:noProof/>
        </w:rPr>
      </w:pPr>
    </w:p>
    <w:p w:rsidR="00494EE1" w:rsidRPr="00871DE2" w:rsidRDefault="00494EE1" w:rsidP="0079113E">
      <w:pPr>
        <w:jc w:val="both"/>
        <w:rPr>
          <w:b/>
          <w:noProof/>
        </w:rPr>
      </w:pPr>
      <w:r>
        <w:rPr>
          <w:noProof/>
        </w:rPr>
        <w:br w:type="page"/>
      </w:r>
      <w:r w:rsidRPr="00871DE2">
        <w:rPr>
          <w:b/>
          <w:noProof/>
        </w:rPr>
        <w:lastRenderedPageBreak/>
        <w:t>H.</w:t>
      </w:r>
      <w:r w:rsidRPr="00871DE2">
        <w:rPr>
          <w:b/>
          <w:noProof/>
        </w:rPr>
        <w:tab/>
        <w:t>Article 3, paragraph 8</w:t>
      </w:r>
    </w:p>
    <w:p w:rsidR="00494EE1" w:rsidRDefault="00494EE1" w:rsidP="0079113E">
      <w:pPr>
        <w:jc w:val="both"/>
        <w:rPr>
          <w:noProof/>
        </w:rPr>
      </w:pPr>
    </w:p>
    <w:p w:rsidR="00494EE1" w:rsidRPr="00A03C9B" w:rsidRDefault="00494EE1" w:rsidP="0079113E">
      <w:pPr>
        <w:jc w:val="both"/>
        <w:rPr>
          <w:noProof/>
        </w:rPr>
      </w:pPr>
      <w:r w:rsidRPr="00A03C9B">
        <w:rPr>
          <w:noProof/>
        </w:rPr>
        <w:t>In paragraph 8 of Article 3 of the Protocol, the words:</w:t>
      </w:r>
    </w:p>
    <w:p w:rsidR="00494EE1" w:rsidRPr="00A03C9B" w:rsidRDefault="00494EE1" w:rsidP="00871DE2">
      <w:pPr>
        <w:ind w:firstLine="567"/>
        <w:jc w:val="both"/>
        <w:rPr>
          <w:noProof/>
        </w:rPr>
      </w:pPr>
      <w:r w:rsidRPr="00A03C9B">
        <w:rPr>
          <w:noProof/>
        </w:rPr>
        <w:t>calculation referred to in paragraph 7 above</w:t>
      </w:r>
    </w:p>
    <w:p w:rsidR="00494EE1" w:rsidRDefault="00494EE1" w:rsidP="0079113E">
      <w:pPr>
        <w:jc w:val="both"/>
        <w:rPr>
          <w:noProof/>
        </w:rPr>
      </w:pPr>
    </w:p>
    <w:p w:rsidR="00494EE1" w:rsidRPr="00A03C9B" w:rsidRDefault="00494EE1" w:rsidP="0079113E">
      <w:pPr>
        <w:jc w:val="both"/>
        <w:rPr>
          <w:noProof/>
        </w:rPr>
      </w:pPr>
      <w:r w:rsidRPr="00A03C9B">
        <w:rPr>
          <w:noProof/>
        </w:rPr>
        <w:t>shall be substituted by:</w:t>
      </w:r>
    </w:p>
    <w:p w:rsidR="00494EE1" w:rsidRPr="00A03C9B" w:rsidRDefault="00494EE1" w:rsidP="00871DE2">
      <w:pPr>
        <w:ind w:firstLine="567"/>
        <w:jc w:val="both"/>
        <w:rPr>
          <w:noProof/>
        </w:rPr>
      </w:pPr>
      <w:r w:rsidRPr="00A03C9B">
        <w:rPr>
          <w:noProof/>
        </w:rPr>
        <w:t>calculations referred to in paragraphs 7 and 7 bis above</w:t>
      </w:r>
    </w:p>
    <w:p w:rsidR="00494EE1" w:rsidRDefault="00494EE1" w:rsidP="0079113E">
      <w:pPr>
        <w:jc w:val="both"/>
        <w:rPr>
          <w:noProof/>
        </w:rPr>
      </w:pPr>
    </w:p>
    <w:p w:rsidR="00494EE1" w:rsidRPr="00871DE2" w:rsidRDefault="00494EE1" w:rsidP="0079113E">
      <w:pPr>
        <w:jc w:val="both"/>
        <w:rPr>
          <w:b/>
          <w:noProof/>
        </w:rPr>
      </w:pPr>
      <w:r w:rsidRPr="00871DE2">
        <w:rPr>
          <w:b/>
          <w:noProof/>
        </w:rPr>
        <w:t>I.</w:t>
      </w:r>
      <w:r w:rsidRPr="00871DE2">
        <w:rPr>
          <w:b/>
          <w:noProof/>
        </w:rPr>
        <w:tab/>
        <w:t>Article 3, paragraph 8 bis</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 shall be inserted after paragraph 8 of Article 3 of the Protocol:</w:t>
      </w:r>
    </w:p>
    <w:p w:rsidR="00494EE1" w:rsidRDefault="00494EE1" w:rsidP="0079113E">
      <w:pPr>
        <w:jc w:val="both"/>
        <w:rPr>
          <w:noProof/>
        </w:rPr>
      </w:pPr>
    </w:p>
    <w:p w:rsidR="00494EE1" w:rsidRPr="00A03C9B" w:rsidRDefault="00494EE1" w:rsidP="0079113E">
      <w:pPr>
        <w:tabs>
          <w:tab w:val="left" w:pos="851"/>
        </w:tabs>
        <w:jc w:val="both"/>
        <w:rPr>
          <w:noProof/>
        </w:rPr>
      </w:pPr>
      <w:r>
        <w:rPr>
          <w:noProof/>
        </w:rPr>
        <w:t>8 bis.</w:t>
      </w:r>
      <w:r>
        <w:rPr>
          <w:noProof/>
        </w:rPr>
        <w:tab/>
      </w:r>
      <w:r w:rsidRPr="00A03C9B">
        <w:rPr>
          <w:noProof/>
        </w:rPr>
        <w:t>Any Party included in Annex I may use 1995 or 2000 as its base year for nitrogen trifluoride for the purposes of the calculation referred to in paragraph 7 bis above.</w:t>
      </w:r>
    </w:p>
    <w:p w:rsidR="00494EE1" w:rsidRDefault="00494EE1" w:rsidP="0079113E">
      <w:pPr>
        <w:jc w:val="both"/>
        <w:rPr>
          <w:noProof/>
        </w:rPr>
      </w:pPr>
    </w:p>
    <w:p w:rsidR="00494EE1" w:rsidRPr="00871DE2" w:rsidRDefault="00494EE1" w:rsidP="0079113E">
      <w:pPr>
        <w:jc w:val="both"/>
        <w:rPr>
          <w:b/>
          <w:noProof/>
        </w:rPr>
      </w:pPr>
      <w:r w:rsidRPr="00871DE2">
        <w:rPr>
          <w:b/>
          <w:noProof/>
        </w:rPr>
        <w:t>J.</w:t>
      </w:r>
      <w:r w:rsidRPr="00871DE2">
        <w:rPr>
          <w:b/>
          <w:noProof/>
        </w:rPr>
        <w:tab/>
        <w:t>Article 3, paragraphs 12 bis and ter</w:t>
      </w:r>
    </w:p>
    <w:p w:rsidR="00494EE1" w:rsidRDefault="00494EE1" w:rsidP="0079113E">
      <w:pPr>
        <w:jc w:val="both"/>
        <w:rPr>
          <w:noProof/>
        </w:rPr>
      </w:pPr>
    </w:p>
    <w:p w:rsidR="00494EE1" w:rsidRPr="00A03C9B" w:rsidRDefault="00494EE1" w:rsidP="0079113E">
      <w:pPr>
        <w:jc w:val="both"/>
        <w:rPr>
          <w:noProof/>
        </w:rPr>
      </w:pPr>
      <w:r w:rsidRPr="00A03C9B">
        <w:rPr>
          <w:noProof/>
        </w:rPr>
        <w:t>The following paragraphs shall be inserted after paragraph 12 of Article 3 of the Protocol:</w:t>
      </w:r>
    </w:p>
    <w:p w:rsidR="00494EE1" w:rsidRDefault="00494EE1" w:rsidP="0079113E">
      <w:pPr>
        <w:jc w:val="both"/>
        <w:rPr>
          <w:noProof/>
        </w:rPr>
      </w:pPr>
    </w:p>
    <w:p w:rsidR="00494EE1" w:rsidRPr="00A03C9B" w:rsidRDefault="00494EE1" w:rsidP="0079113E">
      <w:pPr>
        <w:tabs>
          <w:tab w:val="left" w:pos="851"/>
        </w:tabs>
        <w:jc w:val="both"/>
        <w:rPr>
          <w:noProof/>
        </w:rPr>
      </w:pPr>
      <w:r w:rsidRPr="00A03C9B">
        <w:rPr>
          <w:noProof/>
        </w:rPr>
        <w:t>12 bis.</w:t>
      </w:r>
      <w:r w:rsidRPr="00A03C9B">
        <w:rPr>
          <w:noProof/>
        </w:rPr>
        <w:tab/>
        <w:t>Any units generated from market-based mechanisms to be established under the Convention or its instruments may be used by Parties included in Annex I to assist them in achieving compliance with their quantified emission limitation and reduction commitments under Article 3. Any such units which a Party acquires from another Party to the Convention shall be added to the assigned amount for the acquiring Party and subtracted from the quantity of units held by the transferring Party.</w:t>
      </w:r>
    </w:p>
    <w:p w:rsidR="00494EE1" w:rsidRDefault="00494EE1" w:rsidP="0079113E">
      <w:pPr>
        <w:jc w:val="both"/>
        <w:rPr>
          <w:noProof/>
        </w:rPr>
      </w:pPr>
    </w:p>
    <w:p w:rsidR="00494EE1" w:rsidRPr="00A03C9B" w:rsidRDefault="00494EE1" w:rsidP="0079113E">
      <w:pPr>
        <w:tabs>
          <w:tab w:val="left" w:pos="851"/>
        </w:tabs>
        <w:jc w:val="both"/>
        <w:rPr>
          <w:noProof/>
        </w:rPr>
      </w:pPr>
      <w:r>
        <w:rPr>
          <w:noProof/>
        </w:rPr>
        <w:br w:type="page"/>
      </w:r>
      <w:r w:rsidRPr="00A03C9B">
        <w:rPr>
          <w:noProof/>
        </w:rPr>
        <w:lastRenderedPageBreak/>
        <w:t>12 ter.</w:t>
      </w:r>
      <w:r w:rsidRPr="00A03C9B">
        <w:rPr>
          <w:noProof/>
        </w:rPr>
        <w:tab/>
        <w:t>The Conference of the Parties serving as the meeting of the Parties to this Protocol shall ensure that, where units from approved activities under market-based mechanisms referred to in paragraph 12 bis above are used by Parties included in Annex I to assist them in achieving compliance with their quantified emission limitation and reduction commitments under Article 3, a share of these units is used to cover administrative expenses, as well as to assist developing country Parties that are particularly vulnerable to the adverse effects of climate change to meet the costs of adaptation if these units are acquired under Article 17.</w:t>
      </w:r>
    </w:p>
    <w:p w:rsidR="00494EE1" w:rsidRDefault="00494EE1" w:rsidP="0079113E">
      <w:pPr>
        <w:jc w:val="both"/>
        <w:rPr>
          <w:noProof/>
        </w:rPr>
      </w:pPr>
    </w:p>
    <w:p w:rsidR="00494EE1" w:rsidRPr="00871DE2" w:rsidRDefault="00494EE1" w:rsidP="0079113E">
      <w:pPr>
        <w:jc w:val="both"/>
        <w:rPr>
          <w:b/>
          <w:noProof/>
        </w:rPr>
      </w:pPr>
      <w:r w:rsidRPr="00871DE2">
        <w:rPr>
          <w:b/>
          <w:noProof/>
        </w:rPr>
        <w:t>K.</w:t>
      </w:r>
      <w:r w:rsidRPr="00871DE2">
        <w:rPr>
          <w:b/>
          <w:noProof/>
        </w:rPr>
        <w:tab/>
        <w:t>Article 4, paragraph 2</w:t>
      </w:r>
    </w:p>
    <w:p w:rsidR="00494EE1" w:rsidRDefault="00494EE1" w:rsidP="0079113E">
      <w:pPr>
        <w:jc w:val="both"/>
        <w:rPr>
          <w:noProof/>
        </w:rPr>
      </w:pPr>
    </w:p>
    <w:p w:rsidR="00494EE1" w:rsidRPr="00A03C9B" w:rsidRDefault="00494EE1" w:rsidP="0079113E">
      <w:pPr>
        <w:jc w:val="both"/>
        <w:rPr>
          <w:noProof/>
        </w:rPr>
      </w:pPr>
      <w:r w:rsidRPr="00A03C9B">
        <w:rPr>
          <w:noProof/>
        </w:rPr>
        <w:t>The following words shall be added to the end of the first sentence of paragraph 2 of Article 4 of the Protocol:</w:t>
      </w:r>
    </w:p>
    <w:p w:rsidR="00494EE1" w:rsidRDefault="00494EE1" w:rsidP="0079113E">
      <w:pPr>
        <w:jc w:val="both"/>
        <w:rPr>
          <w:noProof/>
        </w:rPr>
      </w:pPr>
    </w:p>
    <w:p w:rsidR="00494EE1" w:rsidRPr="00A03C9B" w:rsidRDefault="00494EE1" w:rsidP="0079113E">
      <w:pPr>
        <w:jc w:val="both"/>
        <w:rPr>
          <w:noProof/>
        </w:rPr>
      </w:pPr>
      <w:r w:rsidRPr="00A03C9B">
        <w:rPr>
          <w:noProof/>
        </w:rPr>
        <w:t>, or on the date of deposit of their instruments of acceptance of any amendment to Annex B pursuant to Article 3, paragraph 9</w:t>
      </w:r>
    </w:p>
    <w:p w:rsidR="00494EE1" w:rsidRDefault="00494EE1" w:rsidP="0079113E">
      <w:pPr>
        <w:jc w:val="both"/>
        <w:rPr>
          <w:noProof/>
        </w:rPr>
      </w:pPr>
    </w:p>
    <w:p w:rsidR="00494EE1" w:rsidRPr="00871DE2" w:rsidRDefault="00494EE1" w:rsidP="0079113E">
      <w:pPr>
        <w:jc w:val="both"/>
        <w:rPr>
          <w:b/>
          <w:noProof/>
        </w:rPr>
      </w:pPr>
      <w:r w:rsidRPr="00871DE2">
        <w:rPr>
          <w:b/>
          <w:noProof/>
        </w:rPr>
        <w:t>L.</w:t>
      </w:r>
      <w:r w:rsidRPr="00871DE2">
        <w:rPr>
          <w:b/>
          <w:noProof/>
        </w:rPr>
        <w:tab/>
        <w:t>Article 4, paragraph 3</w:t>
      </w:r>
    </w:p>
    <w:p w:rsidR="00494EE1" w:rsidRDefault="00494EE1" w:rsidP="0079113E">
      <w:pPr>
        <w:jc w:val="both"/>
        <w:rPr>
          <w:noProof/>
        </w:rPr>
      </w:pPr>
    </w:p>
    <w:p w:rsidR="00494EE1" w:rsidRPr="00A03C9B" w:rsidRDefault="00494EE1" w:rsidP="0079113E">
      <w:pPr>
        <w:jc w:val="both"/>
        <w:rPr>
          <w:noProof/>
        </w:rPr>
      </w:pPr>
      <w:r w:rsidRPr="00A03C9B">
        <w:rPr>
          <w:noProof/>
        </w:rPr>
        <w:t>In paragraph 3 of Article 4 of the Protocol, the words:</w:t>
      </w:r>
    </w:p>
    <w:p w:rsidR="00494EE1" w:rsidRPr="00A03C9B" w:rsidRDefault="00494EE1" w:rsidP="00871DE2">
      <w:pPr>
        <w:ind w:firstLine="567"/>
        <w:jc w:val="both"/>
        <w:rPr>
          <w:noProof/>
        </w:rPr>
      </w:pPr>
      <w:r w:rsidRPr="00A03C9B">
        <w:rPr>
          <w:noProof/>
        </w:rPr>
        <w:t xml:space="preserve">, paragraph 7 </w:t>
      </w:r>
    </w:p>
    <w:p w:rsidR="00494EE1" w:rsidRDefault="00494EE1" w:rsidP="0079113E">
      <w:pPr>
        <w:jc w:val="both"/>
        <w:rPr>
          <w:noProof/>
        </w:rPr>
      </w:pPr>
    </w:p>
    <w:p w:rsidR="00494EE1" w:rsidRPr="00A03C9B" w:rsidRDefault="00494EE1" w:rsidP="0079113E">
      <w:pPr>
        <w:jc w:val="both"/>
        <w:rPr>
          <w:noProof/>
        </w:rPr>
      </w:pPr>
      <w:r w:rsidRPr="00A03C9B">
        <w:rPr>
          <w:noProof/>
        </w:rPr>
        <w:t>shall be substituted by:</w:t>
      </w:r>
    </w:p>
    <w:p w:rsidR="00494EE1" w:rsidRPr="00A03C9B" w:rsidRDefault="00494EE1" w:rsidP="00871DE2">
      <w:pPr>
        <w:ind w:firstLine="567"/>
        <w:jc w:val="both"/>
        <w:rPr>
          <w:noProof/>
        </w:rPr>
      </w:pPr>
      <w:r w:rsidRPr="00A03C9B">
        <w:rPr>
          <w:noProof/>
        </w:rPr>
        <w:t>to which it relates</w:t>
      </w:r>
    </w:p>
    <w:p w:rsidR="00494EE1" w:rsidRDefault="00494EE1" w:rsidP="00494EE1">
      <w:pPr>
        <w:rPr>
          <w:noProof/>
        </w:rPr>
      </w:pPr>
    </w:p>
    <w:p w:rsidR="00494EE1" w:rsidRDefault="00494EE1" w:rsidP="00494EE1">
      <w:pPr>
        <w:rPr>
          <w:noProof/>
        </w:rPr>
      </w:pPr>
    </w:p>
    <w:p w:rsidR="00494EE1" w:rsidRPr="00871DE2" w:rsidRDefault="00494EE1" w:rsidP="00494EE1">
      <w:pPr>
        <w:jc w:val="center"/>
        <w:rPr>
          <w:b/>
          <w:noProof/>
        </w:rPr>
      </w:pPr>
      <w:r>
        <w:rPr>
          <w:noProof/>
        </w:rPr>
        <w:br w:type="page"/>
      </w:r>
      <w:r w:rsidRPr="00871DE2">
        <w:rPr>
          <w:b/>
          <w:noProof/>
        </w:rPr>
        <w:lastRenderedPageBreak/>
        <w:t>ARTICLE 2</w:t>
      </w:r>
    </w:p>
    <w:p w:rsidR="00494EE1" w:rsidRPr="00871DE2" w:rsidRDefault="00494EE1" w:rsidP="00494EE1">
      <w:pPr>
        <w:jc w:val="center"/>
        <w:rPr>
          <w:b/>
          <w:noProof/>
        </w:rPr>
      </w:pPr>
    </w:p>
    <w:p w:rsidR="00494EE1" w:rsidRPr="00871DE2" w:rsidRDefault="00494EE1" w:rsidP="00494EE1">
      <w:pPr>
        <w:jc w:val="center"/>
        <w:rPr>
          <w:b/>
          <w:noProof/>
        </w:rPr>
      </w:pPr>
      <w:r w:rsidRPr="00871DE2">
        <w:rPr>
          <w:b/>
          <w:noProof/>
        </w:rPr>
        <w:t>Entry into force</w:t>
      </w:r>
    </w:p>
    <w:p w:rsidR="00494EE1" w:rsidRDefault="00494EE1" w:rsidP="00494EE1">
      <w:pPr>
        <w:rPr>
          <w:noProof/>
        </w:rPr>
      </w:pPr>
    </w:p>
    <w:p w:rsidR="00494EE1" w:rsidRDefault="00494EE1" w:rsidP="00494EE1">
      <w:pPr>
        <w:rPr>
          <w:noProof/>
        </w:rPr>
      </w:pPr>
      <w:r w:rsidRPr="00A03C9B">
        <w:rPr>
          <w:noProof/>
        </w:rPr>
        <w:t>This amendment shall enter into force in accordance with Articles 20 and 21 of the Kyoto Protocol.</w:t>
      </w:r>
      <w:r>
        <w:rPr>
          <w:noProof/>
        </w:rPr>
        <w:t xml:space="preserve"> </w:t>
      </w:r>
    </w:p>
    <w:p w:rsidR="00494EE1" w:rsidRPr="004B4BEA" w:rsidRDefault="00494EE1" w:rsidP="00494EE1"/>
    <w:sectPr w:rsidR="00494EE1" w:rsidRPr="004B4BEA" w:rsidSect="00F74E31">
      <w:footerReference w:type="default" r:id="rId13"/>
      <w:pgSz w:w="11907" w:h="1683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24" w:rsidRDefault="00D11C24">
      <w:r>
        <w:separator/>
      </w:r>
    </w:p>
  </w:endnote>
  <w:endnote w:type="continuationSeparator" w:id="0">
    <w:p w:rsidR="00D11C24" w:rsidRDefault="00D11C2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04" w:rsidRDefault="00A60704" w:rsidP="00A60704">
    <w:pPr>
      <w:pStyle w:val="Footer"/>
      <w:pBdr>
        <w:bottom w:val="single" w:sz="4" w:space="1" w:color="auto"/>
      </w:pBdr>
      <w:spacing w:after="60"/>
    </w:pPr>
  </w:p>
  <w:p w:rsidR="00A60704" w:rsidRDefault="00A60704" w:rsidP="00A60704">
    <w:pPr>
      <w:pStyle w:val="Footer"/>
      <w:jc w:val="right"/>
    </w:pPr>
    <w:r>
      <w:t>10400/14 ADD 1</w:t>
    </w:r>
    <w:r>
      <w:tab/>
    </w:r>
    <w:r>
      <w:tab/>
      <w:t>BE/FC/</w:t>
    </w:r>
    <w:proofErr w:type="spellStart"/>
    <w:r>
      <w:t>kp</w:t>
    </w:r>
    <w:proofErr w:type="spellEnd"/>
    <w:r>
      <w:tab/>
    </w:r>
    <w:r w:rsidR="007E33AF">
      <w:fldChar w:fldCharType="begin"/>
    </w:r>
    <w:r>
      <w:instrText xml:space="preserve"> PAGE   \* MERGEFORMAT </w:instrText>
    </w:r>
    <w:r w:rsidR="007E33AF">
      <w:fldChar w:fldCharType="separate"/>
    </w:r>
    <w:r>
      <w:rPr>
        <w:noProof/>
      </w:rPr>
      <w:t>3</w:t>
    </w:r>
    <w:r w:rsidR="007E33AF">
      <w:rPr>
        <w:noProof/>
      </w:rPr>
      <w:fldChar w:fldCharType="end"/>
    </w:r>
  </w:p>
  <w:p w:rsidR="00494EE1" w:rsidRPr="00A60704" w:rsidRDefault="00A60704" w:rsidP="00A60704">
    <w:pPr>
      <w:pStyle w:val="Footer"/>
      <w:tabs>
        <w:tab w:val="clear" w:pos="7371"/>
      </w:tabs>
      <w:spacing w:line="280" w:lineRule="exact"/>
    </w:pPr>
    <w:r>
      <w:tab/>
      <w:t>DGE 1</w:t>
    </w:r>
    <w:r>
      <w:tab/>
    </w:r>
    <w:r>
      <w:rPr>
        <w:b/>
        <w:position w:val="-4"/>
        <w:sz w:val="36"/>
      </w:rPr>
      <w:t xml:space="preserve"> LIMITE</w:t>
    </w:r>
    <w:r>
      <w:rPr>
        <w:b/>
        <w:position w:val="-4"/>
        <w:sz w:val="36"/>
      </w:rPr>
      <w:t> </w:t>
    </w:r>
    <w:r>
      <w:rPr>
        <w:b/>
        <w:position w:val="-4"/>
        <w:sz w:val="36"/>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3E" w:rsidRPr="0079113E" w:rsidRDefault="0079113E" w:rsidP="0079113E">
    <w:pPr>
      <w:pStyle w:val="Footer"/>
      <w:jc w:val="both"/>
      <w:rPr>
        <w:sz w:val="8"/>
        <w:szCs w:val="8"/>
      </w:rPr>
    </w:pPr>
  </w:p>
  <w:p w:rsidR="00494EE1" w:rsidRPr="0079113E" w:rsidRDefault="00336F26" w:rsidP="0079113E">
    <w:pPr>
      <w:pStyle w:val="Footer"/>
      <w:jc w:val="both"/>
      <w:rPr>
        <w:sz w:val="20"/>
        <w:lang w:val="lv-LV"/>
      </w:rPr>
    </w:pPr>
    <w:r>
      <w:fldChar w:fldCharType="begin"/>
    </w:r>
    <w:r>
      <w:instrText xml:space="preserve"> FILENAME   \* MERGEFORMAT </w:instrText>
    </w:r>
    <w:r>
      <w:fldChar w:fldCharType="separate"/>
    </w:r>
    <w:r w:rsidR="000813BD" w:rsidRPr="000813BD">
      <w:rPr>
        <w:noProof/>
        <w:sz w:val="20"/>
        <w:lang w:val="lv-LV"/>
      </w:rPr>
      <w:t>VARAMSl_KiotoProtokDohasGrozijums_EN_040815</w:t>
    </w:r>
    <w:r>
      <w:rPr>
        <w:noProof/>
        <w:sz w:val="20"/>
        <w:lang w:val="lv-LV"/>
      </w:rPr>
      <w:fldChar w:fldCharType="end"/>
    </w:r>
    <w:r w:rsidR="0079113E" w:rsidRPr="0079113E">
      <w:rPr>
        <w:sz w:val="20"/>
        <w:lang w:val="lv-LV"/>
      </w:rPr>
      <w:t xml:space="preserve">; Apvienoto Nāciju Organizācijas Vispārējai konvencijai par klimata pārmaiņām pievienotā Kioto protokola </w:t>
    </w:r>
    <w:proofErr w:type="spellStart"/>
    <w:r w:rsidR="0079113E">
      <w:rPr>
        <w:sz w:val="20"/>
        <w:lang w:val="lv-LV"/>
      </w:rPr>
      <w:t>Dohas</w:t>
    </w:r>
    <w:proofErr w:type="spellEnd"/>
    <w:r w:rsidR="0079113E">
      <w:rPr>
        <w:sz w:val="20"/>
        <w:lang w:val="lv-LV"/>
      </w:rPr>
      <w:t xml:space="preserve"> grozījums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3E" w:rsidRPr="0079113E" w:rsidRDefault="0079113E" w:rsidP="0079113E">
    <w:pPr>
      <w:pStyle w:val="Footer"/>
      <w:jc w:val="both"/>
      <w:rPr>
        <w:sz w:val="8"/>
        <w:szCs w:val="8"/>
      </w:rPr>
    </w:pPr>
  </w:p>
  <w:p w:rsidR="00A60704" w:rsidRPr="0079113E" w:rsidRDefault="00336F26" w:rsidP="0079113E">
    <w:pPr>
      <w:pStyle w:val="Footer"/>
      <w:jc w:val="both"/>
      <w:rPr>
        <w:sz w:val="20"/>
        <w:lang w:val="lv-LV"/>
      </w:rPr>
    </w:pPr>
    <w:fldSimple w:instr=" FILENAME   \* MERGEFORMAT ">
      <w:r w:rsidR="000813BD" w:rsidRPr="000813BD">
        <w:rPr>
          <w:noProof/>
          <w:sz w:val="20"/>
          <w:lang w:val="lv-LV"/>
        </w:rPr>
        <w:t>VARAMSl_KiotoProtokDohasGrozijums_EN_040815</w:t>
      </w:r>
    </w:fldSimple>
    <w:r w:rsidR="0079113E" w:rsidRPr="0079113E">
      <w:rPr>
        <w:sz w:val="20"/>
        <w:lang w:val="lv-LV"/>
      </w:rPr>
      <w:t xml:space="preserve">; Apvienoto Nāciju Organizācijas Vispārējai konvencijai par klimata pārmaiņām pievienotā Kioto protokola </w:t>
    </w:r>
    <w:proofErr w:type="spellStart"/>
    <w:r w:rsidR="0079113E">
      <w:rPr>
        <w:sz w:val="20"/>
        <w:lang w:val="lv-LV"/>
      </w:rPr>
      <w:t>Dohas</w:t>
    </w:r>
    <w:proofErr w:type="spellEnd"/>
    <w:r w:rsidR="0079113E">
      <w:rPr>
        <w:sz w:val="20"/>
        <w:lang w:val="lv-LV"/>
      </w:rPr>
      <w:t xml:space="preserve"> grozījums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24" w:rsidRDefault="00D11C24">
      <w:pPr>
        <w:pStyle w:val="FootnoteText"/>
      </w:pPr>
      <w:r>
        <w:separator/>
      </w:r>
    </w:p>
  </w:footnote>
  <w:footnote w:type="continuationSeparator" w:id="0">
    <w:p w:rsidR="00D11C24" w:rsidRDefault="00D11C24">
      <w:pPr>
        <w:pStyle w:val="FootnoteText"/>
      </w:pPr>
      <w:r>
        <w:separator/>
      </w:r>
    </w:p>
  </w:footnote>
  <w:footnote w:id="1">
    <w:p w:rsidR="00494EE1" w:rsidRDefault="00494EE1" w:rsidP="00494EE1">
      <w:pPr>
        <w:pStyle w:val="FootnoteText"/>
      </w:pPr>
      <w:r>
        <w:rPr>
          <w:rStyle w:val="FootnoteReference"/>
        </w:rPr>
        <w:footnoteRef/>
      </w:r>
      <w:r>
        <w:tab/>
      </w:r>
      <w:proofErr w:type="gramStart"/>
      <w:r>
        <w:t>Applies only from the beginning of the second commitment period.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1" w:rsidRPr="00686547" w:rsidRDefault="00494EE1" w:rsidP="00080026">
    <w:pPr>
      <w:pStyle w:val="HeaderCouncilLarge"/>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1" w:rsidRPr="00686547" w:rsidRDefault="00494EE1" w:rsidP="00080026">
    <w:pPr>
      <w:pStyle w:val="HeaderCouncilLarge"/>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1"/>
  </w:num>
  <w:num w:numId="4">
    <w:abstractNumId w:val="2"/>
  </w:num>
  <w:num w:numId="5">
    <w:abstractNumId w:val="9"/>
  </w:num>
  <w:num w:numId="6">
    <w:abstractNumId w:val="6"/>
  </w:num>
  <w:num w:numId="7">
    <w:abstractNumId w:val="8"/>
  </w:num>
  <w:num w:numId="8">
    <w:abstractNumId w:val="10"/>
  </w:num>
  <w:num w:numId="9">
    <w:abstractNumId w:val="4"/>
  </w:num>
  <w:num w:numId="10">
    <w:abstractNumId w:val="0"/>
  </w:num>
  <w:num w:numId="11">
    <w:abstractNumId w:val="3"/>
  </w:num>
  <w:num w:numId="12">
    <w:abstractNumId w:val="3"/>
  </w:num>
  <w:num w:numId="13">
    <w:abstractNumId w:val="3"/>
  </w:num>
  <w:num w:numId="14">
    <w:abstractNumId w:val="3"/>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910BC"/>
    <w:rsid w:val="000449B4"/>
    <w:rsid w:val="0005086A"/>
    <w:rsid w:val="00054C4B"/>
    <w:rsid w:val="00067F31"/>
    <w:rsid w:val="00075910"/>
    <w:rsid w:val="00080026"/>
    <w:rsid w:val="000813BD"/>
    <w:rsid w:val="00083FBC"/>
    <w:rsid w:val="000867FF"/>
    <w:rsid w:val="00092472"/>
    <w:rsid w:val="0009569C"/>
    <w:rsid w:val="000A3826"/>
    <w:rsid w:val="000D2B33"/>
    <w:rsid w:val="000E1C75"/>
    <w:rsid w:val="001169FB"/>
    <w:rsid w:val="0012665C"/>
    <w:rsid w:val="0014406C"/>
    <w:rsid w:val="00164E11"/>
    <w:rsid w:val="00171F08"/>
    <w:rsid w:val="0017477F"/>
    <w:rsid w:val="00174E40"/>
    <w:rsid w:val="001D60D8"/>
    <w:rsid w:val="001F59C5"/>
    <w:rsid w:val="001F7964"/>
    <w:rsid w:val="0020127F"/>
    <w:rsid w:val="00204F63"/>
    <w:rsid w:val="00220AE0"/>
    <w:rsid w:val="0022170F"/>
    <w:rsid w:val="00234D95"/>
    <w:rsid w:val="0024283F"/>
    <w:rsid w:val="0025703C"/>
    <w:rsid w:val="002A000E"/>
    <w:rsid w:val="002B28C5"/>
    <w:rsid w:val="002C2564"/>
    <w:rsid w:val="002D0849"/>
    <w:rsid w:val="002D1EFE"/>
    <w:rsid w:val="002D5B64"/>
    <w:rsid w:val="002E46F1"/>
    <w:rsid w:val="002F1116"/>
    <w:rsid w:val="00304DEB"/>
    <w:rsid w:val="00323DF1"/>
    <w:rsid w:val="003317EC"/>
    <w:rsid w:val="00335A55"/>
    <w:rsid w:val="00336F26"/>
    <w:rsid w:val="00365A1E"/>
    <w:rsid w:val="00376FF1"/>
    <w:rsid w:val="003812B9"/>
    <w:rsid w:val="0039090B"/>
    <w:rsid w:val="003B4BBB"/>
    <w:rsid w:val="003D12D6"/>
    <w:rsid w:val="003D5361"/>
    <w:rsid w:val="003F010B"/>
    <w:rsid w:val="003F7522"/>
    <w:rsid w:val="00406F78"/>
    <w:rsid w:val="00410588"/>
    <w:rsid w:val="00434BDE"/>
    <w:rsid w:val="00445F2C"/>
    <w:rsid w:val="00446EA1"/>
    <w:rsid w:val="00462CBB"/>
    <w:rsid w:val="00465B83"/>
    <w:rsid w:val="00490932"/>
    <w:rsid w:val="00491ACF"/>
    <w:rsid w:val="00494EE1"/>
    <w:rsid w:val="004A3A48"/>
    <w:rsid w:val="004C4EE0"/>
    <w:rsid w:val="004D202F"/>
    <w:rsid w:val="004E09B5"/>
    <w:rsid w:val="004E30A8"/>
    <w:rsid w:val="004F1F3A"/>
    <w:rsid w:val="005115B2"/>
    <w:rsid w:val="005176C6"/>
    <w:rsid w:val="00517AFA"/>
    <w:rsid w:val="0053148A"/>
    <w:rsid w:val="00573235"/>
    <w:rsid w:val="00591446"/>
    <w:rsid w:val="005C1DE3"/>
    <w:rsid w:val="005D11D1"/>
    <w:rsid w:val="005D3C88"/>
    <w:rsid w:val="005F45C3"/>
    <w:rsid w:val="005F793E"/>
    <w:rsid w:val="00604699"/>
    <w:rsid w:val="00615C14"/>
    <w:rsid w:val="006164E1"/>
    <w:rsid w:val="00624C6D"/>
    <w:rsid w:val="0065291B"/>
    <w:rsid w:val="006609FB"/>
    <w:rsid w:val="00681EB1"/>
    <w:rsid w:val="0069311C"/>
    <w:rsid w:val="006937B9"/>
    <w:rsid w:val="006A0D97"/>
    <w:rsid w:val="006B32B7"/>
    <w:rsid w:val="006B3FE1"/>
    <w:rsid w:val="006C6C26"/>
    <w:rsid w:val="006D2C19"/>
    <w:rsid w:val="006E5355"/>
    <w:rsid w:val="006F22F6"/>
    <w:rsid w:val="006F3E3F"/>
    <w:rsid w:val="00754CB7"/>
    <w:rsid w:val="007651B0"/>
    <w:rsid w:val="007654CE"/>
    <w:rsid w:val="0076794C"/>
    <w:rsid w:val="0077561E"/>
    <w:rsid w:val="007838EE"/>
    <w:rsid w:val="0079113E"/>
    <w:rsid w:val="007B0D74"/>
    <w:rsid w:val="007B6E58"/>
    <w:rsid w:val="007D0248"/>
    <w:rsid w:val="007E33AF"/>
    <w:rsid w:val="007E519F"/>
    <w:rsid w:val="007F38E2"/>
    <w:rsid w:val="007F7819"/>
    <w:rsid w:val="0081789E"/>
    <w:rsid w:val="00820D9C"/>
    <w:rsid w:val="0083043C"/>
    <w:rsid w:val="00853B46"/>
    <w:rsid w:val="00871DE2"/>
    <w:rsid w:val="0088319A"/>
    <w:rsid w:val="008B3E59"/>
    <w:rsid w:val="008D04D2"/>
    <w:rsid w:val="008D3B70"/>
    <w:rsid w:val="008D3F5F"/>
    <w:rsid w:val="008E6CE1"/>
    <w:rsid w:val="008F0F94"/>
    <w:rsid w:val="00907A87"/>
    <w:rsid w:val="009135EF"/>
    <w:rsid w:val="00950B14"/>
    <w:rsid w:val="009700CD"/>
    <w:rsid w:val="009846A3"/>
    <w:rsid w:val="00995506"/>
    <w:rsid w:val="009A1D2C"/>
    <w:rsid w:val="009D15C2"/>
    <w:rsid w:val="009E7878"/>
    <w:rsid w:val="009F0FE5"/>
    <w:rsid w:val="00A12F9B"/>
    <w:rsid w:val="00A3456F"/>
    <w:rsid w:val="00A55EB4"/>
    <w:rsid w:val="00A56CF2"/>
    <w:rsid w:val="00A60704"/>
    <w:rsid w:val="00A83A74"/>
    <w:rsid w:val="00A8452C"/>
    <w:rsid w:val="00A9225C"/>
    <w:rsid w:val="00A9613B"/>
    <w:rsid w:val="00AA3A04"/>
    <w:rsid w:val="00AD020C"/>
    <w:rsid w:val="00AE6D64"/>
    <w:rsid w:val="00B01529"/>
    <w:rsid w:val="00B104EA"/>
    <w:rsid w:val="00B112C8"/>
    <w:rsid w:val="00B40E1C"/>
    <w:rsid w:val="00B55A5E"/>
    <w:rsid w:val="00B845E7"/>
    <w:rsid w:val="00B908AD"/>
    <w:rsid w:val="00B9096D"/>
    <w:rsid w:val="00B97461"/>
    <w:rsid w:val="00BC3FE8"/>
    <w:rsid w:val="00BE0095"/>
    <w:rsid w:val="00BE0D86"/>
    <w:rsid w:val="00BE7C2A"/>
    <w:rsid w:val="00BF1051"/>
    <w:rsid w:val="00C22400"/>
    <w:rsid w:val="00C351CC"/>
    <w:rsid w:val="00C4415B"/>
    <w:rsid w:val="00C502FD"/>
    <w:rsid w:val="00C548E9"/>
    <w:rsid w:val="00C55246"/>
    <w:rsid w:val="00C82663"/>
    <w:rsid w:val="00C83670"/>
    <w:rsid w:val="00CD35C2"/>
    <w:rsid w:val="00CE0701"/>
    <w:rsid w:val="00CE1387"/>
    <w:rsid w:val="00CE51DE"/>
    <w:rsid w:val="00CF309C"/>
    <w:rsid w:val="00D11C24"/>
    <w:rsid w:val="00D125DB"/>
    <w:rsid w:val="00D25D34"/>
    <w:rsid w:val="00D3163B"/>
    <w:rsid w:val="00D31A71"/>
    <w:rsid w:val="00D34375"/>
    <w:rsid w:val="00D40257"/>
    <w:rsid w:val="00D510DC"/>
    <w:rsid w:val="00D5388E"/>
    <w:rsid w:val="00D565A6"/>
    <w:rsid w:val="00D605D1"/>
    <w:rsid w:val="00D852EB"/>
    <w:rsid w:val="00D954D7"/>
    <w:rsid w:val="00D96E50"/>
    <w:rsid w:val="00D97143"/>
    <w:rsid w:val="00DA36BB"/>
    <w:rsid w:val="00DB42AF"/>
    <w:rsid w:val="00DC015F"/>
    <w:rsid w:val="00DC0246"/>
    <w:rsid w:val="00DD54E0"/>
    <w:rsid w:val="00DE1D55"/>
    <w:rsid w:val="00DE42A7"/>
    <w:rsid w:val="00DF2DF3"/>
    <w:rsid w:val="00E45613"/>
    <w:rsid w:val="00E5556D"/>
    <w:rsid w:val="00E56089"/>
    <w:rsid w:val="00EE00BA"/>
    <w:rsid w:val="00EE6E72"/>
    <w:rsid w:val="00F030A6"/>
    <w:rsid w:val="00F42ECF"/>
    <w:rsid w:val="00F64303"/>
    <w:rsid w:val="00F74E31"/>
    <w:rsid w:val="00F75257"/>
    <w:rsid w:val="00F910BC"/>
    <w:rsid w:val="00F91457"/>
    <w:rsid w:val="00FA2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4_G,16 Point,Superscript 6 Point,Ref,de nota al pie"/>
    <w:rPr>
      <w:b/>
      <w:vertAlign w:val="superscript"/>
    </w:rPr>
  </w:style>
  <w:style w:type="paragraph" w:styleId="FootnoteText">
    <w:name w:val="footnote text"/>
    <w:aliases w:val="5_G,Geneva 9,Font: Geneva 9,Boston 10,f,fn,footnote text,Footnotes,Footnote ak"/>
    <w:basedOn w:val="Normal"/>
    <w:link w:val="FootnoteTextChar"/>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customStyle="1" w:styleId="NormalCentered">
    <w:name w:val="Normal Centered"/>
    <w:basedOn w:val="Normal"/>
    <w:rsid w:val="00494EE1"/>
    <w:pPr>
      <w:widowControl/>
      <w:spacing w:before="200" w:after="120"/>
      <w:jc w:val="center"/>
    </w:pPr>
    <w:rPr>
      <w:szCs w:val="24"/>
      <w:lang w:eastAsia="en-US"/>
    </w:rPr>
  </w:style>
  <w:style w:type="paragraph" w:customStyle="1" w:styleId="FooterCouncil">
    <w:name w:val="Footer Council"/>
    <w:basedOn w:val="Normal"/>
    <w:rsid w:val="00494EE1"/>
    <w:pPr>
      <w:widowControl/>
      <w:spacing w:line="240" w:lineRule="auto"/>
    </w:pPr>
    <w:rPr>
      <w:sz w:val="2"/>
      <w:szCs w:val="24"/>
      <w:lang w:eastAsia="en-US"/>
    </w:rPr>
  </w:style>
  <w:style w:type="paragraph" w:styleId="BalloonText">
    <w:name w:val="Balloon Text"/>
    <w:basedOn w:val="Normal"/>
    <w:semiHidden/>
    <w:rsid w:val="007D0248"/>
    <w:rPr>
      <w:rFonts w:ascii="Tahoma" w:hAnsi="Tahoma" w:cs="Tahoma"/>
      <w:sz w:val="16"/>
      <w:szCs w:val="16"/>
    </w:rPr>
  </w:style>
  <w:style w:type="paragraph" w:customStyle="1" w:styleId="Annex">
    <w:name w:val="Annex"/>
    <w:basedOn w:val="Normal"/>
    <w:next w:val="Normal"/>
    <w:rsid w:val="00494EE1"/>
    <w:pPr>
      <w:widowControl/>
      <w:spacing w:before="120" w:after="120"/>
      <w:jc w:val="right"/>
    </w:pPr>
    <w:rPr>
      <w:b/>
      <w:szCs w:val="24"/>
      <w:u w:val="single"/>
      <w:lang w:eastAsia="en-US"/>
    </w:rPr>
  </w:style>
  <w:style w:type="paragraph" w:customStyle="1" w:styleId="HeaderCouncilLarge">
    <w:name w:val="Header Council Large"/>
    <w:basedOn w:val="Normal"/>
    <w:link w:val="HeaderCouncilLargeChar"/>
    <w:rsid w:val="00494EE1"/>
    <w:pPr>
      <w:widowControl/>
      <w:spacing w:after="440"/>
      <w:ind w:left="-1134" w:right="-1134"/>
    </w:pPr>
    <w:rPr>
      <w:sz w:val="2"/>
      <w:szCs w:val="24"/>
      <w:lang w:eastAsia="en-US"/>
    </w:rPr>
  </w:style>
  <w:style w:type="character" w:customStyle="1" w:styleId="HeaderCouncilLargeChar">
    <w:name w:val="Header Council Large Char"/>
    <w:link w:val="HeaderCouncilLarge"/>
    <w:rsid w:val="00494EE1"/>
    <w:rPr>
      <w:sz w:val="2"/>
      <w:szCs w:val="24"/>
      <w:lang w:eastAsia="en-US"/>
    </w:rPr>
  </w:style>
  <w:style w:type="paragraph" w:customStyle="1" w:styleId="FooterText">
    <w:name w:val="Footer Text"/>
    <w:basedOn w:val="Normal"/>
    <w:rsid w:val="00494EE1"/>
    <w:pPr>
      <w:widowControl/>
      <w:spacing w:line="240" w:lineRule="auto"/>
    </w:pPr>
    <w:rPr>
      <w:szCs w:val="24"/>
      <w:lang w:eastAsia="en-US"/>
    </w:rPr>
  </w:style>
  <w:style w:type="character" w:customStyle="1" w:styleId="FootnoteTextChar">
    <w:name w:val="Footnote Text Char"/>
    <w:aliases w:val="5_G Char,Geneva 9 Char,Font: Geneva 9 Char,Boston 10 Char,f Char,fn Char,footnote text Char,Footnotes Char,Footnote ak Char"/>
    <w:link w:val="FootnoteText"/>
    <w:rsid w:val="00494EE1"/>
    <w:rPr>
      <w:sz w:val="24"/>
      <w:lang w:eastAsia="fr-BE"/>
    </w:rPr>
  </w:style>
  <w:style w:type="paragraph" w:customStyle="1" w:styleId="TableTitle">
    <w:name w:val="Table Title"/>
    <w:basedOn w:val="Normal"/>
    <w:next w:val="Normal"/>
    <w:rsid w:val="00494EE1"/>
    <w:pPr>
      <w:widowControl/>
      <w:spacing w:before="120" w:after="120" w:line="240" w:lineRule="auto"/>
      <w:jc w:val="center"/>
    </w:pPr>
    <w:rPr>
      <w:b/>
      <w:szCs w:val="24"/>
      <w:lang w:eastAsia="en-US"/>
    </w:rPr>
  </w:style>
  <w:style w:type="paragraph" w:customStyle="1" w:styleId="RegHChG">
    <w:name w:val="Reg_H__Ch_G"/>
    <w:basedOn w:val="Normal"/>
    <w:next w:val="RegH1G"/>
    <w:rsid w:val="00494EE1"/>
    <w:pPr>
      <w:keepNext/>
      <w:keepLines/>
      <w:widowControl/>
      <w:numPr>
        <w:numId w:val="15"/>
      </w:numPr>
      <w:suppressAutoHyphens/>
      <w:spacing w:before="360" w:after="240" w:line="300" w:lineRule="exact"/>
      <w:ind w:right="1134"/>
    </w:pPr>
    <w:rPr>
      <w:rFonts w:eastAsia="SimSun"/>
      <w:b/>
      <w:sz w:val="28"/>
      <w:lang w:eastAsia="zh-CN"/>
    </w:rPr>
  </w:style>
  <w:style w:type="paragraph" w:customStyle="1" w:styleId="RegH1G">
    <w:name w:val="Reg_H_1_G"/>
    <w:basedOn w:val="Normal"/>
    <w:next w:val="RegH23G"/>
    <w:rsid w:val="00494EE1"/>
    <w:pPr>
      <w:keepNext/>
      <w:keepLines/>
      <w:widowControl/>
      <w:numPr>
        <w:ilvl w:val="1"/>
        <w:numId w:val="15"/>
      </w:numPr>
      <w:suppressAutoHyphens/>
      <w:spacing w:before="360" w:after="240" w:line="270" w:lineRule="exact"/>
      <w:ind w:right="1134"/>
    </w:pPr>
    <w:rPr>
      <w:rFonts w:eastAsia="SimSun"/>
      <w:b/>
      <w:lang w:eastAsia="zh-CN"/>
    </w:rPr>
  </w:style>
  <w:style w:type="paragraph" w:customStyle="1" w:styleId="RegH23G">
    <w:name w:val="Reg_H_2/3_G"/>
    <w:basedOn w:val="Normal"/>
    <w:next w:val="RegSingleTxtG"/>
    <w:rsid w:val="00494EE1"/>
    <w:pPr>
      <w:keepNext/>
      <w:keepLines/>
      <w:widowControl/>
      <w:numPr>
        <w:ilvl w:val="2"/>
        <w:numId w:val="15"/>
      </w:numPr>
      <w:suppressAutoHyphens/>
      <w:spacing w:before="240" w:after="120" w:line="240" w:lineRule="exact"/>
      <w:ind w:right="1134"/>
    </w:pPr>
    <w:rPr>
      <w:rFonts w:eastAsia="SimSun"/>
      <w:b/>
      <w:sz w:val="20"/>
      <w:lang w:eastAsia="zh-CN"/>
    </w:rPr>
  </w:style>
  <w:style w:type="paragraph" w:customStyle="1" w:styleId="RegSingleTxtG">
    <w:name w:val="Reg_Single Txt_G"/>
    <w:basedOn w:val="Normal"/>
    <w:link w:val="RegSingleTxtGChar"/>
    <w:rsid w:val="00494EE1"/>
    <w:pPr>
      <w:widowControl/>
      <w:numPr>
        <w:ilvl w:val="3"/>
        <w:numId w:val="15"/>
      </w:numPr>
      <w:tabs>
        <w:tab w:val="left" w:pos="1701"/>
      </w:tabs>
      <w:suppressAutoHyphens/>
      <w:spacing w:after="120" w:line="240" w:lineRule="atLeast"/>
      <w:ind w:right="1134"/>
      <w:jc w:val="both"/>
    </w:pPr>
    <w:rPr>
      <w:rFonts w:eastAsia="SimSun"/>
      <w:sz w:val="20"/>
      <w:lang w:eastAsia="zh-CN"/>
    </w:rPr>
  </w:style>
  <w:style w:type="character" w:customStyle="1" w:styleId="RegSingleTxtGChar">
    <w:name w:val="Reg_Single Txt_G Char"/>
    <w:link w:val="RegSingleTxtG"/>
    <w:rsid w:val="00494EE1"/>
    <w:rPr>
      <w:rFonts w:eastAsia="SimSun"/>
      <w:lang w:eastAsia="zh-CN"/>
    </w:rPr>
  </w:style>
  <w:style w:type="character" w:customStyle="1" w:styleId="FooterChar">
    <w:name w:val="Footer Char"/>
    <w:link w:val="Footer"/>
    <w:uiPriority w:val="99"/>
    <w:rsid w:val="007E519F"/>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4_G,16 Point,Superscript 6 Point,Ref,de nota al pie"/>
    <w:rPr>
      <w:b/>
      <w:vertAlign w:val="superscript"/>
    </w:rPr>
  </w:style>
  <w:style w:type="paragraph" w:styleId="FootnoteText">
    <w:name w:val="footnote text"/>
    <w:aliases w:val="5_G,Geneva 9,Font: Geneva 9,Boston 10,f,fn,footnote text,Footnotes,Footnote ak"/>
    <w:basedOn w:val="Normal"/>
    <w:link w:val="FootnoteTextChar"/>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customStyle="1" w:styleId="NormalCentered">
    <w:name w:val="Normal Centered"/>
    <w:basedOn w:val="Normal"/>
    <w:rsid w:val="00494EE1"/>
    <w:pPr>
      <w:widowControl/>
      <w:spacing w:before="200" w:after="120"/>
      <w:jc w:val="center"/>
    </w:pPr>
    <w:rPr>
      <w:szCs w:val="24"/>
      <w:lang w:eastAsia="en-US"/>
    </w:rPr>
  </w:style>
  <w:style w:type="paragraph" w:customStyle="1" w:styleId="FooterCouncil">
    <w:name w:val="Footer Council"/>
    <w:basedOn w:val="Normal"/>
    <w:rsid w:val="00494EE1"/>
    <w:pPr>
      <w:widowControl/>
      <w:spacing w:line="240" w:lineRule="auto"/>
    </w:pPr>
    <w:rPr>
      <w:sz w:val="2"/>
      <w:szCs w:val="24"/>
      <w:lang w:eastAsia="en-US"/>
    </w:rPr>
  </w:style>
  <w:style w:type="paragraph" w:styleId="BalloonText">
    <w:name w:val="Balloon Text"/>
    <w:basedOn w:val="Normal"/>
    <w:semiHidden/>
    <w:rsid w:val="007D0248"/>
    <w:rPr>
      <w:rFonts w:ascii="Tahoma" w:hAnsi="Tahoma" w:cs="Tahoma"/>
      <w:sz w:val="16"/>
      <w:szCs w:val="16"/>
    </w:rPr>
  </w:style>
  <w:style w:type="paragraph" w:customStyle="1" w:styleId="Annex">
    <w:name w:val="Annex"/>
    <w:basedOn w:val="Normal"/>
    <w:next w:val="Normal"/>
    <w:rsid w:val="00494EE1"/>
    <w:pPr>
      <w:widowControl/>
      <w:spacing w:before="120" w:after="120"/>
      <w:jc w:val="right"/>
    </w:pPr>
    <w:rPr>
      <w:b/>
      <w:szCs w:val="24"/>
      <w:u w:val="single"/>
      <w:lang w:eastAsia="en-US"/>
    </w:rPr>
  </w:style>
  <w:style w:type="paragraph" w:customStyle="1" w:styleId="HeaderCouncilLarge">
    <w:name w:val="Header Council Large"/>
    <w:basedOn w:val="Normal"/>
    <w:link w:val="HeaderCouncilLargeChar"/>
    <w:rsid w:val="00494EE1"/>
    <w:pPr>
      <w:widowControl/>
      <w:spacing w:after="440"/>
      <w:ind w:left="-1134" w:right="-1134"/>
    </w:pPr>
    <w:rPr>
      <w:sz w:val="2"/>
      <w:szCs w:val="24"/>
      <w:lang w:eastAsia="en-US"/>
    </w:rPr>
  </w:style>
  <w:style w:type="character" w:customStyle="1" w:styleId="HeaderCouncilLargeChar">
    <w:name w:val="Header Council Large Char"/>
    <w:link w:val="HeaderCouncilLarge"/>
    <w:rsid w:val="00494EE1"/>
    <w:rPr>
      <w:sz w:val="2"/>
      <w:szCs w:val="24"/>
      <w:lang w:eastAsia="en-US"/>
    </w:rPr>
  </w:style>
  <w:style w:type="paragraph" w:customStyle="1" w:styleId="FooterText">
    <w:name w:val="Footer Text"/>
    <w:basedOn w:val="Normal"/>
    <w:rsid w:val="00494EE1"/>
    <w:pPr>
      <w:widowControl/>
      <w:spacing w:line="240" w:lineRule="auto"/>
    </w:pPr>
    <w:rPr>
      <w:szCs w:val="24"/>
      <w:lang w:eastAsia="en-US"/>
    </w:rPr>
  </w:style>
  <w:style w:type="character" w:customStyle="1" w:styleId="FootnoteTextChar">
    <w:name w:val="Footnote Text Char"/>
    <w:aliases w:val="5_G Char,Geneva 9 Char,Font: Geneva 9 Char,Boston 10 Char,f Char,fn Char,footnote text Char,Footnotes Char,Footnote ak Char"/>
    <w:link w:val="FootnoteText"/>
    <w:rsid w:val="00494EE1"/>
    <w:rPr>
      <w:sz w:val="24"/>
      <w:lang w:eastAsia="fr-BE"/>
    </w:rPr>
  </w:style>
  <w:style w:type="paragraph" w:customStyle="1" w:styleId="TableTitle">
    <w:name w:val="Table Title"/>
    <w:basedOn w:val="Normal"/>
    <w:next w:val="Normal"/>
    <w:rsid w:val="00494EE1"/>
    <w:pPr>
      <w:widowControl/>
      <w:spacing w:before="120" w:after="120" w:line="240" w:lineRule="auto"/>
      <w:jc w:val="center"/>
    </w:pPr>
    <w:rPr>
      <w:b/>
      <w:szCs w:val="24"/>
      <w:lang w:eastAsia="en-US"/>
    </w:rPr>
  </w:style>
  <w:style w:type="paragraph" w:customStyle="1" w:styleId="RegHChG">
    <w:name w:val="Reg_H__Ch_G"/>
    <w:basedOn w:val="Normal"/>
    <w:next w:val="RegH1G"/>
    <w:rsid w:val="00494EE1"/>
    <w:pPr>
      <w:keepNext/>
      <w:keepLines/>
      <w:widowControl/>
      <w:numPr>
        <w:numId w:val="15"/>
      </w:numPr>
      <w:suppressAutoHyphens/>
      <w:spacing w:before="360" w:after="240" w:line="300" w:lineRule="exact"/>
      <w:ind w:right="1134"/>
    </w:pPr>
    <w:rPr>
      <w:rFonts w:eastAsia="SimSun"/>
      <w:b/>
      <w:sz w:val="28"/>
      <w:lang w:eastAsia="zh-CN"/>
    </w:rPr>
  </w:style>
  <w:style w:type="paragraph" w:customStyle="1" w:styleId="RegH1G">
    <w:name w:val="Reg_H_1_G"/>
    <w:basedOn w:val="Normal"/>
    <w:next w:val="RegH23G"/>
    <w:rsid w:val="00494EE1"/>
    <w:pPr>
      <w:keepNext/>
      <w:keepLines/>
      <w:widowControl/>
      <w:numPr>
        <w:ilvl w:val="1"/>
        <w:numId w:val="15"/>
      </w:numPr>
      <w:suppressAutoHyphens/>
      <w:spacing w:before="360" w:after="240" w:line="270" w:lineRule="exact"/>
      <w:ind w:right="1134"/>
    </w:pPr>
    <w:rPr>
      <w:rFonts w:eastAsia="SimSun"/>
      <w:b/>
      <w:lang w:eastAsia="zh-CN"/>
    </w:rPr>
  </w:style>
  <w:style w:type="paragraph" w:customStyle="1" w:styleId="RegH23G">
    <w:name w:val="Reg_H_2/3_G"/>
    <w:basedOn w:val="Normal"/>
    <w:next w:val="RegSingleTxtG"/>
    <w:rsid w:val="00494EE1"/>
    <w:pPr>
      <w:keepNext/>
      <w:keepLines/>
      <w:widowControl/>
      <w:numPr>
        <w:ilvl w:val="2"/>
        <w:numId w:val="15"/>
      </w:numPr>
      <w:suppressAutoHyphens/>
      <w:spacing w:before="240" w:after="120" w:line="240" w:lineRule="exact"/>
      <w:ind w:right="1134"/>
    </w:pPr>
    <w:rPr>
      <w:rFonts w:eastAsia="SimSun"/>
      <w:b/>
      <w:sz w:val="20"/>
      <w:lang w:eastAsia="zh-CN"/>
    </w:rPr>
  </w:style>
  <w:style w:type="paragraph" w:customStyle="1" w:styleId="RegSingleTxtG">
    <w:name w:val="Reg_Single Txt_G"/>
    <w:basedOn w:val="Normal"/>
    <w:link w:val="RegSingleTxtGChar"/>
    <w:rsid w:val="00494EE1"/>
    <w:pPr>
      <w:widowControl/>
      <w:numPr>
        <w:ilvl w:val="3"/>
        <w:numId w:val="15"/>
      </w:numPr>
      <w:tabs>
        <w:tab w:val="left" w:pos="1701"/>
      </w:tabs>
      <w:suppressAutoHyphens/>
      <w:spacing w:after="120" w:line="240" w:lineRule="atLeast"/>
      <w:ind w:right="1134"/>
      <w:jc w:val="both"/>
    </w:pPr>
    <w:rPr>
      <w:rFonts w:eastAsia="SimSun"/>
      <w:sz w:val="20"/>
      <w:lang w:eastAsia="zh-CN"/>
    </w:rPr>
  </w:style>
  <w:style w:type="character" w:customStyle="1" w:styleId="RegSingleTxtGChar">
    <w:name w:val="Reg_Single Txt_G Char"/>
    <w:link w:val="RegSingleTxtG"/>
    <w:rsid w:val="00494EE1"/>
    <w:rPr>
      <w:rFonts w:eastAsia="SimSun"/>
      <w:lang w:eastAsia="zh-CN"/>
    </w:rPr>
  </w:style>
  <w:style w:type="character" w:customStyle="1" w:styleId="FooterChar">
    <w:name w:val="Footer Char"/>
    <w:link w:val="Footer"/>
    <w:uiPriority w:val="99"/>
    <w:rsid w:val="007E519F"/>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7102-38B4-4325-8742-8FE647D0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13</TotalTime>
  <Pages>11</Pages>
  <Words>2277</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abbasro</dc:creator>
  <cp:lastModifiedBy>Helena Rimsa</cp:lastModifiedBy>
  <cp:revision>12</cp:revision>
  <cp:lastPrinted>2004-04-02T12:43:00Z</cp:lastPrinted>
  <dcterms:created xsi:type="dcterms:W3CDTF">2015-03-24T14:30:00Z</dcterms:created>
  <dcterms:modified xsi:type="dcterms:W3CDTF">2015-08-04T09:55:00Z</dcterms:modified>
</cp:coreProperties>
</file>