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F7E57" w14:textId="7DF8BEBC" w:rsidR="002F30BD" w:rsidRPr="00BC7E31" w:rsidRDefault="002F30BD" w:rsidP="00BC7E31">
      <w:pPr>
        <w:pStyle w:val="naiskr"/>
        <w:spacing w:before="0" w:after="0"/>
        <w:jc w:val="center"/>
        <w:rPr>
          <w:b/>
          <w:bCs/>
          <w:szCs w:val="28"/>
        </w:rPr>
      </w:pPr>
      <w:bookmarkStart w:id="0" w:name="OLE_LINK1"/>
      <w:r w:rsidRPr="00BC7E31">
        <w:rPr>
          <w:b/>
          <w:bCs/>
          <w:szCs w:val="28"/>
        </w:rPr>
        <w:t>Ministru kabineta noteikumu projekta</w:t>
      </w:r>
      <w:bookmarkEnd w:id="0"/>
      <w:r w:rsidRPr="00BC7E31">
        <w:rPr>
          <w:b/>
          <w:bCs/>
          <w:szCs w:val="28"/>
        </w:rPr>
        <w:t xml:space="preserve"> „</w:t>
      </w:r>
      <w:r w:rsidR="00552B5D" w:rsidRPr="00BC7E31">
        <w:rPr>
          <w:b/>
          <w:bCs/>
          <w:szCs w:val="28"/>
        </w:rPr>
        <w:t xml:space="preserve">Grozījumi Ministru kabineta </w:t>
      </w:r>
      <w:proofErr w:type="gramStart"/>
      <w:r w:rsidR="00552B5D" w:rsidRPr="00BC7E31">
        <w:rPr>
          <w:b/>
          <w:bCs/>
          <w:szCs w:val="28"/>
        </w:rPr>
        <w:t>2015.gada</w:t>
      </w:r>
      <w:proofErr w:type="gramEnd"/>
      <w:r w:rsidR="00552B5D" w:rsidRPr="00BC7E31">
        <w:rPr>
          <w:b/>
          <w:bCs/>
          <w:szCs w:val="28"/>
        </w:rPr>
        <w:t xml:space="preserve"> 3.februāra noteikumos Nr.59 „Valsts un Eiropas Savienības atbalsta piešķiršanas kārtība investīciju veicināšanai lauksaimniecībā”</w:t>
      </w:r>
      <w:r w:rsidRPr="00BC7E31">
        <w:rPr>
          <w:b/>
          <w:bCs/>
          <w:szCs w:val="28"/>
        </w:rPr>
        <w:t xml:space="preserve">” sākotnējās ietekmes novērtējuma </w:t>
      </w:r>
      <w:smartTag w:uri="schemas-tilde-lv/tildestengine" w:element="veidnes">
        <w:smartTagPr>
          <w:attr w:name="id" w:val="-1"/>
          <w:attr w:name="baseform" w:val="ziņojums"/>
          <w:attr w:name="text" w:val="ziņojums"/>
        </w:smartTagPr>
        <w:r w:rsidRPr="00BC7E31">
          <w:rPr>
            <w:b/>
            <w:bCs/>
            <w:szCs w:val="28"/>
          </w:rPr>
          <w:t>ziņojums</w:t>
        </w:r>
      </w:smartTag>
      <w:r w:rsidRPr="00BC7E31">
        <w:rPr>
          <w:b/>
          <w:bCs/>
          <w:szCs w:val="28"/>
        </w:rPr>
        <w:t xml:space="preserve">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2828"/>
        <w:gridCol w:w="5797"/>
      </w:tblGrid>
      <w:tr w:rsidR="002F30BD" w:rsidRPr="00ED22C8" w14:paraId="3C85D587" w14:textId="77777777" w:rsidTr="00375CF6">
        <w:trPr>
          <w:trHeight w:val="419"/>
        </w:trPr>
        <w:tc>
          <w:tcPr>
            <w:tcW w:w="5000" w:type="pct"/>
            <w:gridSpan w:val="3"/>
            <w:vAlign w:val="center"/>
          </w:tcPr>
          <w:p w14:paraId="1A5EA8FE" w14:textId="77777777" w:rsidR="002F30BD" w:rsidRPr="00DD49B6" w:rsidRDefault="002F30BD" w:rsidP="00BC7E31">
            <w:pPr>
              <w:pStyle w:val="naisnod"/>
              <w:spacing w:before="0" w:beforeAutospacing="0" w:after="0" w:afterAutospacing="0"/>
              <w:ind w:left="57" w:right="57"/>
              <w:jc w:val="center"/>
              <w:rPr>
                <w:b/>
              </w:rPr>
            </w:pPr>
            <w:r w:rsidRPr="00DD49B6">
              <w:rPr>
                <w:b/>
              </w:rPr>
              <w:t>I. Tiesību akta projekta izstrādes nepieciešamība</w:t>
            </w:r>
          </w:p>
        </w:tc>
      </w:tr>
      <w:tr w:rsidR="002F30BD" w:rsidRPr="00ED22C8" w14:paraId="4EAAE50C" w14:textId="77777777" w:rsidTr="00375CF6">
        <w:trPr>
          <w:trHeight w:val="415"/>
        </w:trPr>
        <w:tc>
          <w:tcPr>
            <w:tcW w:w="227" w:type="pct"/>
          </w:tcPr>
          <w:p w14:paraId="755D758B" w14:textId="77777777" w:rsidR="002F30BD" w:rsidRPr="00DD49B6" w:rsidRDefault="002F30BD" w:rsidP="00BC7E31">
            <w:pPr>
              <w:pStyle w:val="naiskr"/>
              <w:spacing w:before="0" w:beforeAutospacing="0" w:after="0" w:afterAutospacing="0"/>
              <w:ind w:left="57" w:right="57"/>
              <w:jc w:val="center"/>
            </w:pPr>
            <w:r w:rsidRPr="00DD49B6">
              <w:t>1.</w:t>
            </w:r>
          </w:p>
        </w:tc>
        <w:tc>
          <w:tcPr>
            <w:tcW w:w="1565" w:type="pct"/>
          </w:tcPr>
          <w:p w14:paraId="1D734165" w14:textId="77777777" w:rsidR="002F30BD" w:rsidRPr="00DD49B6" w:rsidRDefault="002F30BD" w:rsidP="00BC7E31">
            <w:pPr>
              <w:pStyle w:val="naiskr"/>
              <w:spacing w:before="0" w:beforeAutospacing="0" w:after="0" w:afterAutospacing="0"/>
              <w:ind w:left="57" w:right="57"/>
            </w:pPr>
            <w:r w:rsidRPr="00DD49B6">
              <w:t>Pamatojums</w:t>
            </w:r>
          </w:p>
        </w:tc>
        <w:tc>
          <w:tcPr>
            <w:tcW w:w="3208" w:type="pct"/>
          </w:tcPr>
          <w:p w14:paraId="69A088BF" w14:textId="5BF6997C" w:rsidR="002F30BD" w:rsidRPr="000D0E55" w:rsidRDefault="00552B5D" w:rsidP="00BC7E31">
            <w:pPr>
              <w:spacing w:after="0" w:line="240" w:lineRule="auto"/>
              <w:ind w:left="57" w:right="57"/>
              <w:jc w:val="both"/>
              <w:rPr>
                <w:rFonts w:ascii="Times New Roman" w:hAnsi="Times New Roman"/>
                <w:color w:val="000000"/>
                <w:sz w:val="24"/>
                <w:szCs w:val="24"/>
              </w:rPr>
            </w:pPr>
            <w:r w:rsidRPr="00EC59B6">
              <w:rPr>
                <w:rFonts w:ascii="Times New Roman" w:hAnsi="Times New Roman"/>
                <w:sz w:val="24"/>
              </w:rPr>
              <w:t>Lauksaimniecības un lauku attīstības likuma 5.panta 3</w:t>
            </w:r>
            <w:r>
              <w:rPr>
                <w:rFonts w:ascii="Times New Roman" w:hAnsi="Times New Roman"/>
                <w:sz w:val="24"/>
              </w:rPr>
              <w:t>.</w:t>
            </w:r>
            <w:r w:rsidRPr="00265894">
              <w:rPr>
                <w:rFonts w:ascii="Times New Roman" w:hAnsi="Times New Roman"/>
                <w:sz w:val="24"/>
                <w:vertAlign w:val="superscript"/>
              </w:rPr>
              <w:t>1</w:t>
            </w:r>
            <w:r w:rsidRPr="00EC59B6">
              <w:rPr>
                <w:rFonts w:ascii="Times New Roman" w:hAnsi="Times New Roman"/>
                <w:sz w:val="24"/>
              </w:rPr>
              <w:t xml:space="preserve"> un ceturt</w:t>
            </w:r>
            <w:r w:rsidR="00834CEF">
              <w:rPr>
                <w:rFonts w:ascii="Times New Roman" w:hAnsi="Times New Roman"/>
                <w:sz w:val="24"/>
              </w:rPr>
              <w:t>ā</w:t>
            </w:r>
            <w:r w:rsidRPr="00EC59B6">
              <w:rPr>
                <w:rFonts w:ascii="Times New Roman" w:hAnsi="Times New Roman"/>
                <w:sz w:val="24"/>
              </w:rPr>
              <w:t xml:space="preserve"> daļ</w:t>
            </w:r>
            <w:r w:rsidR="00834CEF">
              <w:rPr>
                <w:rFonts w:ascii="Times New Roman" w:hAnsi="Times New Roman"/>
                <w:sz w:val="24"/>
              </w:rPr>
              <w:t>a</w:t>
            </w:r>
          </w:p>
        </w:tc>
      </w:tr>
      <w:tr w:rsidR="002F30BD" w:rsidRPr="00ED22C8" w14:paraId="433721AA" w14:textId="77777777" w:rsidTr="00375CF6">
        <w:trPr>
          <w:trHeight w:val="472"/>
        </w:trPr>
        <w:tc>
          <w:tcPr>
            <w:tcW w:w="227" w:type="pct"/>
          </w:tcPr>
          <w:p w14:paraId="0D21D926" w14:textId="77777777" w:rsidR="002F30BD" w:rsidRPr="00DD49B6" w:rsidRDefault="002F30BD" w:rsidP="00BC7E31">
            <w:pPr>
              <w:pStyle w:val="naiskr"/>
              <w:spacing w:before="0" w:beforeAutospacing="0" w:after="0" w:afterAutospacing="0"/>
              <w:ind w:left="57" w:right="57"/>
              <w:jc w:val="center"/>
            </w:pPr>
            <w:r w:rsidRPr="00DD49B6">
              <w:t>2.</w:t>
            </w:r>
          </w:p>
        </w:tc>
        <w:tc>
          <w:tcPr>
            <w:tcW w:w="1565" w:type="pct"/>
          </w:tcPr>
          <w:p w14:paraId="66944DD6" w14:textId="77777777" w:rsidR="002F30BD" w:rsidRPr="00DD49B6" w:rsidRDefault="002F30BD" w:rsidP="00BC7E31">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14:paraId="04ADEDA3" w14:textId="0F722500" w:rsidR="00EA2ED3" w:rsidRDefault="003B6482" w:rsidP="00BC7E31">
            <w:pPr>
              <w:spacing w:after="0" w:line="240" w:lineRule="auto"/>
              <w:ind w:left="57" w:right="57"/>
              <w:jc w:val="both"/>
              <w:rPr>
                <w:rFonts w:ascii="Times New Roman" w:hAnsi="Times New Roman"/>
                <w:sz w:val="24"/>
              </w:rPr>
            </w:pPr>
            <w:r>
              <w:rPr>
                <w:rFonts w:ascii="Times New Roman" w:hAnsi="Times New Roman"/>
                <w:sz w:val="24"/>
              </w:rPr>
              <w:t>S</w:t>
            </w:r>
            <w:r w:rsidR="00EA2ED3">
              <w:rPr>
                <w:rFonts w:ascii="Times New Roman" w:hAnsi="Times New Roman"/>
                <w:sz w:val="24"/>
              </w:rPr>
              <w:t>pēkā esoši</w:t>
            </w:r>
            <w:r w:rsidR="00915DD3">
              <w:rPr>
                <w:rFonts w:ascii="Times New Roman" w:hAnsi="Times New Roman"/>
                <w:sz w:val="24"/>
              </w:rPr>
              <w:t>e</w:t>
            </w:r>
            <w:r w:rsidR="00834CEF">
              <w:rPr>
                <w:rFonts w:ascii="Times New Roman" w:hAnsi="Times New Roman"/>
                <w:sz w:val="24"/>
              </w:rPr>
              <w:t xml:space="preserve"> </w:t>
            </w:r>
            <w:r w:rsidR="00834CEF" w:rsidRPr="00834CEF">
              <w:rPr>
                <w:rFonts w:ascii="Times New Roman" w:hAnsi="Times New Roman"/>
                <w:sz w:val="24"/>
              </w:rPr>
              <w:t>Ministru kabineta</w:t>
            </w:r>
            <w:r w:rsidR="00834CEF">
              <w:rPr>
                <w:rFonts w:ascii="Times New Roman" w:hAnsi="Times New Roman"/>
                <w:sz w:val="24"/>
              </w:rPr>
              <w:t xml:space="preserve"> 2015.gada 3.februāra noteikumi</w:t>
            </w:r>
            <w:r w:rsidR="00834CEF" w:rsidRPr="00834CEF">
              <w:rPr>
                <w:rFonts w:ascii="Times New Roman" w:hAnsi="Times New Roman"/>
                <w:sz w:val="24"/>
              </w:rPr>
              <w:t xml:space="preserve"> Nr.59 „Valsts un Eiropas Savienības atbalsta piešķiršanas kārtība investīcij</w:t>
            </w:r>
            <w:r w:rsidR="00834CEF">
              <w:rPr>
                <w:rFonts w:ascii="Times New Roman" w:hAnsi="Times New Roman"/>
                <w:sz w:val="24"/>
              </w:rPr>
              <w:t>u veicināšanai lauksaimniecībā”</w:t>
            </w:r>
            <w:r w:rsidR="00834CEF" w:rsidRPr="00834CEF">
              <w:rPr>
                <w:rFonts w:ascii="Times New Roman" w:hAnsi="Times New Roman"/>
                <w:sz w:val="24"/>
              </w:rPr>
              <w:t xml:space="preserve"> </w:t>
            </w:r>
            <w:r w:rsidR="00834CEF">
              <w:rPr>
                <w:rFonts w:ascii="Times New Roman" w:hAnsi="Times New Roman"/>
                <w:sz w:val="24"/>
              </w:rPr>
              <w:t>(turpmāk</w:t>
            </w:r>
            <w:r>
              <w:rPr>
                <w:rFonts w:ascii="Times New Roman" w:hAnsi="Times New Roman"/>
                <w:sz w:val="24"/>
              </w:rPr>
              <w:t xml:space="preserve"> – n</w:t>
            </w:r>
            <w:r w:rsidR="00834CEF">
              <w:rPr>
                <w:rFonts w:ascii="Times New Roman" w:hAnsi="Times New Roman"/>
                <w:sz w:val="24"/>
              </w:rPr>
              <w:t>oteikumi Nr.59)</w:t>
            </w:r>
            <w:r w:rsidR="00834CEF">
              <w:t xml:space="preserve"> </w:t>
            </w:r>
            <w:r w:rsidR="00834CEF" w:rsidRPr="00834CEF">
              <w:rPr>
                <w:rFonts w:ascii="Times New Roman" w:hAnsi="Times New Roman"/>
                <w:sz w:val="24"/>
              </w:rPr>
              <w:t>nosaka kārtību, kādā piešķir valsts un Eiropas Savienības atbalstu, kā arī atbalsta piešķiršanas kritērijus un apmēru</w:t>
            </w:r>
            <w:r w:rsidR="00834CEF">
              <w:rPr>
                <w:rFonts w:ascii="Times New Roman" w:hAnsi="Times New Roman"/>
                <w:sz w:val="24"/>
              </w:rPr>
              <w:t>. Viens no paredzētajiem pasākumiem ir daļēja kredītprocentu dzēšana</w:t>
            </w:r>
            <w:r w:rsidR="00834CEF" w:rsidRPr="00834CEF">
              <w:rPr>
                <w:rFonts w:ascii="Times New Roman" w:hAnsi="Times New Roman"/>
                <w:sz w:val="24"/>
              </w:rPr>
              <w:t xml:space="preserve"> primāro lauksaimniecības produktu ražotājiem, lauksaimniecības pakalpojumu kooperatīvajām sabiedrībām un lauksaimniecības p</w:t>
            </w:r>
            <w:r w:rsidR="00834CEF">
              <w:rPr>
                <w:rFonts w:ascii="Times New Roman" w:hAnsi="Times New Roman"/>
                <w:sz w:val="24"/>
              </w:rPr>
              <w:t xml:space="preserve">roduktu pārstrādes komersantiem. Noteikumi Nr.59 </w:t>
            </w:r>
            <w:r w:rsidR="00EA2ED3">
              <w:rPr>
                <w:rFonts w:ascii="Times New Roman" w:hAnsi="Times New Roman"/>
                <w:sz w:val="24"/>
              </w:rPr>
              <w:t xml:space="preserve">neparedz atbalstu </w:t>
            </w:r>
            <w:r w:rsidR="00EA2ED3" w:rsidRPr="00EA2ED3">
              <w:rPr>
                <w:rFonts w:ascii="Times New Roman" w:hAnsi="Times New Roman"/>
                <w:sz w:val="24"/>
              </w:rPr>
              <w:t>zvejniecībai un zvejas produktu apstrādei</w:t>
            </w:r>
            <w:r w:rsidR="00EA2ED3">
              <w:rPr>
                <w:rFonts w:ascii="Times New Roman" w:hAnsi="Times New Roman"/>
                <w:sz w:val="24"/>
              </w:rPr>
              <w:t>.</w:t>
            </w:r>
          </w:p>
          <w:p w14:paraId="54543096" w14:textId="3413EA2C" w:rsidR="00EA2ED3" w:rsidRDefault="00EA2ED3" w:rsidP="00BC7E31">
            <w:pPr>
              <w:spacing w:after="0" w:line="240" w:lineRule="auto"/>
              <w:ind w:left="57" w:right="57"/>
              <w:jc w:val="both"/>
              <w:rPr>
                <w:rFonts w:ascii="Times New Roman" w:hAnsi="Times New Roman"/>
                <w:sz w:val="24"/>
              </w:rPr>
            </w:pPr>
            <w:r>
              <w:rPr>
                <w:rFonts w:ascii="Times New Roman" w:hAnsi="Times New Roman"/>
                <w:sz w:val="24"/>
              </w:rPr>
              <w:t>Ņemot vērā Krievijas Federācijas iepriekš piemērotās un spēkā esošās sankcijas ES dalībvalstīm, z</w:t>
            </w:r>
            <w:r w:rsidRPr="00EA2ED3">
              <w:rPr>
                <w:rFonts w:ascii="Times New Roman" w:hAnsi="Times New Roman"/>
                <w:sz w:val="24"/>
              </w:rPr>
              <w:t>vejniecība un zvejas produktu apstrādes nozare j</w:t>
            </w:r>
            <w:r>
              <w:rPr>
                <w:rFonts w:ascii="Times New Roman" w:hAnsi="Times New Roman"/>
                <w:sz w:val="24"/>
              </w:rPr>
              <w:t>oprojām izjūt šo sankciju sekas, tādēļ</w:t>
            </w:r>
            <w:r w:rsidR="00834CEF">
              <w:t xml:space="preserve"> </w:t>
            </w:r>
            <w:r w:rsidR="003B6482">
              <w:rPr>
                <w:rFonts w:ascii="Times New Roman" w:hAnsi="Times New Roman"/>
                <w:sz w:val="24"/>
              </w:rPr>
              <w:t>n</w:t>
            </w:r>
            <w:r w:rsidR="00834CEF">
              <w:rPr>
                <w:rFonts w:ascii="Times New Roman" w:hAnsi="Times New Roman"/>
                <w:sz w:val="24"/>
              </w:rPr>
              <w:t>oteikumos</w:t>
            </w:r>
            <w:r w:rsidR="00834CEF" w:rsidRPr="00834CEF">
              <w:rPr>
                <w:rFonts w:ascii="Times New Roman" w:hAnsi="Times New Roman"/>
                <w:sz w:val="24"/>
              </w:rPr>
              <w:t xml:space="preserve"> Nr.59</w:t>
            </w:r>
            <w:r>
              <w:rPr>
                <w:rFonts w:ascii="Times New Roman" w:hAnsi="Times New Roman"/>
                <w:sz w:val="24"/>
              </w:rPr>
              <w:t xml:space="preserve"> </w:t>
            </w:r>
            <w:r w:rsidR="003B6482">
              <w:rPr>
                <w:rFonts w:ascii="Times New Roman" w:hAnsi="Times New Roman"/>
                <w:sz w:val="24"/>
              </w:rPr>
              <w:t xml:space="preserve">no esošā finansējuma </w:t>
            </w:r>
            <w:r>
              <w:rPr>
                <w:rFonts w:ascii="Times New Roman" w:hAnsi="Times New Roman"/>
                <w:sz w:val="24"/>
              </w:rPr>
              <w:t xml:space="preserve">ir nepieciešams </w:t>
            </w:r>
            <w:r w:rsidR="00915DD3">
              <w:rPr>
                <w:rFonts w:ascii="Times New Roman" w:hAnsi="Times New Roman"/>
                <w:sz w:val="24"/>
              </w:rPr>
              <w:t xml:space="preserve">paredzēt </w:t>
            </w:r>
            <w:r>
              <w:rPr>
                <w:rFonts w:ascii="Times New Roman" w:hAnsi="Times New Roman"/>
                <w:sz w:val="24"/>
              </w:rPr>
              <w:t xml:space="preserve">atbalstu kredītprocentu daļējai dzēšanai arī </w:t>
            </w:r>
            <w:r w:rsidRPr="00EA2ED3">
              <w:rPr>
                <w:rFonts w:ascii="Times New Roman" w:hAnsi="Times New Roman"/>
                <w:sz w:val="24"/>
              </w:rPr>
              <w:t>zvejniecība</w:t>
            </w:r>
            <w:r>
              <w:rPr>
                <w:rFonts w:ascii="Times New Roman" w:hAnsi="Times New Roman"/>
                <w:sz w:val="24"/>
              </w:rPr>
              <w:t>s</w:t>
            </w:r>
            <w:r w:rsidRPr="00EA2ED3">
              <w:rPr>
                <w:rFonts w:ascii="Times New Roman" w:hAnsi="Times New Roman"/>
                <w:sz w:val="24"/>
              </w:rPr>
              <w:t xml:space="preserve"> un zvejas produktu apstrāde</w:t>
            </w:r>
            <w:r>
              <w:rPr>
                <w:rFonts w:ascii="Times New Roman" w:hAnsi="Times New Roman"/>
                <w:sz w:val="24"/>
              </w:rPr>
              <w:t>s nozar</w:t>
            </w:r>
            <w:r w:rsidR="003B6482">
              <w:rPr>
                <w:rFonts w:ascii="Times New Roman" w:hAnsi="Times New Roman"/>
                <w:sz w:val="24"/>
              </w:rPr>
              <w:t>ē</w:t>
            </w:r>
            <w:r>
              <w:rPr>
                <w:rFonts w:ascii="Times New Roman" w:hAnsi="Times New Roman"/>
                <w:sz w:val="24"/>
              </w:rPr>
              <w:t>.</w:t>
            </w:r>
          </w:p>
          <w:p w14:paraId="699179D6" w14:textId="7B0B6F66" w:rsidR="00552B5D" w:rsidRPr="0058384B" w:rsidRDefault="00552B5D" w:rsidP="00BC7E31">
            <w:pPr>
              <w:spacing w:after="0" w:line="240" w:lineRule="auto"/>
              <w:ind w:left="57" w:right="57"/>
              <w:jc w:val="both"/>
              <w:rPr>
                <w:rFonts w:ascii="Times New Roman" w:hAnsi="Times New Roman"/>
                <w:sz w:val="24"/>
              </w:rPr>
            </w:pPr>
            <w:r>
              <w:rPr>
                <w:rFonts w:ascii="Times New Roman" w:hAnsi="Times New Roman"/>
                <w:sz w:val="24"/>
              </w:rPr>
              <w:t>Lai sekmētu</w:t>
            </w:r>
            <w:r w:rsidR="006477C7">
              <w:rPr>
                <w:rFonts w:ascii="Times New Roman" w:hAnsi="Times New Roman"/>
                <w:sz w:val="24"/>
              </w:rPr>
              <w:t xml:space="preserve"> Eiropas Savienības struktūrfondu</w:t>
            </w:r>
            <w:r w:rsidR="00462BE4">
              <w:rPr>
                <w:rFonts w:ascii="Times New Roman" w:hAnsi="Times New Roman"/>
                <w:sz w:val="24"/>
              </w:rPr>
              <w:t xml:space="preserve"> </w:t>
            </w:r>
            <w:r w:rsidR="00EA2ED3">
              <w:rPr>
                <w:rFonts w:ascii="Times New Roman" w:hAnsi="Times New Roman"/>
                <w:sz w:val="24"/>
              </w:rPr>
              <w:t xml:space="preserve">projektu īstenošanu </w:t>
            </w:r>
            <w:r w:rsidR="00EA2ED3" w:rsidRPr="00EA2ED3">
              <w:rPr>
                <w:rFonts w:ascii="Times New Roman" w:hAnsi="Times New Roman"/>
                <w:sz w:val="24"/>
              </w:rPr>
              <w:t>zvejniecība</w:t>
            </w:r>
            <w:r w:rsidR="00EA2ED3">
              <w:rPr>
                <w:rFonts w:ascii="Times New Roman" w:hAnsi="Times New Roman"/>
                <w:sz w:val="24"/>
              </w:rPr>
              <w:t>s</w:t>
            </w:r>
            <w:r w:rsidR="00EA2ED3" w:rsidRPr="00EA2ED3">
              <w:rPr>
                <w:rFonts w:ascii="Times New Roman" w:hAnsi="Times New Roman"/>
                <w:sz w:val="24"/>
              </w:rPr>
              <w:t xml:space="preserve"> un zvejas produktu apstrāde</w:t>
            </w:r>
            <w:r w:rsidR="00EA2ED3">
              <w:rPr>
                <w:rFonts w:ascii="Times New Roman" w:hAnsi="Times New Roman"/>
                <w:sz w:val="24"/>
              </w:rPr>
              <w:t>s nozarē</w:t>
            </w:r>
            <w:r>
              <w:rPr>
                <w:rFonts w:ascii="Times New Roman" w:hAnsi="Times New Roman"/>
                <w:sz w:val="24"/>
              </w:rPr>
              <w:t xml:space="preserve"> iesaistītajiem uzņēmumiem </w:t>
            </w:r>
            <w:r w:rsidR="00EA2ED3">
              <w:rPr>
                <w:rFonts w:ascii="Times New Roman" w:hAnsi="Times New Roman"/>
                <w:sz w:val="24"/>
              </w:rPr>
              <w:t xml:space="preserve">un lai </w:t>
            </w:r>
            <w:r>
              <w:rPr>
                <w:rFonts w:ascii="Times New Roman" w:hAnsi="Times New Roman"/>
                <w:sz w:val="24"/>
              </w:rPr>
              <w:t>būtu pieejamas ilgtermiņa investīcijas ar atbilstošām aizdevumu likmēm, papildus ir jāparedz atbalsts kredītprocentu daļējai dzēšanai.</w:t>
            </w:r>
          </w:p>
          <w:p w14:paraId="100BCE98" w14:textId="435C9595" w:rsidR="00552B5D" w:rsidRPr="004A07AB" w:rsidRDefault="00915DD3" w:rsidP="00BC7E31">
            <w:pPr>
              <w:spacing w:after="0" w:line="240" w:lineRule="auto"/>
              <w:ind w:left="57" w:right="57"/>
              <w:jc w:val="both"/>
              <w:rPr>
                <w:rFonts w:ascii="Times New Roman" w:hAnsi="Times New Roman"/>
                <w:sz w:val="24"/>
              </w:rPr>
            </w:pPr>
            <w:r>
              <w:rPr>
                <w:rFonts w:ascii="Times New Roman" w:hAnsi="Times New Roman"/>
                <w:sz w:val="24"/>
              </w:rPr>
              <w:t>Z</w:t>
            </w:r>
            <w:r w:rsidRPr="00915DD3">
              <w:rPr>
                <w:rFonts w:ascii="Times New Roman" w:hAnsi="Times New Roman"/>
                <w:sz w:val="24"/>
              </w:rPr>
              <w:t>vejniecības un z</w:t>
            </w:r>
            <w:r>
              <w:rPr>
                <w:rFonts w:ascii="Times New Roman" w:hAnsi="Times New Roman"/>
                <w:sz w:val="24"/>
              </w:rPr>
              <w:t>vejas produktu apstrādes nozares</w:t>
            </w:r>
            <w:r w:rsidRPr="00915DD3">
              <w:rPr>
                <w:rFonts w:ascii="Times New Roman" w:hAnsi="Times New Roman"/>
                <w:sz w:val="24"/>
              </w:rPr>
              <w:t xml:space="preserve"> </w:t>
            </w:r>
            <w:r w:rsidR="00EA2ED3">
              <w:rPr>
                <w:rFonts w:ascii="Times New Roman" w:hAnsi="Times New Roman"/>
                <w:sz w:val="24"/>
              </w:rPr>
              <w:t>u</w:t>
            </w:r>
            <w:r w:rsidR="00552B5D" w:rsidRPr="004A07AB">
              <w:rPr>
                <w:rFonts w:ascii="Times New Roman" w:hAnsi="Times New Roman"/>
                <w:sz w:val="24"/>
              </w:rPr>
              <w:t>zņēmumos lieli līdzekļi</w:t>
            </w:r>
            <w:r w:rsidRPr="004A07AB">
              <w:rPr>
                <w:rFonts w:ascii="Times New Roman" w:hAnsi="Times New Roman"/>
                <w:sz w:val="24"/>
              </w:rPr>
              <w:t xml:space="preserve"> tiek novirzīti aizdevuma procentu maksājumiem</w:t>
            </w:r>
            <w:r w:rsidR="00552B5D" w:rsidRPr="004A07AB">
              <w:rPr>
                <w:rFonts w:ascii="Times New Roman" w:hAnsi="Times New Roman"/>
                <w:sz w:val="24"/>
              </w:rPr>
              <w:t xml:space="preserve">, </w:t>
            </w:r>
            <w:r w:rsidR="003B6482">
              <w:rPr>
                <w:rFonts w:ascii="Times New Roman" w:hAnsi="Times New Roman"/>
                <w:sz w:val="24"/>
              </w:rPr>
              <w:t xml:space="preserve">lai gan tos </w:t>
            </w:r>
            <w:r w:rsidR="00552B5D" w:rsidRPr="004A07AB">
              <w:rPr>
                <w:rFonts w:ascii="Times New Roman" w:hAnsi="Times New Roman"/>
                <w:sz w:val="24"/>
              </w:rPr>
              <w:t>varētu izmantot investīcijām efektivitātes palielināšanai un jaunu darbavietu radīšanai.</w:t>
            </w:r>
          </w:p>
          <w:p w14:paraId="30014EAC" w14:textId="63FB1F44" w:rsidR="00552B5D" w:rsidRPr="004A07AB" w:rsidRDefault="00552B5D" w:rsidP="00BC7E31">
            <w:pPr>
              <w:spacing w:after="0" w:line="240" w:lineRule="auto"/>
              <w:ind w:left="57" w:right="57"/>
              <w:jc w:val="both"/>
              <w:rPr>
                <w:rFonts w:ascii="Times New Roman" w:hAnsi="Times New Roman"/>
                <w:sz w:val="24"/>
              </w:rPr>
            </w:pPr>
            <w:r w:rsidRPr="004A07AB">
              <w:rPr>
                <w:rFonts w:ascii="Times New Roman" w:hAnsi="Times New Roman"/>
                <w:sz w:val="24"/>
              </w:rPr>
              <w:t xml:space="preserve">Tādēļ ir nepieciešams atbalsts kredītprocentu daļējai dzēšanai arī </w:t>
            </w:r>
            <w:r w:rsidR="00EA2ED3" w:rsidRPr="00EA2ED3">
              <w:rPr>
                <w:rFonts w:ascii="Times New Roman" w:hAnsi="Times New Roman"/>
                <w:sz w:val="24"/>
              </w:rPr>
              <w:t>zvejniecībai un zvejas produktu apstrādei</w:t>
            </w:r>
            <w:r w:rsidRPr="004A07AB">
              <w:rPr>
                <w:rFonts w:ascii="Times New Roman" w:hAnsi="Times New Roman"/>
                <w:sz w:val="24"/>
              </w:rPr>
              <w:t>, jo tā tiktu veicināta uzņēmumu efektivitāte un nodrošināta arī turpmāka investīciju ieplūšana uzņēmumos.</w:t>
            </w:r>
          </w:p>
          <w:p w14:paraId="0CD12796" w14:textId="56D54166" w:rsidR="00552B5D" w:rsidRDefault="00552B5D" w:rsidP="00BC7E31">
            <w:pPr>
              <w:spacing w:after="0" w:line="240" w:lineRule="auto"/>
              <w:ind w:left="57" w:right="57"/>
              <w:jc w:val="both"/>
              <w:rPr>
                <w:rFonts w:ascii="Times New Roman" w:hAnsi="Times New Roman"/>
                <w:sz w:val="24"/>
              </w:rPr>
            </w:pPr>
            <w:r w:rsidRPr="00D763BF">
              <w:rPr>
                <w:rFonts w:ascii="Times New Roman" w:hAnsi="Times New Roman"/>
                <w:sz w:val="24"/>
              </w:rPr>
              <w:t xml:space="preserve">Ievērojot līdzšinējo atbalsta pasākumu efektivitāti, valsts atbalsta </w:t>
            </w:r>
            <w:r w:rsidR="00EA2ED3">
              <w:rPr>
                <w:rFonts w:ascii="Times New Roman" w:hAnsi="Times New Roman"/>
                <w:sz w:val="24"/>
              </w:rPr>
              <w:t xml:space="preserve">neesamību </w:t>
            </w:r>
            <w:r w:rsidR="00EA2ED3" w:rsidRPr="00EA2ED3">
              <w:rPr>
                <w:rFonts w:ascii="Times New Roman" w:hAnsi="Times New Roman"/>
                <w:sz w:val="24"/>
              </w:rPr>
              <w:t>zvejniecība</w:t>
            </w:r>
            <w:r w:rsidR="00EA2ED3">
              <w:rPr>
                <w:rFonts w:ascii="Times New Roman" w:hAnsi="Times New Roman"/>
                <w:sz w:val="24"/>
              </w:rPr>
              <w:t>s</w:t>
            </w:r>
            <w:r w:rsidR="00EA2ED3" w:rsidRPr="00EA2ED3">
              <w:rPr>
                <w:rFonts w:ascii="Times New Roman" w:hAnsi="Times New Roman"/>
                <w:sz w:val="24"/>
              </w:rPr>
              <w:t xml:space="preserve"> un zvejas produktu apstrāde</w:t>
            </w:r>
            <w:r w:rsidR="00EA2ED3">
              <w:rPr>
                <w:rFonts w:ascii="Times New Roman" w:hAnsi="Times New Roman"/>
                <w:sz w:val="24"/>
              </w:rPr>
              <w:t xml:space="preserve">s nozarei, kā arī </w:t>
            </w:r>
            <w:r w:rsidRPr="00D763BF">
              <w:rPr>
                <w:rFonts w:ascii="Times New Roman" w:hAnsi="Times New Roman"/>
                <w:sz w:val="24"/>
              </w:rPr>
              <w:t>valsts ekonomisko situāciju</w:t>
            </w:r>
            <w:r w:rsidRPr="00F0443A">
              <w:rPr>
                <w:rFonts w:ascii="Times New Roman" w:hAnsi="Times New Roman"/>
                <w:sz w:val="24"/>
              </w:rPr>
              <w:t xml:space="preserve">, </w:t>
            </w:r>
            <w:r w:rsidR="003B6482" w:rsidRPr="003A789E">
              <w:rPr>
                <w:rFonts w:ascii="Times New Roman" w:hAnsi="Times New Roman"/>
                <w:sz w:val="24"/>
              </w:rPr>
              <w:t>valsts un Eiropas Savienības atbalsts</w:t>
            </w:r>
            <w:r w:rsidR="003B6482" w:rsidRPr="00EA2ED3">
              <w:rPr>
                <w:rFonts w:ascii="Times New Roman" w:hAnsi="Times New Roman"/>
                <w:sz w:val="24"/>
              </w:rPr>
              <w:t xml:space="preserve"> </w:t>
            </w:r>
            <w:r w:rsidR="00EA2ED3" w:rsidRPr="00EA2ED3">
              <w:rPr>
                <w:rFonts w:ascii="Times New Roman" w:hAnsi="Times New Roman"/>
                <w:sz w:val="24"/>
              </w:rPr>
              <w:t>zvejniecība</w:t>
            </w:r>
            <w:r w:rsidR="00EA2ED3">
              <w:rPr>
                <w:rFonts w:ascii="Times New Roman" w:hAnsi="Times New Roman"/>
                <w:sz w:val="24"/>
              </w:rPr>
              <w:t>s</w:t>
            </w:r>
            <w:r w:rsidR="00EA2ED3" w:rsidRPr="00EA2ED3">
              <w:rPr>
                <w:rFonts w:ascii="Times New Roman" w:hAnsi="Times New Roman"/>
                <w:sz w:val="24"/>
              </w:rPr>
              <w:t xml:space="preserve"> un zvejas produktu apstrāde</w:t>
            </w:r>
            <w:r w:rsidR="00EA2ED3">
              <w:rPr>
                <w:rFonts w:ascii="Times New Roman" w:hAnsi="Times New Roman"/>
                <w:sz w:val="24"/>
              </w:rPr>
              <w:t>s nozarei</w:t>
            </w:r>
            <w:r w:rsidRPr="003A789E">
              <w:rPr>
                <w:rFonts w:ascii="Times New Roman" w:hAnsi="Times New Roman"/>
                <w:sz w:val="24"/>
              </w:rPr>
              <w:t xml:space="preserve"> ļoti būtisks </w:t>
            </w:r>
            <w:r w:rsidR="003B6482">
              <w:rPr>
                <w:rFonts w:ascii="Times New Roman" w:hAnsi="Times New Roman"/>
                <w:sz w:val="24"/>
              </w:rPr>
              <w:t xml:space="preserve">ir </w:t>
            </w:r>
            <w:r w:rsidRPr="003A789E">
              <w:rPr>
                <w:rFonts w:ascii="Times New Roman" w:hAnsi="Times New Roman"/>
                <w:sz w:val="24"/>
              </w:rPr>
              <w:t>virzienos, kas stimulētu</w:t>
            </w:r>
            <w:r w:rsidRPr="00E2230B">
              <w:rPr>
                <w:rFonts w:ascii="Times New Roman" w:hAnsi="Times New Roman"/>
                <w:sz w:val="24"/>
              </w:rPr>
              <w:t xml:space="preserve"> </w:t>
            </w:r>
            <w:r w:rsidR="003B6482">
              <w:rPr>
                <w:rFonts w:ascii="Times New Roman" w:hAnsi="Times New Roman"/>
                <w:sz w:val="24"/>
              </w:rPr>
              <w:t xml:space="preserve">šīs </w:t>
            </w:r>
            <w:r w:rsidRPr="00E2230B">
              <w:rPr>
                <w:rFonts w:ascii="Times New Roman" w:hAnsi="Times New Roman"/>
                <w:sz w:val="24"/>
              </w:rPr>
              <w:t xml:space="preserve">nozares dzīvotspēju un konkurētspēju. </w:t>
            </w:r>
          </w:p>
          <w:p w14:paraId="77E6441C" w14:textId="304EA4CD" w:rsidR="00B109EA" w:rsidRDefault="003B6482" w:rsidP="00BC7E31">
            <w:pPr>
              <w:spacing w:after="0" w:line="240" w:lineRule="auto"/>
              <w:ind w:left="57" w:right="57"/>
              <w:jc w:val="both"/>
              <w:rPr>
                <w:rFonts w:ascii="Times New Roman" w:hAnsi="Times New Roman"/>
                <w:sz w:val="24"/>
              </w:rPr>
            </w:pPr>
            <w:r>
              <w:rPr>
                <w:rFonts w:ascii="Times New Roman" w:hAnsi="Times New Roman"/>
                <w:sz w:val="24"/>
              </w:rPr>
              <w:t>S</w:t>
            </w:r>
            <w:r w:rsidR="00EA2ED3">
              <w:rPr>
                <w:rFonts w:ascii="Times New Roman" w:hAnsi="Times New Roman"/>
                <w:sz w:val="24"/>
              </w:rPr>
              <w:t>pēkā esoš</w:t>
            </w:r>
            <w:r w:rsidR="0045551E">
              <w:rPr>
                <w:rFonts w:ascii="Times New Roman" w:hAnsi="Times New Roman"/>
                <w:sz w:val="24"/>
              </w:rPr>
              <w:t>ie</w:t>
            </w:r>
            <w:r w:rsidR="0045551E">
              <w:t xml:space="preserve"> </w:t>
            </w:r>
            <w:r>
              <w:rPr>
                <w:rFonts w:ascii="Times New Roman" w:hAnsi="Times New Roman"/>
                <w:sz w:val="24"/>
              </w:rPr>
              <w:t>n</w:t>
            </w:r>
            <w:r w:rsidR="0045551E" w:rsidRPr="0045551E">
              <w:rPr>
                <w:rFonts w:ascii="Times New Roman" w:hAnsi="Times New Roman"/>
                <w:sz w:val="24"/>
              </w:rPr>
              <w:t xml:space="preserve">oteikumi Nr.59 </w:t>
            </w:r>
            <w:r w:rsidR="00EA2ED3">
              <w:rPr>
                <w:rFonts w:ascii="Times New Roman" w:hAnsi="Times New Roman"/>
                <w:sz w:val="24"/>
              </w:rPr>
              <w:t xml:space="preserve">paredz lauksaimniecības produktu pārstrādes uzņēmumiem atbalstu piešķirt saskaņā </w:t>
            </w:r>
            <w:r w:rsidR="00EA2ED3">
              <w:rPr>
                <w:rFonts w:ascii="Times New Roman" w:hAnsi="Times New Roman"/>
                <w:sz w:val="24"/>
              </w:rPr>
              <w:lastRenderedPageBreak/>
              <w:t xml:space="preserve">ar </w:t>
            </w:r>
            <w:r w:rsidR="00EA2ED3" w:rsidRPr="00EA2ED3">
              <w:rPr>
                <w:rFonts w:ascii="Times New Roman" w:hAnsi="Times New Roman"/>
                <w:sz w:val="24"/>
              </w:rPr>
              <w:t>Komisijas 2013.gada 18.decembra Regul</w:t>
            </w:r>
            <w:r>
              <w:rPr>
                <w:rFonts w:ascii="Times New Roman" w:hAnsi="Times New Roman"/>
                <w:sz w:val="24"/>
              </w:rPr>
              <w:t>u</w:t>
            </w:r>
            <w:r w:rsidR="00EA2ED3" w:rsidRPr="00EA2ED3">
              <w:rPr>
                <w:rFonts w:ascii="Times New Roman" w:hAnsi="Times New Roman"/>
                <w:sz w:val="24"/>
              </w:rPr>
              <w:t xml:space="preserve"> (EK) Nr.</w:t>
            </w:r>
            <w:hyperlink r:id="rId7" w:tgtFrame="_blank" w:history="1">
              <w:r w:rsidR="00EA2ED3" w:rsidRPr="00EA2ED3">
                <w:rPr>
                  <w:rFonts w:ascii="Times New Roman" w:hAnsi="Times New Roman"/>
                  <w:sz w:val="24"/>
                </w:rPr>
                <w:t>1407/2013</w:t>
              </w:r>
            </w:hyperlink>
            <w:r w:rsidR="00EA2ED3" w:rsidRPr="00EA2ED3">
              <w:rPr>
                <w:rFonts w:ascii="Times New Roman" w:hAnsi="Times New Roman"/>
                <w:sz w:val="24"/>
              </w:rPr>
              <w:t xml:space="preserve"> par Līguma par Eiropas Savienības darbību 107. un 108.panta piemērošanu </w:t>
            </w:r>
            <w:r w:rsidR="00EA2ED3" w:rsidRPr="00EA2ED3">
              <w:rPr>
                <w:rFonts w:ascii="Times New Roman" w:hAnsi="Times New Roman"/>
                <w:i/>
                <w:sz w:val="24"/>
              </w:rPr>
              <w:t>de minimis</w:t>
            </w:r>
            <w:r w:rsidR="00EA2ED3" w:rsidRPr="00EA2ED3">
              <w:rPr>
                <w:rFonts w:ascii="Times New Roman" w:hAnsi="Times New Roman"/>
                <w:sz w:val="24"/>
              </w:rPr>
              <w:t xml:space="preserve"> atbalstam (Eiropas Savienības Oficiālais Vēstnesis, 2013.gada 24.decembris, Nr. L 352). Ņemot vērā lauksaimniecības produktu pārstrādes uzņēmumu pārstāvošo nevalstisko organizāciju izteiktos priekšlikumus</w:t>
            </w:r>
            <w:r w:rsidR="0045551E">
              <w:rPr>
                <w:rFonts w:ascii="Times New Roman" w:hAnsi="Times New Roman"/>
                <w:sz w:val="24"/>
              </w:rPr>
              <w:t>,</w:t>
            </w:r>
            <w:r w:rsidR="00EA2ED3" w:rsidRPr="00EA2ED3">
              <w:rPr>
                <w:rFonts w:ascii="Times New Roman" w:hAnsi="Times New Roman"/>
                <w:sz w:val="24"/>
              </w:rPr>
              <w:t xml:space="preserve"> Zemkopības ministrija ar Eiropas Komisiju ir saskaņojusi valsts atbalsta shēmu </w:t>
            </w:r>
            <w:hyperlink r:id="rId8" w:tgtFrame="_blank" w:history="1">
              <w:r w:rsidR="00EA2ED3" w:rsidRPr="00EA2ED3">
                <w:rPr>
                  <w:rFonts w:ascii="Times New Roman" w:hAnsi="Times New Roman"/>
                  <w:sz w:val="24"/>
                </w:rPr>
                <w:t>SA.41387</w:t>
              </w:r>
            </w:hyperlink>
            <w:r w:rsidR="00EA2ED3" w:rsidRPr="00EA2ED3">
              <w:rPr>
                <w:rFonts w:ascii="Times New Roman" w:hAnsi="Times New Roman"/>
                <w:sz w:val="24"/>
              </w:rPr>
              <w:t xml:space="preserve"> „Kredītprocentu daļēja dzēšana lauksaimniecības produktu pārstrādei</w:t>
            </w:r>
            <w:r>
              <w:rPr>
                <w:rFonts w:ascii="Times New Roman" w:hAnsi="Times New Roman"/>
                <w:sz w:val="24"/>
              </w:rPr>
              <w:t>”</w:t>
            </w:r>
            <w:r w:rsidR="00915DD3">
              <w:rPr>
                <w:rFonts w:ascii="Times New Roman" w:hAnsi="Times New Roman"/>
                <w:sz w:val="24"/>
              </w:rPr>
              <w:t xml:space="preserve">. </w:t>
            </w:r>
            <w:r w:rsidR="00EA2ED3">
              <w:rPr>
                <w:rFonts w:ascii="Times New Roman" w:hAnsi="Times New Roman"/>
                <w:sz w:val="24"/>
              </w:rPr>
              <w:t>Atbalstu mikro</w:t>
            </w:r>
            <w:r>
              <w:rPr>
                <w:rFonts w:ascii="Times New Roman" w:hAnsi="Times New Roman"/>
                <w:sz w:val="24"/>
              </w:rPr>
              <w:t>uzņēmumu</w:t>
            </w:r>
            <w:r w:rsidR="00EA2ED3">
              <w:rPr>
                <w:rFonts w:ascii="Times New Roman" w:hAnsi="Times New Roman"/>
                <w:sz w:val="24"/>
              </w:rPr>
              <w:t>, maz</w:t>
            </w:r>
            <w:r>
              <w:rPr>
                <w:rFonts w:ascii="Times New Roman" w:hAnsi="Times New Roman"/>
                <w:sz w:val="24"/>
              </w:rPr>
              <w:t>o</w:t>
            </w:r>
            <w:r w:rsidR="00EA2ED3">
              <w:rPr>
                <w:rFonts w:ascii="Times New Roman" w:hAnsi="Times New Roman"/>
                <w:sz w:val="24"/>
              </w:rPr>
              <w:t xml:space="preserve"> un vidēj</w:t>
            </w:r>
            <w:r>
              <w:rPr>
                <w:rFonts w:ascii="Times New Roman" w:hAnsi="Times New Roman"/>
                <w:sz w:val="24"/>
              </w:rPr>
              <w:t>o</w:t>
            </w:r>
            <w:r w:rsidR="00EA2ED3">
              <w:rPr>
                <w:rFonts w:ascii="Times New Roman" w:hAnsi="Times New Roman"/>
                <w:sz w:val="24"/>
              </w:rPr>
              <w:t xml:space="preserve"> lauksaimniecības produktu pārstrādes </w:t>
            </w:r>
            <w:r>
              <w:rPr>
                <w:rFonts w:ascii="Times New Roman" w:hAnsi="Times New Roman"/>
                <w:sz w:val="24"/>
              </w:rPr>
              <w:t xml:space="preserve">uzņēmumu </w:t>
            </w:r>
            <w:r w:rsidR="00EA2ED3">
              <w:rPr>
                <w:rFonts w:ascii="Times New Roman" w:hAnsi="Times New Roman"/>
                <w:sz w:val="24"/>
              </w:rPr>
              <w:t>komersantiem, kas Līgum</w:t>
            </w:r>
            <w:r>
              <w:rPr>
                <w:rFonts w:ascii="Times New Roman" w:hAnsi="Times New Roman"/>
                <w:sz w:val="24"/>
              </w:rPr>
              <w:t>a</w:t>
            </w:r>
            <w:r w:rsidR="00EA2ED3">
              <w:rPr>
                <w:rFonts w:ascii="Times New Roman" w:hAnsi="Times New Roman"/>
                <w:sz w:val="24"/>
              </w:rPr>
              <w:t xml:space="preserve"> par Eiropas Savienības darbību I</w:t>
            </w:r>
            <w:r>
              <w:rPr>
                <w:rFonts w:ascii="Times New Roman" w:hAnsi="Times New Roman"/>
                <w:sz w:val="24"/>
              </w:rPr>
              <w:t> </w:t>
            </w:r>
            <w:r w:rsidR="00EA2ED3">
              <w:rPr>
                <w:rFonts w:ascii="Times New Roman" w:hAnsi="Times New Roman"/>
                <w:sz w:val="24"/>
              </w:rPr>
              <w:t>pielikum</w:t>
            </w:r>
            <w:r>
              <w:rPr>
                <w:rFonts w:ascii="Times New Roman" w:hAnsi="Times New Roman"/>
                <w:sz w:val="24"/>
              </w:rPr>
              <w:t>ā noteiktos</w:t>
            </w:r>
            <w:r w:rsidR="00EA2ED3">
              <w:rPr>
                <w:rFonts w:ascii="Times New Roman" w:hAnsi="Times New Roman"/>
                <w:sz w:val="24"/>
              </w:rPr>
              <w:t xml:space="preserve"> lauksaimniecības produktus </w:t>
            </w:r>
            <w:r>
              <w:rPr>
                <w:rFonts w:ascii="Times New Roman" w:hAnsi="Times New Roman"/>
                <w:sz w:val="24"/>
              </w:rPr>
              <w:t xml:space="preserve">pārstrādā tajā pašā </w:t>
            </w:r>
            <w:r w:rsidR="00EA2ED3">
              <w:rPr>
                <w:rFonts w:ascii="Times New Roman" w:hAnsi="Times New Roman"/>
                <w:sz w:val="24"/>
              </w:rPr>
              <w:t>pielikum</w:t>
            </w:r>
            <w:r>
              <w:rPr>
                <w:rFonts w:ascii="Times New Roman" w:hAnsi="Times New Roman"/>
                <w:sz w:val="24"/>
              </w:rPr>
              <w:t>ā minētajos</w:t>
            </w:r>
            <w:r w:rsidR="00EA2ED3">
              <w:rPr>
                <w:rFonts w:ascii="Times New Roman" w:hAnsi="Times New Roman"/>
                <w:sz w:val="24"/>
              </w:rPr>
              <w:t xml:space="preserve"> lauksaimniecības produkt</w:t>
            </w:r>
            <w:r>
              <w:rPr>
                <w:rFonts w:ascii="Times New Roman" w:hAnsi="Times New Roman"/>
                <w:sz w:val="24"/>
              </w:rPr>
              <w:t>os,</w:t>
            </w:r>
            <w:r w:rsidR="00EA2ED3">
              <w:rPr>
                <w:rFonts w:ascii="Times New Roman" w:hAnsi="Times New Roman"/>
                <w:sz w:val="24"/>
              </w:rPr>
              <w:t xml:space="preserve"> turpmāk atbalstu paredzēts piešķirt saskaņā ar </w:t>
            </w:r>
            <w:r w:rsidR="00EA2ED3" w:rsidRPr="00EA2ED3">
              <w:rPr>
                <w:rFonts w:ascii="Times New Roman" w:hAnsi="Times New Roman"/>
                <w:sz w:val="24"/>
              </w:rPr>
              <w:t>Komisijas 2014.gada 25.jūnija Regul</w:t>
            </w:r>
            <w:r w:rsidR="00210872">
              <w:rPr>
                <w:rFonts w:ascii="Times New Roman" w:hAnsi="Times New Roman"/>
                <w:sz w:val="24"/>
              </w:rPr>
              <w:t>u</w:t>
            </w:r>
            <w:r w:rsidR="00EA2ED3" w:rsidRPr="00EA2ED3">
              <w:rPr>
                <w:rFonts w:ascii="Times New Roman" w:hAnsi="Times New Roman"/>
                <w:sz w:val="24"/>
              </w:rPr>
              <w:t xml:space="preserve"> (ES)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Nr.L193)</w:t>
            </w:r>
            <w:r w:rsidR="00EA2ED3">
              <w:rPr>
                <w:rFonts w:ascii="Times New Roman" w:hAnsi="Times New Roman"/>
                <w:sz w:val="24"/>
              </w:rPr>
              <w:t xml:space="preserve">, tādēļ ir </w:t>
            </w:r>
            <w:r>
              <w:rPr>
                <w:rFonts w:ascii="Times New Roman" w:hAnsi="Times New Roman"/>
                <w:sz w:val="24"/>
              </w:rPr>
              <w:t>jāizdara</w:t>
            </w:r>
            <w:r w:rsidR="00EA2ED3">
              <w:rPr>
                <w:rFonts w:ascii="Times New Roman" w:hAnsi="Times New Roman"/>
                <w:sz w:val="24"/>
              </w:rPr>
              <w:t xml:space="preserve"> grozījum</w:t>
            </w:r>
            <w:r>
              <w:rPr>
                <w:rFonts w:ascii="Times New Roman" w:hAnsi="Times New Roman"/>
                <w:sz w:val="24"/>
              </w:rPr>
              <w:t>i</w:t>
            </w:r>
            <w:r w:rsidR="00EA2ED3">
              <w:rPr>
                <w:rFonts w:ascii="Times New Roman" w:hAnsi="Times New Roman"/>
                <w:sz w:val="24"/>
              </w:rPr>
              <w:t xml:space="preserve"> </w:t>
            </w:r>
            <w:r>
              <w:rPr>
                <w:rFonts w:ascii="Times New Roman" w:hAnsi="Times New Roman"/>
                <w:sz w:val="24"/>
              </w:rPr>
              <w:t>n</w:t>
            </w:r>
            <w:r w:rsidR="00F57FA5">
              <w:rPr>
                <w:rFonts w:ascii="Times New Roman" w:hAnsi="Times New Roman"/>
                <w:sz w:val="24"/>
              </w:rPr>
              <w:t>oteikumos Nr.59</w:t>
            </w:r>
            <w:r>
              <w:rPr>
                <w:rFonts w:ascii="Times New Roman" w:hAnsi="Times New Roman"/>
                <w:sz w:val="24"/>
              </w:rPr>
              <w:t>, tajos</w:t>
            </w:r>
            <w:r w:rsidR="00F57FA5">
              <w:rPr>
                <w:rFonts w:ascii="Times New Roman" w:hAnsi="Times New Roman"/>
                <w:sz w:val="24"/>
              </w:rPr>
              <w:t xml:space="preserve"> </w:t>
            </w:r>
            <w:r w:rsidR="00EA2ED3">
              <w:rPr>
                <w:rFonts w:ascii="Times New Roman" w:hAnsi="Times New Roman"/>
                <w:sz w:val="24"/>
              </w:rPr>
              <w:t>iekļaujot nepieciešamos š</w:t>
            </w:r>
            <w:r>
              <w:rPr>
                <w:rFonts w:ascii="Times New Roman" w:hAnsi="Times New Roman"/>
                <w:sz w:val="24"/>
              </w:rPr>
              <w:t>ī</w:t>
            </w:r>
            <w:r w:rsidR="00EA2ED3">
              <w:rPr>
                <w:rFonts w:ascii="Times New Roman" w:hAnsi="Times New Roman"/>
                <w:sz w:val="24"/>
              </w:rPr>
              <w:t>s regulas atbalsta piešķiršanas nosacījumus.</w:t>
            </w:r>
          </w:p>
          <w:p w14:paraId="505246D9" w14:textId="165DC1C7" w:rsidR="00EA2ED3" w:rsidRDefault="00EA2ED3" w:rsidP="00BC7E31">
            <w:pPr>
              <w:spacing w:after="0" w:line="240" w:lineRule="auto"/>
              <w:ind w:left="57" w:right="57"/>
              <w:jc w:val="both"/>
              <w:rPr>
                <w:rFonts w:ascii="Times New Roman" w:hAnsi="Times New Roman"/>
                <w:sz w:val="24"/>
              </w:rPr>
            </w:pPr>
            <w:r>
              <w:rPr>
                <w:rFonts w:ascii="Times New Roman" w:hAnsi="Times New Roman"/>
                <w:sz w:val="24"/>
              </w:rPr>
              <w:t>Paš</w:t>
            </w:r>
            <w:r w:rsidR="003B6482">
              <w:rPr>
                <w:rFonts w:ascii="Times New Roman" w:hAnsi="Times New Roman"/>
                <w:sz w:val="24"/>
              </w:rPr>
              <w:t>laik</w:t>
            </w:r>
            <w:r>
              <w:rPr>
                <w:rFonts w:ascii="Times New Roman" w:hAnsi="Times New Roman"/>
                <w:sz w:val="24"/>
              </w:rPr>
              <w:t xml:space="preserve"> a</w:t>
            </w:r>
            <w:r w:rsidRPr="00EA2ED3">
              <w:rPr>
                <w:rFonts w:ascii="Times New Roman" w:hAnsi="Times New Roman"/>
                <w:sz w:val="24"/>
              </w:rPr>
              <w:t>tbalsts investīcijām ar pētījumu un laboratorisko analīžu veikšanu saistītās materiālās bāzes pilnveidošanai un lauksaimniecībā izmantojamiem zinātnes pētījumiem</w:t>
            </w:r>
            <w:r>
              <w:rPr>
                <w:rFonts w:ascii="Times New Roman" w:hAnsi="Times New Roman"/>
                <w:sz w:val="24"/>
              </w:rPr>
              <w:t xml:space="preserve"> zinātniskajām institūcijām paredz iegādāties traktortehniku, bet neparedz iespēju iegādāties piekabes un puspiekabes</w:t>
            </w:r>
            <w:r w:rsidR="001823CC">
              <w:rPr>
                <w:rFonts w:ascii="Times New Roman" w:hAnsi="Times New Roman"/>
                <w:sz w:val="24"/>
              </w:rPr>
              <w:t>.</w:t>
            </w:r>
            <w:r>
              <w:rPr>
                <w:rFonts w:ascii="Times New Roman" w:hAnsi="Times New Roman"/>
                <w:sz w:val="24"/>
              </w:rPr>
              <w:t xml:space="preserve"> </w:t>
            </w:r>
            <w:r w:rsidR="001823CC">
              <w:rPr>
                <w:rFonts w:ascii="Times New Roman" w:hAnsi="Times New Roman"/>
                <w:sz w:val="24"/>
              </w:rPr>
              <w:t>L</w:t>
            </w:r>
            <w:r>
              <w:rPr>
                <w:rFonts w:ascii="Times New Roman" w:hAnsi="Times New Roman"/>
                <w:sz w:val="24"/>
              </w:rPr>
              <w:t xml:space="preserve">ai nodrošinātu </w:t>
            </w:r>
            <w:r w:rsidR="003B6482">
              <w:rPr>
                <w:rFonts w:ascii="Times New Roman" w:hAnsi="Times New Roman"/>
                <w:sz w:val="24"/>
              </w:rPr>
              <w:t xml:space="preserve">pilnu ciklu </w:t>
            </w:r>
            <w:r>
              <w:rPr>
                <w:rFonts w:ascii="Times New Roman" w:hAnsi="Times New Roman"/>
                <w:sz w:val="24"/>
              </w:rPr>
              <w:t>šo zinātnisko institūciju pētījumu veikšanai</w:t>
            </w:r>
            <w:r w:rsidR="003B6482">
              <w:rPr>
                <w:rFonts w:ascii="Times New Roman" w:hAnsi="Times New Roman"/>
                <w:sz w:val="24"/>
              </w:rPr>
              <w:t>,</w:t>
            </w:r>
            <w:r>
              <w:rPr>
                <w:rFonts w:ascii="Times New Roman" w:hAnsi="Times New Roman"/>
                <w:sz w:val="24"/>
              </w:rPr>
              <w:t xml:space="preserve"> ir nepieciešams paredzēt iespēju iegādāties </w:t>
            </w:r>
            <w:r w:rsidR="003B6482">
              <w:rPr>
                <w:rFonts w:ascii="Times New Roman" w:hAnsi="Times New Roman"/>
                <w:sz w:val="24"/>
              </w:rPr>
              <w:t xml:space="preserve">arī </w:t>
            </w:r>
            <w:r>
              <w:rPr>
                <w:rFonts w:ascii="Times New Roman" w:hAnsi="Times New Roman"/>
                <w:sz w:val="24"/>
              </w:rPr>
              <w:t>traktortehnika</w:t>
            </w:r>
            <w:r w:rsidR="003B6482">
              <w:rPr>
                <w:rFonts w:ascii="Times New Roman" w:hAnsi="Times New Roman"/>
                <w:sz w:val="24"/>
              </w:rPr>
              <w:t>s</w:t>
            </w:r>
            <w:r>
              <w:rPr>
                <w:rFonts w:ascii="Times New Roman" w:hAnsi="Times New Roman"/>
                <w:sz w:val="24"/>
              </w:rPr>
              <w:t xml:space="preserve"> piekabes un puspiekabes. </w:t>
            </w:r>
          </w:p>
          <w:p w14:paraId="173777C1" w14:textId="4C121D4B" w:rsidR="00F728F2" w:rsidRPr="00FF33B2" w:rsidRDefault="00FF33B2" w:rsidP="00BC7E31">
            <w:pPr>
              <w:spacing w:after="0" w:line="240" w:lineRule="auto"/>
              <w:ind w:left="57" w:right="57"/>
              <w:jc w:val="both"/>
              <w:rPr>
                <w:rFonts w:ascii="Times New Roman" w:hAnsi="Times New Roman"/>
                <w:sz w:val="24"/>
                <w:szCs w:val="24"/>
              </w:rPr>
            </w:pPr>
            <w:r w:rsidRPr="00FF33B2">
              <w:rPr>
                <w:rFonts w:ascii="Times New Roman" w:hAnsi="Times New Roman"/>
                <w:iCs/>
                <w:sz w:val="24"/>
                <w:szCs w:val="24"/>
              </w:rPr>
              <w:t>Tā kā noteikumu 7.pielikuma 19.punktā minētā projekta īstenošanai nepieteicās neviens pretendents (pieteikšanās tika izsludināta Latvijas Vēstnesī), noteikumu projekts pāri palikušo finansējumu paredz diviem jauniem zinātnes projektiem un jauniem atbalsta pretendentiem, kas var pieteikties projektu īstenošanai.</w:t>
            </w:r>
            <w:r w:rsidR="00F728F2" w:rsidRPr="00FF33B2">
              <w:rPr>
                <w:rFonts w:ascii="Times New Roman" w:hAnsi="Times New Roman"/>
                <w:sz w:val="24"/>
                <w:szCs w:val="24"/>
              </w:rPr>
              <w:t xml:space="preserve"> </w:t>
            </w:r>
          </w:p>
          <w:p w14:paraId="7A859C91" w14:textId="1CF4204B" w:rsidR="00EA2ED3" w:rsidRDefault="00EA2ED3" w:rsidP="00BC7E31">
            <w:pPr>
              <w:spacing w:after="0" w:line="240" w:lineRule="auto"/>
              <w:ind w:left="57" w:right="57"/>
              <w:jc w:val="both"/>
              <w:rPr>
                <w:rFonts w:ascii="Times New Roman" w:hAnsi="Times New Roman"/>
                <w:sz w:val="24"/>
              </w:rPr>
            </w:pPr>
            <w:r>
              <w:rPr>
                <w:rFonts w:ascii="Times New Roman" w:hAnsi="Times New Roman"/>
                <w:sz w:val="24"/>
              </w:rPr>
              <w:t>Noteikumu</w:t>
            </w:r>
            <w:r w:rsidR="001823CC">
              <w:rPr>
                <w:rFonts w:ascii="Times New Roman" w:hAnsi="Times New Roman"/>
                <w:sz w:val="24"/>
              </w:rPr>
              <w:t xml:space="preserve"> Nr.59</w:t>
            </w:r>
            <w:r>
              <w:rPr>
                <w:rFonts w:ascii="Times New Roman" w:hAnsi="Times New Roman"/>
                <w:sz w:val="24"/>
              </w:rPr>
              <w:t xml:space="preserve"> 10.pielikumā nepieciešami tehniski precizējumi atsauc</w:t>
            </w:r>
            <w:r w:rsidR="003B6482">
              <w:rPr>
                <w:rFonts w:ascii="Times New Roman" w:hAnsi="Times New Roman"/>
                <w:sz w:val="24"/>
              </w:rPr>
              <w:t>ē</w:t>
            </w:r>
            <w:r>
              <w:rPr>
                <w:rFonts w:ascii="Times New Roman" w:hAnsi="Times New Roman"/>
                <w:sz w:val="24"/>
              </w:rPr>
              <w:t xml:space="preserve">s, 5. un 6.pielikumā </w:t>
            </w:r>
            <w:r w:rsidR="003B6482">
              <w:rPr>
                <w:rFonts w:ascii="Times New Roman" w:hAnsi="Times New Roman"/>
                <w:sz w:val="24"/>
              </w:rPr>
              <w:t>jā</w:t>
            </w:r>
            <w:r>
              <w:rPr>
                <w:rFonts w:ascii="Times New Roman" w:hAnsi="Times New Roman"/>
                <w:sz w:val="24"/>
              </w:rPr>
              <w:t>precizē iesnieguma nosaukum</w:t>
            </w:r>
            <w:r w:rsidR="003B6482">
              <w:rPr>
                <w:rFonts w:ascii="Times New Roman" w:hAnsi="Times New Roman"/>
                <w:sz w:val="24"/>
              </w:rPr>
              <w:t>s un</w:t>
            </w:r>
            <w:r>
              <w:rPr>
                <w:rFonts w:ascii="Times New Roman" w:hAnsi="Times New Roman"/>
                <w:sz w:val="24"/>
              </w:rPr>
              <w:t xml:space="preserve"> 7.pielikumā </w:t>
            </w:r>
            <w:r w:rsidR="003B6482">
              <w:rPr>
                <w:rFonts w:ascii="Times New Roman" w:hAnsi="Times New Roman"/>
                <w:sz w:val="24"/>
              </w:rPr>
              <w:t xml:space="preserve">ir jāsvītro </w:t>
            </w:r>
            <w:r>
              <w:rPr>
                <w:rFonts w:ascii="Times New Roman" w:hAnsi="Times New Roman"/>
                <w:sz w:val="24"/>
              </w:rPr>
              <w:t>lieki prasīt</w:t>
            </w:r>
            <w:r w:rsidR="003B6482">
              <w:rPr>
                <w:rFonts w:ascii="Times New Roman" w:hAnsi="Times New Roman"/>
                <w:sz w:val="24"/>
              </w:rPr>
              <w:t>ā</w:t>
            </w:r>
            <w:r>
              <w:rPr>
                <w:rFonts w:ascii="Times New Roman" w:hAnsi="Times New Roman"/>
                <w:sz w:val="24"/>
              </w:rPr>
              <w:t xml:space="preserve"> informācij</w:t>
            </w:r>
            <w:r w:rsidR="003B6482">
              <w:rPr>
                <w:rFonts w:ascii="Times New Roman" w:hAnsi="Times New Roman"/>
                <w:sz w:val="24"/>
              </w:rPr>
              <w:t>a</w:t>
            </w:r>
            <w:r>
              <w:rPr>
                <w:rFonts w:ascii="Times New Roman" w:hAnsi="Times New Roman"/>
                <w:sz w:val="24"/>
              </w:rPr>
              <w:t xml:space="preserve"> atbalsta pretendentiem.</w:t>
            </w:r>
          </w:p>
          <w:p w14:paraId="6495003D" w14:textId="6DFAA913" w:rsidR="00EA2ED3" w:rsidRPr="00377602" w:rsidRDefault="00EA2ED3" w:rsidP="00BC7E31">
            <w:pPr>
              <w:spacing w:after="0" w:line="240" w:lineRule="auto"/>
              <w:ind w:left="57" w:right="57"/>
              <w:jc w:val="both"/>
              <w:rPr>
                <w:rFonts w:ascii="Times New Roman" w:hAnsi="Times New Roman"/>
                <w:sz w:val="24"/>
              </w:rPr>
            </w:pPr>
            <w:r>
              <w:rPr>
                <w:rFonts w:ascii="Times New Roman" w:hAnsi="Times New Roman"/>
                <w:sz w:val="24"/>
              </w:rPr>
              <w:t xml:space="preserve">No noteikumiem tiek svītrota </w:t>
            </w:r>
            <w:r w:rsidR="00FF33B2">
              <w:rPr>
                <w:rFonts w:ascii="Times New Roman" w:hAnsi="Times New Roman"/>
                <w:sz w:val="24"/>
              </w:rPr>
              <w:t xml:space="preserve">atsauce uz </w:t>
            </w:r>
            <w:r w:rsidRPr="00FE39F2">
              <w:rPr>
                <w:rFonts w:ascii="Times New Roman" w:hAnsi="Times New Roman"/>
                <w:sz w:val="24"/>
                <w:szCs w:val="24"/>
              </w:rPr>
              <w:t>Eiropas Parlamenta un Padomes 2013.gada 17.decembra Regul</w:t>
            </w:r>
            <w:r w:rsidR="00FF33B2">
              <w:rPr>
                <w:rFonts w:ascii="Times New Roman" w:hAnsi="Times New Roman"/>
                <w:sz w:val="24"/>
                <w:szCs w:val="24"/>
              </w:rPr>
              <w:t>u</w:t>
            </w:r>
            <w:r w:rsidRPr="00FE39F2">
              <w:rPr>
                <w:rFonts w:ascii="Times New Roman" w:hAnsi="Times New Roman"/>
                <w:sz w:val="24"/>
                <w:szCs w:val="24"/>
              </w:rPr>
              <w:t xml:space="preserve"> (ES) Nr.1305/2013 par atbalstu lauku attīstībai no Eiropas lauksaimniecības fonda lauku attīstībai (ELFLA) un ar ko atceļ Padomes Regulu (EK) Nr.1698/2005 (Eiropas Savienības Oficiālais Vēstnesis, 2013. gada 20. decembris, Nr.L347)</w:t>
            </w:r>
            <w:r>
              <w:rPr>
                <w:rFonts w:ascii="Times New Roman" w:hAnsi="Times New Roman"/>
                <w:sz w:val="24"/>
                <w:szCs w:val="24"/>
              </w:rPr>
              <w:t xml:space="preserve">, jo šī regula </w:t>
            </w:r>
            <w:r w:rsidR="003B6482">
              <w:rPr>
                <w:rFonts w:ascii="Times New Roman" w:hAnsi="Times New Roman"/>
                <w:sz w:val="24"/>
                <w:szCs w:val="24"/>
              </w:rPr>
              <w:t xml:space="preserve">ir </w:t>
            </w:r>
            <w:r>
              <w:rPr>
                <w:rFonts w:ascii="Times New Roman" w:hAnsi="Times New Roman"/>
                <w:sz w:val="24"/>
                <w:szCs w:val="24"/>
              </w:rPr>
              <w:t>zaudējusi spēku.</w:t>
            </w:r>
          </w:p>
        </w:tc>
      </w:tr>
      <w:tr w:rsidR="002F30BD" w:rsidRPr="00ED22C8" w14:paraId="337C2057" w14:textId="77777777" w:rsidTr="00375CF6">
        <w:trPr>
          <w:trHeight w:val="476"/>
        </w:trPr>
        <w:tc>
          <w:tcPr>
            <w:tcW w:w="227" w:type="pct"/>
          </w:tcPr>
          <w:p w14:paraId="35135A1D" w14:textId="7F74C480" w:rsidR="002F30BD" w:rsidRPr="00DD49B6" w:rsidRDefault="002F30BD" w:rsidP="00BC7E31">
            <w:pPr>
              <w:pStyle w:val="naiskr"/>
              <w:spacing w:before="0" w:beforeAutospacing="0" w:after="0" w:afterAutospacing="0"/>
              <w:ind w:left="57" w:right="57"/>
              <w:jc w:val="center"/>
            </w:pPr>
            <w:r w:rsidRPr="00DD49B6">
              <w:lastRenderedPageBreak/>
              <w:t>3.</w:t>
            </w:r>
          </w:p>
        </w:tc>
        <w:tc>
          <w:tcPr>
            <w:tcW w:w="1565" w:type="pct"/>
          </w:tcPr>
          <w:p w14:paraId="4274DED4" w14:textId="77777777" w:rsidR="002F30BD" w:rsidRPr="00DD49B6" w:rsidRDefault="002F30BD" w:rsidP="00BC7E31">
            <w:pPr>
              <w:pStyle w:val="naiskr"/>
              <w:spacing w:before="0" w:beforeAutospacing="0" w:after="0" w:afterAutospacing="0"/>
              <w:ind w:left="57" w:right="57"/>
            </w:pPr>
            <w:r w:rsidRPr="00DD49B6">
              <w:t>Projekta izstrādē iesaistītās institūcijas</w:t>
            </w:r>
          </w:p>
        </w:tc>
        <w:tc>
          <w:tcPr>
            <w:tcW w:w="3208" w:type="pct"/>
          </w:tcPr>
          <w:p w14:paraId="1895521F" w14:textId="73C9D789" w:rsidR="002F30BD" w:rsidRPr="00ED22C8" w:rsidRDefault="002F30BD" w:rsidP="00BC7E31">
            <w:pPr>
              <w:spacing w:after="0" w:line="240" w:lineRule="auto"/>
              <w:ind w:left="57" w:right="57"/>
              <w:rPr>
                <w:rFonts w:ascii="Times New Roman" w:hAnsi="Times New Roman"/>
                <w:b/>
                <w:sz w:val="24"/>
                <w:szCs w:val="24"/>
              </w:rPr>
            </w:pPr>
            <w:r w:rsidRPr="00290226">
              <w:rPr>
                <w:rFonts w:ascii="Times New Roman" w:hAnsi="Times New Roman"/>
                <w:bCs/>
                <w:sz w:val="24"/>
                <w:szCs w:val="24"/>
              </w:rPr>
              <w:t>Zemkopības ministrija</w:t>
            </w:r>
            <w:r>
              <w:rPr>
                <w:rFonts w:ascii="Times New Roman" w:hAnsi="Times New Roman"/>
                <w:bCs/>
                <w:sz w:val="24"/>
                <w:szCs w:val="24"/>
              </w:rPr>
              <w:t xml:space="preserve"> un </w:t>
            </w:r>
            <w:r w:rsidR="00552B5D">
              <w:rPr>
                <w:rFonts w:ascii="Times New Roman" w:hAnsi="Times New Roman"/>
                <w:bCs/>
                <w:sz w:val="24"/>
                <w:szCs w:val="24"/>
              </w:rPr>
              <w:t>Lauku atbalsta dienests</w:t>
            </w:r>
          </w:p>
        </w:tc>
      </w:tr>
      <w:tr w:rsidR="002F30BD" w:rsidRPr="00ED22C8" w14:paraId="34ABCA31" w14:textId="77777777" w:rsidTr="00375CF6">
        <w:tc>
          <w:tcPr>
            <w:tcW w:w="227" w:type="pct"/>
          </w:tcPr>
          <w:p w14:paraId="3BF18279" w14:textId="77777777" w:rsidR="002F30BD" w:rsidRPr="00DD49B6" w:rsidRDefault="002F30BD" w:rsidP="00BC7E31">
            <w:pPr>
              <w:pStyle w:val="naiskr"/>
              <w:spacing w:before="0" w:beforeAutospacing="0" w:after="0" w:afterAutospacing="0"/>
              <w:ind w:left="57" w:right="57"/>
              <w:jc w:val="center"/>
            </w:pPr>
            <w:r w:rsidRPr="00DD49B6">
              <w:t>4.</w:t>
            </w:r>
          </w:p>
        </w:tc>
        <w:tc>
          <w:tcPr>
            <w:tcW w:w="1565" w:type="pct"/>
          </w:tcPr>
          <w:p w14:paraId="3B271FC5" w14:textId="77777777" w:rsidR="002F30BD" w:rsidRPr="00DD49B6" w:rsidRDefault="002F30BD" w:rsidP="00BC7E31">
            <w:pPr>
              <w:pStyle w:val="naiskr"/>
              <w:spacing w:before="0" w:beforeAutospacing="0" w:after="0" w:afterAutospacing="0"/>
              <w:ind w:left="57" w:right="57"/>
            </w:pPr>
            <w:r w:rsidRPr="00DD49B6">
              <w:t>Cita informācija</w:t>
            </w:r>
          </w:p>
        </w:tc>
        <w:tc>
          <w:tcPr>
            <w:tcW w:w="3208" w:type="pct"/>
          </w:tcPr>
          <w:p w14:paraId="66FA8ACD" w14:textId="77777777" w:rsidR="002F30BD" w:rsidRPr="00DD49B6" w:rsidRDefault="002F30BD" w:rsidP="00BC7E31">
            <w:pPr>
              <w:pStyle w:val="naiskr"/>
              <w:spacing w:before="0" w:beforeAutospacing="0" w:after="0" w:afterAutospacing="0"/>
              <w:ind w:left="57" w:right="57"/>
            </w:pPr>
            <w:r>
              <w:t>Nav.</w:t>
            </w:r>
          </w:p>
        </w:tc>
      </w:tr>
    </w:tbl>
    <w:p w14:paraId="3D788CF9" w14:textId="602A5FEB" w:rsidR="002F30BD" w:rsidRPr="00DD49B6" w:rsidRDefault="00552B5D" w:rsidP="00552B5D">
      <w:pPr>
        <w:tabs>
          <w:tab w:val="left" w:pos="5481"/>
        </w:tabs>
        <w:spacing w:after="0" w:line="240" w:lineRule="auto"/>
        <w:rPr>
          <w:rFonts w:ascii="Times New Roman" w:hAnsi="Times New Roman"/>
          <w:sz w:val="24"/>
          <w:szCs w:val="24"/>
        </w:rPr>
      </w:pPr>
      <w:r>
        <w:rPr>
          <w:rFonts w:ascii="Times New Roman" w:hAnsi="Times New Roman"/>
          <w:sz w:val="24"/>
          <w:szCs w:val="24"/>
        </w:rPr>
        <w:tab/>
      </w:r>
    </w:p>
    <w:tbl>
      <w:tblPr>
        <w:tblpPr w:leftFromText="180" w:rightFromText="180" w:vertAnchor="text" w:horzAnchor="margin" w:tblpXSpec="center"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0"/>
        <w:gridCol w:w="2830"/>
        <w:gridCol w:w="5796"/>
      </w:tblGrid>
      <w:tr w:rsidR="002F30BD" w:rsidRPr="00ED22C8" w14:paraId="77845BC1" w14:textId="77777777" w:rsidTr="00BC7E31">
        <w:trPr>
          <w:trHeight w:val="556"/>
        </w:trPr>
        <w:tc>
          <w:tcPr>
            <w:tcW w:w="5000" w:type="pct"/>
            <w:gridSpan w:val="3"/>
            <w:vAlign w:val="center"/>
          </w:tcPr>
          <w:p w14:paraId="54C4F7C2" w14:textId="77777777" w:rsidR="002F30BD" w:rsidRPr="00DD49B6" w:rsidRDefault="002F30BD" w:rsidP="00BC7E31">
            <w:pPr>
              <w:pStyle w:val="naisnod"/>
              <w:spacing w:before="0" w:beforeAutospacing="0" w:after="0" w:afterAutospacing="0"/>
              <w:ind w:left="57" w:right="57"/>
              <w:jc w:val="center"/>
              <w:rPr>
                <w:b/>
              </w:rPr>
            </w:pPr>
            <w:r w:rsidRPr="00DD49B6">
              <w:rPr>
                <w:b/>
              </w:rPr>
              <w:t>II. Tiesību akta projekta ietekme uz sabiedrību, tautsaimniecības attīstību</w:t>
            </w:r>
          </w:p>
          <w:p w14:paraId="2361BC5F" w14:textId="77777777" w:rsidR="002F30BD" w:rsidRPr="00DD49B6" w:rsidRDefault="002F30BD" w:rsidP="00BC7E31">
            <w:pPr>
              <w:pStyle w:val="naisnod"/>
              <w:spacing w:before="0" w:beforeAutospacing="0" w:after="0" w:afterAutospacing="0"/>
              <w:ind w:left="57" w:right="57"/>
              <w:jc w:val="center"/>
              <w:rPr>
                <w:b/>
              </w:rPr>
            </w:pPr>
            <w:r w:rsidRPr="00DD49B6">
              <w:rPr>
                <w:b/>
              </w:rPr>
              <w:t>un administratīvo slogu</w:t>
            </w:r>
          </w:p>
        </w:tc>
      </w:tr>
      <w:tr w:rsidR="002F30BD" w:rsidRPr="00ED22C8" w14:paraId="747D9B7B" w14:textId="77777777" w:rsidTr="00BC7E31">
        <w:trPr>
          <w:trHeight w:val="467"/>
        </w:trPr>
        <w:tc>
          <w:tcPr>
            <w:tcW w:w="227" w:type="pct"/>
          </w:tcPr>
          <w:p w14:paraId="2BC0F3C0" w14:textId="77777777" w:rsidR="002F30BD" w:rsidRPr="00DD49B6" w:rsidRDefault="002F30BD" w:rsidP="00BC7E31">
            <w:pPr>
              <w:pStyle w:val="naiskr"/>
              <w:spacing w:before="0" w:beforeAutospacing="0" w:after="0" w:afterAutospacing="0"/>
              <w:ind w:left="57" w:right="57"/>
              <w:jc w:val="both"/>
            </w:pPr>
            <w:r w:rsidRPr="00DD49B6">
              <w:t>1.</w:t>
            </w:r>
          </w:p>
        </w:tc>
        <w:tc>
          <w:tcPr>
            <w:tcW w:w="1566" w:type="pct"/>
          </w:tcPr>
          <w:p w14:paraId="2453D150" w14:textId="77777777" w:rsidR="002F30BD" w:rsidRPr="00DD49B6" w:rsidRDefault="002F30BD" w:rsidP="00BC7E31">
            <w:pPr>
              <w:pStyle w:val="naiskr"/>
              <w:spacing w:before="0" w:beforeAutospacing="0" w:after="0" w:afterAutospacing="0"/>
              <w:ind w:left="57" w:right="57"/>
            </w:pPr>
            <w:r w:rsidRPr="00DD49B6">
              <w:t>Sabiedrības mērķgrupas, kuras tiesiskais regulējums ietekmē vai varētu ietekmēt</w:t>
            </w:r>
          </w:p>
        </w:tc>
        <w:tc>
          <w:tcPr>
            <w:tcW w:w="3207" w:type="pct"/>
          </w:tcPr>
          <w:p w14:paraId="3E91A542" w14:textId="48DF1DCD" w:rsidR="002F30BD" w:rsidRPr="00ED22C8" w:rsidRDefault="002F30BD" w:rsidP="00BC7E31">
            <w:pPr>
              <w:shd w:val="clear" w:color="auto" w:fill="FFFFFF"/>
              <w:spacing w:after="0" w:line="240" w:lineRule="auto"/>
              <w:ind w:left="57" w:right="57"/>
              <w:jc w:val="both"/>
              <w:rPr>
                <w:rFonts w:ascii="Times New Roman" w:hAnsi="Times New Roman"/>
                <w:sz w:val="24"/>
                <w:szCs w:val="24"/>
              </w:rPr>
            </w:pPr>
            <w:bookmarkStart w:id="1" w:name="p21"/>
            <w:bookmarkEnd w:id="1"/>
            <w:r w:rsidRPr="00290226">
              <w:rPr>
                <w:rFonts w:ascii="Times New Roman" w:hAnsi="Times New Roman"/>
                <w:bCs/>
                <w:sz w:val="24"/>
                <w:szCs w:val="24"/>
              </w:rPr>
              <w:t>Ministru kabineta noteikumu projekts attiecas uz</w:t>
            </w:r>
            <w:r>
              <w:rPr>
                <w:rFonts w:ascii="Times New Roman" w:hAnsi="Times New Roman"/>
                <w:bCs/>
                <w:sz w:val="24"/>
                <w:szCs w:val="24"/>
              </w:rPr>
              <w:t xml:space="preserve"> lauksaimniecības, mežsaimniecības,</w:t>
            </w:r>
            <w:r w:rsidRPr="00290226">
              <w:rPr>
                <w:rFonts w:ascii="Times New Roman" w:hAnsi="Times New Roman"/>
                <w:bCs/>
                <w:sz w:val="24"/>
                <w:szCs w:val="24"/>
              </w:rPr>
              <w:t xml:space="preserve"> pārtikas pārstrādes</w:t>
            </w:r>
            <w:r>
              <w:rPr>
                <w:rFonts w:ascii="Times New Roman" w:hAnsi="Times New Roman"/>
                <w:bCs/>
                <w:sz w:val="24"/>
                <w:szCs w:val="24"/>
              </w:rPr>
              <w:t xml:space="preserve"> un zivsaimniecības</w:t>
            </w:r>
            <w:r w:rsidRPr="00290226">
              <w:rPr>
                <w:rFonts w:ascii="Times New Roman" w:hAnsi="Times New Roman"/>
                <w:bCs/>
                <w:sz w:val="24"/>
                <w:szCs w:val="24"/>
              </w:rPr>
              <w:t xml:space="preserve"> </w:t>
            </w:r>
            <w:r w:rsidR="00676910" w:rsidRPr="00290226">
              <w:rPr>
                <w:rFonts w:ascii="Times New Roman" w:hAnsi="Times New Roman"/>
                <w:bCs/>
                <w:sz w:val="24"/>
                <w:szCs w:val="24"/>
              </w:rPr>
              <w:t>nozar</w:t>
            </w:r>
            <w:r w:rsidR="00676910">
              <w:rPr>
                <w:rFonts w:ascii="Times New Roman" w:hAnsi="Times New Roman"/>
                <w:bCs/>
                <w:sz w:val="24"/>
                <w:szCs w:val="24"/>
              </w:rPr>
              <w:t>ē iesaistītajiem</w:t>
            </w:r>
            <w:r w:rsidRPr="00290226">
              <w:rPr>
                <w:rFonts w:ascii="Times New Roman" w:hAnsi="Times New Roman"/>
                <w:bCs/>
                <w:sz w:val="24"/>
                <w:szCs w:val="24"/>
              </w:rPr>
              <w:t>.</w:t>
            </w:r>
          </w:p>
        </w:tc>
      </w:tr>
      <w:tr w:rsidR="002F30BD" w:rsidRPr="00ED22C8" w14:paraId="2E70D86B" w14:textId="77777777" w:rsidTr="00BC7E31">
        <w:trPr>
          <w:trHeight w:val="523"/>
        </w:trPr>
        <w:tc>
          <w:tcPr>
            <w:tcW w:w="227" w:type="pct"/>
          </w:tcPr>
          <w:p w14:paraId="11C2BAF8" w14:textId="77777777" w:rsidR="002F30BD" w:rsidRPr="00DD49B6" w:rsidRDefault="002F30BD" w:rsidP="00BC7E31">
            <w:pPr>
              <w:pStyle w:val="naiskr"/>
              <w:spacing w:before="0" w:beforeAutospacing="0" w:after="0" w:afterAutospacing="0"/>
              <w:ind w:left="57" w:right="57"/>
              <w:jc w:val="both"/>
            </w:pPr>
            <w:r w:rsidRPr="00DD49B6">
              <w:t>2.</w:t>
            </w:r>
          </w:p>
        </w:tc>
        <w:tc>
          <w:tcPr>
            <w:tcW w:w="1566" w:type="pct"/>
          </w:tcPr>
          <w:p w14:paraId="768B642D" w14:textId="77777777" w:rsidR="002F30BD" w:rsidRPr="00DD49B6" w:rsidRDefault="002F30BD" w:rsidP="00BC7E31">
            <w:pPr>
              <w:pStyle w:val="naiskr"/>
              <w:spacing w:before="0" w:beforeAutospacing="0" w:after="0" w:afterAutospacing="0"/>
              <w:ind w:left="57" w:right="57"/>
            </w:pPr>
            <w:r w:rsidRPr="00DD49B6">
              <w:t>Tiesiskā regulējuma ietekme uz tautsaimniecību un administratīvo slogu</w:t>
            </w:r>
          </w:p>
        </w:tc>
        <w:tc>
          <w:tcPr>
            <w:tcW w:w="3207" w:type="pct"/>
          </w:tcPr>
          <w:p w14:paraId="5C8F195E" w14:textId="184ECB38" w:rsidR="002F30BD" w:rsidRPr="00BD3C7E" w:rsidRDefault="002F30BD" w:rsidP="00BC7E31">
            <w:pPr>
              <w:spacing w:after="0" w:line="240" w:lineRule="auto"/>
              <w:ind w:left="57" w:right="57"/>
              <w:jc w:val="both"/>
              <w:rPr>
                <w:rFonts w:ascii="Times New Roman" w:hAnsi="Times New Roman"/>
                <w:sz w:val="24"/>
              </w:rPr>
            </w:pPr>
            <w:r w:rsidRPr="00BD3C7E">
              <w:rPr>
                <w:rFonts w:ascii="Times New Roman" w:hAnsi="Times New Roman"/>
                <w:sz w:val="24"/>
              </w:rPr>
              <w:t xml:space="preserve">Pārtikas rūpniecība ir lielākā Latvijas apstrādes rūpniecības nozare un veido aptuveni piekto daļu no apstrādes rūpniecības pievienotās vērtības. 2013. gadā nozares pievienotā vērtība bija 654,9 miljoni </w:t>
            </w:r>
            <w:r w:rsidR="00997B58" w:rsidRPr="009741FB">
              <w:rPr>
                <w:rFonts w:ascii="Times New Roman" w:hAnsi="Times New Roman"/>
                <w:i/>
                <w:sz w:val="24"/>
              </w:rPr>
              <w:t>euro</w:t>
            </w:r>
            <w:r w:rsidR="00997B58">
              <w:rPr>
                <w:rFonts w:ascii="Times New Roman" w:hAnsi="Times New Roman"/>
                <w:sz w:val="24"/>
              </w:rPr>
              <w:t> –</w:t>
            </w:r>
            <w:r w:rsidRPr="00BD3C7E">
              <w:rPr>
                <w:rFonts w:ascii="Times New Roman" w:hAnsi="Times New Roman"/>
                <w:sz w:val="24"/>
              </w:rPr>
              <w:t xml:space="preserve"> salīdzinājumā ar 2008.</w:t>
            </w:r>
            <w:r w:rsidR="00997B58">
              <w:rPr>
                <w:rFonts w:ascii="Times New Roman" w:hAnsi="Times New Roman"/>
                <w:sz w:val="24"/>
              </w:rPr>
              <w:t> </w:t>
            </w:r>
            <w:r w:rsidRPr="00BD3C7E">
              <w:rPr>
                <w:rFonts w:ascii="Times New Roman" w:hAnsi="Times New Roman"/>
                <w:sz w:val="24"/>
              </w:rPr>
              <w:t>gadu tā palielinājusies par 30,8%</w:t>
            </w:r>
            <w:r>
              <w:rPr>
                <w:rFonts w:ascii="Times New Roman" w:hAnsi="Times New Roman"/>
                <w:sz w:val="24"/>
              </w:rPr>
              <w:t xml:space="preserve"> ar</w:t>
            </w:r>
            <w:r w:rsidRPr="00BD3C7E">
              <w:rPr>
                <w:rFonts w:ascii="Times New Roman" w:hAnsi="Times New Roman"/>
                <w:sz w:val="24"/>
              </w:rPr>
              <w:t xml:space="preserve"> vienmērīg</w:t>
            </w:r>
            <w:r>
              <w:rPr>
                <w:rFonts w:ascii="Times New Roman" w:hAnsi="Times New Roman"/>
                <w:sz w:val="24"/>
              </w:rPr>
              <w:t>u kāpumu</w:t>
            </w:r>
            <w:r w:rsidRPr="00BD3C7E">
              <w:rPr>
                <w:rFonts w:ascii="Times New Roman" w:hAnsi="Times New Roman"/>
                <w:sz w:val="24"/>
              </w:rPr>
              <w:t xml:space="preserve"> katru gadu. Nozares īpatsvars kopējā pievienotajā vērtībā pēdējos gados ir stabils, ar nelielām </w:t>
            </w:r>
            <w:r>
              <w:rPr>
                <w:rFonts w:ascii="Times New Roman" w:hAnsi="Times New Roman"/>
                <w:sz w:val="24"/>
              </w:rPr>
              <w:t>pār</w:t>
            </w:r>
            <w:r w:rsidRPr="00BD3C7E">
              <w:rPr>
                <w:rFonts w:ascii="Times New Roman" w:hAnsi="Times New Roman"/>
                <w:sz w:val="24"/>
              </w:rPr>
              <w:t>maiņām.</w:t>
            </w:r>
          </w:p>
          <w:p w14:paraId="78CD1146" w14:textId="7332A047" w:rsidR="002F30BD" w:rsidRPr="00BD3C7E" w:rsidRDefault="002F30BD" w:rsidP="00BC7E31">
            <w:pPr>
              <w:spacing w:after="0" w:line="240" w:lineRule="auto"/>
              <w:ind w:left="57" w:right="57"/>
              <w:jc w:val="both"/>
              <w:rPr>
                <w:rFonts w:ascii="Times New Roman" w:hAnsi="Times New Roman"/>
                <w:sz w:val="24"/>
              </w:rPr>
            </w:pPr>
            <w:r w:rsidRPr="00BD3C7E">
              <w:rPr>
                <w:rFonts w:ascii="Times New Roman" w:hAnsi="Times New Roman"/>
                <w:sz w:val="24"/>
              </w:rPr>
              <w:t>2013. gadā turpināja p</w:t>
            </w:r>
            <w:r>
              <w:rPr>
                <w:rFonts w:ascii="Times New Roman" w:hAnsi="Times New Roman"/>
                <w:sz w:val="24"/>
              </w:rPr>
              <w:t>alielināties</w:t>
            </w:r>
            <w:r w:rsidRPr="00BD3C7E">
              <w:rPr>
                <w:rFonts w:ascii="Times New Roman" w:hAnsi="Times New Roman"/>
                <w:sz w:val="24"/>
              </w:rPr>
              <w:t xml:space="preserve"> lauksaimniecības, pārtikas un zivsaimniecības produktu eksports vērtības izteiksmē un lauksaimniecības, pārtikas un zivsaimniecības produkti </w:t>
            </w:r>
            <w:r w:rsidR="00997B58">
              <w:rPr>
                <w:rFonts w:ascii="Times New Roman" w:hAnsi="Times New Roman"/>
                <w:sz w:val="24"/>
              </w:rPr>
              <w:t xml:space="preserve">veidoja </w:t>
            </w:r>
            <w:r w:rsidRPr="00BD3C7E">
              <w:rPr>
                <w:rFonts w:ascii="Times New Roman" w:hAnsi="Times New Roman"/>
                <w:sz w:val="24"/>
              </w:rPr>
              <w:t>nozīmīg</w:t>
            </w:r>
            <w:r w:rsidR="00997B58">
              <w:rPr>
                <w:rFonts w:ascii="Times New Roman" w:hAnsi="Times New Roman"/>
                <w:sz w:val="24"/>
              </w:rPr>
              <w:t>u daļu</w:t>
            </w:r>
            <w:r w:rsidRPr="00BD3C7E">
              <w:rPr>
                <w:rFonts w:ascii="Times New Roman" w:hAnsi="Times New Roman"/>
                <w:sz w:val="24"/>
              </w:rPr>
              <w:t xml:space="preserve"> Latvijas eksport</w:t>
            </w:r>
            <w:r w:rsidR="00997B58">
              <w:rPr>
                <w:rFonts w:ascii="Times New Roman" w:hAnsi="Times New Roman"/>
                <w:sz w:val="24"/>
              </w:rPr>
              <w:t>ā</w:t>
            </w:r>
            <w:r w:rsidRPr="00BD3C7E">
              <w:rPr>
                <w:rFonts w:ascii="Times New Roman" w:hAnsi="Times New Roman"/>
                <w:sz w:val="24"/>
              </w:rPr>
              <w:t xml:space="preserve"> (2</w:t>
            </w:r>
            <w:r w:rsidR="00997B58">
              <w:rPr>
                <w:rFonts w:ascii="Times New Roman" w:hAnsi="Times New Roman"/>
                <w:sz w:val="24"/>
              </w:rPr>
              <w:t> </w:t>
            </w:r>
            <w:r w:rsidRPr="00BD3C7E">
              <w:rPr>
                <w:rFonts w:ascii="Times New Roman" w:hAnsi="Times New Roman"/>
                <w:sz w:val="24"/>
              </w:rPr>
              <w:t xml:space="preserve">312,8 milj. </w:t>
            </w:r>
            <w:r w:rsidR="00997B58" w:rsidRPr="00FD4B4E">
              <w:rPr>
                <w:rFonts w:ascii="Times New Roman" w:hAnsi="Times New Roman"/>
                <w:i/>
                <w:sz w:val="24"/>
              </w:rPr>
              <w:t>euro</w:t>
            </w:r>
            <w:r w:rsidR="00997B58">
              <w:rPr>
                <w:rFonts w:ascii="Times New Roman" w:hAnsi="Times New Roman"/>
                <w:i/>
                <w:sz w:val="24"/>
              </w:rPr>
              <w:t xml:space="preserve"> </w:t>
            </w:r>
            <w:r w:rsidRPr="00BD3C7E">
              <w:rPr>
                <w:rFonts w:ascii="Times New Roman" w:hAnsi="Times New Roman"/>
                <w:sz w:val="24"/>
              </w:rPr>
              <w:t>jeb 21,2% no Latvijas kopējās eksporta vērtības), apsteidzot meža nozares produktu eksporta vērtību (1</w:t>
            </w:r>
            <w:r w:rsidR="00997B58">
              <w:rPr>
                <w:rFonts w:ascii="Times New Roman" w:hAnsi="Times New Roman"/>
                <w:sz w:val="24"/>
              </w:rPr>
              <w:t> </w:t>
            </w:r>
            <w:r w:rsidRPr="00BD3C7E">
              <w:rPr>
                <w:rFonts w:ascii="Times New Roman" w:hAnsi="Times New Roman"/>
                <w:sz w:val="24"/>
              </w:rPr>
              <w:t>876,6 milj.</w:t>
            </w:r>
            <w:r w:rsidR="00C52A48">
              <w:rPr>
                <w:rFonts w:ascii="Times New Roman" w:hAnsi="Times New Roman"/>
                <w:sz w:val="24"/>
              </w:rPr>
              <w:t xml:space="preserve"> </w:t>
            </w:r>
            <w:r w:rsidR="00997B58" w:rsidRPr="00FD4B4E">
              <w:rPr>
                <w:rFonts w:ascii="Times New Roman" w:hAnsi="Times New Roman"/>
                <w:i/>
                <w:sz w:val="24"/>
              </w:rPr>
              <w:t>euro</w:t>
            </w:r>
            <w:r w:rsidRPr="00BD3C7E">
              <w:rPr>
                <w:rFonts w:ascii="Times New Roman" w:hAnsi="Times New Roman"/>
                <w:sz w:val="24"/>
              </w:rPr>
              <w:t xml:space="preserve"> jeb 17,2%). 2013. gadā eksporta vērtība sasniedza augstākos rādītājus pēdējo astoņu gadu laikā</w:t>
            </w:r>
            <w:r>
              <w:rPr>
                <w:rFonts w:ascii="Times New Roman" w:hAnsi="Times New Roman"/>
                <w:sz w:val="24"/>
              </w:rPr>
              <w:t>.</w:t>
            </w:r>
          </w:p>
          <w:p w14:paraId="6E1C9A5F" w14:textId="762A2175" w:rsidR="002F30BD" w:rsidRPr="00BD3C7E" w:rsidRDefault="002F30BD" w:rsidP="00BC7E31">
            <w:pPr>
              <w:autoSpaceDE w:val="0"/>
              <w:autoSpaceDN w:val="0"/>
              <w:adjustRightInd w:val="0"/>
              <w:spacing w:after="0" w:line="240" w:lineRule="auto"/>
              <w:ind w:left="57" w:right="57"/>
              <w:jc w:val="both"/>
              <w:rPr>
                <w:rFonts w:ascii="Times New Roman" w:hAnsi="Times New Roman"/>
                <w:sz w:val="24"/>
              </w:rPr>
            </w:pPr>
            <w:r w:rsidRPr="00BD3C7E">
              <w:rPr>
                <w:rFonts w:ascii="Times New Roman" w:hAnsi="Times New Roman"/>
                <w:sz w:val="24"/>
              </w:rPr>
              <w:t xml:space="preserve">2013. gadā </w:t>
            </w:r>
            <w:r w:rsidR="00997B58">
              <w:rPr>
                <w:rFonts w:ascii="Times New Roman" w:hAnsi="Times New Roman"/>
                <w:sz w:val="24"/>
              </w:rPr>
              <w:t>bija</w:t>
            </w:r>
            <w:r w:rsidRPr="00BD3C7E">
              <w:rPr>
                <w:rFonts w:ascii="Times New Roman" w:hAnsi="Times New Roman"/>
                <w:sz w:val="24"/>
              </w:rPr>
              <w:t xml:space="preserve"> novērojams lauksaimniecības, pārtikas un zivsaimniecības produktu eksporta vērtības palielinājums, pārsniedzot importa vērtību un veidojot pozitīvu tirdzniecības bilanci. Eksports vērtības izteiksmē pieauga par 1,6% jeb par 36,1 milj. </w:t>
            </w:r>
            <w:r w:rsidR="00997B58" w:rsidRPr="00FD4B4E">
              <w:rPr>
                <w:rFonts w:ascii="Times New Roman" w:hAnsi="Times New Roman"/>
                <w:i/>
                <w:sz w:val="24"/>
              </w:rPr>
              <w:t>euro</w:t>
            </w:r>
            <w:r w:rsidRPr="00BD3C7E">
              <w:rPr>
                <w:rFonts w:ascii="Times New Roman" w:hAnsi="Times New Roman"/>
                <w:sz w:val="24"/>
              </w:rPr>
              <w:t xml:space="preserve"> salīdzinājumā ar 2012. gadu, savukārt imports palielinājās tikai par 8,4% jeb par 175,9 milj. </w:t>
            </w:r>
            <w:r w:rsidR="00997B58" w:rsidRPr="00FD4B4E">
              <w:rPr>
                <w:rFonts w:ascii="Times New Roman" w:hAnsi="Times New Roman"/>
                <w:i/>
                <w:sz w:val="24"/>
              </w:rPr>
              <w:t>euro</w:t>
            </w:r>
            <w:r w:rsidRPr="00BD3C7E">
              <w:rPr>
                <w:rFonts w:ascii="Times New Roman" w:hAnsi="Times New Roman"/>
                <w:sz w:val="24"/>
              </w:rPr>
              <w:t xml:space="preserve">. </w:t>
            </w:r>
          </w:p>
          <w:p w14:paraId="5A5B16BC" w14:textId="11C9CA4A" w:rsidR="002F30BD" w:rsidRDefault="002F30BD" w:rsidP="00BC7E31">
            <w:pPr>
              <w:spacing w:after="0" w:line="240" w:lineRule="auto"/>
              <w:ind w:left="57" w:right="57"/>
              <w:jc w:val="both"/>
              <w:rPr>
                <w:rFonts w:ascii="Times New Roman" w:hAnsi="Times New Roman"/>
                <w:sz w:val="24"/>
              </w:rPr>
            </w:pPr>
            <w:r w:rsidRPr="00BD3C7E">
              <w:rPr>
                <w:rFonts w:ascii="Times New Roman" w:hAnsi="Times New Roman"/>
                <w:sz w:val="24"/>
              </w:rPr>
              <w:t xml:space="preserve">Lauksaimniecības, pārtikas un zivsaimniecības produktu eksporta </w:t>
            </w:r>
            <w:r w:rsidR="00997B58">
              <w:rPr>
                <w:rFonts w:ascii="Times New Roman" w:hAnsi="Times New Roman"/>
                <w:sz w:val="24"/>
              </w:rPr>
              <w:t>kāpums</w:t>
            </w:r>
            <w:r w:rsidRPr="00BD3C7E">
              <w:rPr>
                <w:rFonts w:ascii="Times New Roman" w:hAnsi="Times New Roman"/>
                <w:sz w:val="24"/>
              </w:rPr>
              <w:t xml:space="preserve"> ir pozitīvi ietekmējis Latvijas lauksaimniecības, pārtikas un zivsaimniecības produktu ārējās tirdzniecības bilanci</w:t>
            </w:r>
            <w:r w:rsidR="009741FB">
              <w:rPr>
                <w:rFonts w:ascii="Times New Roman" w:hAnsi="Times New Roman"/>
                <w:sz w:val="24"/>
              </w:rPr>
              <w:t>.</w:t>
            </w:r>
            <w:r w:rsidRPr="00BD3C7E">
              <w:rPr>
                <w:rFonts w:ascii="Times New Roman" w:hAnsi="Times New Roman"/>
                <w:sz w:val="24"/>
              </w:rPr>
              <w:t xml:space="preserve"> 2013.</w:t>
            </w:r>
            <w:r w:rsidR="000E7E1F">
              <w:rPr>
                <w:rFonts w:ascii="Times New Roman" w:hAnsi="Times New Roman"/>
                <w:sz w:val="24"/>
              </w:rPr>
              <w:t> </w:t>
            </w:r>
            <w:r w:rsidRPr="00BD3C7E">
              <w:rPr>
                <w:rFonts w:ascii="Times New Roman" w:hAnsi="Times New Roman"/>
                <w:sz w:val="24"/>
              </w:rPr>
              <w:t xml:space="preserve">gadā Latvijas lauksaimniecības, pārtikas un zivsaimniecības produktu eksports par 46,6 milj. </w:t>
            </w:r>
            <w:r w:rsidR="00997B58" w:rsidRPr="00FD4B4E">
              <w:rPr>
                <w:rFonts w:ascii="Times New Roman" w:hAnsi="Times New Roman"/>
                <w:i/>
                <w:sz w:val="24"/>
              </w:rPr>
              <w:t>euro</w:t>
            </w:r>
            <w:r w:rsidR="00997B58">
              <w:rPr>
                <w:rFonts w:ascii="Times New Roman" w:hAnsi="Times New Roman"/>
                <w:i/>
                <w:sz w:val="24"/>
              </w:rPr>
              <w:t xml:space="preserve"> </w:t>
            </w:r>
            <w:r w:rsidRPr="00BD3C7E">
              <w:rPr>
                <w:rFonts w:ascii="Times New Roman" w:hAnsi="Times New Roman"/>
                <w:sz w:val="24"/>
              </w:rPr>
              <w:t>pārsniedza importa vērtī</w:t>
            </w:r>
            <w:r>
              <w:rPr>
                <w:rFonts w:ascii="Times New Roman" w:hAnsi="Times New Roman"/>
                <w:sz w:val="24"/>
              </w:rPr>
              <w:t>bu.</w:t>
            </w:r>
          </w:p>
          <w:p w14:paraId="73841D9C" w14:textId="3249E021" w:rsidR="002F30BD" w:rsidRPr="00290226" w:rsidRDefault="002F30BD" w:rsidP="00BC7E31">
            <w:pPr>
              <w:shd w:val="clear" w:color="auto" w:fill="FFFFFF"/>
              <w:spacing w:after="0" w:line="240" w:lineRule="auto"/>
              <w:ind w:left="57" w:right="57"/>
              <w:jc w:val="both"/>
              <w:rPr>
                <w:rFonts w:ascii="Times New Roman" w:hAnsi="Times New Roman"/>
                <w:bCs/>
                <w:sz w:val="24"/>
                <w:szCs w:val="24"/>
              </w:rPr>
            </w:pPr>
            <w:r w:rsidRPr="004A07AB">
              <w:rPr>
                <w:rFonts w:ascii="Times New Roman" w:hAnsi="Times New Roman"/>
                <w:sz w:val="24"/>
              </w:rPr>
              <w:t>Lai gan nozares darbība kopumā ir veiksmīga, E</w:t>
            </w:r>
            <w:r w:rsidR="000E7E1F">
              <w:rPr>
                <w:rFonts w:ascii="Times New Roman" w:hAnsi="Times New Roman"/>
                <w:sz w:val="24"/>
              </w:rPr>
              <w:t>iropas Savienības</w:t>
            </w:r>
            <w:r w:rsidRPr="004A07AB">
              <w:rPr>
                <w:rFonts w:ascii="Times New Roman" w:hAnsi="Times New Roman"/>
                <w:sz w:val="24"/>
              </w:rPr>
              <w:t xml:space="preserve"> vienotajā tirgū Latvijai ir raksturīga sadrumstalota pārtikas produktu ražošana ar salīdzinoši nelielu ražošanas jaudu un saražotās produkcijas apjomu un </w:t>
            </w:r>
            <w:r w:rsidR="003B6482">
              <w:rPr>
                <w:rFonts w:ascii="Times New Roman" w:hAnsi="Times New Roman"/>
                <w:sz w:val="24"/>
              </w:rPr>
              <w:t>liel</w:t>
            </w:r>
            <w:r w:rsidRPr="004A07AB">
              <w:rPr>
                <w:rFonts w:ascii="Times New Roman" w:hAnsi="Times New Roman"/>
                <w:sz w:val="24"/>
              </w:rPr>
              <w:t xml:space="preserve">u izmaksu slogu pret neto apgrozījumu, </w:t>
            </w:r>
            <w:r w:rsidR="000E7E1F">
              <w:rPr>
                <w:rFonts w:ascii="Times New Roman" w:hAnsi="Times New Roman"/>
                <w:sz w:val="24"/>
              </w:rPr>
              <w:t>un</w:t>
            </w:r>
            <w:r w:rsidRPr="004A07AB">
              <w:rPr>
                <w:rFonts w:ascii="Times New Roman" w:hAnsi="Times New Roman"/>
                <w:sz w:val="24"/>
              </w:rPr>
              <w:t xml:space="preserve"> tas rada grūtības konkurēt vienotajā tirgū. Tādēļ nozarē tiek </w:t>
            </w:r>
            <w:r w:rsidR="000E7E1F">
              <w:rPr>
                <w:rFonts w:ascii="Times New Roman" w:hAnsi="Times New Roman"/>
                <w:sz w:val="24"/>
              </w:rPr>
              <w:t>īstenoti</w:t>
            </w:r>
            <w:r w:rsidRPr="004A07AB">
              <w:rPr>
                <w:rFonts w:ascii="Times New Roman" w:hAnsi="Times New Roman"/>
                <w:sz w:val="24"/>
              </w:rPr>
              <w:t xml:space="preserve"> pasākumi pārstrādes efektivitātes palielināšanai, investējot jaunās iekārtās un būvniecībā, lai palielinātu arī uzņēmumu konkurētspēju Latvijas un eksporta tirgos.</w:t>
            </w:r>
            <w:r>
              <w:rPr>
                <w:rFonts w:ascii="Times New Roman" w:hAnsi="Times New Roman"/>
                <w:sz w:val="24"/>
              </w:rPr>
              <w:t xml:space="preserve"> </w:t>
            </w:r>
            <w:r w:rsidRPr="00B232A4">
              <w:rPr>
                <w:rFonts w:ascii="Times New Roman" w:hAnsi="Times New Roman"/>
                <w:sz w:val="24"/>
              </w:rPr>
              <w:t>Valsts</w:t>
            </w:r>
            <w:r>
              <w:rPr>
                <w:rFonts w:ascii="Times New Roman" w:hAnsi="Times New Roman"/>
                <w:sz w:val="24"/>
              </w:rPr>
              <w:t xml:space="preserve"> </w:t>
            </w:r>
            <w:r w:rsidRPr="00B232A4">
              <w:rPr>
                <w:rFonts w:ascii="Times New Roman" w:hAnsi="Times New Roman"/>
                <w:sz w:val="24"/>
              </w:rPr>
              <w:t>atbalsta pasākum</w:t>
            </w:r>
            <w:r>
              <w:rPr>
                <w:rFonts w:ascii="Times New Roman" w:hAnsi="Times New Roman"/>
                <w:sz w:val="24"/>
              </w:rPr>
              <w:t>u</w:t>
            </w:r>
            <w:r w:rsidRPr="00B232A4">
              <w:rPr>
                <w:rFonts w:ascii="Times New Roman" w:hAnsi="Times New Roman"/>
                <w:sz w:val="24"/>
              </w:rPr>
              <w:t xml:space="preserve"> mērķis ir nodrošināt </w:t>
            </w:r>
            <w:r w:rsidRPr="00B232A4">
              <w:rPr>
                <w:rFonts w:ascii="Times New Roman" w:hAnsi="Times New Roman"/>
                <w:sz w:val="24"/>
              </w:rPr>
              <w:lastRenderedPageBreak/>
              <w:t>lauksaimniecības produktu ražošanas attīstību, veicinot lauku ekonomiskās telpas attīstību.</w:t>
            </w:r>
          </w:p>
        </w:tc>
      </w:tr>
      <w:tr w:rsidR="002F30BD" w:rsidRPr="00ED22C8" w14:paraId="22D0FA01" w14:textId="77777777" w:rsidTr="00BC7E31">
        <w:trPr>
          <w:trHeight w:val="523"/>
        </w:trPr>
        <w:tc>
          <w:tcPr>
            <w:tcW w:w="227" w:type="pct"/>
          </w:tcPr>
          <w:p w14:paraId="3A2B4655" w14:textId="77777777" w:rsidR="002F30BD" w:rsidRPr="00DD49B6" w:rsidRDefault="002F30BD" w:rsidP="00BC7E31">
            <w:pPr>
              <w:pStyle w:val="naiskr"/>
              <w:spacing w:before="0" w:beforeAutospacing="0" w:after="0" w:afterAutospacing="0"/>
              <w:ind w:left="57" w:right="57"/>
              <w:jc w:val="both"/>
            </w:pPr>
            <w:r w:rsidRPr="00DD49B6">
              <w:lastRenderedPageBreak/>
              <w:t>3.</w:t>
            </w:r>
          </w:p>
        </w:tc>
        <w:tc>
          <w:tcPr>
            <w:tcW w:w="1566" w:type="pct"/>
          </w:tcPr>
          <w:p w14:paraId="2935ECF8" w14:textId="77777777" w:rsidR="002F30BD" w:rsidRPr="00DD49B6" w:rsidRDefault="002F30BD" w:rsidP="00BC7E31">
            <w:pPr>
              <w:pStyle w:val="naiskr"/>
              <w:spacing w:before="0" w:beforeAutospacing="0" w:after="0" w:afterAutospacing="0"/>
              <w:ind w:left="57" w:right="57"/>
            </w:pPr>
            <w:r w:rsidRPr="00DD49B6">
              <w:t>Administratīvo izmaksu monetārs novērtējums</w:t>
            </w:r>
          </w:p>
        </w:tc>
        <w:tc>
          <w:tcPr>
            <w:tcW w:w="3207" w:type="pct"/>
          </w:tcPr>
          <w:p w14:paraId="0EDE473C" w14:textId="77777777" w:rsidR="00A44D47" w:rsidRDefault="00A44D47" w:rsidP="00BC7E31">
            <w:pPr>
              <w:autoSpaceDE w:val="0"/>
              <w:autoSpaceDN w:val="0"/>
              <w:adjustRightInd w:val="0"/>
              <w:spacing w:after="0" w:line="240" w:lineRule="auto"/>
              <w:ind w:left="57" w:right="57"/>
              <w:jc w:val="both"/>
              <w:rPr>
                <w:rFonts w:ascii="Times New Roman" w:hAnsi="Times New Roman"/>
                <w:sz w:val="24"/>
              </w:rPr>
            </w:pPr>
            <w:r w:rsidRPr="00A44D47">
              <w:rPr>
                <w:rFonts w:ascii="Times New Roman" w:hAnsi="Times New Roman"/>
                <w:sz w:val="24"/>
              </w:rPr>
              <w:t>Aprēķinos ir izmantoti šādi pieņēmum</w:t>
            </w:r>
            <w:r>
              <w:rPr>
                <w:rFonts w:ascii="Times New Roman" w:hAnsi="Times New Roman"/>
                <w:sz w:val="24"/>
              </w:rPr>
              <w:t>i:</w:t>
            </w:r>
          </w:p>
          <w:p w14:paraId="2FBDCCA9" w14:textId="57281340"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r w:rsidRPr="006D0787">
              <w:rPr>
                <w:rFonts w:ascii="Times New Roman" w:hAnsi="Times New Roman"/>
                <w:sz w:val="24"/>
              </w:rPr>
              <w:t xml:space="preserve">Plānots, ka atbalstam pieteiksies aptuveni </w:t>
            </w:r>
            <w:r>
              <w:rPr>
                <w:rFonts w:ascii="Times New Roman" w:hAnsi="Times New Roman"/>
                <w:sz w:val="24"/>
              </w:rPr>
              <w:t>12</w:t>
            </w:r>
            <w:r w:rsidRPr="006D0787">
              <w:rPr>
                <w:rFonts w:ascii="Times New Roman" w:hAnsi="Times New Roman"/>
                <w:sz w:val="24"/>
              </w:rPr>
              <w:t xml:space="preserve"> </w:t>
            </w:r>
            <w:r>
              <w:rPr>
                <w:rFonts w:ascii="Times New Roman" w:hAnsi="Times New Roman"/>
                <w:sz w:val="24"/>
              </w:rPr>
              <w:t>atbalsta pretendent</w:t>
            </w:r>
            <w:r w:rsidR="003B6482">
              <w:rPr>
                <w:rFonts w:ascii="Times New Roman" w:hAnsi="Times New Roman"/>
                <w:sz w:val="24"/>
              </w:rPr>
              <w:t>u</w:t>
            </w:r>
            <w:r w:rsidRPr="006D0787">
              <w:rPr>
                <w:rFonts w:ascii="Times New Roman" w:hAnsi="Times New Roman"/>
                <w:sz w:val="24"/>
              </w:rPr>
              <w:t>.</w:t>
            </w:r>
          </w:p>
          <w:p w14:paraId="1F6138E7" w14:textId="0BCFF081"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r>
              <w:rPr>
                <w:rFonts w:ascii="Times New Roman" w:hAnsi="Times New Roman"/>
                <w:sz w:val="24"/>
              </w:rPr>
              <w:t>Atbalsta pretendentiem</w:t>
            </w:r>
            <w:r w:rsidRPr="006D0787">
              <w:rPr>
                <w:rFonts w:ascii="Times New Roman" w:hAnsi="Times New Roman"/>
                <w:sz w:val="24"/>
              </w:rPr>
              <w:t>, k</w:t>
            </w:r>
            <w:r>
              <w:rPr>
                <w:rFonts w:ascii="Times New Roman" w:hAnsi="Times New Roman"/>
                <w:sz w:val="24"/>
              </w:rPr>
              <w:t>as</w:t>
            </w:r>
            <w:r w:rsidRPr="006D0787">
              <w:rPr>
                <w:rFonts w:ascii="Times New Roman" w:hAnsi="Times New Roman"/>
                <w:sz w:val="24"/>
              </w:rPr>
              <w:t xml:space="preserve"> vēlas saņemt atbalstu</w:t>
            </w:r>
            <w:r w:rsidR="003B6482">
              <w:rPr>
                <w:rFonts w:ascii="Times New Roman" w:hAnsi="Times New Roman"/>
                <w:sz w:val="24"/>
              </w:rPr>
              <w:t>,</w:t>
            </w:r>
            <w:r w:rsidRPr="006D0787">
              <w:rPr>
                <w:rFonts w:ascii="Times New Roman" w:hAnsi="Times New Roman"/>
                <w:sz w:val="24"/>
              </w:rPr>
              <w:t xml:space="preserve"> ir jāiesniedz Lauku atbalsta dienestā iesniegums, kā arī</w:t>
            </w:r>
            <w:r>
              <w:rPr>
                <w:rFonts w:ascii="Times New Roman" w:hAnsi="Times New Roman"/>
                <w:sz w:val="24"/>
              </w:rPr>
              <w:t xml:space="preserve"> visas</w:t>
            </w:r>
            <w:r w:rsidRPr="006D0787">
              <w:rPr>
                <w:rFonts w:ascii="Times New Roman" w:hAnsi="Times New Roman"/>
                <w:sz w:val="24"/>
              </w:rPr>
              <w:t xml:space="preserve"> </w:t>
            </w:r>
            <w:r>
              <w:rPr>
                <w:rFonts w:ascii="Times New Roman" w:hAnsi="Times New Roman"/>
                <w:sz w:val="24"/>
              </w:rPr>
              <w:t>nepieciešamās</w:t>
            </w:r>
            <w:r w:rsidRPr="006D0787">
              <w:rPr>
                <w:rFonts w:ascii="Times New Roman" w:hAnsi="Times New Roman"/>
                <w:sz w:val="24"/>
              </w:rPr>
              <w:t xml:space="preserve"> dokumentu kopijas.</w:t>
            </w:r>
          </w:p>
          <w:p w14:paraId="6FD0B0A9" w14:textId="77777777"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r w:rsidRPr="006D0787">
              <w:rPr>
                <w:rFonts w:ascii="Times New Roman" w:hAnsi="Times New Roman"/>
                <w:sz w:val="24"/>
              </w:rPr>
              <w:t>Aprēķinos ir izmantoti šādi pieņēmumi:</w:t>
            </w:r>
          </w:p>
          <w:p w14:paraId="34162CD2" w14:textId="3777601B" w:rsidR="006D0787" w:rsidRPr="006D0787" w:rsidRDefault="003B6482" w:rsidP="00BC7E31">
            <w:pPr>
              <w:autoSpaceDE w:val="0"/>
              <w:autoSpaceDN w:val="0"/>
              <w:adjustRightInd w:val="0"/>
              <w:spacing w:after="0" w:line="240" w:lineRule="auto"/>
              <w:ind w:left="57" w:right="57"/>
              <w:jc w:val="both"/>
              <w:rPr>
                <w:rFonts w:ascii="Times New Roman" w:hAnsi="Times New Roman"/>
                <w:sz w:val="24"/>
              </w:rPr>
            </w:pPr>
            <w:r>
              <w:rPr>
                <w:rFonts w:ascii="Verdana" w:hAnsi="Verdana"/>
                <w:sz w:val="24"/>
              </w:rPr>
              <w:t>•</w:t>
            </w:r>
            <w:r w:rsidR="006D0787" w:rsidRPr="006D0787">
              <w:rPr>
                <w:rFonts w:ascii="Times New Roman" w:hAnsi="Times New Roman"/>
                <w:sz w:val="24"/>
              </w:rPr>
              <w:t xml:space="preserve"> vidējā darba alga – 4,32 </w:t>
            </w:r>
            <w:r w:rsidR="006D0787" w:rsidRPr="00983C26">
              <w:rPr>
                <w:rFonts w:ascii="Times New Roman" w:hAnsi="Times New Roman"/>
                <w:i/>
                <w:sz w:val="24"/>
              </w:rPr>
              <w:t>euro</w:t>
            </w:r>
            <w:r w:rsidR="006D0787" w:rsidRPr="006D0787">
              <w:rPr>
                <w:rFonts w:ascii="Times New Roman" w:hAnsi="Times New Roman"/>
                <w:sz w:val="24"/>
              </w:rPr>
              <w:t xml:space="preserve"> stundā (Centrālās statistikas pārvaldes dati: 2013.gada mēneša vidējā darba samaksa: 716 </w:t>
            </w:r>
            <w:r w:rsidR="006D0787" w:rsidRPr="006D0787">
              <w:rPr>
                <w:rFonts w:ascii="Times New Roman" w:hAnsi="Times New Roman"/>
                <w:i/>
                <w:sz w:val="24"/>
              </w:rPr>
              <w:t>euro</w:t>
            </w:r>
            <w:r w:rsidR="006D0787" w:rsidRPr="006D0787">
              <w:rPr>
                <w:rFonts w:ascii="Times New Roman" w:hAnsi="Times New Roman"/>
                <w:sz w:val="24"/>
              </w:rPr>
              <w:t>, 2014.gadā: 165,58 stundas/mēnesī));</w:t>
            </w:r>
          </w:p>
          <w:p w14:paraId="51C23DA5" w14:textId="4228F43C" w:rsidR="006D0787" w:rsidRPr="006D0787" w:rsidRDefault="003B6482" w:rsidP="00BC7E31">
            <w:pPr>
              <w:autoSpaceDE w:val="0"/>
              <w:autoSpaceDN w:val="0"/>
              <w:adjustRightInd w:val="0"/>
              <w:spacing w:after="0" w:line="240" w:lineRule="auto"/>
              <w:ind w:left="57" w:right="57"/>
              <w:jc w:val="both"/>
              <w:rPr>
                <w:rFonts w:ascii="Times New Roman" w:hAnsi="Times New Roman"/>
                <w:sz w:val="24"/>
              </w:rPr>
            </w:pPr>
            <w:r>
              <w:rPr>
                <w:rFonts w:ascii="Verdana" w:hAnsi="Verdana"/>
                <w:sz w:val="24"/>
              </w:rPr>
              <w:t>•</w:t>
            </w:r>
            <w:r w:rsidR="006D0787" w:rsidRPr="006D0787">
              <w:rPr>
                <w:rFonts w:ascii="Times New Roman" w:hAnsi="Times New Roman"/>
                <w:sz w:val="24"/>
              </w:rPr>
              <w:t xml:space="preserve"> degvielas cena </w:t>
            </w:r>
            <w:r>
              <w:rPr>
                <w:rFonts w:ascii="Times New Roman" w:hAnsi="Times New Roman"/>
                <w:sz w:val="24"/>
              </w:rPr>
              <w:t>–</w:t>
            </w:r>
            <w:r w:rsidR="006D0787" w:rsidRPr="006D0787">
              <w:rPr>
                <w:rFonts w:ascii="Times New Roman" w:hAnsi="Times New Roman"/>
                <w:sz w:val="24"/>
              </w:rPr>
              <w:t xml:space="preserve"> 1,2 </w:t>
            </w:r>
            <w:proofErr w:type="spellStart"/>
            <w:r w:rsidR="006D0787" w:rsidRPr="006D0787">
              <w:rPr>
                <w:rFonts w:ascii="Times New Roman" w:hAnsi="Times New Roman"/>
                <w:i/>
                <w:sz w:val="24"/>
              </w:rPr>
              <w:t>euro</w:t>
            </w:r>
            <w:proofErr w:type="spellEnd"/>
            <w:r w:rsidR="006D0787" w:rsidRPr="006D0787">
              <w:rPr>
                <w:rFonts w:ascii="Times New Roman" w:hAnsi="Times New Roman"/>
                <w:sz w:val="24"/>
              </w:rPr>
              <w:t xml:space="preserve"> litrā;</w:t>
            </w:r>
          </w:p>
          <w:p w14:paraId="23C3B61D" w14:textId="54E95D49" w:rsidR="006D0787" w:rsidRPr="006D0787" w:rsidRDefault="003B6482" w:rsidP="00BC7E31">
            <w:pPr>
              <w:autoSpaceDE w:val="0"/>
              <w:autoSpaceDN w:val="0"/>
              <w:adjustRightInd w:val="0"/>
              <w:spacing w:after="0" w:line="240" w:lineRule="auto"/>
              <w:ind w:left="57" w:right="57"/>
              <w:jc w:val="both"/>
              <w:rPr>
                <w:rFonts w:ascii="Times New Roman" w:hAnsi="Times New Roman"/>
                <w:sz w:val="24"/>
              </w:rPr>
            </w:pPr>
            <w:r>
              <w:rPr>
                <w:rFonts w:ascii="Verdana" w:hAnsi="Verdana"/>
                <w:sz w:val="24"/>
              </w:rPr>
              <w:t>•</w:t>
            </w:r>
            <w:r w:rsidR="006D0787" w:rsidRPr="006D0787">
              <w:rPr>
                <w:rFonts w:ascii="Times New Roman" w:hAnsi="Times New Roman"/>
                <w:sz w:val="24"/>
              </w:rPr>
              <w:t xml:space="preserve"> degvielas patēriņa maksimums – 10 litr</w:t>
            </w:r>
            <w:r>
              <w:rPr>
                <w:rFonts w:ascii="Times New Roman" w:hAnsi="Times New Roman"/>
                <w:sz w:val="24"/>
              </w:rPr>
              <w:t>u</w:t>
            </w:r>
            <w:r w:rsidR="006D0787" w:rsidRPr="006D0787">
              <w:rPr>
                <w:rFonts w:ascii="Times New Roman" w:hAnsi="Times New Roman"/>
                <w:sz w:val="24"/>
              </w:rPr>
              <w:t xml:space="preserve"> uz 100</w:t>
            </w:r>
            <w:r>
              <w:rPr>
                <w:rFonts w:ascii="Times New Roman" w:hAnsi="Times New Roman"/>
                <w:sz w:val="24"/>
              </w:rPr>
              <w:t> </w:t>
            </w:r>
            <w:r w:rsidR="006D0787" w:rsidRPr="006D0787">
              <w:rPr>
                <w:rFonts w:ascii="Times New Roman" w:hAnsi="Times New Roman"/>
                <w:sz w:val="24"/>
              </w:rPr>
              <w:t>kilometriem.</w:t>
            </w:r>
          </w:p>
          <w:p w14:paraId="262E41D7" w14:textId="77777777"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p>
          <w:p w14:paraId="57A09DA3" w14:textId="77777777"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r w:rsidRPr="006D0787">
              <w:rPr>
                <w:rFonts w:ascii="Times New Roman" w:hAnsi="Times New Roman"/>
                <w:sz w:val="24"/>
              </w:rPr>
              <w:t>1) Iepazīšanās ar atbalsta saņemšanas prasībām un dokumentu iesniegšana</w:t>
            </w:r>
          </w:p>
          <w:p w14:paraId="47CC4976" w14:textId="1A3F9F42"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r>
              <w:rPr>
                <w:rFonts w:ascii="Times New Roman" w:hAnsi="Times New Roman"/>
                <w:sz w:val="24"/>
              </w:rPr>
              <w:t>Atbalsta pretendentam</w:t>
            </w:r>
            <w:r w:rsidRPr="006D0787">
              <w:rPr>
                <w:rFonts w:ascii="Times New Roman" w:hAnsi="Times New Roman"/>
                <w:sz w:val="24"/>
              </w:rPr>
              <w:t>, k</w:t>
            </w:r>
            <w:r w:rsidR="003B6482">
              <w:rPr>
                <w:rFonts w:ascii="Times New Roman" w:hAnsi="Times New Roman"/>
                <w:sz w:val="24"/>
              </w:rPr>
              <w:t>as</w:t>
            </w:r>
            <w:r w:rsidRPr="006D0787">
              <w:rPr>
                <w:rFonts w:ascii="Times New Roman" w:hAnsi="Times New Roman"/>
                <w:sz w:val="24"/>
              </w:rPr>
              <w:t xml:space="preserve"> vēlas saņemt atbalstu</w:t>
            </w:r>
            <w:r w:rsidR="003B6482">
              <w:rPr>
                <w:rFonts w:ascii="Times New Roman" w:hAnsi="Times New Roman"/>
                <w:sz w:val="24"/>
              </w:rPr>
              <w:t>,</w:t>
            </w:r>
            <w:r w:rsidRPr="006D0787">
              <w:rPr>
                <w:rFonts w:ascii="Times New Roman" w:hAnsi="Times New Roman"/>
                <w:sz w:val="24"/>
              </w:rPr>
              <w:t xml:space="preserve"> ir jāierodas Lauku atbalsta dienestā, lai iesniegtu iesniegumu. Tiek pieņemts, ka atbalsta pretendents ierodas Lauku atbalsta dienesta reģionālajā lauksaimniecības pārvaldē (turpmāk – pārvalde) ar savu automob</w:t>
            </w:r>
            <w:r w:rsidR="003B6482">
              <w:rPr>
                <w:rFonts w:ascii="Times New Roman" w:hAnsi="Times New Roman"/>
                <w:sz w:val="24"/>
              </w:rPr>
              <w:t>i</w:t>
            </w:r>
            <w:r w:rsidRPr="006D0787">
              <w:rPr>
                <w:rFonts w:ascii="Times New Roman" w:hAnsi="Times New Roman"/>
                <w:sz w:val="24"/>
              </w:rPr>
              <w:t>li. Braukšanas attālums līdz tuvākajai pārvaldes nodaļai un atpakaļ – vidēji 68 km (</w:t>
            </w:r>
            <w:r w:rsidR="003B6482" w:rsidRPr="006D0787">
              <w:rPr>
                <w:rFonts w:ascii="Times New Roman" w:hAnsi="Times New Roman"/>
                <w:sz w:val="24"/>
              </w:rPr>
              <w:t>pētījums</w:t>
            </w:r>
            <w:r w:rsidR="003B6482">
              <w:rPr>
                <w:rFonts w:ascii="Times New Roman" w:hAnsi="Times New Roman"/>
                <w:sz w:val="24"/>
              </w:rPr>
              <w:t>:</w:t>
            </w:r>
            <w:r w:rsidR="003B6482" w:rsidRPr="006D0787">
              <w:rPr>
                <w:rFonts w:ascii="Times New Roman" w:hAnsi="Times New Roman"/>
                <w:sz w:val="24"/>
              </w:rPr>
              <w:t xml:space="preserve"> </w:t>
            </w:r>
            <w:proofErr w:type="spellStart"/>
            <w:r w:rsidRPr="006D0787">
              <w:rPr>
                <w:rFonts w:ascii="Times New Roman" w:hAnsi="Times New Roman"/>
                <w:sz w:val="24"/>
              </w:rPr>
              <w:t>Pilvere</w:t>
            </w:r>
            <w:proofErr w:type="spellEnd"/>
            <w:r w:rsidRPr="006D0787">
              <w:rPr>
                <w:rFonts w:ascii="Times New Roman" w:hAnsi="Times New Roman"/>
                <w:sz w:val="24"/>
              </w:rPr>
              <w:t xml:space="preserve"> I., Nipers A., Kozlinskis V., Tetere V. u.c. (2007) „Administratīvā sloga un izmaksu izvērtējums lauksaimniekiem”).</w:t>
            </w:r>
          </w:p>
          <w:p w14:paraId="032B0624" w14:textId="15CD76C7"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r w:rsidRPr="006D0787">
              <w:rPr>
                <w:rFonts w:ascii="Times New Roman" w:hAnsi="Times New Roman"/>
                <w:sz w:val="24"/>
              </w:rPr>
              <w:t xml:space="preserve">Ceļa izmaksas (degvielas izmaksas) tiek rēķinātas </w:t>
            </w:r>
            <w:r>
              <w:rPr>
                <w:rFonts w:ascii="Times New Roman" w:hAnsi="Times New Roman"/>
                <w:sz w:val="24"/>
              </w:rPr>
              <w:t>uz</w:t>
            </w:r>
            <w:r w:rsidRPr="006D0787">
              <w:rPr>
                <w:rFonts w:ascii="Times New Roman" w:hAnsi="Times New Roman"/>
                <w:sz w:val="24"/>
              </w:rPr>
              <w:t xml:space="preserve"> </w:t>
            </w:r>
            <w:r>
              <w:rPr>
                <w:rFonts w:ascii="Times New Roman" w:hAnsi="Times New Roman"/>
                <w:sz w:val="24"/>
              </w:rPr>
              <w:t>12</w:t>
            </w:r>
            <w:r w:rsidR="003B6482">
              <w:rPr>
                <w:rFonts w:ascii="Times New Roman" w:hAnsi="Times New Roman"/>
                <w:sz w:val="24"/>
              </w:rPr>
              <w:t> </w:t>
            </w:r>
            <w:r>
              <w:rPr>
                <w:rFonts w:ascii="Times New Roman" w:hAnsi="Times New Roman"/>
                <w:sz w:val="24"/>
              </w:rPr>
              <w:t>atbalsta saņēmējiem</w:t>
            </w:r>
            <w:r w:rsidRPr="006D0787">
              <w:rPr>
                <w:rFonts w:ascii="Times New Roman" w:hAnsi="Times New Roman"/>
                <w:sz w:val="24"/>
              </w:rPr>
              <w:t>:</w:t>
            </w:r>
          </w:p>
          <w:p w14:paraId="2497577D" w14:textId="2C482406"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r w:rsidRPr="006D0787">
              <w:rPr>
                <w:rFonts w:ascii="Times New Roman" w:hAnsi="Times New Roman"/>
                <w:sz w:val="24"/>
              </w:rPr>
              <w:t xml:space="preserve">C1c = (68 km x 10 l /100 km) x 1,2 x </w:t>
            </w:r>
            <w:r>
              <w:rPr>
                <w:rFonts w:ascii="Times New Roman" w:hAnsi="Times New Roman"/>
                <w:sz w:val="24"/>
              </w:rPr>
              <w:t>12</w:t>
            </w:r>
            <w:r w:rsidRPr="006D0787">
              <w:rPr>
                <w:rFonts w:ascii="Times New Roman" w:hAnsi="Times New Roman"/>
                <w:sz w:val="24"/>
              </w:rPr>
              <w:t xml:space="preserve"> x 1 = </w:t>
            </w:r>
            <w:r>
              <w:rPr>
                <w:rFonts w:ascii="Times New Roman" w:hAnsi="Times New Roman"/>
                <w:sz w:val="24"/>
              </w:rPr>
              <w:t>97,92</w:t>
            </w:r>
            <w:r w:rsidRPr="006D0787">
              <w:rPr>
                <w:rFonts w:ascii="Times New Roman" w:hAnsi="Times New Roman"/>
                <w:sz w:val="24"/>
              </w:rPr>
              <w:t xml:space="preserve"> </w:t>
            </w:r>
            <w:r w:rsidRPr="006D0787">
              <w:rPr>
                <w:rFonts w:ascii="Times New Roman" w:hAnsi="Times New Roman"/>
                <w:i/>
                <w:sz w:val="24"/>
              </w:rPr>
              <w:t>euro</w:t>
            </w:r>
          </w:p>
          <w:p w14:paraId="5D042A08" w14:textId="77777777"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p>
          <w:p w14:paraId="03CD5AAA" w14:textId="065274EE"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r w:rsidRPr="006D0787">
              <w:rPr>
                <w:rFonts w:ascii="Times New Roman" w:hAnsi="Times New Roman"/>
                <w:sz w:val="24"/>
              </w:rPr>
              <w:t>Vienam atbalsta pretendentam iepazīšanās ar atbalsta saņemšanas nosacījumiem vidēji prasīs 10 minū</w:t>
            </w:r>
            <w:r w:rsidR="003B6482">
              <w:rPr>
                <w:rFonts w:ascii="Times New Roman" w:hAnsi="Times New Roman"/>
                <w:sz w:val="24"/>
              </w:rPr>
              <w:t>šu</w:t>
            </w:r>
            <w:r w:rsidRPr="006D0787">
              <w:rPr>
                <w:rFonts w:ascii="Times New Roman" w:hAnsi="Times New Roman"/>
                <w:sz w:val="24"/>
              </w:rPr>
              <w:t xml:space="preserve"> (0,166 stundas):</w:t>
            </w:r>
          </w:p>
          <w:p w14:paraId="781BD27E" w14:textId="3E36D93F"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r w:rsidRPr="006D0787">
              <w:rPr>
                <w:rFonts w:ascii="Times New Roman" w:hAnsi="Times New Roman"/>
                <w:sz w:val="24"/>
              </w:rPr>
              <w:t xml:space="preserve">C1i = 4,32 (vidējā darba alga) x 0,166 x </w:t>
            </w:r>
            <w:r>
              <w:rPr>
                <w:rFonts w:ascii="Times New Roman" w:hAnsi="Times New Roman"/>
                <w:sz w:val="24"/>
              </w:rPr>
              <w:t>12</w:t>
            </w:r>
            <w:r w:rsidRPr="006D0787">
              <w:rPr>
                <w:rFonts w:ascii="Times New Roman" w:hAnsi="Times New Roman"/>
                <w:sz w:val="24"/>
              </w:rPr>
              <w:t xml:space="preserve"> x 1 = </w:t>
            </w:r>
            <w:r>
              <w:rPr>
                <w:rFonts w:ascii="Times New Roman" w:hAnsi="Times New Roman"/>
                <w:sz w:val="24"/>
              </w:rPr>
              <w:t>8,60</w:t>
            </w:r>
            <w:r w:rsidRPr="006D0787">
              <w:rPr>
                <w:rFonts w:ascii="Times New Roman" w:hAnsi="Times New Roman"/>
                <w:sz w:val="24"/>
              </w:rPr>
              <w:t xml:space="preserve"> </w:t>
            </w:r>
            <w:r w:rsidRPr="006D0787">
              <w:rPr>
                <w:rFonts w:ascii="Times New Roman" w:hAnsi="Times New Roman"/>
                <w:i/>
                <w:sz w:val="24"/>
              </w:rPr>
              <w:t>euro</w:t>
            </w:r>
          </w:p>
          <w:p w14:paraId="5E672874" w14:textId="77777777"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p>
          <w:p w14:paraId="3687CD92" w14:textId="77777777"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r w:rsidRPr="006D0787">
              <w:rPr>
                <w:rFonts w:ascii="Times New Roman" w:hAnsi="Times New Roman"/>
                <w:sz w:val="24"/>
              </w:rPr>
              <w:t>Iepazīšanās ar atbalsta saņemšanas nosacījumiem un dokumentu iesniegšana izmaksas kopā:</w:t>
            </w:r>
          </w:p>
          <w:p w14:paraId="12E6354E" w14:textId="58C84AE3"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r w:rsidRPr="006D0787">
              <w:rPr>
                <w:rFonts w:ascii="Times New Roman" w:hAnsi="Times New Roman"/>
                <w:sz w:val="24"/>
              </w:rPr>
              <w:t xml:space="preserve">C1 = C1c + C1i = </w:t>
            </w:r>
            <w:r>
              <w:rPr>
                <w:rFonts w:ascii="Times New Roman" w:hAnsi="Times New Roman"/>
                <w:sz w:val="24"/>
              </w:rPr>
              <w:t>97,92</w:t>
            </w:r>
            <w:r w:rsidRPr="006D0787">
              <w:rPr>
                <w:rFonts w:ascii="Times New Roman" w:hAnsi="Times New Roman"/>
                <w:sz w:val="24"/>
              </w:rPr>
              <w:t xml:space="preserve"> + </w:t>
            </w:r>
            <w:r>
              <w:rPr>
                <w:rFonts w:ascii="Times New Roman" w:hAnsi="Times New Roman"/>
                <w:sz w:val="24"/>
              </w:rPr>
              <w:t>8,60</w:t>
            </w:r>
            <w:r w:rsidRPr="006D0787">
              <w:rPr>
                <w:rFonts w:ascii="Times New Roman" w:hAnsi="Times New Roman"/>
                <w:sz w:val="24"/>
              </w:rPr>
              <w:t xml:space="preserve"> = </w:t>
            </w:r>
            <w:r>
              <w:rPr>
                <w:rFonts w:ascii="Times New Roman" w:hAnsi="Times New Roman"/>
                <w:sz w:val="24"/>
              </w:rPr>
              <w:t>106,52</w:t>
            </w:r>
            <w:r w:rsidRPr="006D0787">
              <w:rPr>
                <w:rFonts w:ascii="Times New Roman" w:hAnsi="Times New Roman"/>
                <w:sz w:val="24"/>
              </w:rPr>
              <w:t xml:space="preserve"> </w:t>
            </w:r>
            <w:r w:rsidRPr="006D0787">
              <w:rPr>
                <w:rFonts w:ascii="Times New Roman" w:hAnsi="Times New Roman"/>
                <w:i/>
                <w:sz w:val="24"/>
              </w:rPr>
              <w:t>euro</w:t>
            </w:r>
            <w:r w:rsidRPr="006D0787">
              <w:rPr>
                <w:rFonts w:ascii="Times New Roman" w:hAnsi="Times New Roman"/>
                <w:sz w:val="24"/>
              </w:rPr>
              <w:t xml:space="preserve"> </w:t>
            </w:r>
          </w:p>
          <w:p w14:paraId="2497ADF4" w14:textId="77777777"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p>
          <w:p w14:paraId="69F94174" w14:textId="77777777"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r w:rsidRPr="006D0787">
              <w:rPr>
                <w:rFonts w:ascii="Times New Roman" w:hAnsi="Times New Roman"/>
                <w:sz w:val="24"/>
              </w:rPr>
              <w:t>2) Iesnieguma aizpildīšana (noteikumu projekta pielikums)</w:t>
            </w:r>
          </w:p>
          <w:p w14:paraId="1A50FADA" w14:textId="3E5DD4E2" w:rsidR="006D0787" w:rsidRPr="006D0787" w:rsidRDefault="002938B5" w:rsidP="00BC7E31">
            <w:pPr>
              <w:autoSpaceDE w:val="0"/>
              <w:autoSpaceDN w:val="0"/>
              <w:adjustRightInd w:val="0"/>
              <w:spacing w:after="0" w:line="240" w:lineRule="auto"/>
              <w:ind w:left="57" w:right="57"/>
              <w:jc w:val="both"/>
              <w:rPr>
                <w:rFonts w:ascii="Times New Roman" w:hAnsi="Times New Roman"/>
                <w:sz w:val="24"/>
              </w:rPr>
            </w:pPr>
            <w:r>
              <w:rPr>
                <w:rFonts w:ascii="Times New Roman" w:hAnsi="Times New Roman"/>
                <w:sz w:val="24"/>
              </w:rPr>
              <w:t>T</w:t>
            </w:r>
            <w:r w:rsidR="006D0787" w:rsidRPr="006D0787">
              <w:rPr>
                <w:rFonts w:ascii="Times New Roman" w:hAnsi="Times New Roman"/>
                <w:sz w:val="24"/>
              </w:rPr>
              <w:t>iek izmantoti š</w:t>
            </w:r>
            <w:r>
              <w:rPr>
                <w:rFonts w:ascii="Times New Roman" w:hAnsi="Times New Roman"/>
                <w:sz w:val="24"/>
              </w:rPr>
              <w:t>ād</w:t>
            </w:r>
            <w:r w:rsidR="006D0787" w:rsidRPr="006D0787">
              <w:rPr>
                <w:rFonts w:ascii="Times New Roman" w:hAnsi="Times New Roman"/>
                <w:sz w:val="24"/>
              </w:rPr>
              <w:t>i pieņēmumi par laika patēriņu</w:t>
            </w:r>
            <w:r w:rsidRPr="006D0787">
              <w:rPr>
                <w:rFonts w:ascii="Times New Roman" w:hAnsi="Times New Roman"/>
                <w:sz w:val="24"/>
              </w:rPr>
              <w:t xml:space="preserve"> </w:t>
            </w:r>
            <w:r>
              <w:rPr>
                <w:rFonts w:ascii="Times New Roman" w:hAnsi="Times New Roman"/>
                <w:sz w:val="24"/>
              </w:rPr>
              <w:t>i</w:t>
            </w:r>
            <w:r w:rsidRPr="006D0787">
              <w:rPr>
                <w:rFonts w:ascii="Times New Roman" w:hAnsi="Times New Roman"/>
                <w:sz w:val="24"/>
              </w:rPr>
              <w:t>esnieguma aizpildīšanai</w:t>
            </w:r>
            <w:r w:rsidR="006D0787" w:rsidRPr="006D0787">
              <w:rPr>
                <w:rFonts w:ascii="Times New Roman" w:hAnsi="Times New Roman"/>
                <w:sz w:val="24"/>
              </w:rPr>
              <w:t>:</w:t>
            </w:r>
          </w:p>
          <w:p w14:paraId="2FB42C67" w14:textId="5146D7F5" w:rsidR="006D0787" w:rsidRPr="006D0787" w:rsidRDefault="003B6482" w:rsidP="00BC7E31">
            <w:pPr>
              <w:autoSpaceDE w:val="0"/>
              <w:autoSpaceDN w:val="0"/>
              <w:adjustRightInd w:val="0"/>
              <w:spacing w:after="0" w:line="240" w:lineRule="auto"/>
              <w:ind w:left="57" w:right="57"/>
              <w:jc w:val="both"/>
              <w:rPr>
                <w:rFonts w:ascii="Times New Roman" w:hAnsi="Times New Roman"/>
                <w:sz w:val="24"/>
              </w:rPr>
            </w:pPr>
            <w:r>
              <w:rPr>
                <w:rFonts w:ascii="Verdana" w:hAnsi="Verdana"/>
                <w:sz w:val="24"/>
              </w:rPr>
              <w:t>•</w:t>
            </w:r>
            <w:r w:rsidR="006D0787" w:rsidRPr="006D0787">
              <w:rPr>
                <w:rFonts w:ascii="Times New Roman" w:hAnsi="Times New Roman"/>
                <w:sz w:val="24"/>
              </w:rPr>
              <w:t xml:space="preserve"> iepazīšanas ar iesnieguma veidlapu – 2 minūtes (0,033</w:t>
            </w:r>
            <w:r w:rsidR="002938B5">
              <w:rPr>
                <w:rFonts w:ascii="Times New Roman" w:hAnsi="Times New Roman"/>
                <w:sz w:val="24"/>
              </w:rPr>
              <w:t> </w:t>
            </w:r>
            <w:r w:rsidR="006D0787" w:rsidRPr="006D0787">
              <w:rPr>
                <w:rFonts w:ascii="Times New Roman" w:hAnsi="Times New Roman"/>
                <w:sz w:val="24"/>
              </w:rPr>
              <w:t>stundas);</w:t>
            </w:r>
          </w:p>
          <w:p w14:paraId="2E182F87" w14:textId="41A04B06" w:rsidR="006D0787" w:rsidRPr="006D0787" w:rsidRDefault="003B6482" w:rsidP="00BC7E31">
            <w:pPr>
              <w:autoSpaceDE w:val="0"/>
              <w:autoSpaceDN w:val="0"/>
              <w:adjustRightInd w:val="0"/>
              <w:spacing w:after="0" w:line="240" w:lineRule="auto"/>
              <w:ind w:left="57" w:right="57"/>
              <w:jc w:val="both"/>
              <w:rPr>
                <w:rFonts w:ascii="Times New Roman" w:hAnsi="Times New Roman"/>
                <w:sz w:val="24"/>
              </w:rPr>
            </w:pPr>
            <w:r>
              <w:rPr>
                <w:rFonts w:ascii="Verdana" w:hAnsi="Verdana"/>
                <w:sz w:val="24"/>
              </w:rPr>
              <w:t>•</w:t>
            </w:r>
            <w:r w:rsidR="006D0787" w:rsidRPr="006D0787">
              <w:rPr>
                <w:rFonts w:ascii="Times New Roman" w:hAnsi="Times New Roman"/>
                <w:sz w:val="24"/>
              </w:rPr>
              <w:t xml:space="preserve"> iesnieguma aizpildīšana (</w:t>
            </w:r>
            <w:r w:rsidR="006D0787">
              <w:rPr>
                <w:rFonts w:ascii="Times New Roman" w:hAnsi="Times New Roman"/>
                <w:sz w:val="24"/>
              </w:rPr>
              <w:t>12 atbalsta pretendenti</w:t>
            </w:r>
            <w:r w:rsidR="006D0787" w:rsidRPr="006D0787">
              <w:rPr>
                <w:rFonts w:ascii="Times New Roman" w:hAnsi="Times New Roman"/>
                <w:sz w:val="24"/>
              </w:rPr>
              <w:t>) – 10</w:t>
            </w:r>
            <w:r w:rsidR="002938B5">
              <w:rPr>
                <w:rFonts w:ascii="Times New Roman" w:hAnsi="Times New Roman"/>
                <w:sz w:val="24"/>
              </w:rPr>
              <w:t> </w:t>
            </w:r>
            <w:r w:rsidR="006D0787" w:rsidRPr="006D0787">
              <w:rPr>
                <w:rFonts w:ascii="Times New Roman" w:hAnsi="Times New Roman"/>
                <w:sz w:val="24"/>
              </w:rPr>
              <w:t>minū</w:t>
            </w:r>
            <w:r w:rsidR="002938B5">
              <w:rPr>
                <w:rFonts w:ascii="Times New Roman" w:hAnsi="Times New Roman"/>
                <w:sz w:val="24"/>
              </w:rPr>
              <w:t>šu</w:t>
            </w:r>
            <w:r w:rsidR="006D0787" w:rsidRPr="006D0787">
              <w:rPr>
                <w:rFonts w:ascii="Times New Roman" w:hAnsi="Times New Roman"/>
                <w:sz w:val="24"/>
              </w:rPr>
              <w:t xml:space="preserve"> (0,166 stundas):</w:t>
            </w:r>
          </w:p>
          <w:p w14:paraId="70E42C26" w14:textId="77777777"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p>
          <w:p w14:paraId="7C7EB366" w14:textId="16835BFA"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r w:rsidRPr="006D0787">
              <w:rPr>
                <w:rFonts w:ascii="Times New Roman" w:hAnsi="Times New Roman"/>
                <w:sz w:val="24"/>
              </w:rPr>
              <w:t xml:space="preserve">C2 = 4,32 x (0,033 + 0,166) x </w:t>
            </w:r>
            <w:r>
              <w:rPr>
                <w:rFonts w:ascii="Times New Roman" w:hAnsi="Times New Roman"/>
                <w:sz w:val="24"/>
              </w:rPr>
              <w:t>12</w:t>
            </w:r>
            <w:r w:rsidRPr="006D0787">
              <w:rPr>
                <w:rFonts w:ascii="Times New Roman" w:hAnsi="Times New Roman"/>
                <w:sz w:val="24"/>
              </w:rPr>
              <w:t xml:space="preserve"> = </w:t>
            </w:r>
            <w:r>
              <w:rPr>
                <w:rFonts w:ascii="Times New Roman" w:hAnsi="Times New Roman"/>
                <w:sz w:val="24"/>
              </w:rPr>
              <w:t>10,32</w:t>
            </w:r>
            <w:r w:rsidRPr="006D0787">
              <w:rPr>
                <w:rFonts w:ascii="Times New Roman" w:hAnsi="Times New Roman"/>
                <w:sz w:val="24"/>
              </w:rPr>
              <w:t xml:space="preserve"> </w:t>
            </w:r>
            <w:r w:rsidRPr="006D0787">
              <w:rPr>
                <w:rFonts w:ascii="Times New Roman" w:hAnsi="Times New Roman"/>
                <w:i/>
                <w:sz w:val="24"/>
              </w:rPr>
              <w:t>euro</w:t>
            </w:r>
          </w:p>
          <w:p w14:paraId="23B54B2A" w14:textId="77777777"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p>
          <w:p w14:paraId="7D114E84" w14:textId="77777777"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r w:rsidRPr="006D0787">
              <w:rPr>
                <w:rFonts w:ascii="Times New Roman" w:hAnsi="Times New Roman"/>
                <w:sz w:val="24"/>
              </w:rPr>
              <w:t xml:space="preserve">Kopējās administratīvās izmaksas personām: </w:t>
            </w:r>
          </w:p>
          <w:p w14:paraId="1BFE0A01" w14:textId="77777777"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p>
          <w:p w14:paraId="7BD278FD" w14:textId="40B54EBE"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r w:rsidRPr="006D0787">
              <w:rPr>
                <w:rFonts w:ascii="Times New Roman" w:hAnsi="Times New Roman"/>
                <w:sz w:val="24"/>
              </w:rPr>
              <w:t>C</w:t>
            </w:r>
            <w:r w:rsidR="002938B5">
              <w:rPr>
                <w:rFonts w:ascii="Times New Roman" w:hAnsi="Times New Roman"/>
                <w:sz w:val="24"/>
              </w:rPr>
              <w:t> </w:t>
            </w:r>
            <w:r w:rsidRPr="006D0787">
              <w:rPr>
                <w:rFonts w:ascii="Times New Roman" w:hAnsi="Times New Roman"/>
                <w:sz w:val="24"/>
              </w:rPr>
              <w:t xml:space="preserve">kopā = C1 + C2 = </w:t>
            </w:r>
            <w:r>
              <w:rPr>
                <w:rFonts w:ascii="Times New Roman" w:hAnsi="Times New Roman"/>
                <w:sz w:val="24"/>
              </w:rPr>
              <w:t>106,52</w:t>
            </w:r>
            <w:r w:rsidRPr="006D0787">
              <w:rPr>
                <w:rFonts w:ascii="Times New Roman" w:hAnsi="Times New Roman"/>
                <w:sz w:val="24"/>
              </w:rPr>
              <w:t xml:space="preserve"> + </w:t>
            </w:r>
            <w:r>
              <w:rPr>
                <w:rFonts w:ascii="Times New Roman" w:hAnsi="Times New Roman"/>
                <w:sz w:val="24"/>
              </w:rPr>
              <w:t>10,32</w:t>
            </w:r>
            <w:r w:rsidRPr="006D0787">
              <w:rPr>
                <w:rFonts w:ascii="Times New Roman" w:hAnsi="Times New Roman"/>
                <w:sz w:val="24"/>
              </w:rPr>
              <w:t xml:space="preserve"> = </w:t>
            </w:r>
            <w:r>
              <w:rPr>
                <w:rFonts w:ascii="Times New Roman" w:hAnsi="Times New Roman"/>
                <w:sz w:val="24"/>
              </w:rPr>
              <w:t>116,84</w:t>
            </w:r>
            <w:r w:rsidRPr="006D0787">
              <w:rPr>
                <w:rFonts w:ascii="Times New Roman" w:hAnsi="Times New Roman"/>
                <w:sz w:val="24"/>
              </w:rPr>
              <w:t xml:space="preserve"> </w:t>
            </w:r>
            <w:r w:rsidRPr="00983C26">
              <w:rPr>
                <w:rFonts w:ascii="Times New Roman" w:hAnsi="Times New Roman"/>
                <w:i/>
                <w:sz w:val="24"/>
              </w:rPr>
              <w:t>euro</w:t>
            </w:r>
          </w:p>
          <w:p w14:paraId="54787DB1" w14:textId="77777777" w:rsidR="006D0787" w:rsidRPr="006D0787" w:rsidRDefault="006D0787" w:rsidP="00BC7E31">
            <w:pPr>
              <w:autoSpaceDE w:val="0"/>
              <w:autoSpaceDN w:val="0"/>
              <w:adjustRightInd w:val="0"/>
              <w:spacing w:after="0" w:line="240" w:lineRule="auto"/>
              <w:ind w:left="57" w:right="57"/>
              <w:jc w:val="both"/>
              <w:rPr>
                <w:rFonts w:ascii="Times New Roman" w:hAnsi="Times New Roman"/>
                <w:sz w:val="24"/>
              </w:rPr>
            </w:pPr>
          </w:p>
          <w:p w14:paraId="6D5EBCFA" w14:textId="069AA306" w:rsidR="00A6303F" w:rsidRDefault="006D0787" w:rsidP="00BC7E31">
            <w:pPr>
              <w:autoSpaceDE w:val="0"/>
              <w:autoSpaceDN w:val="0"/>
              <w:adjustRightInd w:val="0"/>
              <w:spacing w:after="0" w:line="240" w:lineRule="auto"/>
              <w:ind w:left="57" w:right="57"/>
              <w:jc w:val="both"/>
              <w:rPr>
                <w:rFonts w:ascii="Times New Roman" w:hAnsi="Times New Roman"/>
                <w:sz w:val="24"/>
              </w:rPr>
            </w:pPr>
            <w:r w:rsidRPr="006D0787">
              <w:rPr>
                <w:rFonts w:ascii="Times New Roman" w:hAnsi="Times New Roman"/>
                <w:sz w:val="24"/>
              </w:rPr>
              <w:t>C</w:t>
            </w:r>
            <w:r w:rsidR="002938B5">
              <w:rPr>
                <w:rFonts w:ascii="Times New Roman" w:hAnsi="Times New Roman"/>
                <w:sz w:val="24"/>
              </w:rPr>
              <w:t> </w:t>
            </w:r>
            <w:r w:rsidRPr="006D0787">
              <w:rPr>
                <w:rFonts w:ascii="Times New Roman" w:hAnsi="Times New Roman"/>
                <w:sz w:val="24"/>
              </w:rPr>
              <w:t xml:space="preserve">personai = </w:t>
            </w:r>
            <w:r>
              <w:rPr>
                <w:rFonts w:ascii="Times New Roman" w:hAnsi="Times New Roman"/>
                <w:sz w:val="24"/>
              </w:rPr>
              <w:t>116,84</w:t>
            </w:r>
            <w:r w:rsidRPr="006D0787">
              <w:rPr>
                <w:rFonts w:ascii="Times New Roman" w:hAnsi="Times New Roman"/>
                <w:sz w:val="24"/>
              </w:rPr>
              <w:t xml:space="preserve"> / </w:t>
            </w:r>
            <w:r>
              <w:rPr>
                <w:rFonts w:ascii="Times New Roman" w:hAnsi="Times New Roman"/>
                <w:sz w:val="24"/>
              </w:rPr>
              <w:t>12</w:t>
            </w:r>
            <w:r w:rsidRPr="006D0787">
              <w:rPr>
                <w:rFonts w:ascii="Times New Roman" w:hAnsi="Times New Roman"/>
                <w:sz w:val="24"/>
              </w:rPr>
              <w:t xml:space="preserve"> = 9,74 </w:t>
            </w:r>
            <w:r w:rsidRPr="00983C26">
              <w:rPr>
                <w:rFonts w:ascii="Times New Roman" w:hAnsi="Times New Roman"/>
                <w:i/>
                <w:sz w:val="24"/>
              </w:rPr>
              <w:t>euro</w:t>
            </w:r>
          </w:p>
          <w:p w14:paraId="5AEAB718" w14:textId="77777777" w:rsidR="006D0787" w:rsidRDefault="006D0787" w:rsidP="00BC7E31">
            <w:pPr>
              <w:pStyle w:val="Paraststmeklis"/>
              <w:spacing w:before="0" w:beforeAutospacing="0" w:after="0" w:afterAutospacing="0"/>
              <w:ind w:left="57" w:right="57"/>
              <w:jc w:val="both"/>
              <w:rPr>
                <w:lang w:val="lv-LV"/>
              </w:rPr>
            </w:pPr>
          </w:p>
          <w:p w14:paraId="44AF2D49" w14:textId="6571083B" w:rsidR="00A6303F" w:rsidRPr="00497088" w:rsidRDefault="00A6303F" w:rsidP="00BC7E31">
            <w:pPr>
              <w:pStyle w:val="Paraststmeklis"/>
              <w:spacing w:before="0" w:beforeAutospacing="0" w:after="0" w:afterAutospacing="0"/>
              <w:ind w:left="57" w:right="57"/>
              <w:jc w:val="both"/>
              <w:rPr>
                <w:lang w:val="lv-LV"/>
              </w:rPr>
            </w:pPr>
            <w:r w:rsidRPr="00497088">
              <w:rPr>
                <w:lang w:val="lv-LV"/>
              </w:rPr>
              <w:t>I</w:t>
            </w:r>
            <w:r>
              <w:rPr>
                <w:lang w:val="lv-LV"/>
              </w:rPr>
              <w:t>esniegumu</w:t>
            </w:r>
            <w:r w:rsidRPr="00497088">
              <w:rPr>
                <w:lang w:val="lv-LV"/>
              </w:rPr>
              <w:t xml:space="preserve"> </w:t>
            </w:r>
            <w:r>
              <w:rPr>
                <w:lang w:val="lv-LV"/>
              </w:rPr>
              <w:t>izvērtēšana</w:t>
            </w:r>
            <w:r w:rsidRPr="00497088">
              <w:rPr>
                <w:lang w:val="lv-LV"/>
              </w:rPr>
              <w:t xml:space="preserve"> Lauku atbalsta dienestam radīs izmaksas </w:t>
            </w:r>
            <w:r>
              <w:rPr>
                <w:lang w:val="lv-LV"/>
              </w:rPr>
              <w:t>392,16</w:t>
            </w:r>
            <w:r w:rsidRPr="00497088">
              <w:rPr>
                <w:lang w:val="lv-LV"/>
              </w:rPr>
              <w:t xml:space="preserve"> </w:t>
            </w:r>
            <w:r w:rsidRPr="00497088">
              <w:rPr>
                <w:i/>
                <w:lang w:val="lv-LV"/>
              </w:rPr>
              <w:t xml:space="preserve">euro </w:t>
            </w:r>
            <w:r w:rsidRPr="00497088">
              <w:rPr>
                <w:lang w:val="lv-LV"/>
              </w:rPr>
              <w:t xml:space="preserve">apmērā: </w:t>
            </w:r>
          </w:p>
          <w:p w14:paraId="0F690FE1" w14:textId="6F085A43" w:rsidR="00A6303F" w:rsidRPr="00497088" w:rsidRDefault="00A6303F" w:rsidP="00BC7E31">
            <w:pPr>
              <w:pStyle w:val="Paraststmeklis"/>
              <w:spacing w:before="0" w:beforeAutospacing="0" w:after="0" w:afterAutospacing="0"/>
              <w:ind w:left="57" w:right="57"/>
              <w:jc w:val="both"/>
              <w:rPr>
                <w:lang w:val="lv-LV"/>
              </w:rPr>
            </w:pPr>
            <w:r w:rsidRPr="00497088">
              <w:rPr>
                <w:lang w:val="lv-LV"/>
              </w:rPr>
              <w:t xml:space="preserve">C = (f x l) x (n x b) = (8,17 x </w:t>
            </w:r>
            <w:r>
              <w:rPr>
                <w:lang w:val="lv-LV"/>
              </w:rPr>
              <w:t>4</w:t>
            </w:r>
            <w:r w:rsidRPr="00497088">
              <w:rPr>
                <w:lang w:val="lv-LV"/>
              </w:rPr>
              <w:t>) x (</w:t>
            </w:r>
            <w:r>
              <w:rPr>
                <w:lang w:val="lv-LV"/>
              </w:rPr>
              <w:t>12</w:t>
            </w:r>
            <w:r w:rsidRPr="00497088">
              <w:rPr>
                <w:lang w:val="lv-LV"/>
              </w:rPr>
              <w:t xml:space="preserve"> x 1) = </w:t>
            </w:r>
            <w:r>
              <w:rPr>
                <w:lang w:val="lv-LV"/>
              </w:rPr>
              <w:t>392,16</w:t>
            </w:r>
            <w:r w:rsidRPr="00A6303F">
              <w:rPr>
                <w:lang w:val="lv-LV"/>
              </w:rPr>
              <w:t xml:space="preserve"> </w:t>
            </w:r>
            <w:r w:rsidRPr="00497088">
              <w:rPr>
                <w:i/>
                <w:lang w:val="lv-LV"/>
              </w:rPr>
              <w:t>euro</w:t>
            </w:r>
            <w:r w:rsidRPr="00497088">
              <w:rPr>
                <w:lang w:val="lv-LV"/>
              </w:rPr>
              <w:t>, kur</w:t>
            </w:r>
          </w:p>
          <w:p w14:paraId="4C92F3B8" w14:textId="77777777" w:rsidR="00A6303F" w:rsidRPr="00497088" w:rsidRDefault="00A6303F" w:rsidP="00BC7E31">
            <w:pPr>
              <w:pStyle w:val="Paraststmeklis"/>
              <w:spacing w:before="0" w:beforeAutospacing="0" w:after="0" w:afterAutospacing="0"/>
              <w:ind w:left="57" w:right="57"/>
              <w:jc w:val="both"/>
              <w:rPr>
                <w:lang w:val="lv-LV"/>
              </w:rPr>
            </w:pPr>
            <w:r w:rsidRPr="00497088">
              <w:rPr>
                <w:lang w:val="lv-LV"/>
              </w:rPr>
              <w:t xml:space="preserve">f – viena darbinieka vidējā stundas likme valsts pārvaldē ir 8,17 </w:t>
            </w:r>
            <w:r w:rsidRPr="00497088">
              <w:rPr>
                <w:i/>
                <w:lang w:val="lv-LV"/>
              </w:rPr>
              <w:t>euro</w:t>
            </w:r>
            <w:r w:rsidRPr="00497088">
              <w:rPr>
                <w:lang w:val="lv-LV"/>
              </w:rPr>
              <w:t>;</w:t>
            </w:r>
          </w:p>
          <w:p w14:paraId="3C9CB089" w14:textId="6A5B7DF1" w:rsidR="00A6303F" w:rsidRPr="00497088" w:rsidRDefault="00A6303F" w:rsidP="00BC7E31">
            <w:pPr>
              <w:pStyle w:val="Paraststmeklis"/>
              <w:spacing w:before="0" w:beforeAutospacing="0" w:after="0" w:afterAutospacing="0"/>
              <w:ind w:left="57" w:right="57"/>
              <w:jc w:val="both"/>
              <w:rPr>
                <w:lang w:val="lv-LV"/>
              </w:rPr>
            </w:pPr>
            <w:r w:rsidRPr="00497088">
              <w:rPr>
                <w:lang w:val="lv-LV"/>
              </w:rPr>
              <w:t xml:space="preserve">l – </w:t>
            </w:r>
            <w:r>
              <w:rPr>
                <w:lang w:val="lv-LV"/>
              </w:rPr>
              <w:t xml:space="preserve">iesnieguma </w:t>
            </w:r>
            <w:r w:rsidRPr="00497088">
              <w:rPr>
                <w:lang w:val="lv-LV"/>
              </w:rPr>
              <w:t xml:space="preserve">informācijas </w:t>
            </w:r>
            <w:r>
              <w:rPr>
                <w:lang w:val="lv-LV"/>
              </w:rPr>
              <w:t>izvērtēšanai</w:t>
            </w:r>
            <w:r w:rsidRPr="00497088">
              <w:rPr>
                <w:lang w:val="lv-LV"/>
              </w:rPr>
              <w:t xml:space="preserve"> </w:t>
            </w:r>
            <w:r>
              <w:rPr>
                <w:lang w:val="lv-LV"/>
              </w:rPr>
              <w:t>4</w:t>
            </w:r>
            <w:r w:rsidRPr="00497088">
              <w:rPr>
                <w:lang w:val="lv-LV"/>
              </w:rPr>
              <w:t xml:space="preserve"> stunda</w:t>
            </w:r>
            <w:r>
              <w:rPr>
                <w:lang w:val="lv-LV"/>
              </w:rPr>
              <w:t>s</w:t>
            </w:r>
            <w:r w:rsidRPr="00497088">
              <w:rPr>
                <w:lang w:val="lv-LV"/>
              </w:rPr>
              <w:t>;</w:t>
            </w:r>
          </w:p>
          <w:p w14:paraId="622D57AD" w14:textId="1963721B" w:rsidR="00A6303F" w:rsidRPr="00497088" w:rsidRDefault="00A6303F" w:rsidP="00BC7E31">
            <w:pPr>
              <w:pStyle w:val="Paraststmeklis"/>
              <w:spacing w:before="0" w:beforeAutospacing="0" w:after="0" w:afterAutospacing="0"/>
              <w:ind w:left="57" w:right="57"/>
              <w:jc w:val="both"/>
              <w:rPr>
                <w:lang w:val="lv-LV"/>
              </w:rPr>
            </w:pPr>
            <w:r w:rsidRPr="00497088">
              <w:rPr>
                <w:lang w:val="lv-LV"/>
              </w:rPr>
              <w:t xml:space="preserve">n – </w:t>
            </w:r>
            <w:r>
              <w:rPr>
                <w:lang w:val="lv-LV"/>
              </w:rPr>
              <w:t>iesniegumu kopējais skaits būs 12</w:t>
            </w:r>
            <w:r w:rsidRPr="00497088">
              <w:rPr>
                <w:lang w:val="lv-LV"/>
              </w:rPr>
              <w:t>;</w:t>
            </w:r>
          </w:p>
          <w:p w14:paraId="14D0A184" w14:textId="7021E06C" w:rsidR="002F30BD" w:rsidRPr="00A44D47" w:rsidRDefault="00A6303F" w:rsidP="00BC7E31">
            <w:pPr>
              <w:shd w:val="clear" w:color="auto" w:fill="FFFFFF"/>
              <w:spacing w:after="0" w:line="240" w:lineRule="auto"/>
              <w:ind w:left="57" w:right="57"/>
              <w:rPr>
                <w:rFonts w:ascii="Times New Roman" w:hAnsi="Times New Roman"/>
                <w:sz w:val="24"/>
              </w:rPr>
            </w:pPr>
            <w:r w:rsidRPr="00497088">
              <w:rPr>
                <w:rFonts w:ascii="Times New Roman" w:hAnsi="Times New Roman"/>
                <w:sz w:val="24"/>
                <w:szCs w:val="24"/>
              </w:rPr>
              <w:t xml:space="preserve">b – </w:t>
            </w:r>
            <w:r>
              <w:rPr>
                <w:rFonts w:ascii="Times New Roman" w:hAnsi="Times New Roman"/>
                <w:sz w:val="24"/>
                <w:szCs w:val="24"/>
              </w:rPr>
              <w:t>iesniegumu izvērtē</w:t>
            </w:r>
            <w:r w:rsidRPr="00497088">
              <w:rPr>
                <w:rFonts w:ascii="Times New Roman" w:hAnsi="Times New Roman"/>
                <w:sz w:val="24"/>
                <w:szCs w:val="24"/>
              </w:rPr>
              <w:t xml:space="preserve"> 1 reizi gadā.</w:t>
            </w:r>
          </w:p>
        </w:tc>
      </w:tr>
      <w:tr w:rsidR="002F30BD" w:rsidRPr="00ED22C8" w14:paraId="40D50D54" w14:textId="77777777" w:rsidTr="00BC7E31">
        <w:trPr>
          <w:trHeight w:val="357"/>
        </w:trPr>
        <w:tc>
          <w:tcPr>
            <w:tcW w:w="227" w:type="pct"/>
          </w:tcPr>
          <w:p w14:paraId="4613C2EB" w14:textId="62310B00" w:rsidR="002F30BD" w:rsidRPr="00DD49B6" w:rsidRDefault="002F30BD" w:rsidP="00BC7E31">
            <w:pPr>
              <w:pStyle w:val="naiskr"/>
              <w:spacing w:before="0" w:beforeAutospacing="0" w:after="0" w:afterAutospacing="0"/>
              <w:ind w:left="57" w:right="57"/>
              <w:jc w:val="both"/>
            </w:pPr>
            <w:r w:rsidRPr="00DD49B6">
              <w:lastRenderedPageBreak/>
              <w:t>4.</w:t>
            </w:r>
          </w:p>
        </w:tc>
        <w:tc>
          <w:tcPr>
            <w:tcW w:w="1566" w:type="pct"/>
          </w:tcPr>
          <w:p w14:paraId="7F2980F1" w14:textId="77777777" w:rsidR="002F30BD" w:rsidRPr="00DD49B6" w:rsidRDefault="002F30BD" w:rsidP="00BC7E31">
            <w:pPr>
              <w:pStyle w:val="naiskr"/>
              <w:spacing w:before="0" w:beforeAutospacing="0" w:after="0" w:afterAutospacing="0"/>
              <w:ind w:left="57" w:right="57"/>
            </w:pPr>
            <w:r w:rsidRPr="00DD49B6">
              <w:t>Cita informācija</w:t>
            </w:r>
          </w:p>
        </w:tc>
        <w:tc>
          <w:tcPr>
            <w:tcW w:w="3207" w:type="pct"/>
          </w:tcPr>
          <w:p w14:paraId="76449A01" w14:textId="77777777" w:rsidR="002F30BD" w:rsidRPr="00ED22C8" w:rsidRDefault="002F30BD" w:rsidP="00BC7E31">
            <w:pPr>
              <w:shd w:val="clear" w:color="auto" w:fill="FFFFFF"/>
              <w:spacing w:after="0" w:line="240" w:lineRule="auto"/>
              <w:ind w:left="57" w:right="57"/>
              <w:rPr>
                <w:rFonts w:ascii="Times New Roman" w:hAnsi="Times New Roman"/>
                <w:sz w:val="24"/>
                <w:szCs w:val="24"/>
              </w:rPr>
            </w:pPr>
            <w:r w:rsidRPr="00ED22C8">
              <w:rPr>
                <w:rFonts w:ascii="Times New Roman" w:hAnsi="Times New Roman"/>
                <w:sz w:val="24"/>
                <w:szCs w:val="24"/>
              </w:rPr>
              <w:t>Nav.</w:t>
            </w:r>
          </w:p>
        </w:tc>
      </w:tr>
    </w:tbl>
    <w:p w14:paraId="486D17D2" w14:textId="2C74DDAF" w:rsidR="002F30BD" w:rsidRPr="00377602" w:rsidRDefault="00377602" w:rsidP="00290226">
      <w:pPr>
        <w:pStyle w:val="naiskr"/>
        <w:spacing w:before="0" w:after="0"/>
        <w:rPr>
          <w:i/>
        </w:rPr>
      </w:pPr>
      <w:r w:rsidRPr="00377602">
        <w:rPr>
          <w:i/>
        </w:rPr>
        <w:t>III.</w:t>
      </w:r>
      <w:r>
        <w:rPr>
          <w:i/>
        </w:rPr>
        <w:t xml:space="preserve">un IV </w:t>
      </w:r>
      <w:r w:rsidRPr="00377602">
        <w:rPr>
          <w:i/>
        </w:rPr>
        <w:t>nodaļa projekts šo jomu neskar.</w:t>
      </w:r>
    </w:p>
    <w:tbl>
      <w:tblPr>
        <w:tblW w:w="10418"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580"/>
        <w:gridCol w:w="542"/>
        <w:gridCol w:w="1261"/>
        <w:gridCol w:w="466"/>
        <w:gridCol w:w="177"/>
        <w:gridCol w:w="735"/>
        <w:gridCol w:w="764"/>
        <w:gridCol w:w="466"/>
        <w:gridCol w:w="1003"/>
        <w:gridCol w:w="1208"/>
        <w:gridCol w:w="466"/>
        <w:gridCol w:w="2227"/>
        <w:gridCol w:w="523"/>
      </w:tblGrid>
      <w:tr w:rsidR="00676910" w:rsidRPr="007A137C" w14:paraId="147C9274" w14:textId="77777777" w:rsidTr="0012313F">
        <w:trPr>
          <w:gridBefore w:val="1"/>
          <w:wBefore w:w="580" w:type="dxa"/>
          <w:jc w:val="center"/>
        </w:trPr>
        <w:tc>
          <w:tcPr>
            <w:tcW w:w="9838" w:type="dxa"/>
            <w:gridSpan w:val="12"/>
            <w:tcBorders>
              <w:top w:val="outset" w:sz="6" w:space="0" w:color="auto"/>
              <w:bottom w:val="outset" w:sz="6" w:space="0" w:color="auto"/>
            </w:tcBorders>
            <w:vAlign w:val="center"/>
          </w:tcPr>
          <w:p w14:paraId="51ED37A5" w14:textId="77777777" w:rsidR="002F30BD" w:rsidRPr="007A137C" w:rsidRDefault="002F30BD" w:rsidP="00BC7E31">
            <w:pPr>
              <w:spacing w:after="0" w:line="240" w:lineRule="auto"/>
              <w:ind w:left="57" w:right="57"/>
              <w:jc w:val="center"/>
              <w:rPr>
                <w:rFonts w:ascii="Times New Roman" w:hAnsi="Times New Roman"/>
                <w:b/>
                <w:sz w:val="24"/>
                <w:szCs w:val="24"/>
              </w:rPr>
            </w:pPr>
            <w:r w:rsidRPr="007A137C">
              <w:rPr>
                <w:rFonts w:ascii="Times New Roman" w:hAnsi="Times New Roman"/>
                <w:b/>
                <w:sz w:val="24"/>
                <w:szCs w:val="24"/>
              </w:rPr>
              <w:t>V. Tiesību akta projekta atbilstība Latvijas Republikas starptautiskajām saistībām</w:t>
            </w:r>
          </w:p>
        </w:tc>
      </w:tr>
      <w:tr w:rsidR="00676910" w:rsidRPr="007A137C" w14:paraId="74CD039C" w14:textId="77777777" w:rsidTr="0012313F">
        <w:trPr>
          <w:gridBefore w:val="1"/>
          <w:wBefore w:w="580" w:type="dxa"/>
          <w:jc w:val="center"/>
        </w:trPr>
        <w:tc>
          <w:tcPr>
            <w:tcW w:w="542" w:type="dxa"/>
            <w:tcBorders>
              <w:top w:val="outset" w:sz="6" w:space="0" w:color="auto"/>
              <w:bottom w:val="outset" w:sz="6" w:space="0" w:color="auto"/>
              <w:right w:val="outset" w:sz="6" w:space="0" w:color="auto"/>
            </w:tcBorders>
          </w:tcPr>
          <w:p w14:paraId="0A0B39FF"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t>1.</w:t>
            </w:r>
          </w:p>
        </w:tc>
        <w:tc>
          <w:tcPr>
            <w:tcW w:w="2639" w:type="dxa"/>
            <w:gridSpan w:val="4"/>
            <w:tcBorders>
              <w:top w:val="outset" w:sz="6" w:space="0" w:color="auto"/>
              <w:left w:val="outset" w:sz="6" w:space="0" w:color="auto"/>
              <w:bottom w:val="outset" w:sz="6" w:space="0" w:color="auto"/>
              <w:right w:val="outset" w:sz="6" w:space="0" w:color="auto"/>
            </w:tcBorders>
          </w:tcPr>
          <w:p w14:paraId="6BBC948C"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t>Saistības pret Eiropas Savienību</w:t>
            </w:r>
          </w:p>
        </w:tc>
        <w:tc>
          <w:tcPr>
            <w:tcW w:w="6657" w:type="dxa"/>
            <w:gridSpan w:val="7"/>
            <w:tcBorders>
              <w:top w:val="outset" w:sz="6" w:space="0" w:color="auto"/>
              <w:left w:val="outset" w:sz="6" w:space="0" w:color="auto"/>
              <w:bottom w:val="outset" w:sz="6" w:space="0" w:color="auto"/>
            </w:tcBorders>
          </w:tcPr>
          <w:p w14:paraId="3C9B9F71" w14:textId="77777777" w:rsidR="002F30BD" w:rsidRPr="007A137C" w:rsidRDefault="002F30BD" w:rsidP="00BC7E31">
            <w:pPr>
              <w:spacing w:after="0" w:line="240" w:lineRule="auto"/>
              <w:ind w:left="57" w:right="57"/>
              <w:jc w:val="both"/>
              <w:rPr>
                <w:rFonts w:ascii="Times New Roman" w:hAnsi="Times New Roman"/>
                <w:sz w:val="24"/>
                <w:szCs w:val="24"/>
              </w:rPr>
            </w:pPr>
            <w:r w:rsidRPr="007A137C">
              <w:rPr>
                <w:rFonts w:ascii="Times New Roman" w:hAnsi="Times New Roman"/>
                <w:sz w:val="24"/>
                <w:szCs w:val="24"/>
              </w:rPr>
              <w:t>Komisijas 2013.gada 18.decembra Regula (EK) Nr.</w:t>
            </w:r>
            <w:hyperlink r:id="rId9" w:tgtFrame="_blank" w:history="1">
              <w:r w:rsidRPr="007A137C">
                <w:rPr>
                  <w:rFonts w:ascii="Times New Roman" w:hAnsi="Times New Roman"/>
                  <w:sz w:val="24"/>
                  <w:szCs w:val="24"/>
                </w:rPr>
                <w:t>1407/2013</w:t>
              </w:r>
            </w:hyperlink>
            <w:r w:rsidRPr="007A137C">
              <w:rPr>
                <w:rFonts w:ascii="Times New Roman" w:hAnsi="Times New Roman"/>
                <w:sz w:val="24"/>
                <w:szCs w:val="24"/>
              </w:rPr>
              <w:t xml:space="preserve"> par Līguma par Eiropas Savienības darbību 107. un 108.panta piemērošanu </w:t>
            </w:r>
            <w:proofErr w:type="spellStart"/>
            <w:r w:rsidRPr="007A137C">
              <w:rPr>
                <w:rFonts w:ascii="Times New Roman" w:hAnsi="Times New Roman"/>
                <w:i/>
                <w:sz w:val="24"/>
                <w:szCs w:val="24"/>
              </w:rPr>
              <w:t>de</w:t>
            </w:r>
            <w:proofErr w:type="spellEnd"/>
            <w:r w:rsidRPr="007A137C">
              <w:rPr>
                <w:rFonts w:ascii="Times New Roman" w:hAnsi="Times New Roman"/>
                <w:i/>
                <w:sz w:val="24"/>
                <w:szCs w:val="24"/>
              </w:rPr>
              <w:t xml:space="preserve"> </w:t>
            </w:r>
            <w:proofErr w:type="spellStart"/>
            <w:r w:rsidRPr="007A137C">
              <w:rPr>
                <w:rFonts w:ascii="Times New Roman" w:hAnsi="Times New Roman"/>
                <w:i/>
                <w:sz w:val="24"/>
                <w:szCs w:val="24"/>
              </w:rPr>
              <w:t>minimis</w:t>
            </w:r>
            <w:proofErr w:type="spellEnd"/>
            <w:r w:rsidRPr="007A137C">
              <w:rPr>
                <w:rFonts w:ascii="Times New Roman" w:hAnsi="Times New Roman"/>
                <w:sz w:val="24"/>
                <w:szCs w:val="24"/>
              </w:rPr>
              <w:t xml:space="preserve"> atbalstam (Eiropas Savienības Oficiālais Vēstnesis, 2013.gada 24.decembris, Nr. L 352).</w:t>
            </w:r>
          </w:p>
          <w:p w14:paraId="7D0CB272" w14:textId="57EB543A" w:rsidR="002F30BD" w:rsidRDefault="002F30BD" w:rsidP="00BC7E31">
            <w:pPr>
              <w:spacing w:after="0" w:line="240" w:lineRule="auto"/>
              <w:ind w:left="57" w:right="57"/>
              <w:jc w:val="both"/>
              <w:rPr>
                <w:rFonts w:ascii="Times New Roman" w:hAnsi="Times New Roman"/>
                <w:iCs/>
                <w:sz w:val="24"/>
                <w:szCs w:val="24"/>
              </w:rPr>
            </w:pPr>
            <w:r w:rsidRPr="007A137C">
              <w:rPr>
                <w:rFonts w:ascii="Times New Roman" w:hAnsi="Times New Roman"/>
                <w:iCs/>
                <w:sz w:val="24"/>
                <w:szCs w:val="24"/>
              </w:rPr>
              <w:t>Komisijas 2014. gada 27. jūnija Regul</w:t>
            </w:r>
            <w:r w:rsidR="000E7E1F">
              <w:rPr>
                <w:rFonts w:ascii="Times New Roman" w:hAnsi="Times New Roman"/>
                <w:iCs/>
                <w:sz w:val="24"/>
                <w:szCs w:val="24"/>
              </w:rPr>
              <w:t>a</w:t>
            </w:r>
            <w:r w:rsidRPr="007A137C">
              <w:rPr>
                <w:rFonts w:ascii="Times New Roman" w:hAnsi="Times New Roman"/>
                <w:iCs/>
                <w:sz w:val="24"/>
                <w:szCs w:val="24"/>
              </w:rPr>
              <w:t xml:space="preserve"> (EK) Nr. </w:t>
            </w:r>
            <w:hyperlink r:id="rId10" w:tgtFrame="_blank" w:history="1">
              <w:r w:rsidRPr="007A137C">
                <w:rPr>
                  <w:rFonts w:ascii="Times New Roman" w:hAnsi="Times New Roman"/>
                  <w:iCs/>
                  <w:sz w:val="24"/>
                  <w:szCs w:val="24"/>
                </w:rPr>
                <w:t>717/2014</w:t>
              </w:r>
            </w:hyperlink>
            <w:r w:rsidRPr="007A137C">
              <w:rPr>
                <w:rFonts w:ascii="Times New Roman" w:hAnsi="Times New Roman"/>
                <w:iCs/>
                <w:sz w:val="24"/>
                <w:szCs w:val="24"/>
              </w:rPr>
              <w:t xml:space="preserve"> par Līguma par Eiropas Savienības darbību 107. un 108. panta piemērošanu </w:t>
            </w:r>
            <w:proofErr w:type="spellStart"/>
            <w:r w:rsidRPr="007A137C">
              <w:rPr>
                <w:rFonts w:ascii="Times New Roman" w:hAnsi="Times New Roman"/>
                <w:i/>
                <w:iCs/>
                <w:sz w:val="24"/>
                <w:szCs w:val="24"/>
              </w:rPr>
              <w:t>de</w:t>
            </w:r>
            <w:proofErr w:type="spellEnd"/>
            <w:r w:rsidRPr="007A137C">
              <w:rPr>
                <w:rFonts w:ascii="Times New Roman" w:hAnsi="Times New Roman"/>
                <w:i/>
                <w:iCs/>
                <w:sz w:val="24"/>
                <w:szCs w:val="24"/>
              </w:rPr>
              <w:t xml:space="preserve"> </w:t>
            </w:r>
            <w:proofErr w:type="spellStart"/>
            <w:r w:rsidRPr="007A137C">
              <w:rPr>
                <w:rFonts w:ascii="Times New Roman" w:hAnsi="Times New Roman"/>
                <w:i/>
                <w:iCs/>
                <w:sz w:val="24"/>
                <w:szCs w:val="24"/>
              </w:rPr>
              <w:t>minimis</w:t>
            </w:r>
            <w:proofErr w:type="spellEnd"/>
            <w:r w:rsidRPr="007A137C">
              <w:rPr>
                <w:rFonts w:ascii="Times New Roman" w:hAnsi="Times New Roman"/>
                <w:iCs/>
                <w:sz w:val="24"/>
                <w:szCs w:val="24"/>
              </w:rPr>
              <w:t xml:space="preserve"> atbalstam zvejniecības un akvakultūras nozarē (Eiropas Savienības Oficiālais Vēstnesis, 2014. gada 28. jūnijs, Nr. L190)</w:t>
            </w:r>
            <w:r w:rsidR="000E7E1F">
              <w:rPr>
                <w:rFonts w:ascii="Times New Roman" w:hAnsi="Times New Roman"/>
                <w:iCs/>
                <w:sz w:val="24"/>
                <w:szCs w:val="24"/>
              </w:rPr>
              <w:t>;</w:t>
            </w:r>
          </w:p>
          <w:p w14:paraId="2E08CFA5" w14:textId="6AC1B9E4" w:rsidR="00EA2ED3" w:rsidRDefault="003D4F62" w:rsidP="00BC7E31">
            <w:pPr>
              <w:spacing w:after="0" w:line="240" w:lineRule="auto"/>
              <w:ind w:left="57" w:right="57"/>
              <w:jc w:val="both"/>
              <w:rPr>
                <w:rFonts w:ascii="Times New Roman" w:hAnsi="Times New Roman"/>
                <w:sz w:val="24"/>
                <w:szCs w:val="24"/>
              </w:rPr>
            </w:pPr>
            <w:r w:rsidRPr="003D4F62">
              <w:rPr>
                <w:rFonts w:ascii="Times New Roman" w:hAnsi="Times New Roman"/>
                <w:iCs/>
                <w:sz w:val="24"/>
                <w:szCs w:val="24"/>
              </w:rPr>
              <w:t>E</w:t>
            </w:r>
            <w:r>
              <w:rPr>
                <w:rFonts w:ascii="Times New Roman" w:hAnsi="Times New Roman"/>
                <w:iCs/>
                <w:sz w:val="24"/>
                <w:szCs w:val="24"/>
              </w:rPr>
              <w:t>iropas</w:t>
            </w:r>
            <w:r w:rsidRPr="003D4F62">
              <w:rPr>
                <w:rFonts w:ascii="Times New Roman" w:hAnsi="Times New Roman"/>
                <w:iCs/>
                <w:sz w:val="24"/>
                <w:szCs w:val="24"/>
              </w:rPr>
              <w:t xml:space="preserve"> P</w:t>
            </w:r>
            <w:r>
              <w:rPr>
                <w:rFonts w:ascii="Times New Roman" w:hAnsi="Times New Roman"/>
                <w:iCs/>
                <w:sz w:val="24"/>
                <w:szCs w:val="24"/>
              </w:rPr>
              <w:t>arlamenta</w:t>
            </w:r>
            <w:r w:rsidRPr="003D4F62">
              <w:rPr>
                <w:rFonts w:ascii="Times New Roman" w:hAnsi="Times New Roman"/>
                <w:iCs/>
                <w:sz w:val="24"/>
                <w:szCs w:val="24"/>
              </w:rPr>
              <w:t xml:space="preserve"> </w:t>
            </w:r>
            <w:r>
              <w:rPr>
                <w:rFonts w:ascii="Times New Roman" w:hAnsi="Times New Roman"/>
                <w:iCs/>
                <w:sz w:val="24"/>
                <w:szCs w:val="24"/>
              </w:rPr>
              <w:t>un</w:t>
            </w:r>
            <w:r w:rsidRPr="003D4F62">
              <w:rPr>
                <w:rFonts w:ascii="Times New Roman" w:hAnsi="Times New Roman"/>
                <w:iCs/>
                <w:sz w:val="24"/>
                <w:szCs w:val="24"/>
              </w:rPr>
              <w:t xml:space="preserve"> P</w:t>
            </w:r>
            <w:r>
              <w:rPr>
                <w:rFonts w:ascii="Times New Roman" w:hAnsi="Times New Roman"/>
                <w:iCs/>
                <w:sz w:val="24"/>
                <w:szCs w:val="24"/>
              </w:rPr>
              <w:t>adomes</w:t>
            </w:r>
            <w:r w:rsidRPr="003D4F62">
              <w:rPr>
                <w:rFonts w:ascii="Times New Roman" w:hAnsi="Times New Roman"/>
                <w:iCs/>
                <w:sz w:val="24"/>
                <w:szCs w:val="24"/>
              </w:rPr>
              <w:t xml:space="preserve"> 2014. gada 15. maij</w:t>
            </w:r>
            <w:r>
              <w:rPr>
                <w:rFonts w:ascii="Times New Roman" w:hAnsi="Times New Roman"/>
                <w:iCs/>
                <w:sz w:val="24"/>
                <w:szCs w:val="24"/>
              </w:rPr>
              <w:t>a</w:t>
            </w:r>
            <w:r w:rsidRPr="003D4F62">
              <w:rPr>
                <w:rFonts w:ascii="Times New Roman" w:hAnsi="Times New Roman"/>
                <w:iCs/>
                <w:sz w:val="24"/>
                <w:szCs w:val="24"/>
              </w:rPr>
              <w:t xml:space="preserve"> R</w:t>
            </w:r>
            <w:r>
              <w:rPr>
                <w:rFonts w:ascii="Times New Roman" w:hAnsi="Times New Roman"/>
                <w:iCs/>
                <w:sz w:val="24"/>
                <w:szCs w:val="24"/>
              </w:rPr>
              <w:t>egula</w:t>
            </w:r>
            <w:r w:rsidRPr="003D4F62">
              <w:rPr>
                <w:rFonts w:ascii="Times New Roman" w:hAnsi="Times New Roman"/>
                <w:iCs/>
                <w:sz w:val="24"/>
                <w:szCs w:val="24"/>
              </w:rPr>
              <w:t xml:space="preserve"> (ES) Nr. 508/2014</w:t>
            </w:r>
            <w:r>
              <w:rPr>
                <w:rFonts w:ascii="Times New Roman" w:hAnsi="Times New Roman"/>
                <w:iCs/>
                <w:sz w:val="24"/>
                <w:szCs w:val="24"/>
              </w:rPr>
              <w:t xml:space="preserve"> </w:t>
            </w:r>
            <w:r w:rsidRPr="003D4F62">
              <w:rPr>
                <w:rFonts w:ascii="Times New Roman" w:hAnsi="Times New Roman"/>
                <w:iCs/>
                <w:sz w:val="24"/>
                <w:szCs w:val="24"/>
              </w:rPr>
              <w:t>par Eiropas Jūrlietu un zivsaimniecības fondu un ar ko atceļ Padomes Regulas (EK) Nr. 2328/2003, (EK) Nr. 861/2006, (EK) Nr. 1198/2006 un (EK) Nr. 791/2007 un Eiropas Parlamenta un Padomes Regulu (ES) Nr. 1255/2011</w:t>
            </w:r>
            <w:r>
              <w:rPr>
                <w:rFonts w:ascii="Times New Roman" w:hAnsi="Times New Roman"/>
                <w:iCs/>
                <w:sz w:val="24"/>
                <w:szCs w:val="24"/>
              </w:rPr>
              <w:t xml:space="preserve"> </w:t>
            </w:r>
            <w:r w:rsidRPr="007A137C">
              <w:rPr>
                <w:rFonts w:ascii="Times New Roman" w:hAnsi="Times New Roman"/>
                <w:sz w:val="24"/>
                <w:szCs w:val="24"/>
              </w:rPr>
              <w:t xml:space="preserve">(Eiropas Savienības Oficiālais Vēstnesis, 2014.gada </w:t>
            </w:r>
            <w:r>
              <w:rPr>
                <w:rFonts w:ascii="Times New Roman" w:hAnsi="Times New Roman"/>
                <w:sz w:val="24"/>
                <w:szCs w:val="24"/>
              </w:rPr>
              <w:t>20</w:t>
            </w:r>
            <w:r w:rsidRPr="007A137C">
              <w:rPr>
                <w:rFonts w:ascii="Times New Roman" w:hAnsi="Times New Roman"/>
                <w:sz w:val="24"/>
                <w:szCs w:val="24"/>
              </w:rPr>
              <w:t>.</w:t>
            </w:r>
            <w:r>
              <w:rPr>
                <w:rFonts w:ascii="Times New Roman" w:hAnsi="Times New Roman"/>
                <w:sz w:val="24"/>
                <w:szCs w:val="24"/>
              </w:rPr>
              <w:t>maijs</w:t>
            </w:r>
            <w:r w:rsidRPr="007A137C">
              <w:rPr>
                <w:rFonts w:ascii="Times New Roman" w:hAnsi="Times New Roman"/>
                <w:sz w:val="24"/>
                <w:szCs w:val="24"/>
              </w:rPr>
              <w:t>, Nr.L1</w:t>
            </w:r>
            <w:r>
              <w:rPr>
                <w:rFonts w:ascii="Times New Roman" w:hAnsi="Times New Roman"/>
                <w:sz w:val="24"/>
                <w:szCs w:val="24"/>
              </w:rPr>
              <w:t>49</w:t>
            </w:r>
            <w:r w:rsidRPr="007A137C">
              <w:rPr>
                <w:rFonts w:ascii="Times New Roman" w:hAnsi="Times New Roman"/>
                <w:sz w:val="24"/>
                <w:szCs w:val="24"/>
              </w:rPr>
              <w:t>)</w:t>
            </w:r>
            <w:r>
              <w:rPr>
                <w:rFonts w:ascii="Times New Roman" w:hAnsi="Times New Roman"/>
                <w:sz w:val="24"/>
                <w:szCs w:val="24"/>
              </w:rPr>
              <w:t>;</w:t>
            </w:r>
          </w:p>
          <w:p w14:paraId="2C006288" w14:textId="0DF755B4" w:rsidR="00462BE4" w:rsidRPr="00462BE4" w:rsidRDefault="00462BE4" w:rsidP="00BC7E31">
            <w:pPr>
              <w:spacing w:after="0" w:line="240" w:lineRule="auto"/>
              <w:ind w:left="57" w:right="57"/>
              <w:jc w:val="both"/>
              <w:rPr>
                <w:rFonts w:ascii="Times New Roman" w:hAnsi="Times New Roman"/>
                <w:sz w:val="24"/>
                <w:szCs w:val="24"/>
              </w:rPr>
            </w:pPr>
            <w:r w:rsidRPr="007A137C">
              <w:rPr>
                <w:rFonts w:ascii="Times New Roman" w:hAnsi="Times New Roman"/>
                <w:sz w:val="24"/>
                <w:szCs w:val="24"/>
              </w:rPr>
              <w:t>Komisijas 2013.gada 18.decembra Regula (EK) Nr.</w:t>
            </w:r>
            <w:hyperlink r:id="rId11" w:tgtFrame="_blank" w:history="1">
              <w:r w:rsidRPr="007A137C">
                <w:rPr>
                  <w:rFonts w:ascii="Times New Roman" w:hAnsi="Times New Roman"/>
                  <w:sz w:val="24"/>
                  <w:szCs w:val="24"/>
                </w:rPr>
                <w:t>1408/2013</w:t>
              </w:r>
            </w:hyperlink>
            <w:r w:rsidRPr="007A137C">
              <w:rPr>
                <w:rFonts w:ascii="Times New Roman" w:hAnsi="Times New Roman"/>
                <w:sz w:val="24"/>
                <w:szCs w:val="24"/>
              </w:rPr>
              <w:t xml:space="preserve"> par Līguma par Eiropas Savienības darbību 107. un 108.panta piemērošanu </w:t>
            </w:r>
            <w:proofErr w:type="spellStart"/>
            <w:r w:rsidRPr="007A137C">
              <w:rPr>
                <w:rFonts w:ascii="Times New Roman" w:hAnsi="Times New Roman"/>
                <w:i/>
                <w:sz w:val="24"/>
                <w:szCs w:val="24"/>
              </w:rPr>
              <w:t>de</w:t>
            </w:r>
            <w:proofErr w:type="spellEnd"/>
            <w:r w:rsidRPr="007A137C">
              <w:rPr>
                <w:rFonts w:ascii="Times New Roman" w:hAnsi="Times New Roman"/>
                <w:i/>
                <w:sz w:val="24"/>
                <w:szCs w:val="24"/>
              </w:rPr>
              <w:t xml:space="preserve"> </w:t>
            </w:r>
            <w:proofErr w:type="spellStart"/>
            <w:r w:rsidRPr="007A137C">
              <w:rPr>
                <w:rFonts w:ascii="Times New Roman" w:hAnsi="Times New Roman"/>
                <w:i/>
                <w:sz w:val="24"/>
                <w:szCs w:val="24"/>
              </w:rPr>
              <w:t>minimis</w:t>
            </w:r>
            <w:proofErr w:type="spellEnd"/>
            <w:r w:rsidRPr="007A137C">
              <w:rPr>
                <w:rFonts w:ascii="Times New Roman" w:hAnsi="Times New Roman"/>
                <w:sz w:val="24"/>
                <w:szCs w:val="24"/>
              </w:rPr>
              <w:t xml:space="preserve"> atbalstam lauksaimniecības nozarē (Eiropas Savienības Oficiālais Vēstnesis, 2013.gada 24.decembris, Nr. L 352);</w:t>
            </w:r>
          </w:p>
          <w:p w14:paraId="28E8276A" w14:textId="77777777" w:rsidR="002F30BD" w:rsidRDefault="002F30BD" w:rsidP="00BC7E31">
            <w:pPr>
              <w:autoSpaceDE w:val="0"/>
              <w:autoSpaceDN w:val="0"/>
              <w:adjustRightInd w:val="0"/>
              <w:spacing w:after="0" w:line="240" w:lineRule="auto"/>
              <w:ind w:left="57" w:right="57"/>
              <w:jc w:val="both"/>
              <w:rPr>
                <w:rFonts w:ascii="Times New Roman" w:hAnsi="Times New Roman"/>
                <w:sz w:val="24"/>
                <w:szCs w:val="24"/>
              </w:rPr>
            </w:pPr>
            <w:r w:rsidRPr="007A137C">
              <w:rPr>
                <w:rFonts w:ascii="Times New Roman" w:hAnsi="Times New Roman"/>
                <w:sz w:val="24"/>
                <w:szCs w:val="24"/>
              </w:rPr>
              <w:t>Komisijas 2014.gada 25.jūnija Regula (ES)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Nr.L193)</w:t>
            </w:r>
            <w:r w:rsidR="00A07AA4">
              <w:rPr>
                <w:rFonts w:ascii="Times New Roman" w:hAnsi="Times New Roman"/>
                <w:sz w:val="24"/>
                <w:szCs w:val="24"/>
              </w:rPr>
              <w:t>.</w:t>
            </w:r>
            <w:r w:rsidR="00427E50">
              <w:rPr>
                <w:rFonts w:ascii="Times New Roman" w:hAnsi="Times New Roman"/>
                <w:sz w:val="24"/>
                <w:szCs w:val="24"/>
              </w:rPr>
              <w:t>;</w:t>
            </w:r>
          </w:p>
          <w:p w14:paraId="45840552" w14:textId="53A99CD5" w:rsidR="00427E50" w:rsidRPr="007A137C" w:rsidRDefault="00427E50" w:rsidP="00BC7E31">
            <w:pPr>
              <w:autoSpaceDE w:val="0"/>
              <w:autoSpaceDN w:val="0"/>
              <w:adjustRightInd w:val="0"/>
              <w:spacing w:after="0" w:line="240" w:lineRule="auto"/>
              <w:ind w:left="57" w:right="57"/>
              <w:jc w:val="both"/>
              <w:rPr>
                <w:rFonts w:ascii="Times New Roman" w:hAnsi="Times New Roman"/>
                <w:sz w:val="24"/>
                <w:szCs w:val="24"/>
              </w:rPr>
            </w:pPr>
            <w:r w:rsidRPr="00FE39F2">
              <w:rPr>
                <w:rFonts w:ascii="Times New Roman" w:hAnsi="Times New Roman"/>
                <w:sz w:val="24"/>
                <w:szCs w:val="24"/>
              </w:rPr>
              <w:t xml:space="preserve">Eiropas Parlamenta un Padomes 2013.gada 17.decembra Regulu (ES) Nr.1305/2013 par atbalstu lauku attīstībai no Eiropas lauksaimniecības fonda lauku attīstībai (ELFLA) un ar, ko atceļ </w:t>
            </w:r>
            <w:r w:rsidRPr="00FE39F2">
              <w:rPr>
                <w:rFonts w:ascii="Times New Roman" w:hAnsi="Times New Roman"/>
                <w:sz w:val="24"/>
                <w:szCs w:val="24"/>
              </w:rPr>
              <w:lastRenderedPageBreak/>
              <w:t>Padomes Regulu (EK) Nr.1698/2005 (Eiropas Savienības Oficiālais Vēstnesis, 2013. gada 20. decembris, Nr.L347)</w:t>
            </w:r>
            <w:r>
              <w:rPr>
                <w:rFonts w:ascii="Times New Roman" w:hAnsi="Times New Roman"/>
                <w:sz w:val="24"/>
                <w:szCs w:val="24"/>
              </w:rPr>
              <w:t>.</w:t>
            </w:r>
          </w:p>
        </w:tc>
      </w:tr>
      <w:tr w:rsidR="00676910" w:rsidRPr="007A137C" w14:paraId="78ECC296" w14:textId="77777777" w:rsidTr="0012313F">
        <w:trPr>
          <w:gridBefore w:val="1"/>
          <w:wBefore w:w="580" w:type="dxa"/>
          <w:jc w:val="center"/>
        </w:trPr>
        <w:tc>
          <w:tcPr>
            <w:tcW w:w="542" w:type="dxa"/>
            <w:tcBorders>
              <w:top w:val="outset" w:sz="6" w:space="0" w:color="auto"/>
              <w:bottom w:val="outset" w:sz="6" w:space="0" w:color="auto"/>
              <w:right w:val="outset" w:sz="6" w:space="0" w:color="auto"/>
            </w:tcBorders>
          </w:tcPr>
          <w:p w14:paraId="78107C4B" w14:textId="6D3CE1A6"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lastRenderedPageBreak/>
              <w:t>2.</w:t>
            </w:r>
          </w:p>
        </w:tc>
        <w:tc>
          <w:tcPr>
            <w:tcW w:w="2639" w:type="dxa"/>
            <w:gridSpan w:val="4"/>
            <w:tcBorders>
              <w:top w:val="outset" w:sz="6" w:space="0" w:color="auto"/>
              <w:left w:val="outset" w:sz="6" w:space="0" w:color="auto"/>
              <w:bottom w:val="outset" w:sz="6" w:space="0" w:color="auto"/>
              <w:right w:val="outset" w:sz="6" w:space="0" w:color="auto"/>
            </w:tcBorders>
          </w:tcPr>
          <w:p w14:paraId="2B7D3691"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t>Citas starptautiskās saistības</w:t>
            </w:r>
          </w:p>
        </w:tc>
        <w:tc>
          <w:tcPr>
            <w:tcW w:w="6657" w:type="dxa"/>
            <w:gridSpan w:val="7"/>
            <w:tcBorders>
              <w:top w:val="outset" w:sz="6" w:space="0" w:color="auto"/>
              <w:left w:val="outset" w:sz="6" w:space="0" w:color="auto"/>
              <w:bottom w:val="outset" w:sz="6" w:space="0" w:color="auto"/>
            </w:tcBorders>
          </w:tcPr>
          <w:p w14:paraId="7DA3331C"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color w:val="000000"/>
                <w:sz w:val="24"/>
                <w:szCs w:val="24"/>
              </w:rPr>
              <w:t>Projekts šo jomu neskar.</w:t>
            </w:r>
          </w:p>
        </w:tc>
      </w:tr>
      <w:tr w:rsidR="00676910" w:rsidRPr="007A137C" w14:paraId="1853CAC2" w14:textId="77777777" w:rsidTr="0012313F">
        <w:trPr>
          <w:gridBefore w:val="1"/>
          <w:wBefore w:w="580" w:type="dxa"/>
          <w:jc w:val="center"/>
        </w:trPr>
        <w:tc>
          <w:tcPr>
            <w:tcW w:w="542" w:type="dxa"/>
            <w:tcBorders>
              <w:top w:val="outset" w:sz="6" w:space="0" w:color="auto"/>
              <w:bottom w:val="outset" w:sz="6" w:space="0" w:color="auto"/>
              <w:right w:val="outset" w:sz="6" w:space="0" w:color="auto"/>
            </w:tcBorders>
          </w:tcPr>
          <w:p w14:paraId="2DF1F9CB"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t>3.</w:t>
            </w:r>
          </w:p>
        </w:tc>
        <w:tc>
          <w:tcPr>
            <w:tcW w:w="2639" w:type="dxa"/>
            <w:gridSpan w:val="4"/>
            <w:tcBorders>
              <w:top w:val="outset" w:sz="6" w:space="0" w:color="auto"/>
              <w:left w:val="outset" w:sz="6" w:space="0" w:color="auto"/>
              <w:bottom w:val="outset" w:sz="6" w:space="0" w:color="auto"/>
              <w:right w:val="outset" w:sz="6" w:space="0" w:color="auto"/>
            </w:tcBorders>
          </w:tcPr>
          <w:p w14:paraId="3708999E"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t>Cita informācija</w:t>
            </w:r>
          </w:p>
        </w:tc>
        <w:tc>
          <w:tcPr>
            <w:tcW w:w="6657" w:type="dxa"/>
            <w:gridSpan w:val="7"/>
            <w:tcBorders>
              <w:top w:val="outset" w:sz="6" w:space="0" w:color="auto"/>
              <w:left w:val="outset" w:sz="6" w:space="0" w:color="auto"/>
              <w:bottom w:val="outset" w:sz="6" w:space="0" w:color="auto"/>
            </w:tcBorders>
          </w:tcPr>
          <w:p w14:paraId="2CEB7854" w14:textId="77777777" w:rsidR="00596F59" w:rsidRDefault="00596F59" w:rsidP="00BC7E31">
            <w:pPr>
              <w:pStyle w:val="Default"/>
              <w:ind w:left="57" w:right="57"/>
              <w:jc w:val="both"/>
              <w:rPr>
                <w:rFonts w:ascii="Times New Roman" w:hAnsi="Times New Roman"/>
                <w:color w:val="auto"/>
              </w:rPr>
            </w:pPr>
            <w:r w:rsidRPr="003175A7">
              <w:rPr>
                <w:rFonts w:ascii="Times New Roman" w:hAnsi="Times New Roman"/>
                <w:color w:val="auto"/>
              </w:rPr>
              <w:t xml:space="preserve">Eiropas Savienības pamatnostādnes par valsts atbalstu lauksaimniecības un mežsaimniecības nozarē un lauku apvidos 2014.–2020.gadam (Eiropas Savienības Oficiālais Vēstnesis, 2014.gada 1.jūlijs, C 204) </w:t>
            </w:r>
            <w:r>
              <w:rPr>
                <w:rFonts w:ascii="Times New Roman" w:hAnsi="Times New Roman"/>
                <w:color w:val="auto"/>
              </w:rPr>
              <w:t>(</w:t>
            </w:r>
            <w:r w:rsidRPr="003175A7">
              <w:rPr>
                <w:rFonts w:ascii="Times New Roman" w:hAnsi="Times New Roman"/>
                <w:color w:val="auto"/>
              </w:rPr>
              <w:t>turpmāk – pamatnostādnes).</w:t>
            </w:r>
          </w:p>
          <w:p w14:paraId="5FFA1711" w14:textId="44352E25" w:rsidR="002F30BD" w:rsidRPr="007A137C" w:rsidRDefault="00596F59" w:rsidP="00BC7E31">
            <w:pPr>
              <w:pStyle w:val="Default"/>
              <w:ind w:left="57" w:right="57"/>
              <w:jc w:val="both"/>
              <w:rPr>
                <w:rFonts w:ascii="Times New Roman" w:hAnsi="Times New Roman"/>
                <w:color w:val="auto"/>
              </w:rPr>
            </w:pPr>
            <w:r>
              <w:rPr>
                <w:rFonts w:ascii="Times New Roman" w:hAnsi="Times New Roman"/>
              </w:rPr>
              <w:t>Pamatnostādņu 2.4.apakšnodaļas 15</w:t>
            </w:r>
            <w:r w:rsidRPr="003175A7">
              <w:rPr>
                <w:rFonts w:ascii="Times New Roman" w:hAnsi="Times New Roman"/>
              </w:rPr>
              <w:t>.punkt</w:t>
            </w:r>
            <w:r>
              <w:rPr>
                <w:rFonts w:ascii="Times New Roman" w:hAnsi="Times New Roman"/>
              </w:rPr>
              <w:t xml:space="preserve">a </w:t>
            </w:r>
            <w:r w:rsidR="00FF33B2">
              <w:rPr>
                <w:rFonts w:ascii="Times New Roman" w:hAnsi="Times New Roman"/>
              </w:rPr>
              <w:t>„</w:t>
            </w:r>
            <w:r>
              <w:rPr>
                <w:rFonts w:ascii="Times New Roman" w:hAnsi="Times New Roman"/>
              </w:rPr>
              <w:t>c</w:t>
            </w:r>
            <w:r w:rsidR="00FF33B2">
              <w:rPr>
                <w:rFonts w:ascii="Times New Roman" w:hAnsi="Times New Roman"/>
              </w:rPr>
              <w:t>”</w:t>
            </w:r>
            <w:r>
              <w:rPr>
                <w:rFonts w:ascii="Times New Roman" w:hAnsi="Times New Roman"/>
              </w:rPr>
              <w:t xml:space="preserve"> apakšpunkts</w:t>
            </w:r>
            <w:r w:rsidRPr="003175A7">
              <w:rPr>
                <w:rFonts w:ascii="Times New Roman" w:hAnsi="Times New Roman"/>
              </w:rPr>
              <w:t xml:space="preserve"> atbilst noteikumu 8.</w:t>
            </w:r>
            <w:r>
              <w:rPr>
                <w:rFonts w:ascii="Times New Roman" w:hAnsi="Times New Roman"/>
              </w:rPr>
              <w:t>3.apakš</w:t>
            </w:r>
            <w:r w:rsidRPr="003175A7">
              <w:rPr>
                <w:rFonts w:ascii="Times New Roman" w:hAnsi="Times New Roman"/>
              </w:rPr>
              <w:t>punktam.</w:t>
            </w:r>
          </w:p>
        </w:tc>
      </w:tr>
      <w:tr w:rsidR="00676910" w:rsidRPr="007A137C" w14:paraId="31A7DB0A" w14:textId="77777777" w:rsidTr="0012313F">
        <w:trPr>
          <w:gridBefore w:val="1"/>
          <w:wBefore w:w="580" w:type="dxa"/>
          <w:jc w:val="center"/>
        </w:trPr>
        <w:tc>
          <w:tcPr>
            <w:tcW w:w="9838" w:type="dxa"/>
            <w:gridSpan w:val="12"/>
            <w:tcBorders>
              <w:top w:val="outset" w:sz="6" w:space="0" w:color="auto"/>
              <w:bottom w:val="outset" w:sz="6" w:space="0" w:color="auto"/>
            </w:tcBorders>
            <w:vAlign w:val="center"/>
          </w:tcPr>
          <w:p w14:paraId="61963750" w14:textId="77777777" w:rsidR="002F30BD" w:rsidRPr="007A137C" w:rsidRDefault="002F30BD" w:rsidP="00BC7E31">
            <w:pPr>
              <w:spacing w:after="0" w:line="240" w:lineRule="auto"/>
              <w:ind w:left="57" w:right="57"/>
              <w:rPr>
                <w:rFonts w:ascii="Times New Roman" w:hAnsi="Times New Roman"/>
                <w:b/>
                <w:sz w:val="24"/>
                <w:szCs w:val="24"/>
              </w:rPr>
            </w:pPr>
            <w:r w:rsidRPr="007A137C">
              <w:rPr>
                <w:rFonts w:ascii="Times New Roman" w:hAnsi="Times New Roman"/>
                <w:b/>
                <w:sz w:val="24"/>
                <w:szCs w:val="24"/>
              </w:rPr>
              <w:t>1.tabula</w:t>
            </w:r>
          </w:p>
          <w:p w14:paraId="5AD4D2CD"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b/>
                <w:sz w:val="24"/>
                <w:szCs w:val="24"/>
              </w:rPr>
              <w:t>Tiesību akta projekta atbilstība ES tiesību aktiem</w:t>
            </w:r>
          </w:p>
        </w:tc>
      </w:tr>
      <w:tr w:rsidR="00676910" w:rsidRPr="007A137C" w14:paraId="35AA5426" w14:textId="77777777" w:rsidTr="0012313F">
        <w:trPr>
          <w:gridBefore w:val="1"/>
          <w:wBefore w:w="580" w:type="dxa"/>
          <w:jc w:val="center"/>
        </w:trPr>
        <w:tc>
          <w:tcPr>
            <w:tcW w:w="2269" w:type="dxa"/>
            <w:gridSpan w:val="3"/>
            <w:tcBorders>
              <w:top w:val="outset" w:sz="6" w:space="0" w:color="auto"/>
              <w:bottom w:val="outset" w:sz="6" w:space="0" w:color="auto"/>
              <w:right w:val="outset" w:sz="6" w:space="0" w:color="auto"/>
            </w:tcBorders>
          </w:tcPr>
          <w:p w14:paraId="0F8ADCF0"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t>Attiecīgā ES tiesību akta datums, numurs un nosaukums</w:t>
            </w:r>
          </w:p>
        </w:tc>
        <w:tc>
          <w:tcPr>
            <w:tcW w:w="7569" w:type="dxa"/>
            <w:gridSpan w:val="9"/>
            <w:tcBorders>
              <w:top w:val="outset" w:sz="6" w:space="0" w:color="auto"/>
              <w:left w:val="outset" w:sz="6" w:space="0" w:color="auto"/>
              <w:bottom w:val="outset" w:sz="6" w:space="0" w:color="auto"/>
            </w:tcBorders>
          </w:tcPr>
          <w:p w14:paraId="5D4A8F8B" w14:textId="77777777" w:rsidR="002F30BD" w:rsidRPr="007A137C" w:rsidRDefault="002F30BD" w:rsidP="00BC7E31">
            <w:pPr>
              <w:spacing w:after="0" w:line="240" w:lineRule="auto"/>
              <w:ind w:left="57" w:right="57"/>
              <w:jc w:val="both"/>
              <w:rPr>
                <w:rFonts w:ascii="Times New Roman" w:hAnsi="Times New Roman"/>
                <w:sz w:val="24"/>
                <w:szCs w:val="24"/>
              </w:rPr>
            </w:pPr>
            <w:r w:rsidRPr="007A137C">
              <w:rPr>
                <w:rFonts w:ascii="Times New Roman" w:hAnsi="Times New Roman"/>
                <w:sz w:val="24"/>
                <w:szCs w:val="24"/>
              </w:rPr>
              <w:t>Komisijas 2013.gada 18.decembra Regula (EK) Nr.</w:t>
            </w:r>
            <w:hyperlink r:id="rId12" w:tgtFrame="_blank" w:history="1">
              <w:r w:rsidRPr="007A137C">
                <w:rPr>
                  <w:rFonts w:ascii="Times New Roman" w:hAnsi="Times New Roman"/>
                  <w:sz w:val="24"/>
                  <w:szCs w:val="24"/>
                </w:rPr>
                <w:t>1407/2013</w:t>
              </w:r>
            </w:hyperlink>
            <w:r w:rsidRPr="007A137C">
              <w:rPr>
                <w:rFonts w:ascii="Times New Roman" w:hAnsi="Times New Roman"/>
                <w:sz w:val="24"/>
                <w:szCs w:val="24"/>
              </w:rPr>
              <w:t xml:space="preserve"> par Līguma par Eiropas Savienības darbību 107. un 108.panta piemērošanu </w:t>
            </w:r>
            <w:proofErr w:type="spellStart"/>
            <w:r w:rsidRPr="007A137C">
              <w:rPr>
                <w:rFonts w:ascii="Times New Roman" w:hAnsi="Times New Roman"/>
                <w:i/>
                <w:sz w:val="24"/>
                <w:szCs w:val="24"/>
              </w:rPr>
              <w:t>de</w:t>
            </w:r>
            <w:proofErr w:type="spellEnd"/>
            <w:r w:rsidRPr="007A137C">
              <w:rPr>
                <w:rFonts w:ascii="Times New Roman" w:hAnsi="Times New Roman"/>
                <w:i/>
                <w:sz w:val="24"/>
                <w:szCs w:val="24"/>
              </w:rPr>
              <w:t xml:space="preserve"> </w:t>
            </w:r>
            <w:proofErr w:type="spellStart"/>
            <w:r w:rsidRPr="007A137C">
              <w:rPr>
                <w:rFonts w:ascii="Times New Roman" w:hAnsi="Times New Roman"/>
                <w:i/>
                <w:sz w:val="24"/>
                <w:szCs w:val="24"/>
              </w:rPr>
              <w:t>minimis</w:t>
            </w:r>
            <w:proofErr w:type="spellEnd"/>
            <w:r w:rsidRPr="007A137C">
              <w:rPr>
                <w:rFonts w:ascii="Times New Roman" w:hAnsi="Times New Roman"/>
                <w:sz w:val="24"/>
                <w:szCs w:val="24"/>
              </w:rPr>
              <w:t xml:space="preserve"> atbalstam (Eiropas Savienības Oficiālais Vēstnesis, 2013.gada 24.decembris, Nr. L 352) (turpmāk – Komisijas regula Nr.</w:t>
            </w:r>
            <w:hyperlink r:id="rId13" w:tgtFrame="_blank" w:history="1">
              <w:r w:rsidRPr="007A137C">
                <w:rPr>
                  <w:rFonts w:ascii="Times New Roman" w:hAnsi="Times New Roman"/>
                  <w:sz w:val="24"/>
                  <w:szCs w:val="24"/>
                </w:rPr>
                <w:t>1407/2013</w:t>
              </w:r>
            </w:hyperlink>
            <w:r w:rsidRPr="007A137C">
              <w:rPr>
                <w:rFonts w:ascii="Times New Roman" w:hAnsi="Times New Roman"/>
                <w:sz w:val="24"/>
                <w:szCs w:val="24"/>
              </w:rPr>
              <w:t>);</w:t>
            </w:r>
          </w:p>
          <w:p w14:paraId="75550EBC" w14:textId="321CE6D1" w:rsidR="002F30BD" w:rsidRDefault="002F30BD" w:rsidP="00BC7E31">
            <w:pPr>
              <w:spacing w:after="0" w:line="240" w:lineRule="auto"/>
              <w:ind w:left="57" w:right="57"/>
              <w:jc w:val="both"/>
              <w:rPr>
                <w:rFonts w:ascii="Times New Roman" w:hAnsi="Times New Roman"/>
                <w:iCs/>
                <w:sz w:val="24"/>
                <w:szCs w:val="24"/>
              </w:rPr>
            </w:pPr>
            <w:r w:rsidRPr="007A137C">
              <w:rPr>
                <w:rFonts w:ascii="Times New Roman" w:hAnsi="Times New Roman"/>
                <w:iCs/>
                <w:sz w:val="24"/>
                <w:szCs w:val="24"/>
              </w:rPr>
              <w:t>Komisijas 2014. gada 27. jūnija Regul</w:t>
            </w:r>
            <w:r w:rsidR="000E7E1F">
              <w:rPr>
                <w:rFonts w:ascii="Times New Roman" w:hAnsi="Times New Roman"/>
                <w:iCs/>
                <w:sz w:val="24"/>
                <w:szCs w:val="24"/>
              </w:rPr>
              <w:t>a</w:t>
            </w:r>
            <w:r w:rsidRPr="007A137C">
              <w:rPr>
                <w:rFonts w:ascii="Times New Roman" w:hAnsi="Times New Roman"/>
                <w:iCs/>
                <w:sz w:val="24"/>
                <w:szCs w:val="24"/>
              </w:rPr>
              <w:t xml:space="preserve"> (EK) Nr. </w:t>
            </w:r>
            <w:hyperlink r:id="rId14" w:tgtFrame="_blank" w:history="1">
              <w:r w:rsidRPr="007A137C">
                <w:rPr>
                  <w:rFonts w:ascii="Times New Roman" w:hAnsi="Times New Roman"/>
                  <w:iCs/>
                  <w:sz w:val="24"/>
                  <w:szCs w:val="24"/>
                </w:rPr>
                <w:t>717/2014</w:t>
              </w:r>
            </w:hyperlink>
            <w:r w:rsidRPr="007A137C">
              <w:rPr>
                <w:rFonts w:ascii="Times New Roman" w:hAnsi="Times New Roman"/>
                <w:iCs/>
                <w:sz w:val="24"/>
                <w:szCs w:val="24"/>
              </w:rPr>
              <w:t xml:space="preserve"> par Līguma par Eiropas Savienības darbību 107. un 108. panta piemērošanu </w:t>
            </w:r>
            <w:proofErr w:type="spellStart"/>
            <w:r w:rsidRPr="007A137C">
              <w:rPr>
                <w:rFonts w:ascii="Times New Roman" w:hAnsi="Times New Roman"/>
                <w:i/>
                <w:iCs/>
                <w:sz w:val="24"/>
                <w:szCs w:val="24"/>
              </w:rPr>
              <w:t>de</w:t>
            </w:r>
            <w:proofErr w:type="spellEnd"/>
            <w:r w:rsidRPr="007A137C">
              <w:rPr>
                <w:rFonts w:ascii="Times New Roman" w:hAnsi="Times New Roman"/>
                <w:i/>
                <w:iCs/>
                <w:sz w:val="24"/>
                <w:szCs w:val="24"/>
              </w:rPr>
              <w:t xml:space="preserve"> </w:t>
            </w:r>
            <w:proofErr w:type="spellStart"/>
            <w:r w:rsidRPr="007A137C">
              <w:rPr>
                <w:rFonts w:ascii="Times New Roman" w:hAnsi="Times New Roman"/>
                <w:i/>
                <w:iCs/>
                <w:sz w:val="24"/>
                <w:szCs w:val="24"/>
              </w:rPr>
              <w:t>minimis</w:t>
            </w:r>
            <w:proofErr w:type="spellEnd"/>
            <w:r w:rsidRPr="007A137C">
              <w:rPr>
                <w:rFonts w:ascii="Times New Roman" w:hAnsi="Times New Roman"/>
                <w:iCs/>
                <w:sz w:val="24"/>
                <w:szCs w:val="24"/>
              </w:rPr>
              <w:t xml:space="preserve"> atbalstam zvejniecības un akvakultūras nozarē (Eiropas Savienības Oficiālais Vēstnesis, 2014. gada 28. jūnijs, Nr. L190) (turpmāk – Komisijas regula Nr. </w:t>
            </w:r>
            <w:hyperlink r:id="rId15" w:tgtFrame="_blank" w:history="1">
              <w:r w:rsidRPr="007A137C">
                <w:rPr>
                  <w:rFonts w:ascii="Times New Roman" w:hAnsi="Times New Roman"/>
                  <w:iCs/>
                  <w:sz w:val="24"/>
                  <w:szCs w:val="24"/>
                </w:rPr>
                <w:t>717/2014</w:t>
              </w:r>
            </w:hyperlink>
            <w:r w:rsidRPr="007A137C">
              <w:rPr>
                <w:rFonts w:ascii="Times New Roman" w:hAnsi="Times New Roman"/>
                <w:iCs/>
                <w:sz w:val="24"/>
                <w:szCs w:val="24"/>
              </w:rPr>
              <w:t>);</w:t>
            </w:r>
          </w:p>
          <w:p w14:paraId="649FA1F2" w14:textId="4330B0E0" w:rsidR="00462BE4" w:rsidRPr="00462BE4" w:rsidRDefault="00462BE4" w:rsidP="00BC7E31">
            <w:pPr>
              <w:spacing w:after="0" w:line="240" w:lineRule="auto"/>
              <w:ind w:left="57" w:right="57"/>
              <w:jc w:val="both"/>
              <w:rPr>
                <w:rFonts w:ascii="Times New Roman" w:hAnsi="Times New Roman"/>
                <w:sz w:val="24"/>
                <w:szCs w:val="24"/>
              </w:rPr>
            </w:pPr>
            <w:r w:rsidRPr="007A137C">
              <w:rPr>
                <w:rFonts w:ascii="Times New Roman" w:hAnsi="Times New Roman"/>
                <w:sz w:val="24"/>
                <w:szCs w:val="24"/>
              </w:rPr>
              <w:t>Komisijas 2013.gada 18.decembra Regula (EK) Nr.</w:t>
            </w:r>
            <w:hyperlink r:id="rId16" w:tgtFrame="_blank" w:history="1">
              <w:r w:rsidRPr="007A137C">
                <w:rPr>
                  <w:rFonts w:ascii="Times New Roman" w:hAnsi="Times New Roman"/>
                  <w:sz w:val="24"/>
                  <w:szCs w:val="24"/>
                </w:rPr>
                <w:t>1408/2013</w:t>
              </w:r>
            </w:hyperlink>
            <w:r w:rsidRPr="007A137C">
              <w:rPr>
                <w:rFonts w:ascii="Times New Roman" w:hAnsi="Times New Roman"/>
                <w:sz w:val="24"/>
                <w:szCs w:val="24"/>
              </w:rPr>
              <w:t xml:space="preserve"> par Līguma par Eiropas Savienības darbību 107. un 108.panta piemērošanu </w:t>
            </w:r>
            <w:proofErr w:type="spellStart"/>
            <w:r w:rsidRPr="007A137C">
              <w:rPr>
                <w:rFonts w:ascii="Times New Roman" w:hAnsi="Times New Roman"/>
                <w:i/>
                <w:sz w:val="24"/>
                <w:szCs w:val="24"/>
              </w:rPr>
              <w:t>de</w:t>
            </w:r>
            <w:proofErr w:type="spellEnd"/>
            <w:r w:rsidRPr="007A137C">
              <w:rPr>
                <w:rFonts w:ascii="Times New Roman" w:hAnsi="Times New Roman"/>
                <w:i/>
                <w:sz w:val="24"/>
                <w:szCs w:val="24"/>
              </w:rPr>
              <w:t xml:space="preserve"> </w:t>
            </w:r>
            <w:proofErr w:type="spellStart"/>
            <w:r w:rsidRPr="007A137C">
              <w:rPr>
                <w:rFonts w:ascii="Times New Roman" w:hAnsi="Times New Roman"/>
                <w:i/>
                <w:sz w:val="24"/>
                <w:szCs w:val="24"/>
              </w:rPr>
              <w:t>minimis</w:t>
            </w:r>
            <w:proofErr w:type="spellEnd"/>
            <w:r w:rsidRPr="007A137C">
              <w:rPr>
                <w:rFonts w:ascii="Times New Roman" w:hAnsi="Times New Roman"/>
                <w:sz w:val="24"/>
                <w:szCs w:val="24"/>
              </w:rPr>
              <w:t xml:space="preserve"> atbalstam lauksaimniecības nozarē (Eiropas Savienības Oficiālais Vēstnesis, 2013.gada 24.decembris, Nr. L 352) (turpmāk – Komisijas regula Nr.</w:t>
            </w:r>
            <w:hyperlink r:id="rId17" w:tgtFrame="_blank" w:history="1">
              <w:r w:rsidRPr="007A137C">
                <w:rPr>
                  <w:rFonts w:ascii="Times New Roman" w:hAnsi="Times New Roman"/>
                  <w:sz w:val="24"/>
                  <w:szCs w:val="24"/>
                </w:rPr>
                <w:t>1408/2013</w:t>
              </w:r>
            </w:hyperlink>
            <w:r w:rsidRPr="007A137C">
              <w:rPr>
                <w:rFonts w:ascii="Times New Roman" w:hAnsi="Times New Roman"/>
                <w:sz w:val="24"/>
                <w:szCs w:val="24"/>
              </w:rPr>
              <w:t>);</w:t>
            </w:r>
          </w:p>
          <w:p w14:paraId="408B5554" w14:textId="65BFB31B" w:rsidR="003D4F62" w:rsidRPr="007A137C" w:rsidRDefault="003D4F62" w:rsidP="00BC7E31">
            <w:pPr>
              <w:spacing w:after="0" w:line="240" w:lineRule="auto"/>
              <w:ind w:left="57" w:right="57"/>
              <w:jc w:val="both"/>
              <w:rPr>
                <w:rFonts w:ascii="Times New Roman" w:hAnsi="Times New Roman"/>
                <w:iCs/>
                <w:sz w:val="24"/>
                <w:szCs w:val="24"/>
              </w:rPr>
            </w:pPr>
            <w:r w:rsidRPr="003D4F62">
              <w:rPr>
                <w:rFonts w:ascii="Times New Roman" w:hAnsi="Times New Roman"/>
                <w:iCs/>
                <w:sz w:val="24"/>
                <w:szCs w:val="24"/>
              </w:rPr>
              <w:t>E</w:t>
            </w:r>
            <w:r>
              <w:rPr>
                <w:rFonts w:ascii="Times New Roman" w:hAnsi="Times New Roman"/>
                <w:iCs/>
                <w:sz w:val="24"/>
                <w:szCs w:val="24"/>
              </w:rPr>
              <w:t>iropas</w:t>
            </w:r>
            <w:r w:rsidRPr="003D4F62">
              <w:rPr>
                <w:rFonts w:ascii="Times New Roman" w:hAnsi="Times New Roman"/>
                <w:iCs/>
                <w:sz w:val="24"/>
                <w:szCs w:val="24"/>
              </w:rPr>
              <w:t xml:space="preserve"> P</w:t>
            </w:r>
            <w:r>
              <w:rPr>
                <w:rFonts w:ascii="Times New Roman" w:hAnsi="Times New Roman"/>
                <w:iCs/>
                <w:sz w:val="24"/>
                <w:szCs w:val="24"/>
              </w:rPr>
              <w:t>arlamenta</w:t>
            </w:r>
            <w:r w:rsidRPr="003D4F62">
              <w:rPr>
                <w:rFonts w:ascii="Times New Roman" w:hAnsi="Times New Roman"/>
                <w:iCs/>
                <w:sz w:val="24"/>
                <w:szCs w:val="24"/>
              </w:rPr>
              <w:t xml:space="preserve"> </w:t>
            </w:r>
            <w:r>
              <w:rPr>
                <w:rFonts w:ascii="Times New Roman" w:hAnsi="Times New Roman"/>
                <w:iCs/>
                <w:sz w:val="24"/>
                <w:szCs w:val="24"/>
              </w:rPr>
              <w:t>un</w:t>
            </w:r>
            <w:r w:rsidRPr="003D4F62">
              <w:rPr>
                <w:rFonts w:ascii="Times New Roman" w:hAnsi="Times New Roman"/>
                <w:iCs/>
                <w:sz w:val="24"/>
                <w:szCs w:val="24"/>
              </w:rPr>
              <w:t xml:space="preserve"> P</w:t>
            </w:r>
            <w:r>
              <w:rPr>
                <w:rFonts w:ascii="Times New Roman" w:hAnsi="Times New Roman"/>
                <w:iCs/>
                <w:sz w:val="24"/>
                <w:szCs w:val="24"/>
              </w:rPr>
              <w:t>adomes</w:t>
            </w:r>
            <w:r w:rsidRPr="003D4F62">
              <w:rPr>
                <w:rFonts w:ascii="Times New Roman" w:hAnsi="Times New Roman"/>
                <w:iCs/>
                <w:sz w:val="24"/>
                <w:szCs w:val="24"/>
              </w:rPr>
              <w:t xml:space="preserve"> 2014. gada 15. maij</w:t>
            </w:r>
            <w:r>
              <w:rPr>
                <w:rFonts w:ascii="Times New Roman" w:hAnsi="Times New Roman"/>
                <w:iCs/>
                <w:sz w:val="24"/>
                <w:szCs w:val="24"/>
              </w:rPr>
              <w:t>a</w:t>
            </w:r>
            <w:r w:rsidRPr="003D4F62">
              <w:rPr>
                <w:rFonts w:ascii="Times New Roman" w:hAnsi="Times New Roman"/>
                <w:iCs/>
                <w:sz w:val="24"/>
                <w:szCs w:val="24"/>
              </w:rPr>
              <w:t xml:space="preserve"> R</w:t>
            </w:r>
            <w:r>
              <w:rPr>
                <w:rFonts w:ascii="Times New Roman" w:hAnsi="Times New Roman"/>
                <w:iCs/>
                <w:sz w:val="24"/>
                <w:szCs w:val="24"/>
              </w:rPr>
              <w:t>egula</w:t>
            </w:r>
            <w:r w:rsidRPr="003D4F62">
              <w:rPr>
                <w:rFonts w:ascii="Times New Roman" w:hAnsi="Times New Roman"/>
                <w:iCs/>
                <w:sz w:val="24"/>
                <w:szCs w:val="24"/>
              </w:rPr>
              <w:t xml:space="preserve"> (ES) Nr. 508/2014</w:t>
            </w:r>
            <w:r>
              <w:rPr>
                <w:rFonts w:ascii="Times New Roman" w:hAnsi="Times New Roman"/>
                <w:iCs/>
                <w:sz w:val="24"/>
                <w:szCs w:val="24"/>
              </w:rPr>
              <w:t xml:space="preserve"> </w:t>
            </w:r>
            <w:r w:rsidRPr="003D4F62">
              <w:rPr>
                <w:rFonts w:ascii="Times New Roman" w:hAnsi="Times New Roman"/>
                <w:iCs/>
                <w:sz w:val="24"/>
                <w:szCs w:val="24"/>
              </w:rPr>
              <w:t>par Eiropas Jūrlietu un zivsaimniecības fondu un ar ko atceļ Padomes Regulas (EK) Nr. 2328/2003, (EK) Nr. 861/2006, (EK) Nr. 1198/2006 un (EK) Nr. 791/2007 un Eiropas Parlamenta un Padomes Regulu (ES) Nr. 1255/2011</w:t>
            </w:r>
            <w:r>
              <w:rPr>
                <w:rFonts w:ascii="Times New Roman" w:hAnsi="Times New Roman"/>
                <w:iCs/>
                <w:sz w:val="24"/>
                <w:szCs w:val="24"/>
              </w:rPr>
              <w:t xml:space="preserve"> </w:t>
            </w:r>
            <w:r w:rsidRPr="007A137C">
              <w:rPr>
                <w:rFonts w:ascii="Times New Roman" w:hAnsi="Times New Roman"/>
                <w:sz w:val="24"/>
                <w:szCs w:val="24"/>
              </w:rPr>
              <w:t xml:space="preserve">(Eiropas Savienības Oficiālais Vēstnesis, 2014.gada </w:t>
            </w:r>
            <w:r>
              <w:rPr>
                <w:rFonts w:ascii="Times New Roman" w:hAnsi="Times New Roman"/>
                <w:sz w:val="24"/>
                <w:szCs w:val="24"/>
              </w:rPr>
              <w:t>20</w:t>
            </w:r>
            <w:r w:rsidRPr="007A137C">
              <w:rPr>
                <w:rFonts w:ascii="Times New Roman" w:hAnsi="Times New Roman"/>
                <w:sz w:val="24"/>
                <w:szCs w:val="24"/>
              </w:rPr>
              <w:t>.</w:t>
            </w:r>
            <w:r>
              <w:rPr>
                <w:rFonts w:ascii="Times New Roman" w:hAnsi="Times New Roman"/>
                <w:sz w:val="24"/>
                <w:szCs w:val="24"/>
              </w:rPr>
              <w:t>maijs</w:t>
            </w:r>
            <w:r w:rsidRPr="007A137C">
              <w:rPr>
                <w:rFonts w:ascii="Times New Roman" w:hAnsi="Times New Roman"/>
                <w:sz w:val="24"/>
                <w:szCs w:val="24"/>
              </w:rPr>
              <w:t>, Nr.L1</w:t>
            </w:r>
            <w:r>
              <w:rPr>
                <w:rFonts w:ascii="Times New Roman" w:hAnsi="Times New Roman"/>
                <w:sz w:val="24"/>
                <w:szCs w:val="24"/>
              </w:rPr>
              <w:t>49</w:t>
            </w:r>
            <w:r w:rsidRPr="007A137C">
              <w:rPr>
                <w:rFonts w:ascii="Times New Roman" w:hAnsi="Times New Roman"/>
                <w:sz w:val="24"/>
                <w:szCs w:val="24"/>
              </w:rPr>
              <w:t>)</w:t>
            </w:r>
            <w:r w:rsidR="00755546">
              <w:rPr>
                <w:rFonts w:ascii="Times New Roman" w:hAnsi="Times New Roman"/>
                <w:sz w:val="24"/>
                <w:szCs w:val="24"/>
              </w:rPr>
              <w:t xml:space="preserve"> </w:t>
            </w:r>
            <w:r w:rsidR="00755546" w:rsidRPr="007A137C">
              <w:rPr>
                <w:rFonts w:ascii="Times New Roman" w:hAnsi="Times New Roman"/>
                <w:sz w:val="24"/>
                <w:szCs w:val="24"/>
              </w:rPr>
              <w:t xml:space="preserve">(turpmāk – </w:t>
            </w:r>
            <w:r w:rsidR="00755546">
              <w:rPr>
                <w:rFonts w:ascii="Times New Roman" w:hAnsi="Times New Roman"/>
                <w:sz w:val="24"/>
                <w:szCs w:val="24"/>
              </w:rPr>
              <w:t>Padomes</w:t>
            </w:r>
            <w:r w:rsidR="00755546" w:rsidRPr="007A137C">
              <w:rPr>
                <w:rFonts w:ascii="Times New Roman" w:hAnsi="Times New Roman"/>
                <w:sz w:val="24"/>
                <w:szCs w:val="24"/>
              </w:rPr>
              <w:t xml:space="preserve"> regula Nr.</w:t>
            </w:r>
            <w:r w:rsidR="00755546">
              <w:rPr>
                <w:rFonts w:ascii="Times New Roman" w:hAnsi="Times New Roman"/>
                <w:sz w:val="24"/>
                <w:szCs w:val="24"/>
              </w:rPr>
              <w:t>508</w:t>
            </w:r>
            <w:r w:rsidR="00755546" w:rsidRPr="007A137C">
              <w:rPr>
                <w:rFonts w:ascii="Times New Roman" w:hAnsi="Times New Roman"/>
                <w:sz w:val="24"/>
                <w:szCs w:val="24"/>
              </w:rPr>
              <w:t>/2014)</w:t>
            </w:r>
            <w:r>
              <w:rPr>
                <w:rFonts w:ascii="Times New Roman" w:hAnsi="Times New Roman"/>
                <w:sz w:val="24"/>
                <w:szCs w:val="24"/>
              </w:rPr>
              <w:t>;</w:t>
            </w:r>
          </w:p>
          <w:p w14:paraId="6FD6B9E6" w14:textId="48020D50" w:rsidR="002F30BD" w:rsidRDefault="002F30BD" w:rsidP="00BC7E31">
            <w:pPr>
              <w:autoSpaceDE w:val="0"/>
              <w:autoSpaceDN w:val="0"/>
              <w:adjustRightInd w:val="0"/>
              <w:spacing w:after="0" w:line="240" w:lineRule="auto"/>
              <w:ind w:left="57" w:right="57"/>
              <w:jc w:val="both"/>
              <w:rPr>
                <w:rFonts w:ascii="Times New Roman" w:hAnsi="Times New Roman"/>
                <w:sz w:val="24"/>
                <w:szCs w:val="24"/>
              </w:rPr>
            </w:pPr>
            <w:r w:rsidRPr="007A137C">
              <w:rPr>
                <w:rFonts w:ascii="Times New Roman" w:hAnsi="Times New Roman"/>
                <w:sz w:val="24"/>
                <w:szCs w:val="24"/>
              </w:rPr>
              <w:t>Komisijas 2014.gada 25.jūnija Regula (ES)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Nr.L193) (turpmāk – Komisijas regula Nr.702/2014)</w:t>
            </w:r>
            <w:r w:rsidR="00427E50">
              <w:rPr>
                <w:rFonts w:ascii="Times New Roman" w:hAnsi="Times New Roman"/>
                <w:sz w:val="24"/>
                <w:szCs w:val="24"/>
              </w:rPr>
              <w:t>;</w:t>
            </w:r>
          </w:p>
          <w:p w14:paraId="7167C981" w14:textId="013472F8" w:rsidR="00CD1374" w:rsidRPr="007A137C" w:rsidRDefault="00427E50" w:rsidP="00BC7E31">
            <w:pPr>
              <w:autoSpaceDE w:val="0"/>
              <w:autoSpaceDN w:val="0"/>
              <w:adjustRightInd w:val="0"/>
              <w:spacing w:after="0" w:line="240" w:lineRule="auto"/>
              <w:ind w:left="57" w:right="57"/>
              <w:jc w:val="both"/>
              <w:rPr>
                <w:rFonts w:ascii="Times New Roman" w:hAnsi="Times New Roman"/>
                <w:sz w:val="24"/>
                <w:szCs w:val="24"/>
              </w:rPr>
            </w:pPr>
            <w:r w:rsidRPr="00FE39F2">
              <w:rPr>
                <w:rFonts w:ascii="Times New Roman" w:hAnsi="Times New Roman"/>
                <w:sz w:val="24"/>
                <w:szCs w:val="24"/>
              </w:rPr>
              <w:t>Eiropas Parlamenta un Padomes 2013.gada 17.decembra Regulu (ES) Nr.1305/2013 par atbalstu lauku attīstībai no Eiropas lauksaimniecības fonda lauku attīstībai (ELFLA) un ar, ko atceļ Padomes Regulu (EK) Nr.1698/2005 (Eiropas Savienības Oficiālais Vēstnesis, 2013. gada 20. decembris, Nr.L347)</w:t>
            </w:r>
            <w:r>
              <w:rPr>
                <w:rFonts w:ascii="Times New Roman" w:hAnsi="Times New Roman"/>
                <w:sz w:val="24"/>
                <w:szCs w:val="24"/>
              </w:rPr>
              <w:t xml:space="preserve"> </w:t>
            </w:r>
            <w:r w:rsidRPr="00FE39F2">
              <w:rPr>
                <w:rFonts w:ascii="Times New Roman" w:hAnsi="Times New Roman"/>
                <w:sz w:val="24"/>
                <w:szCs w:val="24"/>
              </w:rPr>
              <w:t>(turpmāk – Padomes Regula Nr.1305/2013)</w:t>
            </w:r>
            <w:r>
              <w:rPr>
                <w:rFonts w:ascii="Times New Roman" w:hAnsi="Times New Roman"/>
                <w:sz w:val="24"/>
                <w:szCs w:val="24"/>
              </w:rPr>
              <w:t>.</w:t>
            </w:r>
          </w:p>
        </w:tc>
      </w:tr>
      <w:tr w:rsidR="0064043D" w:rsidRPr="007A137C" w14:paraId="57352D22" w14:textId="77777777" w:rsidTr="0012313F">
        <w:trPr>
          <w:gridBefore w:val="1"/>
          <w:wBefore w:w="580" w:type="dxa"/>
          <w:jc w:val="center"/>
        </w:trPr>
        <w:tc>
          <w:tcPr>
            <w:tcW w:w="2269" w:type="dxa"/>
            <w:gridSpan w:val="3"/>
            <w:tcBorders>
              <w:top w:val="outset" w:sz="6" w:space="0" w:color="auto"/>
              <w:bottom w:val="outset" w:sz="6" w:space="0" w:color="auto"/>
              <w:right w:val="outset" w:sz="6" w:space="0" w:color="auto"/>
            </w:tcBorders>
            <w:vAlign w:val="center"/>
          </w:tcPr>
          <w:p w14:paraId="626AFA10" w14:textId="65D4C411"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t>A</w:t>
            </w:r>
          </w:p>
        </w:tc>
        <w:tc>
          <w:tcPr>
            <w:tcW w:w="2142" w:type="dxa"/>
            <w:gridSpan w:val="4"/>
            <w:tcBorders>
              <w:top w:val="outset" w:sz="6" w:space="0" w:color="auto"/>
              <w:left w:val="outset" w:sz="6" w:space="0" w:color="auto"/>
              <w:bottom w:val="outset" w:sz="6" w:space="0" w:color="auto"/>
              <w:right w:val="outset" w:sz="6" w:space="0" w:color="auto"/>
            </w:tcBorders>
            <w:vAlign w:val="center"/>
          </w:tcPr>
          <w:p w14:paraId="3D0823DC"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t>B</w:t>
            </w:r>
          </w:p>
        </w:tc>
        <w:tc>
          <w:tcPr>
            <w:tcW w:w="2677" w:type="dxa"/>
            <w:gridSpan w:val="3"/>
            <w:tcBorders>
              <w:top w:val="outset" w:sz="6" w:space="0" w:color="auto"/>
              <w:left w:val="outset" w:sz="6" w:space="0" w:color="auto"/>
              <w:bottom w:val="outset" w:sz="6" w:space="0" w:color="auto"/>
              <w:right w:val="outset" w:sz="6" w:space="0" w:color="auto"/>
            </w:tcBorders>
            <w:vAlign w:val="center"/>
          </w:tcPr>
          <w:p w14:paraId="7C5485E9"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t>C</w:t>
            </w:r>
          </w:p>
        </w:tc>
        <w:tc>
          <w:tcPr>
            <w:tcW w:w="2750" w:type="dxa"/>
            <w:gridSpan w:val="2"/>
            <w:tcBorders>
              <w:top w:val="outset" w:sz="6" w:space="0" w:color="auto"/>
              <w:left w:val="outset" w:sz="6" w:space="0" w:color="auto"/>
              <w:bottom w:val="outset" w:sz="6" w:space="0" w:color="auto"/>
            </w:tcBorders>
            <w:vAlign w:val="center"/>
          </w:tcPr>
          <w:p w14:paraId="51A2376D"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t>D</w:t>
            </w:r>
          </w:p>
        </w:tc>
      </w:tr>
      <w:tr w:rsidR="0064043D" w:rsidRPr="007A137C" w14:paraId="75FF4E7A" w14:textId="77777777" w:rsidTr="0012313F">
        <w:trPr>
          <w:gridBefore w:val="1"/>
          <w:wBefore w:w="580" w:type="dxa"/>
          <w:jc w:val="center"/>
        </w:trPr>
        <w:tc>
          <w:tcPr>
            <w:tcW w:w="2269" w:type="dxa"/>
            <w:gridSpan w:val="3"/>
            <w:tcBorders>
              <w:top w:val="outset" w:sz="6" w:space="0" w:color="auto"/>
              <w:bottom w:val="outset" w:sz="6" w:space="0" w:color="auto"/>
              <w:right w:val="outset" w:sz="6" w:space="0" w:color="auto"/>
            </w:tcBorders>
          </w:tcPr>
          <w:p w14:paraId="2E1157B4"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t xml:space="preserve">Attiecīgā ES tiesību akta panta numurs (uzskaitot katru tiesību akta vienību – </w:t>
            </w:r>
            <w:r w:rsidRPr="007A137C">
              <w:rPr>
                <w:rFonts w:ascii="Times New Roman" w:hAnsi="Times New Roman"/>
                <w:sz w:val="24"/>
                <w:szCs w:val="24"/>
              </w:rPr>
              <w:lastRenderedPageBreak/>
              <w:t>pantu, daļu, punktu, apakšpunktu)</w:t>
            </w:r>
          </w:p>
        </w:tc>
        <w:tc>
          <w:tcPr>
            <w:tcW w:w="2142" w:type="dxa"/>
            <w:gridSpan w:val="4"/>
            <w:tcBorders>
              <w:top w:val="outset" w:sz="6" w:space="0" w:color="auto"/>
              <w:left w:val="outset" w:sz="6" w:space="0" w:color="auto"/>
              <w:bottom w:val="outset" w:sz="6" w:space="0" w:color="auto"/>
              <w:right w:val="outset" w:sz="6" w:space="0" w:color="auto"/>
            </w:tcBorders>
          </w:tcPr>
          <w:p w14:paraId="6A5E72DF"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lastRenderedPageBreak/>
              <w:t xml:space="preserve">Projekta vienība, kas pārņem vai ievieš katru šīs tabulas A ailē </w:t>
            </w:r>
            <w:r w:rsidRPr="007A137C">
              <w:rPr>
                <w:rFonts w:ascii="Times New Roman" w:hAnsi="Times New Roman"/>
                <w:sz w:val="24"/>
                <w:szCs w:val="24"/>
              </w:rPr>
              <w:lastRenderedPageBreak/>
              <w:t>minēto ES tiesību akta vienību, vai tiesību akts, kur attiecīgā ES tiesību akta vienība pārņemta vai ieviesta</w:t>
            </w:r>
          </w:p>
        </w:tc>
        <w:tc>
          <w:tcPr>
            <w:tcW w:w="2677" w:type="dxa"/>
            <w:gridSpan w:val="3"/>
            <w:tcBorders>
              <w:top w:val="outset" w:sz="6" w:space="0" w:color="auto"/>
              <w:left w:val="outset" w:sz="6" w:space="0" w:color="auto"/>
              <w:bottom w:val="outset" w:sz="6" w:space="0" w:color="auto"/>
              <w:right w:val="outset" w:sz="6" w:space="0" w:color="auto"/>
            </w:tcBorders>
          </w:tcPr>
          <w:p w14:paraId="4469D716"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lastRenderedPageBreak/>
              <w:t xml:space="preserve">Informācija par to, vai šīs tabulas A ailē minētās ES tiesību akta vienības tiek pārņemtas vai </w:t>
            </w:r>
            <w:r w:rsidRPr="007A137C">
              <w:rPr>
                <w:rFonts w:ascii="Times New Roman" w:hAnsi="Times New Roman"/>
                <w:sz w:val="24"/>
                <w:szCs w:val="24"/>
              </w:rPr>
              <w:lastRenderedPageBreak/>
              <w:t>ieviestas pilnībā vai daļēji.</w:t>
            </w:r>
          </w:p>
          <w:p w14:paraId="2B6D4D6C"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B3FE754"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t>Norāda institūciju, kas ir atbildīga par šo saistību izpildi pilnībā</w:t>
            </w:r>
          </w:p>
        </w:tc>
        <w:tc>
          <w:tcPr>
            <w:tcW w:w="2750" w:type="dxa"/>
            <w:gridSpan w:val="2"/>
            <w:tcBorders>
              <w:top w:val="outset" w:sz="6" w:space="0" w:color="auto"/>
              <w:left w:val="outset" w:sz="6" w:space="0" w:color="auto"/>
              <w:bottom w:val="outset" w:sz="6" w:space="0" w:color="auto"/>
            </w:tcBorders>
          </w:tcPr>
          <w:p w14:paraId="7D9A32BD"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lastRenderedPageBreak/>
              <w:t xml:space="preserve">Informācija par to, vai šīs tabulas B ailē minētās projekta vienības paredz stingrākas prasības nekā </w:t>
            </w:r>
            <w:r w:rsidRPr="007A137C">
              <w:rPr>
                <w:rFonts w:ascii="Times New Roman" w:hAnsi="Times New Roman"/>
                <w:sz w:val="24"/>
                <w:szCs w:val="24"/>
              </w:rPr>
              <w:lastRenderedPageBreak/>
              <w:t>šīs tabulas A ailē minētās ES tiesību akta vienības.</w:t>
            </w:r>
          </w:p>
          <w:p w14:paraId="1F9989D4"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t>Ja projekts satur stingrā</w:t>
            </w:r>
            <w:r w:rsidRPr="007A137C">
              <w:rPr>
                <w:rFonts w:ascii="Times New Roman" w:hAnsi="Times New Roman"/>
                <w:sz w:val="24"/>
                <w:szCs w:val="24"/>
              </w:rPr>
              <w:softHyphen/>
              <w:t>kas prasības nekā attie</w:t>
            </w:r>
            <w:r w:rsidRPr="007A137C">
              <w:rPr>
                <w:rFonts w:ascii="Times New Roman" w:hAnsi="Times New Roman"/>
                <w:sz w:val="24"/>
                <w:szCs w:val="24"/>
              </w:rPr>
              <w:softHyphen/>
              <w:t>cīgais ES tiesību akts, norāda pamatojumu un samērīgumu.</w:t>
            </w:r>
          </w:p>
          <w:p w14:paraId="60494595" w14:textId="77777777" w:rsidR="002F30BD" w:rsidRPr="007A137C" w:rsidRDefault="002F30BD" w:rsidP="00BC7E31">
            <w:pPr>
              <w:spacing w:after="0" w:line="240" w:lineRule="auto"/>
              <w:ind w:left="57" w:right="57"/>
              <w:rPr>
                <w:rFonts w:ascii="Times New Roman" w:hAnsi="Times New Roman"/>
                <w:sz w:val="24"/>
                <w:szCs w:val="24"/>
              </w:rPr>
            </w:pPr>
            <w:r w:rsidRPr="007A137C">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43113C" w:rsidRPr="00ED1B07" w14:paraId="1A0F8E5F"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2A52615F" w14:textId="62A22F06" w:rsidR="0043113C" w:rsidRPr="00ED1B07" w:rsidRDefault="0043113C" w:rsidP="00BC7E31">
            <w:pPr>
              <w:spacing w:after="0" w:line="240" w:lineRule="auto"/>
              <w:ind w:left="57" w:right="57"/>
              <w:rPr>
                <w:rFonts w:ascii="Times New Roman" w:hAnsi="Times New Roman"/>
                <w:sz w:val="24"/>
                <w:szCs w:val="24"/>
              </w:rPr>
            </w:pPr>
            <w:r w:rsidRPr="00ED1B07">
              <w:rPr>
                <w:rFonts w:ascii="Times New Roman" w:hAnsi="Times New Roman"/>
                <w:sz w:val="24"/>
                <w:szCs w:val="24"/>
              </w:rPr>
              <w:lastRenderedPageBreak/>
              <w:t>Komisijas Regulas Nr.1407/2013 1.panta 1.punkts</w:t>
            </w:r>
          </w:p>
        </w:tc>
        <w:tc>
          <w:tcPr>
            <w:tcW w:w="2142" w:type="dxa"/>
            <w:gridSpan w:val="4"/>
            <w:tcBorders>
              <w:top w:val="outset" w:sz="6" w:space="0" w:color="auto"/>
              <w:left w:val="outset" w:sz="6" w:space="0" w:color="auto"/>
              <w:bottom w:val="outset" w:sz="6" w:space="0" w:color="auto"/>
              <w:right w:val="outset" w:sz="6" w:space="0" w:color="auto"/>
            </w:tcBorders>
          </w:tcPr>
          <w:p w14:paraId="356E4E2F" w14:textId="55AAD5E2" w:rsidR="0043113C" w:rsidRPr="00ED1B07" w:rsidRDefault="0043113C" w:rsidP="00BC7E31">
            <w:pPr>
              <w:spacing w:after="0" w:line="240" w:lineRule="auto"/>
              <w:ind w:left="57" w:right="57"/>
              <w:rPr>
                <w:rFonts w:ascii="Times New Roman" w:hAnsi="Times New Roman"/>
                <w:sz w:val="24"/>
                <w:szCs w:val="24"/>
              </w:rPr>
            </w:pPr>
            <w:r w:rsidRPr="00ED1B07">
              <w:rPr>
                <w:rFonts w:ascii="Times New Roman" w:hAnsi="Times New Roman"/>
                <w:sz w:val="24"/>
                <w:szCs w:val="24"/>
              </w:rPr>
              <w:t xml:space="preserve">Noteikumu projekta </w:t>
            </w:r>
            <w:r w:rsidR="00ED1B07" w:rsidRPr="00ED1B07">
              <w:rPr>
                <w:rFonts w:ascii="Times New Roman" w:hAnsi="Times New Roman"/>
                <w:sz w:val="24"/>
                <w:szCs w:val="24"/>
              </w:rPr>
              <w:t>10.</w:t>
            </w:r>
            <w:r w:rsidRPr="00ED1B07">
              <w:rPr>
                <w:rFonts w:ascii="Times New Roman" w:hAnsi="Times New Roman"/>
                <w:sz w:val="24"/>
                <w:szCs w:val="24"/>
              </w:rPr>
              <w:t xml:space="preserve">punktā izteiktais noteikumu </w:t>
            </w:r>
            <w:r w:rsidR="00ED1B07" w:rsidRPr="00ED1B07">
              <w:rPr>
                <w:rFonts w:ascii="Times New Roman" w:hAnsi="Times New Roman"/>
                <w:sz w:val="24"/>
                <w:szCs w:val="24"/>
              </w:rPr>
              <w:t>11</w:t>
            </w:r>
            <w:r w:rsidRPr="00ED1B07">
              <w:rPr>
                <w:rFonts w:ascii="Times New Roman" w:hAnsi="Times New Roman"/>
                <w:sz w:val="24"/>
                <w:szCs w:val="24"/>
              </w:rPr>
              <w:t>.</w:t>
            </w:r>
            <w:r w:rsidR="00ED1B07" w:rsidRPr="00ED1B07">
              <w:rPr>
                <w:rFonts w:ascii="Times New Roman" w:hAnsi="Times New Roman"/>
                <w:sz w:val="24"/>
                <w:szCs w:val="24"/>
              </w:rPr>
              <w:t>10</w:t>
            </w:r>
            <w:r w:rsidRPr="00ED1B07">
              <w:rPr>
                <w:rFonts w:ascii="Times New Roman" w:hAnsi="Times New Roman"/>
                <w:sz w:val="24"/>
                <w:szCs w:val="24"/>
              </w:rPr>
              <w:t>.apakšpunkts</w:t>
            </w:r>
          </w:p>
        </w:tc>
        <w:tc>
          <w:tcPr>
            <w:tcW w:w="2677" w:type="dxa"/>
            <w:gridSpan w:val="3"/>
            <w:tcBorders>
              <w:top w:val="outset" w:sz="6" w:space="0" w:color="auto"/>
              <w:left w:val="outset" w:sz="6" w:space="0" w:color="auto"/>
              <w:bottom w:val="outset" w:sz="6" w:space="0" w:color="auto"/>
              <w:right w:val="outset" w:sz="6" w:space="0" w:color="auto"/>
            </w:tcBorders>
          </w:tcPr>
          <w:p w14:paraId="63BA1E4A" w14:textId="3B2E3A9D" w:rsidR="0043113C" w:rsidRPr="00ED1B07" w:rsidRDefault="0043113C" w:rsidP="00BC7E31">
            <w:pPr>
              <w:spacing w:after="0" w:line="240" w:lineRule="auto"/>
              <w:ind w:left="57" w:right="57"/>
              <w:rPr>
                <w:rFonts w:ascii="Times New Roman" w:hAnsi="Times New Roman"/>
                <w:sz w:val="24"/>
                <w:szCs w:val="24"/>
              </w:rPr>
            </w:pPr>
            <w:r w:rsidRPr="00ED1B07">
              <w:rPr>
                <w:rFonts w:ascii="Times New Roman" w:hAnsi="Times New Roman"/>
                <w:sz w:val="24"/>
                <w:szCs w:val="24"/>
              </w:rPr>
              <w:t>Komisijas Regulas Nr.1407/2013 prasības tiek ieviestas pilnībā.</w:t>
            </w:r>
          </w:p>
        </w:tc>
        <w:tc>
          <w:tcPr>
            <w:tcW w:w="2693" w:type="dxa"/>
            <w:gridSpan w:val="2"/>
            <w:tcBorders>
              <w:top w:val="outset" w:sz="6" w:space="0" w:color="auto"/>
              <w:left w:val="outset" w:sz="6" w:space="0" w:color="auto"/>
              <w:bottom w:val="outset" w:sz="6" w:space="0" w:color="auto"/>
            </w:tcBorders>
          </w:tcPr>
          <w:p w14:paraId="7628E614" w14:textId="778B798B" w:rsidR="0043113C" w:rsidRPr="00ED1B07" w:rsidRDefault="0043113C" w:rsidP="00BC7E31">
            <w:pPr>
              <w:spacing w:after="0" w:line="240" w:lineRule="auto"/>
              <w:ind w:left="57" w:right="57"/>
              <w:rPr>
                <w:rFonts w:ascii="Times New Roman" w:hAnsi="Times New Roman"/>
                <w:sz w:val="24"/>
                <w:szCs w:val="24"/>
              </w:rPr>
            </w:pPr>
            <w:r w:rsidRPr="00ED1B07">
              <w:rPr>
                <w:rFonts w:ascii="Times New Roman" w:hAnsi="Times New Roman"/>
                <w:sz w:val="24"/>
                <w:szCs w:val="24"/>
              </w:rPr>
              <w:t>Noteikumu projekta vienības neparedz stingrākas prasības kā šīs tabulas A ailē minētās ES tiesību akta vienības.</w:t>
            </w:r>
          </w:p>
        </w:tc>
      </w:tr>
      <w:tr w:rsidR="00B07758" w:rsidRPr="00ED1B07" w14:paraId="36415DFC"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29F4CCB7" w14:textId="105B5372" w:rsidR="00B07758" w:rsidRPr="00ED1B07" w:rsidRDefault="00B07758" w:rsidP="00BC7E31">
            <w:pPr>
              <w:spacing w:after="0" w:line="240" w:lineRule="auto"/>
              <w:ind w:left="57" w:right="57"/>
              <w:rPr>
                <w:rFonts w:ascii="Times New Roman" w:hAnsi="Times New Roman"/>
                <w:sz w:val="24"/>
                <w:szCs w:val="24"/>
              </w:rPr>
            </w:pPr>
            <w:r w:rsidRPr="00ED1B07">
              <w:rPr>
                <w:rFonts w:ascii="Times New Roman" w:hAnsi="Times New Roman"/>
                <w:sz w:val="24"/>
                <w:szCs w:val="24"/>
              </w:rPr>
              <w:t>Komisijas Regulas Nr.1408/2013 1.panta 1.punkts</w:t>
            </w:r>
          </w:p>
        </w:tc>
        <w:tc>
          <w:tcPr>
            <w:tcW w:w="2142" w:type="dxa"/>
            <w:gridSpan w:val="4"/>
            <w:tcBorders>
              <w:top w:val="outset" w:sz="6" w:space="0" w:color="auto"/>
              <w:left w:val="outset" w:sz="6" w:space="0" w:color="auto"/>
              <w:bottom w:val="outset" w:sz="6" w:space="0" w:color="auto"/>
              <w:right w:val="outset" w:sz="6" w:space="0" w:color="auto"/>
            </w:tcBorders>
          </w:tcPr>
          <w:p w14:paraId="2F5E415A" w14:textId="07896499" w:rsidR="00B07758" w:rsidRPr="00ED1B07" w:rsidRDefault="00B07758" w:rsidP="00BC7E31">
            <w:pPr>
              <w:spacing w:after="0" w:line="240" w:lineRule="auto"/>
              <w:ind w:left="57" w:right="57"/>
              <w:rPr>
                <w:rFonts w:ascii="Times New Roman" w:hAnsi="Times New Roman"/>
                <w:sz w:val="24"/>
                <w:szCs w:val="24"/>
              </w:rPr>
            </w:pPr>
            <w:r w:rsidRPr="00ED1B07">
              <w:rPr>
                <w:rFonts w:ascii="Times New Roman" w:hAnsi="Times New Roman"/>
                <w:sz w:val="24"/>
                <w:szCs w:val="24"/>
              </w:rPr>
              <w:t xml:space="preserve">Noteikumu projekta </w:t>
            </w:r>
            <w:r w:rsidR="00ED1B07" w:rsidRPr="00ED1B07">
              <w:rPr>
                <w:rFonts w:ascii="Times New Roman" w:hAnsi="Times New Roman"/>
                <w:sz w:val="24"/>
                <w:szCs w:val="24"/>
              </w:rPr>
              <w:t>10.</w:t>
            </w:r>
            <w:r w:rsidRPr="00ED1B07">
              <w:rPr>
                <w:rFonts w:ascii="Times New Roman" w:hAnsi="Times New Roman"/>
                <w:sz w:val="24"/>
                <w:szCs w:val="24"/>
              </w:rPr>
              <w:t xml:space="preserve">punktā izteiktais noteikumu </w:t>
            </w:r>
            <w:r w:rsidR="00ED1B07" w:rsidRPr="00ED1B07">
              <w:rPr>
                <w:rFonts w:ascii="Times New Roman" w:hAnsi="Times New Roman"/>
                <w:sz w:val="24"/>
                <w:szCs w:val="24"/>
              </w:rPr>
              <w:t>11</w:t>
            </w:r>
            <w:r w:rsidRPr="00ED1B07">
              <w:rPr>
                <w:rFonts w:ascii="Times New Roman" w:hAnsi="Times New Roman"/>
                <w:sz w:val="24"/>
                <w:szCs w:val="24"/>
              </w:rPr>
              <w:t>.</w:t>
            </w:r>
            <w:r w:rsidR="00ED1B07" w:rsidRPr="00ED1B07">
              <w:rPr>
                <w:rFonts w:ascii="Times New Roman" w:hAnsi="Times New Roman"/>
                <w:sz w:val="24"/>
                <w:szCs w:val="24"/>
              </w:rPr>
              <w:t>10</w:t>
            </w:r>
            <w:r w:rsidRPr="00ED1B07">
              <w:rPr>
                <w:rFonts w:ascii="Times New Roman" w:hAnsi="Times New Roman"/>
                <w:sz w:val="24"/>
                <w:szCs w:val="24"/>
              </w:rPr>
              <w:t>.apakšpunkts</w:t>
            </w:r>
          </w:p>
        </w:tc>
        <w:tc>
          <w:tcPr>
            <w:tcW w:w="2677" w:type="dxa"/>
            <w:gridSpan w:val="3"/>
            <w:tcBorders>
              <w:top w:val="outset" w:sz="6" w:space="0" w:color="auto"/>
              <w:left w:val="outset" w:sz="6" w:space="0" w:color="auto"/>
              <w:bottom w:val="outset" w:sz="6" w:space="0" w:color="auto"/>
              <w:right w:val="outset" w:sz="6" w:space="0" w:color="auto"/>
            </w:tcBorders>
          </w:tcPr>
          <w:p w14:paraId="4DFDEE5D" w14:textId="14944E02" w:rsidR="00B07758" w:rsidRPr="00ED1B07" w:rsidRDefault="00B07758" w:rsidP="00BC7E31">
            <w:pPr>
              <w:spacing w:after="0" w:line="240" w:lineRule="auto"/>
              <w:ind w:left="57" w:right="57"/>
              <w:rPr>
                <w:rFonts w:ascii="Times New Roman" w:hAnsi="Times New Roman"/>
                <w:sz w:val="24"/>
                <w:szCs w:val="24"/>
              </w:rPr>
            </w:pPr>
            <w:r w:rsidRPr="00ED1B07">
              <w:rPr>
                <w:rFonts w:ascii="Times New Roman" w:hAnsi="Times New Roman"/>
                <w:sz w:val="24"/>
                <w:szCs w:val="24"/>
              </w:rPr>
              <w:t>Komisijas Regulas Nr.1408/2013 prasības tiek ieviestas pilnībā.</w:t>
            </w:r>
          </w:p>
        </w:tc>
        <w:tc>
          <w:tcPr>
            <w:tcW w:w="2693" w:type="dxa"/>
            <w:gridSpan w:val="2"/>
            <w:tcBorders>
              <w:top w:val="outset" w:sz="6" w:space="0" w:color="auto"/>
              <w:left w:val="outset" w:sz="6" w:space="0" w:color="auto"/>
              <w:bottom w:val="outset" w:sz="6" w:space="0" w:color="auto"/>
            </w:tcBorders>
          </w:tcPr>
          <w:p w14:paraId="21AE495E" w14:textId="57E77E34" w:rsidR="00B07758" w:rsidRPr="00ED1B07" w:rsidRDefault="00B07758" w:rsidP="00BC7E31">
            <w:pPr>
              <w:spacing w:after="0" w:line="240" w:lineRule="auto"/>
              <w:ind w:left="57" w:right="57"/>
              <w:rPr>
                <w:rFonts w:ascii="Times New Roman" w:hAnsi="Times New Roman"/>
                <w:sz w:val="24"/>
                <w:szCs w:val="24"/>
              </w:rPr>
            </w:pPr>
            <w:r w:rsidRPr="00ED1B07">
              <w:rPr>
                <w:rFonts w:ascii="Times New Roman" w:hAnsi="Times New Roman"/>
                <w:sz w:val="24"/>
                <w:szCs w:val="24"/>
              </w:rPr>
              <w:t>Noteikumu projekta vienības neparedz stingrākas prasības kā šīs tabulas A ailē minētās ES tiesību akta vienības.</w:t>
            </w:r>
          </w:p>
        </w:tc>
      </w:tr>
      <w:tr w:rsidR="00B07758" w:rsidRPr="00B84678" w14:paraId="2200AD0F"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7BBD8FB3" w14:textId="1F821D85" w:rsidR="00B07758" w:rsidRPr="00ED1B07" w:rsidRDefault="00B07758" w:rsidP="00BC7E31">
            <w:pPr>
              <w:spacing w:after="0" w:line="240" w:lineRule="auto"/>
              <w:ind w:left="57" w:right="57"/>
              <w:rPr>
                <w:rFonts w:ascii="Times New Roman" w:hAnsi="Times New Roman"/>
                <w:sz w:val="24"/>
                <w:szCs w:val="24"/>
              </w:rPr>
            </w:pPr>
            <w:r w:rsidRPr="00ED1B07">
              <w:rPr>
                <w:rFonts w:ascii="Times New Roman" w:hAnsi="Times New Roman"/>
                <w:sz w:val="24"/>
                <w:szCs w:val="24"/>
              </w:rPr>
              <w:t>Komisijas Regulas Nr.717/2014 1.panta 1.punkts</w:t>
            </w:r>
          </w:p>
        </w:tc>
        <w:tc>
          <w:tcPr>
            <w:tcW w:w="2142" w:type="dxa"/>
            <w:gridSpan w:val="4"/>
            <w:tcBorders>
              <w:top w:val="outset" w:sz="6" w:space="0" w:color="auto"/>
              <w:left w:val="outset" w:sz="6" w:space="0" w:color="auto"/>
              <w:bottom w:val="outset" w:sz="6" w:space="0" w:color="auto"/>
              <w:right w:val="outset" w:sz="6" w:space="0" w:color="auto"/>
            </w:tcBorders>
          </w:tcPr>
          <w:p w14:paraId="323EBE37" w14:textId="0E845C69" w:rsidR="00B07758" w:rsidRPr="00ED1B07" w:rsidRDefault="00B07758" w:rsidP="00BC7E31">
            <w:pPr>
              <w:spacing w:after="0" w:line="240" w:lineRule="auto"/>
              <w:ind w:left="57" w:right="57"/>
              <w:rPr>
                <w:rFonts w:ascii="Times New Roman" w:hAnsi="Times New Roman"/>
                <w:sz w:val="24"/>
                <w:szCs w:val="24"/>
              </w:rPr>
            </w:pPr>
            <w:r w:rsidRPr="00ED1B07">
              <w:rPr>
                <w:rFonts w:ascii="Times New Roman" w:hAnsi="Times New Roman"/>
                <w:sz w:val="24"/>
                <w:szCs w:val="24"/>
              </w:rPr>
              <w:t xml:space="preserve">Noteikumu projekta </w:t>
            </w:r>
            <w:r w:rsidR="00ED1B07" w:rsidRPr="00ED1B07">
              <w:rPr>
                <w:rFonts w:ascii="Times New Roman" w:hAnsi="Times New Roman"/>
                <w:sz w:val="24"/>
                <w:szCs w:val="24"/>
              </w:rPr>
              <w:t>10</w:t>
            </w:r>
            <w:r w:rsidRPr="00ED1B07">
              <w:rPr>
                <w:rFonts w:ascii="Times New Roman" w:hAnsi="Times New Roman"/>
                <w:sz w:val="24"/>
                <w:szCs w:val="24"/>
              </w:rPr>
              <w:t xml:space="preserve">. punktā izteiktais noteikumu </w:t>
            </w:r>
            <w:r w:rsidR="00ED1B07" w:rsidRPr="00ED1B07">
              <w:rPr>
                <w:rFonts w:ascii="Times New Roman" w:hAnsi="Times New Roman"/>
                <w:sz w:val="24"/>
                <w:szCs w:val="24"/>
              </w:rPr>
              <w:t>11</w:t>
            </w:r>
            <w:r w:rsidRPr="00ED1B07">
              <w:rPr>
                <w:rFonts w:ascii="Times New Roman" w:hAnsi="Times New Roman"/>
                <w:sz w:val="24"/>
                <w:szCs w:val="24"/>
              </w:rPr>
              <w:t>.</w:t>
            </w:r>
            <w:r w:rsidR="00ED1B07" w:rsidRPr="00ED1B07">
              <w:rPr>
                <w:rFonts w:ascii="Times New Roman" w:hAnsi="Times New Roman"/>
                <w:sz w:val="24"/>
                <w:szCs w:val="24"/>
              </w:rPr>
              <w:t>10</w:t>
            </w:r>
            <w:r w:rsidRPr="00ED1B07">
              <w:rPr>
                <w:rFonts w:ascii="Times New Roman" w:hAnsi="Times New Roman"/>
                <w:sz w:val="24"/>
                <w:szCs w:val="24"/>
              </w:rPr>
              <w:t>.apakšpunkts</w:t>
            </w:r>
          </w:p>
        </w:tc>
        <w:tc>
          <w:tcPr>
            <w:tcW w:w="2677" w:type="dxa"/>
            <w:gridSpan w:val="3"/>
            <w:tcBorders>
              <w:top w:val="outset" w:sz="6" w:space="0" w:color="auto"/>
              <w:left w:val="outset" w:sz="6" w:space="0" w:color="auto"/>
              <w:bottom w:val="outset" w:sz="6" w:space="0" w:color="auto"/>
              <w:right w:val="outset" w:sz="6" w:space="0" w:color="auto"/>
            </w:tcBorders>
          </w:tcPr>
          <w:p w14:paraId="2C1404F2" w14:textId="33EC9F64" w:rsidR="00B07758" w:rsidRPr="00ED1B07" w:rsidRDefault="00B07758" w:rsidP="00BC7E31">
            <w:pPr>
              <w:spacing w:after="0" w:line="240" w:lineRule="auto"/>
              <w:ind w:left="57" w:right="57"/>
              <w:rPr>
                <w:rFonts w:ascii="Times New Roman" w:hAnsi="Times New Roman"/>
                <w:sz w:val="24"/>
                <w:szCs w:val="24"/>
              </w:rPr>
            </w:pPr>
            <w:r w:rsidRPr="00ED1B07">
              <w:rPr>
                <w:rFonts w:ascii="Times New Roman" w:hAnsi="Times New Roman"/>
                <w:sz w:val="24"/>
                <w:szCs w:val="24"/>
              </w:rPr>
              <w:t>Komisijas Regulas Nr.717/2014 prasības tiek ieviestas pilnībā.</w:t>
            </w:r>
          </w:p>
        </w:tc>
        <w:tc>
          <w:tcPr>
            <w:tcW w:w="2693" w:type="dxa"/>
            <w:gridSpan w:val="2"/>
            <w:tcBorders>
              <w:top w:val="outset" w:sz="6" w:space="0" w:color="auto"/>
              <w:left w:val="outset" w:sz="6" w:space="0" w:color="auto"/>
              <w:bottom w:val="outset" w:sz="6" w:space="0" w:color="auto"/>
            </w:tcBorders>
          </w:tcPr>
          <w:p w14:paraId="170E7DE6" w14:textId="3B7A4BBF" w:rsidR="00B07758" w:rsidRPr="00ED1B07" w:rsidRDefault="00B07758" w:rsidP="00BC7E31">
            <w:pPr>
              <w:spacing w:after="0" w:line="240" w:lineRule="auto"/>
              <w:ind w:left="57" w:right="57"/>
              <w:rPr>
                <w:rFonts w:ascii="Times New Roman" w:hAnsi="Times New Roman"/>
                <w:sz w:val="24"/>
                <w:szCs w:val="24"/>
              </w:rPr>
            </w:pPr>
            <w:r w:rsidRPr="00ED1B07">
              <w:rPr>
                <w:rFonts w:ascii="Times New Roman" w:hAnsi="Times New Roman"/>
                <w:sz w:val="24"/>
                <w:szCs w:val="24"/>
              </w:rPr>
              <w:t>Noteikumu projekta vienības neparedz stingrākas prasības kā šīs tabulas A ailē minētās ES tiesību akta vienības.</w:t>
            </w:r>
          </w:p>
        </w:tc>
      </w:tr>
      <w:tr w:rsidR="0043113C" w:rsidRPr="00ED1B07" w14:paraId="64CCBDEB"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2EAA853F" w14:textId="70FDC81F" w:rsidR="0043113C" w:rsidRPr="00ED1B07" w:rsidRDefault="0043113C" w:rsidP="00BC7E31">
            <w:pPr>
              <w:ind w:left="57" w:right="57"/>
              <w:rPr>
                <w:rFonts w:ascii="Times New Roman" w:hAnsi="Times New Roman"/>
              </w:rPr>
            </w:pPr>
            <w:r w:rsidRPr="00ED1B07">
              <w:rPr>
                <w:rFonts w:ascii="Times New Roman" w:hAnsi="Times New Roman"/>
                <w:sz w:val="24"/>
                <w:szCs w:val="24"/>
              </w:rPr>
              <w:t>Komisijas Regulas Nr.1407/2013 5.panta 1. un 2.punkts</w:t>
            </w:r>
          </w:p>
        </w:tc>
        <w:tc>
          <w:tcPr>
            <w:tcW w:w="2142" w:type="dxa"/>
            <w:gridSpan w:val="4"/>
            <w:tcBorders>
              <w:top w:val="outset" w:sz="6" w:space="0" w:color="auto"/>
              <w:left w:val="outset" w:sz="6" w:space="0" w:color="auto"/>
              <w:bottom w:val="outset" w:sz="6" w:space="0" w:color="auto"/>
              <w:right w:val="outset" w:sz="6" w:space="0" w:color="auto"/>
            </w:tcBorders>
          </w:tcPr>
          <w:p w14:paraId="5EC698A7" w14:textId="7E046895" w:rsidR="0043113C" w:rsidRPr="00ED1B07" w:rsidRDefault="0043113C" w:rsidP="00BC7E31">
            <w:pPr>
              <w:ind w:left="57" w:right="57"/>
            </w:pPr>
            <w:r w:rsidRPr="00ED1B07">
              <w:rPr>
                <w:rFonts w:ascii="Times New Roman" w:hAnsi="Times New Roman"/>
                <w:sz w:val="24"/>
                <w:szCs w:val="24"/>
              </w:rPr>
              <w:t xml:space="preserve">Noteikumu projekta </w:t>
            </w:r>
            <w:r w:rsidR="00BE5CF9" w:rsidRPr="00ED1B07">
              <w:rPr>
                <w:rFonts w:ascii="Times New Roman" w:hAnsi="Times New Roman"/>
                <w:sz w:val="24"/>
                <w:szCs w:val="24"/>
              </w:rPr>
              <w:t>9</w:t>
            </w:r>
            <w:r w:rsidR="00ED1B07" w:rsidRPr="00ED1B07">
              <w:rPr>
                <w:rFonts w:ascii="Times New Roman" w:hAnsi="Times New Roman"/>
                <w:sz w:val="24"/>
                <w:szCs w:val="24"/>
              </w:rPr>
              <w:t>.</w:t>
            </w:r>
            <w:r w:rsidRPr="00ED1B07">
              <w:rPr>
                <w:rFonts w:ascii="Times New Roman" w:hAnsi="Times New Roman"/>
                <w:sz w:val="24"/>
                <w:szCs w:val="24"/>
              </w:rPr>
              <w:t>punktā izteiktais noteikumu 11.7.apakšpunkts</w:t>
            </w:r>
          </w:p>
        </w:tc>
        <w:tc>
          <w:tcPr>
            <w:tcW w:w="2677" w:type="dxa"/>
            <w:gridSpan w:val="3"/>
            <w:tcBorders>
              <w:top w:val="outset" w:sz="6" w:space="0" w:color="auto"/>
              <w:left w:val="outset" w:sz="6" w:space="0" w:color="auto"/>
              <w:bottom w:val="outset" w:sz="6" w:space="0" w:color="auto"/>
              <w:right w:val="outset" w:sz="6" w:space="0" w:color="auto"/>
            </w:tcBorders>
          </w:tcPr>
          <w:p w14:paraId="03DB258C" w14:textId="17E2A251" w:rsidR="0043113C" w:rsidRPr="00ED1B07" w:rsidRDefault="0043113C" w:rsidP="00BC7E31">
            <w:pPr>
              <w:ind w:left="57" w:right="57"/>
            </w:pPr>
            <w:r w:rsidRPr="00ED1B07">
              <w:rPr>
                <w:rFonts w:ascii="Times New Roman" w:hAnsi="Times New Roman"/>
                <w:sz w:val="24"/>
                <w:szCs w:val="24"/>
              </w:rPr>
              <w:t>Komisijas Regulas Nr.1407/2013 prasības tiek ieviestas pilnībā.</w:t>
            </w:r>
          </w:p>
        </w:tc>
        <w:tc>
          <w:tcPr>
            <w:tcW w:w="2693" w:type="dxa"/>
            <w:gridSpan w:val="2"/>
            <w:tcBorders>
              <w:top w:val="outset" w:sz="6" w:space="0" w:color="auto"/>
              <w:left w:val="outset" w:sz="6" w:space="0" w:color="auto"/>
              <w:bottom w:val="outset" w:sz="6" w:space="0" w:color="auto"/>
            </w:tcBorders>
          </w:tcPr>
          <w:p w14:paraId="093C2E66" w14:textId="6C79B219" w:rsidR="0043113C" w:rsidRPr="00ED1B07" w:rsidRDefault="0043113C" w:rsidP="00BC7E31">
            <w:pPr>
              <w:ind w:left="57" w:right="57"/>
            </w:pPr>
            <w:r w:rsidRPr="00ED1B07">
              <w:rPr>
                <w:rFonts w:ascii="Times New Roman" w:hAnsi="Times New Roman"/>
                <w:sz w:val="24"/>
                <w:szCs w:val="24"/>
              </w:rPr>
              <w:t>Noteikumu projekta vienības neparedz stingrākas prasības kā šīs tabulas A ailē minētās ES tiesību akta vienības.</w:t>
            </w:r>
          </w:p>
        </w:tc>
      </w:tr>
      <w:tr w:rsidR="0043113C" w:rsidRPr="00ED1B07" w14:paraId="5F20D6B0"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1D9EC96C" w14:textId="685D07EB"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Komisijas Regulas Nr.1408/2013 5.panta 1.,</w:t>
            </w:r>
            <w:r w:rsidR="002938B5" w:rsidRPr="00ED1B07">
              <w:rPr>
                <w:rFonts w:ascii="Times New Roman" w:hAnsi="Times New Roman"/>
                <w:sz w:val="24"/>
                <w:szCs w:val="24"/>
              </w:rPr>
              <w:t xml:space="preserve"> </w:t>
            </w:r>
            <w:r w:rsidRPr="00ED1B07">
              <w:rPr>
                <w:rFonts w:ascii="Times New Roman" w:hAnsi="Times New Roman"/>
                <w:sz w:val="24"/>
                <w:szCs w:val="24"/>
              </w:rPr>
              <w:t>2</w:t>
            </w:r>
            <w:r w:rsidR="002938B5" w:rsidRPr="00ED1B07">
              <w:rPr>
                <w:rFonts w:ascii="Times New Roman" w:hAnsi="Times New Roman"/>
                <w:sz w:val="24"/>
                <w:szCs w:val="24"/>
              </w:rPr>
              <w:t>.</w:t>
            </w:r>
            <w:r w:rsidRPr="00ED1B07">
              <w:rPr>
                <w:rFonts w:ascii="Times New Roman" w:hAnsi="Times New Roman"/>
                <w:sz w:val="24"/>
                <w:szCs w:val="24"/>
              </w:rPr>
              <w:t xml:space="preserve"> un 3.punkts</w:t>
            </w:r>
          </w:p>
        </w:tc>
        <w:tc>
          <w:tcPr>
            <w:tcW w:w="2142" w:type="dxa"/>
            <w:gridSpan w:val="4"/>
            <w:tcBorders>
              <w:top w:val="outset" w:sz="6" w:space="0" w:color="auto"/>
              <w:left w:val="outset" w:sz="6" w:space="0" w:color="auto"/>
              <w:bottom w:val="outset" w:sz="6" w:space="0" w:color="auto"/>
              <w:right w:val="outset" w:sz="6" w:space="0" w:color="auto"/>
            </w:tcBorders>
          </w:tcPr>
          <w:p w14:paraId="6FA20109" w14:textId="22F61C6B"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 xml:space="preserve">Noteikumu projekta </w:t>
            </w:r>
            <w:r w:rsidR="00BE5CF9" w:rsidRPr="00ED1B07">
              <w:rPr>
                <w:rFonts w:ascii="Times New Roman" w:hAnsi="Times New Roman"/>
                <w:sz w:val="24"/>
                <w:szCs w:val="24"/>
              </w:rPr>
              <w:t>9</w:t>
            </w:r>
            <w:r w:rsidRPr="00ED1B07">
              <w:rPr>
                <w:rFonts w:ascii="Times New Roman" w:hAnsi="Times New Roman"/>
                <w:sz w:val="24"/>
                <w:szCs w:val="24"/>
              </w:rPr>
              <w:t>. punktā izteiktais noteikumu 11.7.apakšpunkts</w:t>
            </w:r>
          </w:p>
        </w:tc>
        <w:tc>
          <w:tcPr>
            <w:tcW w:w="2677" w:type="dxa"/>
            <w:gridSpan w:val="3"/>
            <w:tcBorders>
              <w:top w:val="outset" w:sz="6" w:space="0" w:color="auto"/>
              <w:left w:val="outset" w:sz="6" w:space="0" w:color="auto"/>
              <w:bottom w:val="outset" w:sz="6" w:space="0" w:color="auto"/>
              <w:right w:val="outset" w:sz="6" w:space="0" w:color="auto"/>
            </w:tcBorders>
          </w:tcPr>
          <w:p w14:paraId="350E9714" w14:textId="1969401C"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Komisijas Regulas Nr.1408/2013 prasības tiek ieviestas pilnībā.</w:t>
            </w:r>
          </w:p>
        </w:tc>
        <w:tc>
          <w:tcPr>
            <w:tcW w:w="2693" w:type="dxa"/>
            <w:gridSpan w:val="2"/>
            <w:tcBorders>
              <w:top w:val="outset" w:sz="6" w:space="0" w:color="auto"/>
              <w:left w:val="outset" w:sz="6" w:space="0" w:color="auto"/>
              <w:bottom w:val="outset" w:sz="6" w:space="0" w:color="auto"/>
            </w:tcBorders>
          </w:tcPr>
          <w:p w14:paraId="0BC6A7D2" w14:textId="76E46911"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Noteikumu projekta vienības neparedz stingrākas prasības kā šīs tabulas A ailē minētās ES tiesību akta vienības.</w:t>
            </w:r>
          </w:p>
        </w:tc>
      </w:tr>
      <w:tr w:rsidR="0043113C" w:rsidRPr="00B84678" w14:paraId="5015DBA4"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37E6A804" w14:textId="7BAA5736"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 xml:space="preserve">Komisijas Regulas Nr.717/2014 5.panta </w:t>
            </w:r>
            <w:r w:rsidRPr="00ED1B07">
              <w:rPr>
                <w:rFonts w:ascii="Times New Roman" w:hAnsi="Times New Roman"/>
                <w:sz w:val="24"/>
                <w:szCs w:val="24"/>
              </w:rPr>
              <w:lastRenderedPageBreak/>
              <w:t>1.,</w:t>
            </w:r>
            <w:r w:rsidR="002938B5" w:rsidRPr="00ED1B07">
              <w:rPr>
                <w:rFonts w:ascii="Times New Roman" w:hAnsi="Times New Roman"/>
                <w:sz w:val="24"/>
                <w:szCs w:val="24"/>
              </w:rPr>
              <w:t xml:space="preserve"> </w:t>
            </w:r>
            <w:r w:rsidRPr="00ED1B07">
              <w:rPr>
                <w:rFonts w:ascii="Times New Roman" w:hAnsi="Times New Roman"/>
                <w:sz w:val="24"/>
                <w:szCs w:val="24"/>
              </w:rPr>
              <w:t>2</w:t>
            </w:r>
            <w:r w:rsidR="002938B5" w:rsidRPr="00ED1B07">
              <w:rPr>
                <w:rFonts w:ascii="Times New Roman" w:hAnsi="Times New Roman"/>
                <w:sz w:val="24"/>
                <w:szCs w:val="24"/>
              </w:rPr>
              <w:t>.</w:t>
            </w:r>
            <w:r w:rsidRPr="00ED1B07">
              <w:rPr>
                <w:rFonts w:ascii="Times New Roman" w:hAnsi="Times New Roman"/>
                <w:sz w:val="24"/>
                <w:szCs w:val="24"/>
              </w:rPr>
              <w:t xml:space="preserve"> un 3.punkts</w:t>
            </w:r>
          </w:p>
        </w:tc>
        <w:tc>
          <w:tcPr>
            <w:tcW w:w="2142" w:type="dxa"/>
            <w:gridSpan w:val="4"/>
            <w:tcBorders>
              <w:top w:val="outset" w:sz="6" w:space="0" w:color="auto"/>
              <w:left w:val="outset" w:sz="6" w:space="0" w:color="auto"/>
              <w:bottom w:val="outset" w:sz="6" w:space="0" w:color="auto"/>
              <w:right w:val="outset" w:sz="6" w:space="0" w:color="auto"/>
            </w:tcBorders>
          </w:tcPr>
          <w:p w14:paraId="26C8753A" w14:textId="44E9D285"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lastRenderedPageBreak/>
              <w:t xml:space="preserve">Noteikumu projekta </w:t>
            </w:r>
            <w:r w:rsidR="00BE5CF9" w:rsidRPr="00ED1B07">
              <w:rPr>
                <w:rFonts w:ascii="Times New Roman" w:hAnsi="Times New Roman"/>
                <w:sz w:val="24"/>
                <w:szCs w:val="24"/>
              </w:rPr>
              <w:t>9</w:t>
            </w:r>
            <w:r w:rsidRPr="00ED1B07">
              <w:rPr>
                <w:rFonts w:ascii="Times New Roman" w:hAnsi="Times New Roman"/>
                <w:sz w:val="24"/>
                <w:szCs w:val="24"/>
              </w:rPr>
              <w:t xml:space="preserve">. punktā izteiktais noteikumu </w:t>
            </w:r>
            <w:r w:rsidRPr="00ED1B07">
              <w:rPr>
                <w:rFonts w:ascii="Times New Roman" w:hAnsi="Times New Roman"/>
                <w:sz w:val="24"/>
                <w:szCs w:val="24"/>
              </w:rPr>
              <w:lastRenderedPageBreak/>
              <w:t>11.7.apakšpunkts</w:t>
            </w:r>
          </w:p>
        </w:tc>
        <w:tc>
          <w:tcPr>
            <w:tcW w:w="2677" w:type="dxa"/>
            <w:gridSpan w:val="3"/>
            <w:tcBorders>
              <w:top w:val="outset" w:sz="6" w:space="0" w:color="auto"/>
              <w:left w:val="outset" w:sz="6" w:space="0" w:color="auto"/>
              <w:bottom w:val="outset" w:sz="6" w:space="0" w:color="auto"/>
              <w:right w:val="outset" w:sz="6" w:space="0" w:color="auto"/>
            </w:tcBorders>
          </w:tcPr>
          <w:p w14:paraId="7345E864" w14:textId="23C83F79"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lastRenderedPageBreak/>
              <w:t xml:space="preserve">Komisijas Regulas Nr.717/2014 prasības tiek </w:t>
            </w:r>
            <w:r w:rsidRPr="00ED1B07">
              <w:rPr>
                <w:rFonts w:ascii="Times New Roman" w:hAnsi="Times New Roman"/>
                <w:sz w:val="24"/>
                <w:szCs w:val="24"/>
              </w:rPr>
              <w:lastRenderedPageBreak/>
              <w:t>ieviestas pilnībā.</w:t>
            </w:r>
          </w:p>
        </w:tc>
        <w:tc>
          <w:tcPr>
            <w:tcW w:w="2693" w:type="dxa"/>
            <w:gridSpan w:val="2"/>
            <w:tcBorders>
              <w:top w:val="outset" w:sz="6" w:space="0" w:color="auto"/>
              <w:left w:val="outset" w:sz="6" w:space="0" w:color="auto"/>
              <w:bottom w:val="outset" w:sz="6" w:space="0" w:color="auto"/>
            </w:tcBorders>
          </w:tcPr>
          <w:p w14:paraId="5BF1389E" w14:textId="4540716A"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lastRenderedPageBreak/>
              <w:t xml:space="preserve">Noteikumu projekta vienības neparedz stingrākas prasības kā šīs </w:t>
            </w:r>
            <w:r w:rsidRPr="00ED1B07">
              <w:rPr>
                <w:rFonts w:ascii="Times New Roman" w:hAnsi="Times New Roman"/>
                <w:sz w:val="24"/>
                <w:szCs w:val="24"/>
              </w:rPr>
              <w:lastRenderedPageBreak/>
              <w:t>tabulas A ailē minētās ES tiesību akta vienības.</w:t>
            </w:r>
          </w:p>
        </w:tc>
      </w:tr>
      <w:tr w:rsidR="0043113C" w:rsidRPr="00B84678" w14:paraId="0F199D09"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019A974A" w14:textId="61D834D0"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lastRenderedPageBreak/>
              <w:t>Komisijas Regulas Nr.717/2014 2.panta 2.punkts</w:t>
            </w:r>
          </w:p>
        </w:tc>
        <w:tc>
          <w:tcPr>
            <w:tcW w:w="2142" w:type="dxa"/>
            <w:gridSpan w:val="4"/>
            <w:tcBorders>
              <w:top w:val="outset" w:sz="6" w:space="0" w:color="auto"/>
              <w:left w:val="outset" w:sz="6" w:space="0" w:color="auto"/>
              <w:bottom w:val="outset" w:sz="6" w:space="0" w:color="auto"/>
              <w:right w:val="outset" w:sz="6" w:space="0" w:color="auto"/>
            </w:tcBorders>
          </w:tcPr>
          <w:p w14:paraId="22AA9780" w14:textId="5A212F2A"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 xml:space="preserve">Noteikumu projekta </w:t>
            </w:r>
            <w:r w:rsidR="00BE5CF9" w:rsidRPr="00ED1B07">
              <w:rPr>
                <w:rFonts w:ascii="Times New Roman" w:hAnsi="Times New Roman"/>
                <w:sz w:val="24"/>
                <w:szCs w:val="24"/>
              </w:rPr>
              <w:t>8</w:t>
            </w:r>
            <w:r w:rsidRPr="00ED1B07">
              <w:rPr>
                <w:rFonts w:ascii="Times New Roman" w:hAnsi="Times New Roman"/>
                <w:sz w:val="24"/>
                <w:szCs w:val="24"/>
              </w:rPr>
              <w:t>. punktā izteiktais noteikumu 11.6.</w:t>
            </w:r>
            <w:r w:rsidRPr="00ED1B07">
              <w:rPr>
                <w:rFonts w:ascii="Times New Roman" w:hAnsi="Times New Roman"/>
                <w:sz w:val="24"/>
                <w:szCs w:val="24"/>
                <w:vertAlign w:val="superscript"/>
              </w:rPr>
              <w:t>1</w:t>
            </w:r>
            <w:r w:rsidRPr="00ED1B07">
              <w:rPr>
                <w:rFonts w:ascii="Times New Roman" w:hAnsi="Times New Roman"/>
                <w:sz w:val="24"/>
                <w:szCs w:val="24"/>
              </w:rPr>
              <w:t>apakšpunkts</w:t>
            </w:r>
            <w:r w:rsidR="007A4701" w:rsidRPr="00ED1B07">
              <w:rPr>
                <w:rFonts w:ascii="Times New Roman" w:hAnsi="Times New Roman"/>
                <w:sz w:val="24"/>
                <w:szCs w:val="24"/>
              </w:rPr>
              <w:t xml:space="preserve"> </w:t>
            </w:r>
          </w:p>
        </w:tc>
        <w:tc>
          <w:tcPr>
            <w:tcW w:w="2677" w:type="dxa"/>
            <w:gridSpan w:val="3"/>
            <w:tcBorders>
              <w:top w:val="outset" w:sz="6" w:space="0" w:color="auto"/>
              <w:left w:val="outset" w:sz="6" w:space="0" w:color="auto"/>
              <w:bottom w:val="outset" w:sz="6" w:space="0" w:color="auto"/>
              <w:right w:val="outset" w:sz="6" w:space="0" w:color="auto"/>
            </w:tcBorders>
          </w:tcPr>
          <w:p w14:paraId="0582C406" w14:textId="183388A8"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Komisijas Regulas Nr.717/2014 prasības tiek ieviestas pilnībā.</w:t>
            </w:r>
          </w:p>
        </w:tc>
        <w:tc>
          <w:tcPr>
            <w:tcW w:w="2693" w:type="dxa"/>
            <w:gridSpan w:val="2"/>
            <w:tcBorders>
              <w:top w:val="outset" w:sz="6" w:space="0" w:color="auto"/>
              <w:left w:val="outset" w:sz="6" w:space="0" w:color="auto"/>
              <w:bottom w:val="outset" w:sz="6" w:space="0" w:color="auto"/>
            </w:tcBorders>
          </w:tcPr>
          <w:p w14:paraId="04A6D3D7" w14:textId="0D658827"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Noteikumu projekta vienības neparedz stingrākas prasības kā šīs tabulas A ailē minētās ES tiesību akta vienības.</w:t>
            </w:r>
          </w:p>
        </w:tc>
      </w:tr>
      <w:tr w:rsidR="0043113C" w:rsidRPr="0043113C" w14:paraId="3787D366"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40D0BF6A" w14:textId="7DFF1BFE"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Komisijas Regulas Nr. 717/2014 3.panta 2.punkts</w:t>
            </w:r>
          </w:p>
        </w:tc>
        <w:tc>
          <w:tcPr>
            <w:tcW w:w="2142" w:type="dxa"/>
            <w:gridSpan w:val="4"/>
            <w:tcBorders>
              <w:top w:val="outset" w:sz="6" w:space="0" w:color="auto"/>
              <w:left w:val="outset" w:sz="6" w:space="0" w:color="auto"/>
              <w:bottom w:val="outset" w:sz="6" w:space="0" w:color="auto"/>
              <w:right w:val="outset" w:sz="6" w:space="0" w:color="auto"/>
            </w:tcBorders>
          </w:tcPr>
          <w:p w14:paraId="234C2664" w14:textId="7C5493A6"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 xml:space="preserve">Noteikumu projekta </w:t>
            </w:r>
            <w:r w:rsidR="00BE5CF9" w:rsidRPr="00ED1B07">
              <w:rPr>
                <w:rFonts w:ascii="Times New Roman" w:hAnsi="Times New Roman"/>
                <w:sz w:val="24"/>
                <w:szCs w:val="24"/>
              </w:rPr>
              <w:t>8</w:t>
            </w:r>
            <w:r w:rsidRPr="00ED1B07">
              <w:rPr>
                <w:rFonts w:ascii="Times New Roman" w:hAnsi="Times New Roman"/>
                <w:sz w:val="24"/>
                <w:szCs w:val="24"/>
              </w:rPr>
              <w:t>. punktā izteiktais noteikumu 11.6.</w:t>
            </w:r>
            <w:r w:rsidRPr="00ED1B07">
              <w:rPr>
                <w:rFonts w:ascii="Times New Roman" w:hAnsi="Times New Roman"/>
                <w:sz w:val="24"/>
                <w:szCs w:val="24"/>
                <w:vertAlign w:val="superscript"/>
              </w:rPr>
              <w:t>1</w:t>
            </w:r>
            <w:r w:rsidRPr="00ED1B07">
              <w:rPr>
                <w:rFonts w:ascii="Times New Roman" w:hAnsi="Times New Roman"/>
                <w:sz w:val="24"/>
                <w:szCs w:val="24"/>
              </w:rPr>
              <w:t>apakšpunkts</w:t>
            </w:r>
            <w:r w:rsidR="00797F1C">
              <w:rPr>
                <w:rFonts w:ascii="Times New Roman" w:hAnsi="Times New Roman"/>
                <w:sz w:val="24"/>
                <w:szCs w:val="24"/>
              </w:rPr>
              <w:t xml:space="preserve"> un </w:t>
            </w:r>
            <w:r w:rsidR="00797F1C" w:rsidRPr="00ED1B07">
              <w:rPr>
                <w:rFonts w:ascii="Times New Roman" w:hAnsi="Times New Roman"/>
                <w:sz w:val="24"/>
                <w:szCs w:val="24"/>
              </w:rPr>
              <w:t>9.punktā izteiktais noteikumu 11.7.apakšpunkts</w:t>
            </w:r>
          </w:p>
        </w:tc>
        <w:tc>
          <w:tcPr>
            <w:tcW w:w="2677" w:type="dxa"/>
            <w:gridSpan w:val="3"/>
            <w:tcBorders>
              <w:top w:val="outset" w:sz="6" w:space="0" w:color="auto"/>
              <w:left w:val="outset" w:sz="6" w:space="0" w:color="auto"/>
              <w:bottom w:val="outset" w:sz="6" w:space="0" w:color="auto"/>
              <w:right w:val="outset" w:sz="6" w:space="0" w:color="auto"/>
            </w:tcBorders>
          </w:tcPr>
          <w:p w14:paraId="3B699ED9" w14:textId="4C7EB45B"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Komisijas Regulas Nr. 717/2014 prasības tiek ieviestas pilnībā.</w:t>
            </w:r>
          </w:p>
        </w:tc>
        <w:tc>
          <w:tcPr>
            <w:tcW w:w="2693" w:type="dxa"/>
            <w:gridSpan w:val="2"/>
            <w:tcBorders>
              <w:top w:val="outset" w:sz="6" w:space="0" w:color="auto"/>
              <w:left w:val="outset" w:sz="6" w:space="0" w:color="auto"/>
              <w:bottom w:val="outset" w:sz="6" w:space="0" w:color="auto"/>
            </w:tcBorders>
          </w:tcPr>
          <w:p w14:paraId="5DFFC079" w14:textId="082495B3"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Noteikumu projekta vienības neparedz stingrākas prasības kā šīs tabulas A ailē minētās ES tiesību akta vienības.</w:t>
            </w:r>
          </w:p>
        </w:tc>
      </w:tr>
      <w:tr w:rsidR="0043113C" w:rsidRPr="0043113C" w14:paraId="0FCB6DD7"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7A6DD443" w14:textId="21BA24DA"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Komisijas Regulas Nr. 702/2014 9.panta 5.punkts</w:t>
            </w:r>
          </w:p>
        </w:tc>
        <w:tc>
          <w:tcPr>
            <w:tcW w:w="2142" w:type="dxa"/>
            <w:gridSpan w:val="4"/>
            <w:tcBorders>
              <w:top w:val="outset" w:sz="6" w:space="0" w:color="auto"/>
              <w:left w:val="outset" w:sz="6" w:space="0" w:color="auto"/>
              <w:bottom w:val="outset" w:sz="6" w:space="0" w:color="auto"/>
              <w:right w:val="outset" w:sz="6" w:space="0" w:color="auto"/>
            </w:tcBorders>
          </w:tcPr>
          <w:p w14:paraId="6274F9B6" w14:textId="4F91E091"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Noteikumu projekta 1</w:t>
            </w:r>
            <w:r w:rsidR="00ED1B07" w:rsidRPr="00ED1B07">
              <w:rPr>
                <w:rFonts w:ascii="Times New Roman" w:hAnsi="Times New Roman"/>
                <w:sz w:val="24"/>
                <w:szCs w:val="24"/>
              </w:rPr>
              <w:t>4</w:t>
            </w:r>
            <w:r w:rsidRPr="00ED1B07">
              <w:rPr>
                <w:rFonts w:ascii="Times New Roman" w:hAnsi="Times New Roman"/>
                <w:sz w:val="24"/>
                <w:szCs w:val="24"/>
              </w:rPr>
              <w:t>. punktā izteiktais noteikumu 34.punkts</w:t>
            </w:r>
          </w:p>
        </w:tc>
        <w:tc>
          <w:tcPr>
            <w:tcW w:w="2677" w:type="dxa"/>
            <w:gridSpan w:val="3"/>
            <w:tcBorders>
              <w:top w:val="outset" w:sz="6" w:space="0" w:color="auto"/>
              <w:left w:val="outset" w:sz="6" w:space="0" w:color="auto"/>
              <w:bottom w:val="outset" w:sz="6" w:space="0" w:color="auto"/>
              <w:right w:val="outset" w:sz="6" w:space="0" w:color="auto"/>
            </w:tcBorders>
          </w:tcPr>
          <w:p w14:paraId="3C9CA032" w14:textId="5AF1C6D1"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Komisijas Regulas Nr. 702/2014 prasības tiek ieviestas pilnībā.</w:t>
            </w:r>
          </w:p>
        </w:tc>
        <w:tc>
          <w:tcPr>
            <w:tcW w:w="2693" w:type="dxa"/>
            <w:gridSpan w:val="2"/>
            <w:tcBorders>
              <w:top w:val="outset" w:sz="6" w:space="0" w:color="auto"/>
              <w:left w:val="outset" w:sz="6" w:space="0" w:color="auto"/>
              <w:bottom w:val="outset" w:sz="6" w:space="0" w:color="auto"/>
            </w:tcBorders>
          </w:tcPr>
          <w:p w14:paraId="5FBA7946" w14:textId="2C53B1B1"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Noteikumu projekta vienības neparedz stingrākas prasības kā šīs tabulas A ailē minētās ES tiesību akta vienības.</w:t>
            </w:r>
          </w:p>
        </w:tc>
      </w:tr>
      <w:tr w:rsidR="0043113C" w:rsidRPr="00B84678" w14:paraId="5F0CA45F"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2F5FFEA0" w14:textId="3E654829"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Komisijas Regulas Nr. 702/2014 I pielikums</w:t>
            </w:r>
          </w:p>
        </w:tc>
        <w:tc>
          <w:tcPr>
            <w:tcW w:w="2142" w:type="dxa"/>
            <w:gridSpan w:val="4"/>
            <w:tcBorders>
              <w:top w:val="outset" w:sz="6" w:space="0" w:color="auto"/>
              <w:left w:val="outset" w:sz="6" w:space="0" w:color="auto"/>
              <w:bottom w:val="outset" w:sz="6" w:space="0" w:color="auto"/>
              <w:right w:val="outset" w:sz="6" w:space="0" w:color="auto"/>
            </w:tcBorders>
          </w:tcPr>
          <w:p w14:paraId="10B80DC1" w14:textId="45B39019"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Noteikumu projekta 1</w:t>
            </w:r>
            <w:r w:rsidR="00ED1B07" w:rsidRPr="00ED1B07">
              <w:rPr>
                <w:rFonts w:ascii="Times New Roman" w:hAnsi="Times New Roman"/>
                <w:sz w:val="24"/>
                <w:szCs w:val="24"/>
              </w:rPr>
              <w:t>4</w:t>
            </w:r>
            <w:r w:rsidRPr="00ED1B07">
              <w:rPr>
                <w:rFonts w:ascii="Times New Roman" w:hAnsi="Times New Roman"/>
                <w:sz w:val="24"/>
                <w:szCs w:val="24"/>
              </w:rPr>
              <w:t>. punktā izteiktais noteikumu 34.punkts un noteikumu 1</w:t>
            </w:r>
            <w:r w:rsidR="00ED1B07" w:rsidRPr="00ED1B07">
              <w:rPr>
                <w:rFonts w:ascii="Times New Roman" w:hAnsi="Times New Roman"/>
                <w:sz w:val="24"/>
                <w:szCs w:val="24"/>
              </w:rPr>
              <w:t>5</w:t>
            </w:r>
            <w:r w:rsidRPr="00ED1B07">
              <w:rPr>
                <w:rFonts w:ascii="Times New Roman" w:hAnsi="Times New Roman"/>
                <w:sz w:val="24"/>
                <w:szCs w:val="24"/>
              </w:rPr>
              <w:t>.punktā izteiktais noteikumu 34.</w:t>
            </w:r>
            <w:r w:rsidRPr="00ED1B07">
              <w:rPr>
                <w:rFonts w:ascii="Times New Roman" w:hAnsi="Times New Roman"/>
                <w:sz w:val="24"/>
                <w:szCs w:val="24"/>
                <w:vertAlign w:val="superscript"/>
              </w:rPr>
              <w:t>1</w:t>
            </w:r>
            <w:r w:rsidR="002938B5" w:rsidRPr="00ED1B07">
              <w:rPr>
                <w:rFonts w:ascii="Times New Roman" w:hAnsi="Times New Roman"/>
                <w:sz w:val="24"/>
                <w:szCs w:val="24"/>
                <w:vertAlign w:val="superscript"/>
              </w:rPr>
              <w:t> </w:t>
            </w:r>
            <w:r w:rsidRPr="00ED1B07">
              <w:rPr>
                <w:rFonts w:ascii="Times New Roman" w:hAnsi="Times New Roman"/>
                <w:sz w:val="24"/>
                <w:szCs w:val="24"/>
              </w:rPr>
              <w:t>punkts</w:t>
            </w:r>
          </w:p>
        </w:tc>
        <w:tc>
          <w:tcPr>
            <w:tcW w:w="2677" w:type="dxa"/>
            <w:gridSpan w:val="3"/>
            <w:tcBorders>
              <w:top w:val="outset" w:sz="6" w:space="0" w:color="auto"/>
              <w:left w:val="outset" w:sz="6" w:space="0" w:color="auto"/>
              <w:bottom w:val="outset" w:sz="6" w:space="0" w:color="auto"/>
              <w:right w:val="outset" w:sz="6" w:space="0" w:color="auto"/>
            </w:tcBorders>
          </w:tcPr>
          <w:p w14:paraId="7FF45F7B" w14:textId="450B263F"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Komisijas Regulas Nr. 702/2014 prasības tiek ieviestas pilnībā.</w:t>
            </w:r>
          </w:p>
        </w:tc>
        <w:tc>
          <w:tcPr>
            <w:tcW w:w="2693" w:type="dxa"/>
            <w:gridSpan w:val="2"/>
            <w:tcBorders>
              <w:top w:val="outset" w:sz="6" w:space="0" w:color="auto"/>
              <w:left w:val="outset" w:sz="6" w:space="0" w:color="auto"/>
              <w:bottom w:val="outset" w:sz="6" w:space="0" w:color="auto"/>
            </w:tcBorders>
          </w:tcPr>
          <w:p w14:paraId="5CFFDEA1" w14:textId="57C72191" w:rsidR="0043113C" w:rsidRPr="00ED1B07" w:rsidRDefault="0043113C" w:rsidP="00BC7E31">
            <w:pPr>
              <w:ind w:left="57" w:right="57"/>
              <w:rPr>
                <w:rFonts w:ascii="Times New Roman" w:hAnsi="Times New Roman"/>
                <w:sz w:val="24"/>
                <w:szCs w:val="24"/>
              </w:rPr>
            </w:pPr>
            <w:r w:rsidRPr="00ED1B07">
              <w:rPr>
                <w:rFonts w:ascii="Times New Roman" w:hAnsi="Times New Roman"/>
                <w:sz w:val="24"/>
                <w:szCs w:val="24"/>
              </w:rPr>
              <w:t>Noteikumu projekta vienības neparedz stingrākas prasības kā šīs tabulas A ailē minētās ES tiesību akta vienības.</w:t>
            </w:r>
          </w:p>
        </w:tc>
      </w:tr>
      <w:tr w:rsidR="0043113C" w:rsidRPr="00B84678" w14:paraId="03291B5C"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6291B45A" w14:textId="7ECB9FE9"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t xml:space="preserve">Komisijas Regulas Nr.1407/2013 1.panta </w:t>
            </w:r>
            <w:r>
              <w:rPr>
                <w:rFonts w:ascii="Times New Roman" w:hAnsi="Times New Roman"/>
                <w:sz w:val="24"/>
                <w:szCs w:val="24"/>
              </w:rPr>
              <w:t>2</w:t>
            </w:r>
            <w:r w:rsidRPr="0043113C">
              <w:rPr>
                <w:rFonts w:ascii="Times New Roman" w:hAnsi="Times New Roman"/>
                <w:sz w:val="24"/>
                <w:szCs w:val="24"/>
              </w:rPr>
              <w:t>.punkts</w:t>
            </w:r>
          </w:p>
        </w:tc>
        <w:tc>
          <w:tcPr>
            <w:tcW w:w="2142" w:type="dxa"/>
            <w:gridSpan w:val="4"/>
            <w:tcBorders>
              <w:top w:val="outset" w:sz="6" w:space="0" w:color="auto"/>
              <w:left w:val="outset" w:sz="6" w:space="0" w:color="auto"/>
              <w:bottom w:val="outset" w:sz="6" w:space="0" w:color="auto"/>
              <w:right w:val="outset" w:sz="6" w:space="0" w:color="auto"/>
            </w:tcBorders>
          </w:tcPr>
          <w:p w14:paraId="0AC0C780" w14:textId="372FC24B"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t xml:space="preserve">Noteikumu projekta </w:t>
            </w:r>
            <w:r>
              <w:rPr>
                <w:rFonts w:ascii="Times New Roman" w:hAnsi="Times New Roman"/>
                <w:sz w:val="24"/>
                <w:szCs w:val="24"/>
              </w:rPr>
              <w:t>1</w:t>
            </w:r>
            <w:r w:rsidR="00ED1B07">
              <w:rPr>
                <w:rFonts w:ascii="Times New Roman" w:hAnsi="Times New Roman"/>
                <w:sz w:val="24"/>
                <w:szCs w:val="24"/>
              </w:rPr>
              <w:t>5</w:t>
            </w:r>
            <w:r w:rsidRPr="0043113C">
              <w:rPr>
                <w:rFonts w:ascii="Times New Roman" w:hAnsi="Times New Roman"/>
                <w:sz w:val="24"/>
                <w:szCs w:val="24"/>
              </w:rPr>
              <w:t xml:space="preserve">. punktā </w:t>
            </w:r>
            <w:r>
              <w:rPr>
                <w:rFonts w:ascii="Times New Roman" w:hAnsi="Times New Roman"/>
                <w:sz w:val="24"/>
                <w:szCs w:val="24"/>
              </w:rPr>
              <w:t>izteiktais noteikumu 34.</w:t>
            </w:r>
            <w:r>
              <w:rPr>
                <w:rFonts w:ascii="Times New Roman" w:hAnsi="Times New Roman"/>
                <w:sz w:val="24"/>
                <w:szCs w:val="24"/>
                <w:vertAlign w:val="superscript"/>
              </w:rPr>
              <w:t>1</w:t>
            </w:r>
            <w:r>
              <w:rPr>
                <w:rFonts w:ascii="Times New Roman" w:hAnsi="Times New Roman"/>
                <w:sz w:val="24"/>
                <w:szCs w:val="24"/>
              </w:rPr>
              <w:t xml:space="preserve">punkts un noteikumu </w:t>
            </w:r>
            <w:r w:rsidR="00C56796">
              <w:rPr>
                <w:rFonts w:ascii="Times New Roman" w:hAnsi="Times New Roman"/>
                <w:sz w:val="24"/>
                <w:szCs w:val="24"/>
              </w:rPr>
              <w:t xml:space="preserve">16.punkta </w:t>
            </w:r>
            <w:r>
              <w:rPr>
                <w:rFonts w:ascii="Times New Roman" w:hAnsi="Times New Roman"/>
                <w:sz w:val="24"/>
                <w:szCs w:val="24"/>
              </w:rPr>
              <w:t>34.</w:t>
            </w:r>
            <w:r>
              <w:rPr>
                <w:rFonts w:ascii="Times New Roman" w:hAnsi="Times New Roman"/>
                <w:sz w:val="24"/>
                <w:szCs w:val="24"/>
                <w:vertAlign w:val="superscript"/>
              </w:rPr>
              <w:t>2</w:t>
            </w:r>
            <w:r>
              <w:rPr>
                <w:rFonts w:ascii="Times New Roman" w:hAnsi="Times New Roman"/>
                <w:sz w:val="24"/>
                <w:szCs w:val="24"/>
              </w:rPr>
              <w:t>punkts</w:t>
            </w:r>
          </w:p>
        </w:tc>
        <w:tc>
          <w:tcPr>
            <w:tcW w:w="2677" w:type="dxa"/>
            <w:gridSpan w:val="3"/>
            <w:tcBorders>
              <w:top w:val="outset" w:sz="6" w:space="0" w:color="auto"/>
              <w:left w:val="outset" w:sz="6" w:space="0" w:color="auto"/>
              <w:bottom w:val="outset" w:sz="6" w:space="0" w:color="auto"/>
              <w:right w:val="outset" w:sz="6" w:space="0" w:color="auto"/>
            </w:tcBorders>
          </w:tcPr>
          <w:p w14:paraId="20B23512" w14:textId="4B6F7A9B"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t>Komisijas Regulas Nr.1407/2013 prasības tiek ieviestas pilnībā.</w:t>
            </w:r>
          </w:p>
        </w:tc>
        <w:tc>
          <w:tcPr>
            <w:tcW w:w="2693" w:type="dxa"/>
            <w:gridSpan w:val="2"/>
            <w:tcBorders>
              <w:top w:val="outset" w:sz="6" w:space="0" w:color="auto"/>
              <w:left w:val="outset" w:sz="6" w:space="0" w:color="auto"/>
              <w:bottom w:val="outset" w:sz="6" w:space="0" w:color="auto"/>
            </w:tcBorders>
          </w:tcPr>
          <w:p w14:paraId="6FAAB686" w14:textId="0EBF7463"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t>Noteikumu projekta vienības neparedz stingrākas prasības kā šīs tabulas A ailē minētās ES tiesību akta vienības.</w:t>
            </w:r>
          </w:p>
        </w:tc>
      </w:tr>
      <w:tr w:rsidR="0056482A" w:rsidRPr="00B84678" w14:paraId="504F809E"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2CC0736F" w14:textId="17F76EBA" w:rsidR="0056482A" w:rsidRPr="0043113C" w:rsidRDefault="0056482A" w:rsidP="00BC7E31">
            <w:pPr>
              <w:ind w:left="57" w:right="57"/>
              <w:rPr>
                <w:rFonts w:ascii="Times New Roman" w:hAnsi="Times New Roman"/>
                <w:sz w:val="24"/>
                <w:szCs w:val="24"/>
              </w:rPr>
            </w:pPr>
            <w:r w:rsidRPr="0043113C">
              <w:rPr>
                <w:rFonts w:ascii="Times New Roman" w:hAnsi="Times New Roman"/>
                <w:sz w:val="24"/>
                <w:szCs w:val="24"/>
              </w:rPr>
              <w:t xml:space="preserve">Komisijas Regulas Nr.1407/2013 1.panta </w:t>
            </w:r>
            <w:r>
              <w:rPr>
                <w:rFonts w:ascii="Times New Roman" w:hAnsi="Times New Roman"/>
                <w:sz w:val="24"/>
                <w:szCs w:val="24"/>
              </w:rPr>
              <w:t>2</w:t>
            </w:r>
            <w:r w:rsidRPr="0043113C">
              <w:rPr>
                <w:rFonts w:ascii="Times New Roman" w:hAnsi="Times New Roman"/>
                <w:sz w:val="24"/>
                <w:szCs w:val="24"/>
              </w:rPr>
              <w:t>.punkts</w:t>
            </w:r>
          </w:p>
        </w:tc>
        <w:tc>
          <w:tcPr>
            <w:tcW w:w="2142" w:type="dxa"/>
            <w:gridSpan w:val="4"/>
            <w:tcBorders>
              <w:top w:val="outset" w:sz="6" w:space="0" w:color="auto"/>
              <w:left w:val="outset" w:sz="6" w:space="0" w:color="auto"/>
              <w:bottom w:val="outset" w:sz="6" w:space="0" w:color="auto"/>
              <w:right w:val="outset" w:sz="6" w:space="0" w:color="auto"/>
            </w:tcBorders>
          </w:tcPr>
          <w:p w14:paraId="6E192D6E" w14:textId="016FD66D" w:rsidR="0056482A" w:rsidRPr="0043113C" w:rsidRDefault="0056482A" w:rsidP="00BC7E31">
            <w:pPr>
              <w:ind w:left="57" w:right="57"/>
              <w:rPr>
                <w:rFonts w:ascii="Times New Roman" w:hAnsi="Times New Roman"/>
                <w:sz w:val="24"/>
                <w:szCs w:val="24"/>
              </w:rPr>
            </w:pPr>
            <w:r w:rsidRPr="0056482A">
              <w:rPr>
                <w:rFonts w:ascii="Times New Roman" w:hAnsi="Times New Roman"/>
                <w:sz w:val="24"/>
                <w:szCs w:val="24"/>
              </w:rPr>
              <w:t>Noteikumu projekta 1</w:t>
            </w:r>
            <w:r w:rsidR="00ED1B07">
              <w:rPr>
                <w:rFonts w:ascii="Times New Roman" w:hAnsi="Times New Roman"/>
                <w:sz w:val="24"/>
                <w:szCs w:val="24"/>
              </w:rPr>
              <w:t>7</w:t>
            </w:r>
            <w:r w:rsidRPr="0056482A">
              <w:rPr>
                <w:rFonts w:ascii="Times New Roman" w:hAnsi="Times New Roman"/>
                <w:sz w:val="24"/>
                <w:szCs w:val="24"/>
              </w:rPr>
              <w:t xml:space="preserve">. punktā izteiktais noteikumu </w:t>
            </w:r>
            <w:r w:rsidRPr="0056482A">
              <w:rPr>
                <w:rFonts w:ascii="Times New Roman" w:hAnsi="Times New Roman"/>
                <w:sz w:val="24"/>
                <w:szCs w:val="24"/>
              </w:rPr>
              <w:lastRenderedPageBreak/>
              <w:t>34.</w:t>
            </w:r>
            <w:r w:rsidRPr="00BE5CF9">
              <w:rPr>
                <w:rFonts w:ascii="Times New Roman" w:hAnsi="Times New Roman"/>
                <w:sz w:val="24"/>
                <w:szCs w:val="24"/>
                <w:vertAlign w:val="superscript"/>
              </w:rPr>
              <w:t>3</w:t>
            </w:r>
            <w:r w:rsidRPr="0056482A">
              <w:rPr>
                <w:rFonts w:ascii="Times New Roman" w:hAnsi="Times New Roman"/>
                <w:sz w:val="24"/>
                <w:szCs w:val="24"/>
              </w:rPr>
              <w:t>punkts</w:t>
            </w:r>
          </w:p>
        </w:tc>
        <w:tc>
          <w:tcPr>
            <w:tcW w:w="2677" w:type="dxa"/>
            <w:gridSpan w:val="3"/>
            <w:tcBorders>
              <w:top w:val="outset" w:sz="6" w:space="0" w:color="auto"/>
              <w:left w:val="outset" w:sz="6" w:space="0" w:color="auto"/>
              <w:bottom w:val="outset" w:sz="6" w:space="0" w:color="auto"/>
              <w:right w:val="outset" w:sz="6" w:space="0" w:color="auto"/>
            </w:tcBorders>
          </w:tcPr>
          <w:p w14:paraId="56F0D96F" w14:textId="4DAC3CC1" w:rsidR="0056482A" w:rsidRPr="0043113C" w:rsidRDefault="0056482A" w:rsidP="00BC7E31">
            <w:pPr>
              <w:ind w:left="57" w:right="57"/>
              <w:rPr>
                <w:rFonts w:ascii="Times New Roman" w:hAnsi="Times New Roman"/>
                <w:sz w:val="24"/>
                <w:szCs w:val="24"/>
              </w:rPr>
            </w:pPr>
            <w:r w:rsidRPr="0056482A">
              <w:rPr>
                <w:rFonts w:ascii="Times New Roman" w:hAnsi="Times New Roman"/>
                <w:sz w:val="24"/>
                <w:szCs w:val="24"/>
              </w:rPr>
              <w:lastRenderedPageBreak/>
              <w:t xml:space="preserve">Komisijas Regulas Nr. </w:t>
            </w:r>
            <w:r>
              <w:rPr>
                <w:rFonts w:ascii="Times New Roman" w:hAnsi="Times New Roman"/>
                <w:sz w:val="24"/>
                <w:szCs w:val="24"/>
              </w:rPr>
              <w:t>1407/2014</w:t>
            </w:r>
            <w:r w:rsidRPr="0056482A">
              <w:rPr>
                <w:rFonts w:ascii="Times New Roman" w:hAnsi="Times New Roman"/>
                <w:sz w:val="24"/>
                <w:szCs w:val="24"/>
              </w:rPr>
              <w:t xml:space="preserve"> prasības tiek ieviestas pilnībā.</w:t>
            </w:r>
          </w:p>
        </w:tc>
        <w:tc>
          <w:tcPr>
            <w:tcW w:w="2693" w:type="dxa"/>
            <w:gridSpan w:val="2"/>
            <w:tcBorders>
              <w:top w:val="outset" w:sz="6" w:space="0" w:color="auto"/>
              <w:left w:val="outset" w:sz="6" w:space="0" w:color="auto"/>
              <w:bottom w:val="outset" w:sz="6" w:space="0" w:color="auto"/>
            </w:tcBorders>
          </w:tcPr>
          <w:p w14:paraId="70D2568E" w14:textId="6FD66A06" w:rsidR="0056482A" w:rsidRPr="0043113C" w:rsidRDefault="0056482A" w:rsidP="00BC7E31">
            <w:pPr>
              <w:ind w:left="57" w:right="57"/>
              <w:rPr>
                <w:rFonts w:ascii="Times New Roman" w:hAnsi="Times New Roman"/>
                <w:sz w:val="24"/>
                <w:szCs w:val="24"/>
              </w:rPr>
            </w:pPr>
            <w:r w:rsidRPr="0056482A">
              <w:rPr>
                <w:rFonts w:ascii="Times New Roman" w:hAnsi="Times New Roman"/>
                <w:sz w:val="24"/>
                <w:szCs w:val="24"/>
              </w:rPr>
              <w:t xml:space="preserve">Noteikumu projekta vienības neparedz stingrākas prasības kā šīs tabulas A ailē minētās ES </w:t>
            </w:r>
            <w:r w:rsidRPr="0056482A">
              <w:rPr>
                <w:rFonts w:ascii="Times New Roman" w:hAnsi="Times New Roman"/>
                <w:sz w:val="24"/>
                <w:szCs w:val="24"/>
              </w:rPr>
              <w:lastRenderedPageBreak/>
              <w:t>tiesību akta vienības.</w:t>
            </w:r>
          </w:p>
        </w:tc>
      </w:tr>
      <w:tr w:rsidR="0043113C" w:rsidRPr="00B84678" w14:paraId="146DC726"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7B1DCB69" w14:textId="49DC1CE1"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lastRenderedPageBreak/>
              <w:t xml:space="preserve">Komisijas Regulas Nr. 717/2014 </w:t>
            </w:r>
            <w:r>
              <w:rPr>
                <w:rFonts w:ascii="Times New Roman" w:hAnsi="Times New Roman"/>
                <w:sz w:val="24"/>
                <w:szCs w:val="24"/>
              </w:rPr>
              <w:t>1</w:t>
            </w:r>
            <w:r w:rsidRPr="0043113C">
              <w:rPr>
                <w:rFonts w:ascii="Times New Roman" w:hAnsi="Times New Roman"/>
                <w:sz w:val="24"/>
                <w:szCs w:val="24"/>
              </w:rPr>
              <w:t>.panta 2.</w:t>
            </w:r>
            <w:r>
              <w:rPr>
                <w:rFonts w:ascii="Times New Roman" w:hAnsi="Times New Roman"/>
                <w:sz w:val="24"/>
                <w:szCs w:val="24"/>
              </w:rPr>
              <w:t xml:space="preserve"> un 3.</w:t>
            </w:r>
            <w:r w:rsidRPr="0043113C">
              <w:rPr>
                <w:rFonts w:ascii="Times New Roman" w:hAnsi="Times New Roman"/>
                <w:sz w:val="24"/>
                <w:szCs w:val="24"/>
              </w:rPr>
              <w:t>punkts</w:t>
            </w:r>
          </w:p>
        </w:tc>
        <w:tc>
          <w:tcPr>
            <w:tcW w:w="2142" w:type="dxa"/>
            <w:gridSpan w:val="4"/>
            <w:tcBorders>
              <w:top w:val="outset" w:sz="6" w:space="0" w:color="auto"/>
              <w:left w:val="outset" w:sz="6" w:space="0" w:color="auto"/>
              <w:bottom w:val="outset" w:sz="6" w:space="0" w:color="auto"/>
              <w:right w:val="outset" w:sz="6" w:space="0" w:color="auto"/>
            </w:tcBorders>
          </w:tcPr>
          <w:p w14:paraId="41116C79" w14:textId="1F7CD88D"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t xml:space="preserve">Noteikumu projekta </w:t>
            </w:r>
            <w:r>
              <w:rPr>
                <w:rFonts w:ascii="Times New Roman" w:hAnsi="Times New Roman"/>
                <w:sz w:val="24"/>
                <w:szCs w:val="24"/>
              </w:rPr>
              <w:t>1</w:t>
            </w:r>
            <w:r w:rsidR="00ED1B07">
              <w:rPr>
                <w:rFonts w:ascii="Times New Roman" w:hAnsi="Times New Roman"/>
                <w:sz w:val="24"/>
                <w:szCs w:val="24"/>
              </w:rPr>
              <w:t>7</w:t>
            </w:r>
            <w:r w:rsidRPr="0043113C">
              <w:rPr>
                <w:rFonts w:ascii="Times New Roman" w:hAnsi="Times New Roman"/>
                <w:sz w:val="24"/>
                <w:szCs w:val="24"/>
              </w:rPr>
              <w:t xml:space="preserve">. punktā izteiktais noteikumu </w:t>
            </w:r>
            <w:r>
              <w:rPr>
                <w:rFonts w:ascii="Times New Roman" w:hAnsi="Times New Roman"/>
                <w:sz w:val="24"/>
                <w:szCs w:val="24"/>
              </w:rPr>
              <w:t>34.</w:t>
            </w:r>
            <w:r>
              <w:rPr>
                <w:rFonts w:ascii="Times New Roman" w:hAnsi="Times New Roman"/>
                <w:sz w:val="24"/>
                <w:szCs w:val="24"/>
                <w:vertAlign w:val="superscript"/>
              </w:rPr>
              <w:t>3</w:t>
            </w:r>
            <w:r>
              <w:rPr>
                <w:rFonts w:ascii="Times New Roman" w:hAnsi="Times New Roman"/>
                <w:sz w:val="24"/>
                <w:szCs w:val="24"/>
              </w:rPr>
              <w:t>punkts</w:t>
            </w:r>
          </w:p>
        </w:tc>
        <w:tc>
          <w:tcPr>
            <w:tcW w:w="2677" w:type="dxa"/>
            <w:gridSpan w:val="3"/>
            <w:tcBorders>
              <w:top w:val="outset" w:sz="6" w:space="0" w:color="auto"/>
              <w:left w:val="outset" w:sz="6" w:space="0" w:color="auto"/>
              <w:bottom w:val="outset" w:sz="6" w:space="0" w:color="auto"/>
              <w:right w:val="outset" w:sz="6" w:space="0" w:color="auto"/>
            </w:tcBorders>
          </w:tcPr>
          <w:p w14:paraId="547B40A3" w14:textId="146AD4F1"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t>Komisijas Regulas Nr. 717/2014 prasības tiek ieviestas pilnībā.</w:t>
            </w:r>
          </w:p>
        </w:tc>
        <w:tc>
          <w:tcPr>
            <w:tcW w:w="2693" w:type="dxa"/>
            <w:gridSpan w:val="2"/>
            <w:tcBorders>
              <w:top w:val="outset" w:sz="6" w:space="0" w:color="auto"/>
              <w:left w:val="outset" w:sz="6" w:space="0" w:color="auto"/>
              <w:bottom w:val="outset" w:sz="6" w:space="0" w:color="auto"/>
            </w:tcBorders>
          </w:tcPr>
          <w:p w14:paraId="176B8F86" w14:textId="6177E19D"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t>Noteikumu projekta vienības neparedz stingrākas prasības kā šīs tabulas A ailē minētās ES tiesību akta vienības.</w:t>
            </w:r>
          </w:p>
        </w:tc>
      </w:tr>
      <w:tr w:rsidR="00427E50" w:rsidRPr="00B84678" w14:paraId="71C05853"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513552D8" w14:textId="2BB9B31C" w:rsidR="00427E50" w:rsidRPr="0043113C" w:rsidRDefault="00427E50" w:rsidP="00BC7E31">
            <w:pPr>
              <w:ind w:left="57" w:right="57"/>
              <w:rPr>
                <w:rFonts w:ascii="Times New Roman" w:hAnsi="Times New Roman"/>
                <w:sz w:val="24"/>
                <w:szCs w:val="24"/>
              </w:rPr>
            </w:pPr>
            <w:r w:rsidRPr="00427E50">
              <w:rPr>
                <w:rFonts w:ascii="Times New Roman" w:hAnsi="Times New Roman"/>
                <w:sz w:val="24"/>
                <w:szCs w:val="24"/>
              </w:rPr>
              <w:t>Padomes Regulas Nr.</w:t>
            </w:r>
            <w:r>
              <w:rPr>
                <w:rFonts w:ascii="Times New Roman" w:hAnsi="Times New Roman"/>
                <w:sz w:val="24"/>
                <w:szCs w:val="24"/>
              </w:rPr>
              <w:t>1305</w:t>
            </w:r>
            <w:r w:rsidRPr="00427E50">
              <w:rPr>
                <w:rFonts w:ascii="Times New Roman" w:hAnsi="Times New Roman"/>
                <w:sz w:val="24"/>
                <w:szCs w:val="24"/>
              </w:rPr>
              <w:t>/201</w:t>
            </w:r>
            <w:r>
              <w:rPr>
                <w:rFonts w:ascii="Times New Roman" w:hAnsi="Times New Roman"/>
                <w:sz w:val="24"/>
                <w:szCs w:val="24"/>
              </w:rPr>
              <w:t>3</w:t>
            </w:r>
            <w:r w:rsidRPr="00427E50">
              <w:rPr>
                <w:rFonts w:ascii="Times New Roman" w:hAnsi="Times New Roman"/>
                <w:sz w:val="24"/>
                <w:szCs w:val="24"/>
              </w:rPr>
              <w:t xml:space="preserve"> </w:t>
            </w:r>
            <w:r w:rsidRPr="007A7182">
              <w:rPr>
                <w:rFonts w:ascii="Times New Roman" w:hAnsi="Times New Roman"/>
                <w:sz w:val="24"/>
                <w:szCs w:val="24"/>
              </w:rPr>
              <w:t>17.panta 3.punkts</w:t>
            </w:r>
          </w:p>
        </w:tc>
        <w:tc>
          <w:tcPr>
            <w:tcW w:w="2142" w:type="dxa"/>
            <w:gridSpan w:val="4"/>
            <w:tcBorders>
              <w:top w:val="outset" w:sz="6" w:space="0" w:color="auto"/>
              <w:left w:val="outset" w:sz="6" w:space="0" w:color="auto"/>
              <w:bottom w:val="outset" w:sz="6" w:space="0" w:color="auto"/>
              <w:right w:val="outset" w:sz="6" w:space="0" w:color="auto"/>
            </w:tcBorders>
          </w:tcPr>
          <w:p w14:paraId="05B81771" w14:textId="1EE269FF" w:rsidR="00427E50" w:rsidRPr="0043113C" w:rsidRDefault="00427E50" w:rsidP="00BC7E31">
            <w:pPr>
              <w:ind w:left="57" w:right="57"/>
              <w:rPr>
                <w:rFonts w:ascii="Times New Roman" w:hAnsi="Times New Roman"/>
                <w:sz w:val="24"/>
                <w:szCs w:val="24"/>
              </w:rPr>
            </w:pPr>
            <w:r w:rsidRPr="00427E50">
              <w:rPr>
                <w:rFonts w:ascii="Times New Roman" w:hAnsi="Times New Roman"/>
                <w:sz w:val="24"/>
                <w:szCs w:val="24"/>
              </w:rPr>
              <w:t xml:space="preserve">Noteikumu projekta </w:t>
            </w:r>
            <w:r w:rsidR="00ED1B07">
              <w:rPr>
                <w:rFonts w:ascii="Times New Roman" w:hAnsi="Times New Roman"/>
                <w:sz w:val="24"/>
                <w:szCs w:val="24"/>
              </w:rPr>
              <w:t>20</w:t>
            </w:r>
            <w:r w:rsidRPr="00427E50">
              <w:rPr>
                <w:rFonts w:ascii="Times New Roman" w:hAnsi="Times New Roman"/>
                <w:sz w:val="24"/>
                <w:szCs w:val="24"/>
              </w:rPr>
              <w:t>. punktā izteiktais noteikumu 37.</w:t>
            </w:r>
            <w:r>
              <w:rPr>
                <w:rFonts w:ascii="Times New Roman" w:hAnsi="Times New Roman"/>
                <w:sz w:val="24"/>
                <w:szCs w:val="24"/>
              </w:rPr>
              <w:t>1</w:t>
            </w:r>
            <w:r w:rsidRPr="00427E50">
              <w:rPr>
                <w:rFonts w:ascii="Times New Roman" w:hAnsi="Times New Roman"/>
                <w:sz w:val="24"/>
                <w:szCs w:val="24"/>
              </w:rPr>
              <w:t xml:space="preserve">.apakšpunkts </w:t>
            </w:r>
          </w:p>
        </w:tc>
        <w:tc>
          <w:tcPr>
            <w:tcW w:w="2677" w:type="dxa"/>
            <w:gridSpan w:val="3"/>
            <w:tcBorders>
              <w:top w:val="outset" w:sz="6" w:space="0" w:color="auto"/>
              <w:left w:val="outset" w:sz="6" w:space="0" w:color="auto"/>
              <w:bottom w:val="outset" w:sz="6" w:space="0" w:color="auto"/>
              <w:right w:val="outset" w:sz="6" w:space="0" w:color="auto"/>
            </w:tcBorders>
          </w:tcPr>
          <w:p w14:paraId="0267FDE8" w14:textId="437EF560" w:rsidR="00427E50" w:rsidRPr="0043113C" w:rsidRDefault="00427E50" w:rsidP="00BC7E31">
            <w:pPr>
              <w:ind w:left="57" w:right="57"/>
              <w:rPr>
                <w:rFonts w:ascii="Times New Roman" w:hAnsi="Times New Roman"/>
                <w:sz w:val="24"/>
                <w:szCs w:val="24"/>
              </w:rPr>
            </w:pPr>
            <w:r w:rsidRPr="00427E50">
              <w:rPr>
                <w:rFonts w:ascii="Times New Roman" w:hAnsi="Times New Roman"/>
                <w:sz w:val="24"/>
                <w:szCs w:val="24"/>
              </w:rPr>
              <w:t xml:space="preserve">Komisijas Regulas Nr. </w:t>
            </w:r>
            <w:r>
              <w:rPr>
                <w:rFonts w:ascii="Times New Roman" w:hAnsi="Times New Roman"/>
                <w:sz w:val="24"/>
                <w:szCs w:val="24"/>
              </w:rPr>
              <w:t>1305</w:t>
            </w:r>
            <w:r w:rsidRPr="00427E50">
              <w:rPr>
                <w:rFonts w:ascii="Times New Roman" w:hAnsi="Times New Roman"/>
                <w:sz w:val="24"/>
                <w:szCs w:val="24"/>
              </w:rPr>
              <w:t>/201</w:t>
            </w:r>
            <w:r>
              <w:rPr>
                <w:rFonts w:ascii="Times New Roman" w:hAnsi="Times New Roman"/>
                <w:sz w:val="24"/>
                <w:szCs w:val="24"/>
              </w:rPr>
              <w:t>3</w:t>
            </w:r>
            <w:r w:rsidRPr="00427E50">
              <w:rPr>
                <w:rFonts w:ascii="Times New Roman" w:hAnsi="Times New Roman"/>
                <w:sz w:val="24"/>
                <w:szCs w:val="24"/>
              </w:rPr>
              <w:t xml:space="preserve"> prasības tiek ieviestas pilnībā.</w:t>
            </w:r>
          </w:p>
        </w:tc>
        <w:tc>
          <w:tcPr>
            <w:tcW w:w="2693" w:type="dxa"/>
            <w:gridSpan w:val="2"/>
            <w:tcBorders>
              <w:top w:val="outset" w:sz="6" w:space="0" w:color="auto"/>
              <w:left w:val="outset" w:sz="6" w:space="0" w:color="auto"/>
              <w:bottom w:val="outset" w:sz="6" w:space="0" w:color="auto"/>
            </w:tcBorders>
          </w:tcPr>
          <w:p w14:paraId="6A845511" w14:textId="18D98F69" w:rsidR="00427E50" w:rsidRPr="0043113C" w:rsidRDefault="00427E50" w:rsidP="00BC7E31">
            <w:pPr>
              <w:ind w:left="57" w:right="57"/>
              <w:rPr>
                <w:rFonts w:ascii="Times New Roman" w:hAnsi="Times New Roman"/>
                <w:sz w:val="24"/>
                <w:szCs w:val="24"/>
              </w:rPr>
            </w:pPr>
            <w:r w:rsidRPr="00427E50">
              <w:rPr>
                <w:rFonts w:ascii="Times New Roman" w:hAnsi="Times New Roman"/>
                <w:sz w:val="24"/>
                <w:szCs w:val="24"/>
              </w:rPr>
              <w:t>Noteikumu projekta vienības neparedz stingrākas prasības kā šīs tabulas A ailē minētās ES tiesību akta vienības.</w:t>
            </w:r>
          </w:p>
        </w:tc>
      </w:tr>
      <w:tr w:rsidR="0043113C" w:rsidRPr="00B84678" w14:paraId="259DD286"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02782E30" w14:textId="6F6A84C1"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t xml:space="preserve">Padomes Regulas </w:t>
            </w:r>
            <w:r w:rsidRPr="00462BE4">
              <w:rPr>
                <w:rFonts w:ascii="Times New Roman" w:hAnsi="Times New Roman"/>
                <w:sz w:val="24"/>
                <w:szCs w:val="24"/>
              </w:rPr>
              <w:t>Nr.508/2014</w:t>
            </w:r>
            <w:r w:rsidRPr="0043113C">
              <w:rPr>
                <w:rFonts w:ascii="Times New Roman" w:hAnsi="Times New Roman"/>
                <w:sz w:val="24"/>
                <w:szCs w:val="24"/>
              </w:rPr>
              <w:t xml:space="preserve"> </w:t>
            </w:r>
            <w:r w:rsidR="00427E50">
              <w:rPr>
                <w:rFonts w:ascii="Times New Roman" w:hAnsi="Times New Roman"/>
                <w:sz w:val="24"/>
                <w:szCs w:val="24"/>
              </w:rPr>
              <w:t>95</w:t>
            </w:r>
            <w:r w:rsidRPr="0043113C">
              <w:rPr>
                <w:rFonts w:ascii="Times New Roman" w:hAnsi="Times New Roman"/>
                <w:sz w:val="24"/>
                <w:szCs w:val="24"/>
              </w:rPr>
              <w:t>.panta 1.punkts</w:t>
            </w:r>
          </w:p>
        </w:tc>
        <w:tc>
          <w:tcPr>
            <w:tcW w:w="2142" w:type="dxa"/>
            <w:gridSpan w:val="4"/>
            <w:tcBorders>
              <w:top w:val="outset" w:sz="6" w:space="0" w:color="auto"/>
              <w:left w:val="outset" w:sz="6" w:space="0" w:color="auto"/>
              <w:bottom w:val="outset" w:sz="6" w:space="0" w:color="auto"/>
              <w:right w:val="outset" w:sz="6" w:space="0" w:color="auto"/>
            </w:tcBorders>
          </w:tcPr>
          <w:p w14:paraId="57908C27" w14:textId="4E39D27E"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t xml:space="preserve">Noteikumu projekta </w:t>
            </w:r>
            <w:r w:rsidR="00ED1B07">
              <w:rPr>
                <w:rFonts w:ascii="Times New Roman" w:hAnsi="Times New Roman"/>
                <w:sz w:val="24"/>
                <w:szCs w:val="24"/>
              </w:rPr>
              <w:t>20</w:t>
            </w:r>
            <w:r w:rsidRPr="0043113C">
              <w:rPr>
                <w:rFonts w:ascii="Times New Roman" w:hAnsi="Times New Roman"/>
                <w:sz w:val="24"/>
                <w:szCs w:val="24"/>
              </w:rPr>
              <w:t>. punktā izteiktais noteikumu 3</w:t>
            </w:r>
            <w:r>
              <w:rPr>
                <w:rFonts w:ascii="Times New Roman" w:hAnsi="Times New Roman"/>
                <w:sz w:val="24"/>
                <w:szCs w:val="24"/>
              </w:rPr>
              <w:t>7</w:t>
            </w:r>
            <w:r w:rsidRPr="0043113C">
              <w:rPr>
                <w:rFonts w:ascii="Times New Roman" w:hAnsi="Times New Roman"/>
                <w:sz w:val="24"/>
                <w:szCs w:val="24"/>
              </w:rPr>
              <w:t>.</w:t>
            </w:r>
            <w:r w:rsidR="00427E50">
              <w:rPr>
                <w:rFonts w:ascii="Times New Roman" w:hAnsi="Times New Roman"/>
                <w:sz w:val="24"/>
                <w:szCs w:val="24"/>
              </w:rPr>
              <w:t>2</w:t>
            </w:r>
            <w:r>
              <w:rPr>
                <w:rFonts w:ascii="Times New Roman" w:hAnsi="Times New Roman"/>
                <w:sz w:val="24"/>
                <w:szCs w:val="24"/>
              </w:rPr>
              <w:t xml:space="preserve">.apakšpunkts </w:t>
            </w:r>
          </w:p>
        </w:tc>
        <w:tc>
          <w:tcPr>
            <w:tcW w:w="2677" w:type="dxa"/>
            <w:gridSpan w:val="3"/>
            <w:tcBorders>
              <w:top w:val="outset" w:sz="6" w:space="0" w:color="auto"/>
              <w:left w:val="outset" w:sz="6" w:space="0" w:color="auto"/>
              <w:bottom w:val="outset" w:sz="6" w:space="0" w:color="auto"/>
              <w:right w:val="outset" w:sz="6" w:space="0" w:color="auto"/>
            </w:tcBorders>
          </w:tcPr>
          <w:p w14:paraId="5F5D8E28" w14:textId="7E6B8696"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t xml:space="preserve">Komisijas Regulas Nr. </w:t>
            </w:r>
            <w:r>
              <w:rPr>
                <w:rFonts w:ascii="Times New Roman" w:hAnsi="Times New Roman"/>
                <w:sz w:val="24"/>
                <w:szCs w:val="24"/>
              </w:rPr>
              <w:t>508</w:t>
            </w:r>
            <w:r w:rsidRPr="0043113C">
              <w:rPr>
                <w:rFonts w:ascii="Times New Roman" w:hAnsi="Times New Roman"/>
                <w:sz w:val="24"/>
                <w:szCs w:val="24"/>
              </w:rPr>
              <w:t>/2014 prasības tiek ieviestas pilnībā.</w:t>
            </w:r>
          </w:p>
        </w:tc>
        <w:tc>
          <w:tcPr>
            <w:tcW w:w="2693" w:type="dxa"/>
            <w:gridSpan w:val="2"/>
            <w:tcBorders>
              <w:top w:val="outset" w:sz="6" w:space="0" w:color="auto"/>
              <w:left w:val="outset" w:sz="6" w:space="0" w:color="auto"/>
              <w:bottom w:val="outset" w:sz="6" w:space="0" w:color="auto"/>
            </w:tcBorders>
          </w:tcPr>
          <w:p w14:paraId="23238B25" w14:textId="2122FE51"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t>Noteikumu projekta vienības neparedz stingrākas prasības kā šīs tabulas A ailē minētās ES tiesību akta vienības.</w:t>
            </w:r>
          </w:p>
        </w:tc>
      </w:tr>
      <w:tr w:rsidR="007A4701" w:rsidRPr="00ED1B07" w14:paraId="481CD760"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6C0ECF88" w14:textId="157F5F49" w:rsidR="007A4701" w:rsidRPr="00ED1B07" w:rsidRDefault="007A4701" w:rsidP="00BC7E31">
            <w:pPr>
              <w:ind w:left="57" w:right="57"/>
              <w:rPr>
                <w:rFonts w:ascii="Times New Roman" w:hAnsi="Times New Roman"/>
                <w:sz w:val="24"/>
                <w:szCs w:val="24"/>
              </w:rPr>
            </w:pPr>
            <w:r w:rsidRPr="00ED1B07">
              <w:rPr>
                <w:rFonts w:ascii="Times New Roman" w:hAnsi="Times New Roman"/>
                <w:sz w:val="24"/>
                <w:szCs w:val="24"/>
              </w:rPr>
              <w:t>Komisijas regulas Nr.1407/2013 3. panta 2. punktā</w:t>
            </w:r>
          </w:p>
        </w:tc>
        <w:tc>
          <w:tcPr>
            <w:tcW w:w="2142" w:type="dxa"/>
            <w:gridSpan w:val="4"/>
            <w:tcBorders>
              <w:top w:val="outset" w:sz="6" w:space="0" w:color="auto"/>
              <w:left w:val="outset" w:sz="6" w:space="0" w:color="auto"/>
              <w:bottom w:val="outset" w:sz="6" w:space="0" w:color="auto"/>
              <w:right w:val="outset" w:sz="6" w:space="0" w:color="auto"/>
            </w:tcBorders>
          </w:tcPr>
          <w:p w14:paraId="0F3C7524" w14:textId="7B562AAE" w:rsidR="007A4701" w:rsidRPr="00ED1B07" w:rsidRDefault="007A4701" w:rsidP="00BC7E31">
            <w:pPr>
              <w:ind w:left="57" w:right="57"/>
              <w:rPr>
                <w:rFonts w:ascii="Times New Roman" w:hAnsi="Times New Roman"/>
                <w:sz w:val="24"/>
                <w:szCs w:val="24"/>
              </w:rPr>
            </w:pPr>
            <w:r w:rsidRPr="00ED1B07">
              <w:rPr>
                <w:rFonts w:ascii="Times New Roman" w:hAnsi="Times New Roman"/>
                <w:sz w:val="24"/>
                <w:szCs w:val="24"/>
              </w:rPr>
              <w:t xml:space="preserve">Noteikumu projekta </w:t>
            </w:r>
            <w:r w:rsidR="00734751" w:rsidRPr="00ED1B07">
              <w:rPr>
                <w:rFonts w:ascii="Times New Roman" w:hAnsi="Times New Roman"/>
                <w:sz w:val="24"/>
                <w:szCs w:val="24"/>
              </w:rPr>
              <w:t>9</w:t>
            </w:r>
            <w:r w:rsidRPr="00ED1B07">
              <w:rPr>
                <w:rFonts w:ascii="Times New Roman" w:hAnsi="Times New Roman"/>
                <w:sz w:val="24"/>
                <w:szCs w:val="24"/>
              </w:rPr>
              <w:t>.punkta 1</w:t>
            </w:r>
            <w:r w:rsidR="00734751" w:rsidRPr="00ED1B07">
              <w:rPr>
                <w:rFonts w:ascii="Times New Roman" w:hAnsi="Times New Roman"/>
                <w:sz w:val="24"/>
                <w:szCs w:val="24"/>
              </w:rPr>
              <w:t>1</w:t>
            </w:r>
            <w:r w:rsidRPr="00ED1B07">
              <w:rPr>
                <w:rFonts w:ascii="Times New Roman" w:hAnsi="Times New Roman"/>
                <w:sz w:val="24"/>
                <w:szCs w:val="24"/>
              </w:rPr>
              <w:t>.</w:t>
            </w:r>
            <w:r w:rsidR="00734751" w:rsidRPr="00ED1B07">
              <w:rPr>
                <w:rFonts w:ascii="Times New Roman" w:hAnsi="Times New Roman"/>
                <w:sz w:val="24"/>
                <w:szCs w:val="24"/>
              </w:rPr>
              <w:t>7</w:t>
            </w:r>
            <w:r w:rsidRPr="00ED1B07">
              <w:rPr>
                <w:rFonts w:ascii="Times New Roman" w:hAnsi="Times New Roman"/>
                <w:sz w:val="24"/>
                <w:szCs w:val="24"/>
              </w:rPr>
              <w:t xml:space="preserve">.apakšpunkts </w:t>
            </w:r>
          </w:p>
        </w:tc>
        <w:tc>
          <w:tcPr>
            <w:tcW w:w="2677" w:type="dxa"/>
            <w:gridSpan w:val="3"/>
            <w:tcBorders>
              <w:top w:val="outset" w:sz="6" w:space="0" w:color="auto"/>
              <w:left w:val="outset" w:sz="6" w:space="0" w:color="auto"/>
              <w:bottom w:val="outset" w:sz="6" w:space="0" w:color="auto"/>
              <w:right w:val="outset" w:sz="6" w:space="0" w:color="auto"/>
            </w:tcBorders>
          </w:tcPr>
          <w:p w14:paraId="1D66ACBD" w14:textId="49D041E2" w:rsidR="007A4701" w:rsidRPr="00ED1B07" w:rsidRDefault="007A4701" w:rsidP="00BC7E31">
            <w:pPr>
              <w:ind w:left="57" w:right="57"/>
              <w:rPr>
                <w:rFonts w:ascii="Times New Roman" w:hAnsi="Times New Roman"/>
                <w:sz w:val="24"/>
                <w:szCs w:val="24"/>
              </w:rPr>
            </w:pPr>
            <w:r w:rsidRPr="00ED1B07">
              <w:rPr>
                <w:rFonts w:ascii="Times New Roman" w:hAnsi="Times New Roman"/>
                <w:sz w:val="24"/>
                <w:szCs w:val="24"/>
              </w:rPr>
              <w:t>Komisijas Regulas Nr. 1407/2014 prasības tiek ieviestas pilnībā.</w:t>
            </w:r>
          </w:p>
        </w:tc>
        <w:tc>
          <w:tcPr>
            <w:tcW w:w="2693" w:type="dxa"/>
            <w:gridSpan w:val="2"/>
            <w:tcBorders>
              <w:top w:val="outset" w:sz="6" w:space="0" w:color="auto"/>
              <w:left w:val="outset" w:sz="6" w:space="0" w:color="auto"/>
              <w:bottom w:val="outset" w:sz="6" w:space="0" w:color="auto"/>
            </w:tcBorders>
          </w:tcPr>
          <w:p w14:paraId="06FD8D27" w14:textId="50BA6027" w:rsidR="007A4701" w:rsidRPr="00ED1B07" w:rsidRDefault="007A4701" w:rsidP="00BC7E31">
            <w:pPr>
              <w:ind w:left="57" w:right="57"/>
              <w:rPr>
                <w:rFonts w:ascii="Times New Roman" w:hAnsi="Times New Roman"/>
                <w:sz w:val="24"/>
                <w:szCs w:val="24"/>
              </w:rPr>
            </w:pPr>
            <w:r w:rsidRPr="00ED1B07">
              <w:rPr>
                <w:rFonts w:ascii="Times New Roman" w:hAnsi="Times New Roman"/>
                <w:sz w:val="24"/>
                <w:szCs w:val="24"/>
              </w:rPr>
              <w:t>Noteikumu projekta vienības neparedz stingrākas prasības kā šīs tabulas A ailē minētās ES tiesību akta vienības.</w:t>
            </w:r>
          </w:p>
        </w:tc>
      </w:tr>
      <w:tr w:rsidR="007A4701" w:rsidRPr="00B84678" w14:paraId="3FD54C5F"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2B23AC2E" w14:textId="52A3FA51" w:rsidR="007A4701" w:rsidRPr="00ED1B07" w:rsidRDefault="007A4701" w:rsidP="00BC7E31">
            <w:pPr>
              <w:ind w:left="57" w:right="57"/>
              <w:rPr>
                <w:rFonts w:ascii="Times New Roman" w:hAnsi="Times New Roman"/>
                <w:sz w:val="24"/>
                <w:szCs w:val="24"/>
              </w:rPr>
            </w:pPr>
            <w:r w:rsidRPr="00ED1B07">
              <w:rPr>
                <w:rFonts w:ascii="Times New Roman" w:hAnsi="Times New Roman"/>
                <w:sz w:val="24"/>
                <w:szCs w:val="24"/>
              </w:rPr>
              <w:t>Komisijas regulas Nr.1408/2013 3. panta 2. punktā</w:t>
            </w:r>
          </w:p>
        </w:tc>
        <w:tc>
          <w:tcPr>
            <w:tcW w:w="2142" w:type="dxa"/>
            <w:gridSpan w:val="4"/>
            <w:tcBorders>
              <w:top w:val="outset" w:sz="6" w:space="0" w:color="auto"/>
              <w:left w:val="outset" w:sz="6" w:space="0" w:color="auto"/>
              <w:bottom w:val="outset" w:sz="6" w:space="0" w:color="auto"/>
              <w:right w:val="outset" w:sz="6" w:space="0" w:color="auto"/>
            </w:tcBorders>
          </w:tcPr>
          <w:p w14:paraId="12913037" w14:textId="7621B3AC" w:rsidR="007A4701" w:rsidRPr="00ED1B07" w:rsidRDefault="007A4701" w:rsidP="00BC7E31">
            <w:pPr>
              <w:ind w:left="57" w:right="57"/>
              <w:rPr>
                <w:rFonts w:ascii="Times New Roman" w:hAnsi="Times New Roman"/>
                <w:sz w:val="24"/>
                <w:szCs w:val="24"/>
              </w:rPr>
            </w:pPr>
            <w:r w:rsidRPr="00ED1B07">
              <w:rPr>
                <w:rFonts w:ascii="Times New Roman" w:hAnsi="Times New Roman"/>
                <w:sz w:val="24"/>
                <w:szCs w:val="24"/>
              </w:rPr>
              <w:t xml:space="preserve">Noteikumu projekta </w:t>
            </w:r>
            <w:r w:rsidR="00734751" w:rsidRPr="00ED1B07">
              <w:rPr>
                <w:rFonts w:ascii="Times New Roman" w:hAnsi="Times New Roman"/>
                <w:sz w:val="24"/>
                <w:szCs w:val="24"/>
              </w:rPr>
              <w:t>9</w:t>
            </w:r>
            <w:r w:rsidRPr="00ED1B07">
              <w:rPr>
                <w:rFonts w:ascii="Times New Roman" w:hAnsi="Times New Roman"/>
                <w:sz w:val="24"/>
                <w:szCs w:val="24"/>
              </w:rPr>
              <w:t xml:space="preserve">.punkta </w:t>
            </w:r>
            <w:r w:rsidR="00734751" w:rsidRPr="00ED1B07">
              <w:rPr>
                <w:rFonts w:ascii="Times New Roman" w:hAnsi="Times New Roman"/>
                <w:sz w:val="24"/>
                <w:szCs w:val="24"/>
              </w:rPr>
              <w:t>11</w:t>
            </w:r>
            <w:r w:rsidRPr="00ED1B07">
              <w:rPr>
                <w:rFonts w:ascii="Times New Roman" w:hAnsi="Times New Roman"/>
                <w:sz w:val="24"/>
                <w:szCs w:val="24"/>
              </w:rPr>
              <w:t>.</w:t>
            </w:r>
            <w:r w:rsidR="00734751" w:rsidRPr="00ED1B07">
              <w:rPr>
                <w:rFonts w:ascii="Times New Roman" w:hAnsi="Times New Roman"/>
                <w:sz w:val="24"/>
                <w:szCs w:val="24"/>
              </w:rPr>
              <w:t>7</w:t>
            </w:r>
            <w:r w:rsidRPr="00ED1B07">
              <w:rPr>
                <w:rFonts w:ascii="Times New Roman" w:hAnsi="Times New Roman"/>
                <w:sz w:val="24"/>
                <w:szCs w:val="24"/>
              </w:rPr>
              <w:t xml:space="preserve">.apakšpunkts </w:t>
            </w:r>
          </w:p>
        </w:tc>
        <w:tc>
          <w:tcPr>
            <w:tcW w:w="2677" w:type="dxa"/>
            <w:gridSpan w:val="3"/>
            <w:tcBorders>
              <w:top w:val="outset" w:sz="6" w:space="0" w:color="auto"/>
              <w:left w:val="outset" w:sz="6" w:space="0" w:color="auto"/>
              <w:bottom w:val="outset" w:sz="6" w:space="0" w:color="auto"/>
              <w:right w:val="outset" w:sz="6" w:space="0" w:color="auto"/>
            </w:tcBorders>
          </w:tcPr>
          <w:p w14:paraId="66F356BD" w14:textId="36B61F7F" w:rsidR="007A4701" w:rsidRPr="00ED1B07" w:rsidRDefault="007A4701" w:rsidP="00BC7E31">
            <w:pPr>
              <w:ind w:left="57" w:right="57"/>
              <w:rPr>
                <w:rFonts w:ascii="Times New Roman" w:hAnsi="Times New Roman"/>
                <w:sz w:val="24"/>
                <w:szCs w:val="24"/>
              </w:rPr>
            </w:pPr>
            <w:r w:rsidRPr="00ED1B07">
              <w:rPr>
                <w:rFonts w:ascii="Times New Roman" w:hAnsi="Times New Roman"/>
                <w:sz w:val="24"/>
                <w:szCs w:val="24"/>
              </w:rPr>
              <w:t>Komisijas Regulas Nr. 1408/2014 prasības tiek ieviestas pilnībā.</w:t>
            </w:r>
          </w:p>
        </w:tc>
        <w:tc>
          <w:tcPr>
            <w:tcW w:w="2693" w:type="dxa"/>
            <w:gridSpan w:val="2"/>
            <w:tcBorders>
              <w:top w:val="outset" w:sz="6" w:space="0" w:color="auto"/>
              <w:left w:val="outset" w:sz="6" w:space="0" w:color="auto"/>
              <w:bottom w:val="outset" w:sz="6" w:space="0" w:color="auto"/>
            </w:tcBorders>
          </w:tcPr>
          <w:p w14:paraId="205389AC" w14:textId="19078C9D" w:rsidR="007A4701" w:rsidRPr="00ED1B07" w:rsidRDefault="007A4701" w:rsidP="00BC7E31">
            <w:pPr>
              <w:ind w:left="57" w:right="57"/>
              <w:rPr>
                <w:rFonts w:ascii="Times New Roman" w:hAnsi="Times New Roman"/>
                <w:sz w:val="24"/>
                <w:szCs w:val="24"/>
              </w:rPr>
            </w:pPr>
            <w:r w:rsidRPr="00ED1B07">
              <w:rPr>
                <w:rFonts w:ascii="Times New Roman" w:hAnsi="Times New Roman"/>
                <w:sz w:val="24"/>
                <w:szCs w:val="24"/>
              </w:rPr>
              <w:t>Noteikumu projekta vienības neparedz stingrākas prasības kā šīs tabulas A ailē minētās ES tiesību akta vienības.</w:t>
            </w:r>
          </w:p>
        </w:tc>
      </w:tr>
      <w:tr w:rsidR="0043113C" w:rsidRPr="00B84678" w14:paraId="38444840" w14:textId="77777777" w:rsidTr="0012313F">
        <w:tblPrEx>
          <w:jc w:val="left"/>
          <w:tblCellMar>
            <w:top w:w="30" w:type="dxa"/>
            <w:left w:w="30" w:type="dxa"/>
            <w:bottom w:w="30" w:type="dxa"/>
            <w:right w:w="30" w:type="dxa"/>
          </w:tblCellMar>
        </w:tblPrEx>
        <w:trPr>
          <w:gridAfter w:val="1"/>
          <w:wAfter w:w="523" w:type="dxa"/>
        </w:trPr>
        <w:tc>
          <w:tcPr>
            <w:tcW w:w="2383" w:type="dxa"/>
            <w:gridSpan w:val="3"/>
            <w:tcBorders>
              <w:top w:val="outset" w:sz="6" w:space="0" w:color="auto"/>
              <w:bottom w:val="outset" w:sz="6" w:space="0" w:color="auto"/>
              <w:right w:val="outset" w:sz="6" w:space="0" w:color="auto"/>
            </w:tcBorders>
          </w:tcPr>
          <w:p w14:paraId="2C887AA8" w14:textId="1D5D06C5"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t xml:space="preserve">Komisijas Regulas Nr. 702/2014 </w:t>
            </w:r>
            <w:r>
              <w:rPr>
                <w:rFonts w:ascii="Times New Roman" w:hAnsi="Times New Roman"/>
                <w:sz w:val="24"/>
                <w:szCs w:val="24"/>
              </w:rPr>
              <w:t>14</w:t>
            </w:r>
            <w:r w:rsidRPr="0043113C">
              <w:rPr>
                <w:rFonts w:ascii="Times New Roman" w:hAnsi="Times New Roman"/>
                <w:sz w:val="24"/>
                <w:szCs w:val="24"/>
              </w:rPr>
              <w:t xml:space="preserve">.panta </w:t>
            </w:r>
            <w:r>
              <w:rPr>
                <w:rFonts w:ascii="Times New Roman" w:hAnsi="Times New Roman"/>
                <w:sz w:val="24"/>
                <w:szCs w:val="24"/>
              </w:rPr>
              <w:t>12.</w:t>
            </w:r>
            <w:r w:rsidRPr="0043113C">
              <w:rPr>
                <w:rFonts w:ascii="Times New Roman" w:hAnsi="Times New Roman"/>
                <w:sz w:val="24"/>
                <w:szCs w:val="24"/>
              </w:rPr>
              <w:t>punkts</w:t>
            </w:r>
          </w:p>
        </w:tc>
        <w:tc>
          <w:tcPr>
            <w:tcW w:w="2142" w:type="dxa"/>
            <w:gridSpan w:val="4"/>
            <w:tcBorders>
              <w:top w:val="outset" w:sz="6" w:space="0" w:color="auto"/>
              <w:left w:val="outset" w:sz="6" w:space="0" w:color="auto"/>
              <w:bottom w:val="outset" w:sz="6" w:space="0" w:color="auto"/>
              <w:right w:val="outset" w:sz="6" w:space="0" w:color="auto"/>
            </w:tcBorders>
          </w:tcPr>
          <w:p w14:paraId="0AD65607" w14:textId="76A63524"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t xml:space="preserve">Noteikumu projekta </w:t>
            </w:r>
            <w:r w:rsidR="00427E50">
              <w:rPr>
                <w:rFonts w:ascii="Times New Roman" w:hAnsi="Times New Roman"/>
                <w:sz w:val="24"/>
                <w:szCs w:val="24"/>
              </w:rPr>
              <w:t>1</w:t>
            </w:r>
            <w:r w:rsidR="00ED1B07">
              <w:rPr>
                <w:rFonts w:ascii="Times New Roman" w:hAnsi="Times New Roman"/>
                <w:sz w:val="24"/>
                <w:szCs w:val="24"/>
              </w:rPr>
              <w:t>9</w:t>
            </w:r>
            <w:r w:rsidRPr="0043113C">
              <w:rPr>
                <w:rFonts w:ascii="Times New Roman" w:hAnsi="Times New Roman"/>
                <w:sz w:val="24"/>
                <w:szCs w:val="24"/>
              </w:rPr>
              <w:t>. punktā izteiktais noteikumu 3</w:t>
            </w:r>
            <w:r w:rsidR="005F1115">
              <w:rPr>
                <w:rFonts w:ascii="Times New Roman" w:hAnsi="Times New Roman"/>
                <w:sz w:val="24"/>
                <w:szCs w:val="24"/>
              </w:rPr>
              <w:t>6</w:t>
            </w:r>
            <w:r w:rsidRPr="0043113C">
              <w:rPr>
                <w:rFonts w:ascii="Times New Roman" w:hAnsi="Times New Roman"/>
                <w:sz w:val="24"/>
                <w:szCs w:val="24"/>
              </w:rPr>
              <w:t>.</w:t>
            </w:r>
            <w:r w:rsidR="005F1115">
              <w:rPr>
                <w:rFonts w:ascii="Times New Roman" w:hAnsi="Times New Roman"/>
                <w:sz w:val="24"/>
                <w:szCs w:val="24"/>
                <w:vertAlign w:val="superscript"/>
              </w:rPr>
              <w:t>1</w:t>
            </w:r>
            <w:r w:rsidRPr="0043113C">
              <w:rPr>
                <w:rFonts w:ascii="Times New Roman" w:hAnsi="Times New Roman"/>
                <w:sz w:val="24"/>
                <w:szCs w:val="24"/>
              </w:rPr>
              <w:t>punkts</w:t>
            </w:r>
          </w:p>
        </w:tc>
        <w:tc>
          <w:tcPr>
            <w:tcW w:w="2677" w:type="dxa"/>
            <w:gridSpan w:val="3"/>
            <w:tcBorders>
              <w:top w:val="outset" w:sz="6" w:space="0" w:color="auto"/>
              <w:left w:val="outset" w:sz="6" w:space="0" w:color="auto"/>
              <w:bottom w:val="outset" w:sz="6" w:space="0" w:color="auto"/>
              <w:right w:val="outset" w:sz="6" w:space="0" w:color="auto"/>
            </w:tcBorders>
          </w:tcPr>
          <w:p w14:paraId="5BAEF999" w14:textId="5A72CAA0"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t>Komisijas Regulas Nr. 702/2014 prasības tiek ieviestas pilnībā.</w:t>
            </w:r>
          </w:p>
        </w:tc>
        <w:tc>
          <w:tcPr>
            <w:tcW w:w="2693" w:type="dxa"/>
            <w:gridSpan w:val="2"/>
            <w:tcBorders>
              <w:top w:val="outset" w:sz="6" w:space="0" w:color="auto"/>
              <w:left w:val="outset" w:sz="6" w:space="0" w:color="auto"/>
              <w:bottom w:val="outset" w:sz="6" w:space="0" w:color="auto"/>
            </w:tcBorders>
          </w:tcPr>
          <w:p w14:paraId="62AA3F1E" w14:textId="00D446E7" w:rsidR="0043113C" w:rsidRPr="0043113C" w:rsidRDefault="0043113C" w:rsidP="00BC7E31">
            <w:pPr>
              <w:ind w:left="57" w:right="57"/>
              <w:rPr>
                <w:rFonts w:ascii="Times New Roman" w:hAnsi="Times New Roman"/>
                <w:sz w:val="24"/>
                <w:szCs w:val="24"/>
              </w:rPr>
            </w:pPr>
            <w:r w:rsidRPr="0043113C">
              <w:rPr>
                <w:rFonts w:ascii="Times New Roman" w:hAnsi="Times New Roman"/>
                <w:sz w:val="24"/>
                <w:szCs w:val="24"/>
              </w:rPr>
              <w:t>Noteikumu projekta vienības neparedz stingrākas prasības kā šīs tabulas A ailē minētās ES tiesību akta vienības.</w:t>
            </w:r>
          </w:p>
        </w:tc>
      </w:tr>
      <w:tr w:rsidR="00676910" w:rsidRPr="007A7182" w14:paraId="146BA959" w14:textId="77777777" w:rsidTr="0012313F">
        <w:trPr>
          <w:gridBefore w:val="1"/>
          <w:wBefore w:w="580" w:type="dxa"/>
          <w:jc w:val="center"/>
        </w:trPr>
        <w:tc>
          <w:tcPr>
            <w:tcW w:w="2269" w:type="dxa"/>
            <w:gridSpan w:val="3"/>
            <w:tcBorders>
              <w:top w:val="outset" w:sz="6" w:space="0" w:color="auto"/>
              <w:bottom w:val="outset" w:sz="6" w:space="0" w:color="auto"/>
              <w:right w:val="outset" w:sz="6" w:space="0" w:color="auto"/>
            </w:tcBorders>
          </w:tcPr>
          <w:p w14:paraId="09D90F02" w14:textId="77777777" w:rsidR="002F30BD" w:rsidRPr="007A7182" w:rsidRDefault="002F30BD" w:rsidP="00BC7E31">
            <w:pPr>
              <w:spacing w:after="0" w:line="240" w:lineRule="auto"/>
              <w:ind w:left="57" w:right="57"/>
              <w:rPr>
                <w:rFonts w:ascii="Times New Roman" w:hAnsi="Times New Roman"/>
                <w:sz w:val="24"/>
                <w:szCs w:val="24"/>
              </w:rPr>
            </w:pPr>
            <w:r w:rsidRPr="007A7182">
              <w:rPr>
                <w:rFonts w:ascii="Times New Roman" w:hAnsi="Times New Roman"/>
                <w:sz w:val="24"/>
                <w:szCs w:val="24"/>
              </w:rPr>
              <w:t>Kā ir izmantota ES tiesību aktā paredzētā rīcības brīvība dalībvalstij pārņemt vai ieviest noteiktas ES tiesību akta normas?</w:t>
            </w:r>
          </w:p>
          <w:p w14:paraId="672176DF" w14:textId="77777777" w:rsidR="002F30BD" w:rsidRPr="007A7182" w:rsidRDefault="002F30BD" w:rsidP="00BC7E31">
            <w:pPr>
              <w:spacing w:after="0" w:line="240" w:lineRule="auto"/>
              <w:ind w:left="57" w:right="57"/>
              <w:rPr>
                <w:rFonts w:ascii="Times New Roman" w:hAnsi="Times New Roman"/>
                <w:sz w:val="24"/>
                <w:szCs w:val="24"/>
              </w:rPr>
            </w:pPr>
            <w:r w:rsidRPr="007A7182">
              <w:rPr>
                <w:rFonts w:ascii="Times New Roman" w:hAnsi="Times New Roman"/>
                <w:sz w:val="24"/>
                <w:szCs w:val="24"/>
              </w:rPr>
              <w:lastRenderedPageBreak/>
              <w:t>Kādēļ?</w:t>
            </w:r>
          </w:p>
        </w:tc>
        <w:tc>
          <w:tcPr>
            <w:tcW w:w="7569" w:type="dxa"/>
            <w:gridSpan w:val="9"/>
            <w:tcBorders>
              <w:top w:val="outset" w:sz="6" w:space="0" w:color="auto"/>
              <w:left w:val="outset" w:sz="6" w:space="0" w:color="auto"/>
              <w:bottom w:val="outset" w:sz="6" w:space="0" w:color="auto"/>
            </w:tcBorders>
          </w:tcPr>
          <w:p w14:paraId="09DA3D3B" w14:textId="77777777" w:rsidR="002F30BD" w:rsidRPr="007A7182" w:rsidRDefault="002F30BD" w:rsidP="00BC7E31">
            <w:pPr>
              <w:spacing w:after="0" w:line="240" w:lineRule="auto"/>
              <w:ind w:left="57" w:right="57"/>
              <w:rPr>
                <w:rFonts w:ascii="Times New Roman" w:hAnsi="Times New Roman"/>
                <w:sz w:val="24"/>
                <w:szCs w:val="24"/>
              </w:rPr>
            </w:pPr>
            <w:r w:rsidRPr="007A7182">
              <w:rPr>
                <w:rFonts w:ascii="Times New Roman" w:hAnsi="Times New Roman"/>
                <w:sz w:val="24"/>
                <w:szCs w:val="24"/>
              </w:rPr>
              <w:lastRenderedPageBreak/>
              <w:t>Projekts šo jomu neskar.</w:t>
            </w:r>
          </w:p>
        </w:tc>
      </w:tr>
      <w:tr w:rsidR="00676910" w:rsidRPr="003175A7" w14:paraId="4AC63146" w14:textId="77777777" w:rsidTr="0012313F">
        <w:trPr>
          <w:gridBefore w:val="1"/>
          <w:wBefore w:w="580" w:type="dxa"/>
          <w:jc w:val="center"/>
        </w:trPr>
        <w:tc>
          <w:tcPr>
            <w:tcW w:w="2269" w:type="dxa"/>
            <w:gridSpan w:val="3"/>
            <w:tcBorders>
              <w:top w:val="outset" w:sz="6" w:space="0" w:color="auto"/>
              <w:bottom w:val="outset" w:sz="6" w:space="0" w:color="auto"/>
              <w:right w:val="outset" w:sz="6" w:space="0" w:color="auto"/>
            </w:tcBorders>
          </w:tcPr>
          <w:p w14:paraId="014C758E" w14:textId="77777777" w:rsidR="002F30BD" w:rsidRPr="007A7182" w:rsidRDefault="002F30BD" w:rsidP="00BC7E31">
            <w:pPr>
              <w:spacing w:after="0" w:line="240" w:lineRule="auto"/>
              <w:ind w:left="57" w:right="57"/>
              <w:rPr>
                <w:rFonts w:ascii="Times New Roman" w:hAnsi="Times New Roman"/>
                <w:sz w:val="24"/>
                <w:szCs w:val="24"/>
              </w:rPr>
            </w:pPr>
            <w:r w:rsidRPr="007A7182">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w:t>
            </w:r>
            <w:r w:rsidRPr="007A7182">
              <w:rPr>
                <w:rFonts w:ascii="Times New Roman" w:hAnsi="Times New Roman"/>
                <w:sz w:val="24"/>
                <w:szCs w:val="24"/>
              </w:rPr>
              <w:softHyphen/>
              <w:t>šanas un finanšu noteikumu (attiecībā uz monetāro politiku) projektiem</w:t>
            </w:r>
          </w:p>
        </w:tc>
        <w:tc>
          <w:tcPr>
            <w:tcW w:w="7569" w:type="dxa"/>
            <w:gridSpan w:val="9"/>
            <w:tcBorders>
              <w:top w:val="outset" w:sz="6" w:space="0" w:color="auto"/>
              <w:left w:val="outset" w:sz="6" w:space="0" w:color="auto"/>
              <w:bottom w:val="outset" w:sz="6" w:space="0" w:color="auto"/>
            </w:tcBorders>
          </w:tcPr>
          <w:p w14:paraId="6D46813B" w14:textId="4F0B245C" w:rsidR="002F30BD" w:rsidRPr="003175A7" w:rsidRDefault="002F30BD" w:rsidP="00BC7E31">
            <w:pPr>
              <w:spacing w:after="0" w:line="240" w:lineRule="auto"/>
              <w:ind w:left="57" w:right="57"/>
              <w:jc w:val="both"/>
              <w:rPr>
                <w:rFonts w:ascii="Times New Roman" w:hAnsi="Times New Roman"/>
                <w:sz w:val="24"/>
                <w:szCs w:val="24"/>
              </w:rPr>
            </w:pPr>
            <w:r w:rsidRPr="003175A7">
              <w:rPr>
                <w:rFonts w:ascii="Times New Roman" w:hAnsi="Times New Roman"/>
                <w:sz w:val="24"/>
                <w:szCs w:val="24"/>
              </w:rPr>
              <w:t>Ministru kabineta noteikumu projekts sagatavots, ievērojot Eiropas Savienības normatīvajos aktos un Līgumā par Eiropas Savienības darbību</w:t>
            </w:r>
            <w:r w:rsidR="00734751">
              <w:rPr>
                <w:rFonts w:ascii="Times New Roman" w:hAnsi="Times New Roman"/>
                <w:sz w:val="24"/>
                <w:szCs w:val="24"/>
              </w:rPr>
              <w:t xml:space="preserve"> (turpmāk</w:t>
            </w:r>
            <w:r w:rsidR="00FF33B2">
              <w:rPr>
                <w:rFonts w:ascii="Times New Roman" w:hAnsi="Times New Roman"/>
                <w:sz w:val="24"/>
                <w:szCs w:val="24"/>
              </w:rPr>
              <w:t xml:space="preserve"> –</w:t>
            </w:r>
            <w:r w:rsidR="00734751">
              <w:rPr>
                <w:rFonts w:ascii="Times New Roman" w:hAnsi="Times New Roman"/>
                <w:sz w:val="24"/>
                <w:szCs w:val="24"/>
              </w:rPr>
              <w:t xml:space="preserve"> LESD)</w:t>
            </w:r>
            <w:r w:rsidRPr="003175A7">
              <w:rPr>
                <w:rFonts w:ascii="Times New Roman" w:hAnsi="Times New Roman"/>
                <w:sz w:val="24"/>
                <w:szCs w:val="24"/>
              </w:rPr>
              <w:t xml:space="preserve"> noteiktās prasības.</w:t>
            </w:r>
          </w:p>
          <w:p w14:paraId="44D89A90" w14:textId="10D5AE26" w:rsidR="002F30BD" w:rsidRDefault="002F30BD" w:rsidP="00BC7E31">
            <w:pPr>
              <w:spacing w:after="0" w:line="240" w:lineRule="auto"/>
              <w:ind w:left="57" w:right="57"/>
              <w:jc w:val="both"/>
              <w:rPr>
                <w:rFonts w:ascii="Times New Roman" w:hAnsi="Times New Roman"/>
                <w:sz w:val="24"/>
                <w:szCs w:val="24"/>
              </w:rPr>
            </w:pPr>
            <w:r w:rsidRPr="003175A7">
              <w:rPr>
                <w:rFonts w:ascii="Times New Roman" w:hAnsi="Times New Roman"/>
                <w:sz w:val="24"/>
                <w:szCs w:val="24"/>
              </w:rPr>
              <w:t>Nav nepieciešams Eiropas Komisijai sniegt paziņojumu par atbalsta pasākumiem</w:t>
            </w:r>
            <w:r w:rsidR="00755546">
              <w:rPr>
                <w:rFonts w:ascii="Times New Roman" w:hAnsi="Times New Roman"/>
                <w:sz w:val="24"/>
                <w:szCs w:val="24"/>
              </w:rPr>
              <w:t xml:space="preserve"> </w:t>
            </w:r>
            <w:r w:rsidR="00755546" w:rsidRPr="00755546">
              <w:rPr>
                <w:rFonts w:ascii="Times New Roman" w:hAnsi="Times New Roman"/>
                <w:sz w:val="24"/>
                <w:szCs w:val="24"/>
              </w:rPr>
              <w:t>zvejniecībai un zvejas produktu apstrādei</w:t>
            </w:r>
            <w:r w:rsidRPr="003175A7">
              <w:rPr>
                <w:rFonts w:ascii="Times New Roman" w:hAnsi="Times New Roman"/>
                <w:sz w:val="24"/>
                <w:szCs w:val="24"/>
              </w:rPr>
              <w:t>, k</w:t>
            </w:r>
            <w:r w:rsidR="002938B5">
              <w:rPr>
                <w:rFonts w:ascii="Times New Roman" w:hAnsi="Times New Roman"/>
                <w:sz w:val="24"/>
                <w:szCs w:val="24"/>
              </w:rPr>
              <w:t>uri</w:t>
            </w:r>
            <w:r>
              <w:rPr>
                <w:rFonts w:ascii="Times New Roman" w:hAnsi="Times New Roman"/>
                <w:sz w:val="24"/>
                <w:szCs w:val="24"/>
              </w:rPr>
              <w:t xml:space="preserve"> </w:t>
            </w:r>
            <w:r w:rsidRPr="003175A7">
              <w:rPr>
                <w:rFonts w:ascii="Times New Roman" w:hAnsi="Times New Roman"/>
                <w:sz w:val="24"/>
                <w:szCs w:val="24"/>
              </w:rPr>
              <w:t xml:space="preserve">minēti noteikumu projekta </w:t>
            </w:r>
            <w:r w:rsidR="006477C7">
              <w:rPr>
                <w:rFonts w:ascii="Times New Roman" w:hAnsi="Times New Roman"/>
                <w:sz w:val="24"/>
                <w:szCs w:val="24"/>
              </w:rPr>
              <w:t>14.punktā</w:t>
            </w:r>
            <w:r w:rsidRPr="003175A7">
              <w:rPr>
                <w:rFonts w:ascii="Times New Roman" w:hAnsi="Times New Roman"/>
                <w:sz w:val="24"/>
                <w:szCs w:val="24"/>
              </w:rPr>
              <w:t xml:space="preserve">, jo atbalsts tiek sniegts </w:t>
            </w:r>
            <w:r w:rsidR="00D42C2D" w:rsidRPr="003175A7">
              <w:rPr>
                <w:rFonts w:ascii="Times New Roman" w:hAnsi="Times New Roman"/>
                <w:sz w:val="24"/>
                <w:szCs w:val="24"/>
              </w:rPr>
              <w:t xml:space="preserve">saskaņā ar Komisijas </w:t>
            </w:r>
            <w:r w:rsidR="003E432E">
              <w:rPr>
                <w:rFonts w:ascii="Times New Roman" w:hAnsi="Times New Roman"/>
                <w:sz w:val="24"/>
                <w:szCs w:val="24"/>
              </w:rPr>
              <w:t>r</w:t>
            </w:r>
            <w:r w:rsidR="00D42C2D" w:rsidRPr="003175A7">
              <w:rPr>
                <w:rFonts w:ascii="Times New Roman" w:hAnsi="Times New Roman"/>
                <w:sz w:val="24"/>
                <w:szCs w:val="24"/>
              </w:rPr>
              <w:t xml:space="preserve">egulas Nr. </w:t>
            </w:r>
            <w:hyperlink r:id="rId18" w:tgtFrame="_blank" w:history="1">
              <w:r w:rsidR="00D42C2D">
                <w:rPr>
                  <w:rFonts w:ascii="Times New Roman" w:hAnsi="Times New Roman"/>
                  <w:sz w:val="24"/>
                  <w:szCs w:val="24"/>
                </w:rPr>
                <w:t>717</w:t>
              </w:r>
              <w:r w:rsidR="00D42C2D" w:rsidRPr="003175A7">
                <w:rPr>
                  <w:rFonts w:ascii="Times New Roman" w:hAnsi="Times New Roman"/>
                  <w:sz w:val="24"/>
                  <w:szCs w:val="24"/>
                </w:rPr>
                <w:t>/201</w:t>
              </w:r>
              <w:r w:rsidR="00D42C2D">
                <w:rPr>
                  <w:rFonts w:ascii="Times New Roman" w:hAnsi="Times New Roman"/>
                  <w:sz w:val="24"/>
                  <w:szCs w:val="24"/>
                </w:rPr>
                <w:t>4</w:t>
              </w:r>
            </w:hyperlink>
            <w:r w:rsidR="00ED3D67">
              <w:rPr>
                <w:rFonts w:ascii="Times New Roman" w:hAnsi="Times New Roman"/>
                <w:sz w:val="24"/>
                <w:szCs w:val="24"/>
              </w:rPr>
              <w:t xml:space="preserve"> un Komisijas Regulas</w:t>
            </w:r>
            <w:r w:rsidR="00ED3D67" w:rsidRPr="0043113C">
              <w:rPr>
                <w:rFonts w:ascii="Times New Roman" w:hAnsi="Times New Roman"/>
                <w:sz w:val="24"/>
                <w:szCs w:val="24"/>
              </w:rPr>
              <w:t xml:space="preserve"> Nr.1407/2013</w:t>
            </w:r>
            <w:r w:rsidR="00D42C2D" w:rsidRPr="003175A7">
              <w:rPr>
                <w:rFonts w:ascii="Times New Roman" w:hAnsi="Times New Roman"/>
                <w:sz w:val="24"/>
                <w:szCs w:val="24"/>
              </w:rPr>
              <w:t xml:space="preserve"> nosacījumiem</w:t>
            </w:r>
            <w:r w:rsidR="008362F0">
              <w:rPr>
                <w:rFonts w:ascii="Times New Roman" w:hAnsi="Times New Roman"/>
                <w:sz w:val="24"/>
                <w:szCs w:val="24"/>
              </w:rPr>
              <w:t>, kā a</w:t>
            </w:r>
            <w:r w:rsidR="00462BE4">
              <w:rPr>
                <w:rFonts w:ascii="Times New Roman" w:hAnsi="Times New Roman"/>
                <w:sz w:val="24"/>
                <w:szCs w:val="24"/>
              </w:rPr>
              <w:t>rī atbalstu</w:t>
            </w:r>
            <w:r w:rsidR="00734751">
              <w:rPr>
                <w:rFonts w:ascii="Times New Roman" w:hAnsi="Times New Roman"/>
                <w:sz w:val="24"/>
                <w:szCs w:val="24"/>
              </w:rPr>
              <w:t xml:space="preserve"> pretendentiem</w:t>
            </w:r>
            <w:r w:rsidR="00462BE4">
              <w:rPr>
                <w:rFonts w:ascii="Times New Roman" w:hAnsi="Times New Roman"/>
                <w:sz w:val="24"/>
                <w:szCs w:val="24"/>
              </w:rPr>
              <w:t xml:space="preserve">, kas minēts </w:t>
            </w:r>
            <w:r w:rsidR="00FF33B2" w:rsidRPr="003175A7">
              <w:rPr>
                <w:rFonts w:ascii="Times New Roman" w:hAnsi="Times New Roman"/>
                <w:sz w:val="24"/>
                <w:szCs w:val="24"/>
              </w:rPr>
              <w:t xml:space="preserve">noteikumu projekta </w:t>
            </w:r>
            <w:r w:rsidR="00462BE4">
              <w:rPr>
                <w:rFonts w:ascii="Times New Roman" w:hAnsi="Times New Roman"/>
                <w:sz w:val="24"/>
                <w:szCs w:val="24"/>
              </w:rPr>
              <w:t>1</w:t>
            </w:r>
            <w:r w:rsidR="00B546F3">
              <w:rPr>
                <w:rFonts w:ascii="Times New Roman" w:hAnsi="Times New Roman"/>
                <w:sz w:val="24"/>
                <w:szCs w:val="24"/>
              </w:rPr>
              <w:t>5</w:t>
            </w:r>
            <w:r w:rsidR="00462BE4">
              <w:rPr>
                <w:rFonts w:ascii="Times New Roman" w:hAnsi="Times New Roman"/>
                <w:sz w:val="24"/>
                <w:szCs w:val="24"/>
              </w:rPr>
              <w:t>.</w:t>
            </w:r>
            <w:r w:rsidR="008362F0">
              <w:rPr>
                <w:rFonts w:ascii="Times New Roman" w:hAnsi="Times New Roman"/>
                <w:sz w:val="24"/>
                <w:szCs w:val="24"/>
              </w:rPr>
              <w:t xml:space="preserve"> </w:t>
            </w:r>
            <w:r w:rsidR="00FF33B2">
              <w:rPr>
                <w:rFonts w:ascii="Times New Roman" w:hAnsi="Times New Roman"/>
                <w:sz w:val="24"/>
                <w:szCs w:val="24"/>
              </w:rPr>
              <w:t xml:space="preserve">un </w:t>
            </w:r>
            <w:r w:rsidR="008362F0">
              <w:rPr>
                <w:rFonts w:ascii="Times New Roman" w:hAnsi="Times New Roman"/>
                <w:sz w:val="24"/>
                <w:szCs w:val="24"/>
              </w:rPr>
              <w:t>1</w:t>
            </w:r>
            <w:r w:rsidR="00B546F3">
              <w:rPr>
                <w:rFonts w:ascii="Times New Roman" w:hAnsi="Times New Roman"/>
                <w:sz w:val="24"/>
                <w:szCs w:val="24"/>
              </w:rPr>
              <w:t>6</w:t>
            </w:r>
            <w:r w:rsidR="008362F0">
              <w:rPr>
                <w:rFonts w:ascii="Times New Roman" w:hAnsi="Times New Roman"/>
                <w:sz w:val="24"/>
                <w:szCs w:val="24"/>
              </w:rPr>
              <w:t>.punktā, piešķir</w:t>
            </w:r>
            <w:r w:rsidR="00891589">
              <w:rPr>
                <w:rFonts w:ascii="Times New Roman" w:hAnsi="Times New Roman"/>
                <w:sz w:val="24"/>
                <w:szCs w:val="24"/>
              </w:rPr>
              <w:t xml:space="preserve"> saskaņā ar </w:t>
            </w:r>
            <w:r w:rsidR="00462BE4">
              <w:rPr>
                <w:rFonts w:ascii="Times New Roman" w:hAnsi="Times New Roman"/>
                <w:sz w:val="24"/>
                <w:szCs w:val="24"/>
              </w:rPr>
              <w:t>Komisijas Regulas</w:t>
            </w:r>
            <w:r w:rsidR="00462BE4" w:rsidRPr="0043113C">
              <w:rPr>
                <w:rFonts w:ascii="Times New Roman" w:hAnsi="Times New Roman"/>
                <w:sz w:val="24"/>
                <w:szCs w:val="24"/>
              </w:rPr>
              <w:t xml:space="preserve"> Nr.1407/2013</w:t>
            </w:r>
            <w:r w:rsidR="002938B5">
              <w:rPr>
                <w:rFonts w:ascii="Times New Roman" w:hAnsi="Times New Roman"/>
                <w:sz w:val="24"/>
                <w:szCs w:val="24"/>
              </w:rPr>
              <w:t xml:space="preserve"> </w:t>
            </w:r>
            <w:r w:rsidR="00462BE4">
              <w:rPr>
                <w:rFonts w:ascii="Times New Roman" w:hAnsi="Times New Roman"/>
                <w:sz w:val="24"/>
                <w:szCs w:val="24"/>
              </w:rPr>
              <w:t>nosacījumiem.</w:t>
            </w:r>
            <w:r w:rsidR="00ED3D67">
              <w:rPr>
                <w:rFonts w:ascii="Times New Roman" w:hAnsi="Times New Roman"/>
                <w:sz w:val="24"/>
                <w:szCs w:val="24"/>
              </w:rPr>
              <w:t xml:space="preserve"> Noteikumu projekta 1</w:t>
            </w:r>
            <w:r w:rsidR="00B546F3">
              <w:rPr>
                <w:rFonts w:ascii="Times New Roman" w:hAnsi="Times New Roman"/>
                <w:sz w:val="24"/>
                <w:szCs w:val="24"/>
              </w:rPr>
              <w:t>7</w:t>
            </w:r>
            <w:r w:rsidR="00ED3D67">
              <w:rPr>
                <w:rFonts w:ascii="Times New Roman" w:hAnsi="Times New Roman"/>
                <w:sz w:val="24"/>
                <w:szCs w:val="24"/>
              </w:rPr>
              <w:t xml:space="preserve">.punktā paredzēto atbalstu zvejniecības un zvejas produktu apstrādei paredz saskaņā ar </w:t>
            </w:r>
            <w:r w:rsidR="00ED3D67" w:rsidRPr="003175A7">
              <w:rPr>
                <w:rFonts w:ascii="Times New Roman" w:hAnsi="Times New Roman"/>
                <w:sz w:val="24"/>
                <w:szCs w:val="24"/>
              </w:rPr>
              <w:t xml:space="preserve">Komisijas </w:t>
            </w:r>
            <w:r w:rsidR="00ED3D67">
              <w:rPr>
                <w:rFonts w:ascii="Times New Roman" w:hAnsi="Times New Roman"/>
                <w:sz w:val="24"/>
                <w:szCs w:val="24"/>
              </w:rPr>
              <w:t>r</w:t>
            </w:r>
            <w:r w:rsidR="00ED3D67" w:rsidRPr="003175A7">
              <w:rPr>
                <w:rFonts w:ascii="Times New Roman" w:hAnsi="Times New Roman"/>
                <w:sz w:val="24"/>
                <w:szCs w:val="24"/>
              </w:rPr>
              <w:t xml:space="preserve">egulas Nr. </w:t>
            </w:r>
            <w:hyperlink r:id="rId19" w:tgtFrame="_blank" w:history="1">
              <w:r w:rsidR="00ED3D67">
                <w:rPr>
                  <w:rFonts w:ascii="Times New Roman" w:hAnsi="Times New Roman"/>
                  <w:sz w:val="24"/>
                  <w:szCs w:val="24"/>
                </w:rPr>
                <w:t>717</w:t>
              </w:r>
              <w:r w:rsidR="00ED3D67" w:rsidRPr="003175A7">
                <w:rPr>
                  <w:rFonts w:ascii="Times New Roman" w:hAnsi="Times New Roman"/>
                  <w:sz w:val="24"/>
                  <w:szCs w:val="24"/>
                </w:rPr>
                <w:t>/201</w:t>
              </w:r>
              <w:r w:rsidR="00ED3D67">
                <w:rPr>
                  <w:rFonts w:ascii="Times New Roman" w:hAnsi="Times New Roman"/>
                  <w:sz w:val="24"/>
                  <w:szCs w:val="24"/>
                </w:rPr>
                <w:t>4</w:t>
              </w:r>
            </w:hyperlink>
            <w:r w:rsidR="00ED3D67">
              <w:rPr>
                <w:rFonts w:ascii="Times New Roman" w:hAnsi="Times New Roman"/>
                <w:sz w:val="24"/>
                <w:szCs w:val="24"/>
              </w:rPr>
              <w:t xml:space="preserve"> nosacījumiem, ja atbalsta pretendents darbojas </w:t>
            </w:r>
            <w:r w:rsidR="00ED3D67" w:rsidRPr="00ED3D67">
              <w:rPr>
                <w:rFonts w:ascii="Times New Roman" w:hAnsi="Times New Roman"/>
                <w:sz w:val="24"/>
                <w:szCs w:val="24"/>
              </w:rPr>
              <w:t xml:space="preserve">NACE.2 </w:t>
            </w:r>
            <w:r w:rsidR="00ED3D67">
              <w:rPr>
                <w:rFonts w:ascii="Times New Roman" w:hAnsi="Times New Roman"/>
                <w:sz w:val="24"/>
                <w:szCs w:val="24"/>
              </w:rPr>
              <w:t>grupā</w:t>
            </w:r>
            <w:r w:rsidR="00ED3D67" w:rsidRPr="00ED3D67">
              <w:rPr>
                <w:rFonts w:ascii="Times New Roman" w:hAnsi="Times New Roman"/>
                <w:sz w:val="24"/>
                <w:szCs w:val="24"/>
              </w:rPr>
              <w:t xml:space="preserve"> 03 </w:t>
            </w:r>
            <w:r w:rsidR="00ED3D67">
              <w:rPr>
                <w:rFonts w:ascii="Times New Roman" w:hAnsi="Times New Roman"/>
                <w:sz w:val="24"/>
                <w:szCs w:val="24"/>
              </w:rPr>
              <w:t>vai</w:t>
            </w:r>
            <w:r w:rsidR="00ED3D67" w:rsidRPr="00ED3D67">
              <w:rPr>
                <w:rFonts w:ascii="Times New Roman" w:hAnsi="Times New Roman"/>
                <w:sz w:val="24"/>
                <w:szCs w:val="24"/>
              </w:rPr>
              <w:t xml:space="preserve"> NACE.2 </w:t>
            </w:r>
            <w:r w:rsidR="00ED3D67">
              <w:rPr>
                <w:rFonts w:ascii="Times New Roman" w:hAnsi="Times New Roman"/>
                <w:sz w:val="24"/>
                <w:szCs w:val="24"/>
              </w:rPr>
              <w:t xml:space="preserve">grupā </w:t>
            </w:r>
            <w:r w:rsidR="00ED3D67" w:rsidRPr="00ED3D67">
              <w:rPr>
                <w:rFonts w:ascii="Times New Roman" w:hAnsi="Times New Roman"/>
                <w:sz w:val="24"/>
                <w:szCs w:val="24"/>
              </w:rPr>
              <w:t>03</w:t>
            </w:r>
            <w:r w:rsidR="00ED3D67">
              <w:rPr>
                <w:rFonts w:ascii="Times New Roman" w:hAnsi="Times New Roman"/>
                <w:sz w:val="24"/>
                <w:szCs w:val="24"/>
              </w:rPr>
              <w:t xml:space="preserve"> un grupā </w:t>
            </w:r>
            <w:r w:rsidR="00ED3D67" w:rsidRPr="00ED3D67">
              <w:rPr>
                <w:rFonts w:ascii="Times New Roman" w:hAnsi="Times New Roman"/>
                <w:sz w:val="24"/>
                <w:szCs w:val="24"/>
              </w:rPr>
              <w:t>10.2</w:t>
            </w:r>
            <w:r w:rsidR="00ED3D67">
              <w:rPr>
                <w:rFonts w:ascii="Times New Roman" w:hAnsi="Times New Roman"/>
                <w:sz w:val="24"/>
                <w:szCs w:val="24"/>
              </w:rPr>
              <w:t>., bet, ja atbalsta pretendents darbojas tikai NACE.2 grupā 10.2.</w:t>
            </w:r>
            <w:r w:rsidR="00FF33B2">
              <w:rPr>
                <w:rFonts w:ascii="Times New Roman" w:hAnsi="Times New Roman"/>
                <w:sz w:val="24"/>
                <w:szCs w:val="24"/>
              </w:rPr>
              <w:t>,</w:t>
            </w:r>
            <w:r w:rsidR="00ED3D67">
              <w:rPr>
                <w:rFonts w:ascii="Times New Roman" w:hAnsi="Times New Roman"/>
                <w:sz w:val="24"/>
                <w:szCs w:val="24"/>
              </w:rPr>
              <w:t xml:space="preserve"> tad atbalsts tiek piešķirts saskaņā ar Komisijas Regulas</w:t>
            </w:r>
            <w:r w:rsidR="00ED3D67" w:rsidRPr="0043113C">
              <w:rPr>
                <w:rFonts w:ascii="Times New Roman" w:hAnsi="Times New Roman"/>
                <w:sz w:val="24"/>
                <w:szCs w:val="24"/>
              </w:rPr>
              <w:t xml:space="preserve"> Nr.1407/2013</w:t>
            </w:r>
            <w:r w:rsidR="00ED3D67">
              <w:rPr>
                <w:rFonts w:ascii="Times New Roman" w:hAnsi="Times New Roman"/>
                <w:sz w:val="24"/>
                <w:szCs w:val="24"/>
              </w:rPr>
              <w:t xml:space="preserve"> nosacījumiem</w:t>
            </w:r>
            <w:r w:rsidR="00007243">
              <w:rPr>
                <w:rFonts w:ascii="Times New Roman" w:hAnsi="Times New Roman"/>
                <w:sz w:val="24"/>
                <w:szCs w:val="24"/>
              </w:rPr>
              <w:t xml:space="preserve">, </w:t>
            </w:r>
            <w:r w:rsidR="00007243" w:rsidRPr="00007243">
              <w:rPr>
                <w:rFonts w:ascii="Times New Roman" w:hAnsi="Times New Roman"/>
                <w:sz w:val="24"/>
                <w:szCs w:val="24"/>
              </w:rPr>
              <w:t xml:space="preserve">ņemot vērā to, ka darbības NACE.2 grupā 10.2. neietilpst Eiropas parlamenta un padomes 2013. gada 11. decembra </w:t>
            </w:r>
            <w:r w:rsidR="00FF33B2">
              <w:rPr>
                <w:rFonts w:ascii="Times New Roman" w:hAnsi="Times New Roman"/>
                <w:sz w:val="24"/>
                <w:szCs w:val="24"/>
              </w:rPr>
              <w:t>R</w:t>
            </w:r>
            <w:r w:rsidR="00007243" w:rsidRPr="00007243">
              <w:rPr>
                <w:rFonts w:ascii="Times New Roman" w:hAnsi="Times New Roman"/>
                <w:sz w:val="24"/>
                <w:szCs w:val="24"/>
              </w:rPr>
              <w:t>egulas (ES) Nr. 1379/2013 par zvejas un akvakultūras produktu tirgu kopīgo organizāciju un ar ko groza Padomes Regulas (EK) Nr. 1184/2006 un (EK) Nr. 1224/2009 un atceļ Padomes Regulu (EK) Nr. 104/2000 darbības jomā un uz to neattiecas ierobežojumi, kas noteikti Komisijas Regulas 1407/2013 1. pantā</w:t>
            </w:r>
            <w:r w:rsidR="00ED3D67">
              <w:rPr>
                <w:rFonts w:ascii="Times New Roman" w:hAnsi="Times New Roman"/>
                <w:sz w:val="24"/>
                <w:szCs w:val="24"/>
              </w:rPr>
              <w:t>.</w:t>
            </w:r>
          </w:p>
          <w:p w14:paraId="3604E467" w14:textId="44DFD5FD" w:rsidR="00734751" w:rsidRDefault="00734751" w:rsidP="00BC7E31">
            <w:pPr>
              <w:spacing w:after="0" w:line="240" w:lineRule="auto"/>
              <w:ind w:left="57" w:right="57"/>
              <w:jc w:val="both"/>
              <w:rPr>
                <w:rFonts w:ascii="Times New Roman" w:hAnsi="Times New Roman"/>
                <w:sz w:val="24"/>
                <w:szCs w:val="24"/>
              </w:rPr>
            </w:pPr>
            <w:r>
              <w:rPr>
                <w:rFonts w:ascii="Times New Roman" w:hAnsi="Times New Roman"/>
                <w:sz w:val="24"/>
                <w:szCs w:val="24"/>
              </w:rPr>
              <w:t>Noteikumu projekta 1</w:t>
            </w:r>
            <w:r w:rsidR="00B546F3">
              <w:rPr>
                <w:rFonts w:ascii="Times New Roman" w:hAnsi="Times New Roman"/>
                <w:sz w:val="24"/>
                <w:szCs w:val="24"/>
              </w:rPr>
              <w:t>5</w:t>
            </w:r>
            <w:r>
              <w:rPr>
                <w:rFonts w:ascii="Times New Roman" w:hAnsi="Times New Roman"/>
                <w:sz w:val="24"/>
                <w:szCs w:val="24"/>
              </w:rPr>
              <w:t>.punktā minētajiem atbalsta pretendentiem atbalstu piešķir saskaņā ar un Komisijas Regulas</w:t>
            </w:r>
            <w:r w:rsidRPr="0043113C">
              <w:rPr>
                <w:rFonts w:ascii="Times New Roman" w:hAnsi="Times New Roman"/>
                <w:sz w:val="24"/>
                <w:szCs w:val="24"/>
              </w:rPr>
              <w:t xml:space="preserve"> Nr.1407/2013</w:t>
            </w:r>
            <w:r w:rsidRPr="003175A7">
              <w:rPr>
                <w:rFonts w:ascii="Times New Roman" w:hAnsi="Times New Roman"/>
                <w:sz w:val="24"/>
                <w:szCs w:val="24"/>
              </w:rPr>
              <w:t xml:space="preserve"> nosacījumiem</w:t>
            </w:r>
            <w:r>
              <w:rPr>
                <w:rFonts w:ascii="Times New Roman" w:hAnsi="Times New Roman"/>
                <w:sz w:val="24"/>
                <w:szCs w:val="24"/>
              </w:rPr>
              <w:t xml:space="preserve">, jo atbalsts tiek paredzēts lauksaimniecības produktu pārstrādei. </w:t>
            </w:r>
            <w:r w:rsidR="00FF33B2" w:rsidRPr="00FF33B2">
              <w:rPr>
                <w:rFonts w:ascii="Times New Roman" w:hAnsi="Times New Roman"/>
                <w:sz w:val="24"/>
                <w:szCs w:val="24"/>
              </w:rPr>
              <w:t xml:space="preserve">Saskaņā ar noteikumu projekta 15.punktu atbalstu piešķir tādiem lauksaimniecības produktu pārstrādes uzņēmumiem, kuri ražo LESD I pielikumā neminētus produktus (saimnieciskās darbības statistiskās klasifikācijas (NACE 2. red.) kodi – grupa 10.7, grupa 10.5.2, grupa 11.07 (tikai dabīgi raudzēts kvass ar alkohola saturu līdz 0,5 </w:t>
            </w:r>
            <w:proofErr w:type="spellStart"/>
            <w:r w:rsidR="00FF33B2" w:rsidRPr="00FF33B2">
              <w:rPr>
                <w:rFonts w:ascii="Times New Roman" w:hAnsi="Times New Roman"/>
                <w:sz w:val="24"/>
                <w:szCs w:val="24"/>
              </w:rPr>
              <w:t>tilp</w:t>
            </w:r>
            <w:proofErr w:type="spellEnd"/>
            <w:r w:rsidR="00FF33B2" w:rsidRPr="00FF33B2">
              <w:rPr>
                <w:rFonts w:ascii="Times New Roman" w:hAnsi="Times New Roman"/>
                <w:sz w:val="24"/>
                <w:szCs w:val="24"/>
              </w:rPr>
              <w:t xml:space="preserve">. %), grupa 10.3, ja šie produkti atbilst Eiropas Savienības Kombinētās nomenklatūras kodiem 20041091un 20052010, grupa 10.41, ja šie produkti atbilst Eiropas Savienības Kombinētās nomenklatūras kodam 1518, un grupa 10.5.1, ja šie produkti atbilst Eiropas Savienības Kombinētās nomenklatūras kodiem 04031051–04039099, 04052010–04052030, 3501 un 3502), kā arī tādiem lauksaimniecības produktu pārstrādes uzņēmumiem, kas neatbilst Komisijas regulas Nr. </w:t>
            </w:r>
            <w:hyperlink r:id="rId20" w:tgtFrame="_blank" w:history="1">
              <w:r w:rsidR="00FF33B2" w:rsidRPr="00FF33B2">
                <w:rPr>
                  <w:rFonts w:ascii="Times New Roman" w:hAnsi="Times New Roman"/>
                  <w:sz w:val="24"/>
                  <w:szCs w:val="24"/>
                </w:rPr>
                <w:t>702/2014</w:t>
              </w:r>
            </w:hyperlink>
            <w:r w:rsidR="00FF33B2" w:rsidRPr="00FF33B2">
              <w:rPr>
                <w:rFonts w:ascii="Times New Roman" w:hAnsi="Times New Roman"/>
                <w:sz w:val="24"/>
                <w:szCs w:val="24"/>
              </w:rPr>
              <w:t xml:space="preserve"> I pielikumā minētajai mikrouzņēmuma, mazā un vidējā uzņēmuma kategorijai, jo šādiem uzņēmumiem atbalstu, kas minēts noteikumu projekta 14.punktā, nevar paredzēt saskaņā ar Komisijas regulu Nr. </w:t>
            </w:r>
            <w:hyperlink r:id="rId21" w:tgtFrame="_blank" w:history="1">
              <w:r w:rsidR="00FF33B2" w:rsidRPr="00FF33B2">
                <w:rPr>
                  <w:rFonts w:ascii="Times New Roman" w:hAnsi="Times New Roman"/>
                  <w:sz w:val="24"/>
                  <w:szCs w:val="24"/>
                </w:rPr>
                <w:t>702/2014</w:t>
              </w:r>
            </w:hyperlink>
            <w:r>
              <w:rPr>
                <w:rFonts w:ascii="Times New Roman" w:hAnsi="Times New Roman"/>
                <w:sz w:val="24"/>
                <w:szCs w:val="24"/>
              </w:rPr>
              <w:t>.</w:t>
            </w:r>
          </w:p>
          <w:p w14:paraId="6FF951DB" w14:textId="6B1FA84A" w:rsidR="00D42C2D" w:rsidRPr="003175A7" w:rsidRDefault="00D42C2D" w:rsidP="00BC7E31">
            <w:pPr>
              <w:spacing w:after="0" w:line="240" w:lineRule="auto"/>
              <w:ind w:left="57" w:right="57"/>
              <w:jc w:val="both"/>
              <w:rPr>
                <w:rFonts w:ascii="Times New Roman" w:hAnsi="Times New Roman"/>
                <w:sz w:val="24"/>
                <w:szCs w:val="24"/>
              </w:rPr>
            </w:pPr>
            <w:r>
              <w:rPr>
                <w:rFonts w:ascii="Times New Roman" w:hAnsi="Times New Roman"/>
                <w:sz w:val="24"/>
                <w:szCs w:val="24"/>
              </w:rPr>
              <w:t>Atbalsta pasākum</w:t>
            </w:r>
            <w:r w:rsidR="00755546">
              <w:rPr>
                <w:rFonts w:ascii="Times New Roman" w:hAnsi="Times New Roman"/>
                <w:sz w:val="24"/>
                <w:szCs w:val="24"/>
              </w:rPr>
              <w:t>am</w:t>
            </w:r>
            <w:r>
              <w:rPr>
                <w:rFonts w:ascii="Times New Roman" w:hAnsi="Times New Roman"/>
                <w:sz w:val="24"/>
                <w:szCs w:val="24"/>
              </w:rPr>
              <w:t>, k</w:t>
            </w:r>
            <w:r w:rsidR="000E7E1F">
              <w:rPr>
                <w:rFonts w:ascii="Times New Roman" w:hAnsi="Times New Roman"/>
                <w:sz w:val="24"/>
                <w:szCs w:val="24"/>
              </w:rPr>
              <w:t>as</w:t>
            </w:r>
            <w:r>
              <w:rPr>
                <w:rFonts w:ascii="Times New Roman" w:hAnsi="Times New Roman"/>
                <w:sz w:val="24"/>
                <w:szCs w:val="24"/>
              </w:rPr>
              <w:t xml:space="preserve"> minēt</w:t>
            </w:r>
            <w:r w:rsidR="00755546">
              <w:rPr>
                <w:rFonts w:ascii="Times New Roman" w:hAnsi="Times New Roman"/>
                <w:sz w:val="24"/>
                <w:szCs w:val="24"/>
              </w:rPr>
              <w:t>s</w:t>
            </w:r>
            <w:r>
              <w:rPr>
                <w:rFonts w:ascii="Times New Roman" w:hAnsi="Times New Roman"/>
                <w:sz w:val="24"/>
                <w:szCs w:val="24"/>
              </w:rPr>
              <w:t xml:space="preserve"> noteikumu projekta </w:t>
            </w:r>
            <w:r w:rsidR="006477C7">
              <w:rPr>
                <w:rFonts w:ascii="Times New Roman" w:hAnsi="Times New Roman"/>
                <w:sz w:val="24"/>
                <w:szCs w:val="24"/>
              </w:rPr>
              <w:t>1</w:t>
            </w:r>
            <w:r w:rsidR="00B546F3">
              <w:rPr>
                <w:rFonts w:ascii="Times New Roman" w:hAnsi="Times New Roman"/>
                <w:sz w:val="24"/>
                <w:szCs w:val="24"/>
              </w:rPr>
              <w:t>4</w:t>
            </w:r>
            <w:r w:rsidR="006477C7">
              <w:rPr>
                <w:rFonts w:ascii="Times New Roman" w:hAnsi="Times New Roman"/>
                <w:sz w:val="24"/>
                <w:szCs w:val="24"/>
              </w:rPr>
              <w:t>.punktā</w:t>
            </w:r>
            <w:r w:rsidR="002938B5">
              <w:rPr>
                <w:rFonts w:ascii="Times New Roman" w:hAnsi="Times New Roman"/>
                <w:sz w:val="24"/>
                <w:szCs w:val="24"/>
              </w:rPr>
              <w:t>,</w:t>
            </w:r>
            <w:r w:rsidR="006477C7">
              <w:rPr>
                <w:rFonts w:ascii="Times New Roman" w:hAnsi="Times New Roman"/>
                <w:sz w:val="24"/>
                <w:szCs w:val="24"/>
              </w:rPr>
              <w:t xml:space="preserve"> </w:t>
            </w:r>
            <w:r w:rsidR="00755546">
              <w:rPr>
                <w:rFonts w:ascii="Times New Roman" w:hAnsi="Times New Roman"/>
                <w:sz w:val="24"/>
                <w:szCs w:val="24"/>
              </w:rPr>
              <w:t>atbalstu</w:t>
            </w:r>
            <w:r>
              <w:rPr>
                <w:rFonts w:ascii="Times New Roman" w:hAnsi="Times New Roman"/>
                <w:sz w:val="24"/>
                <w:szCs w:val="24"/>
              </w:rPr>
              <w:t xml:space="preserve"> piešķirs saskaņā ar </w:t>
            </w:r>
            <w:r w:rsidRPr="00D42C2D">
              <w:rPr>
                <w:rFonts w:ascii="Times New Roman" w:hAnsi="Times New Roman"/>
                <w:sz w:val="24"/>
                <w:szCs w:val="24"/>
              </w:rPr>
              <w:t>Komisijas regul</w:t>
            </w:r>
            <w:r w:rsidR="000E7E1F">
              <w:rPr>
                <w:rFonts w:ascii="Times New Roman" w:hAnsi="Times New Roman"/>
                <w:sz w:val="24"/>
                <w:szCs w:val="24"/>
              </w:rPr>
              <w:t>u</w:t>
            </w:r>
            <w:r w:rsidRPr="00D42C2D">
              <w:rPr>
                <w:rFonts w:ascii="Times New Roman" w:hAnsi="Times New Roman"/>
                <w:sz w:val="24"/>
                <w:szCs w:val="24"/>
              </w:rPr>
              <w:t xml:space="preserve"> Nr. </w:t>
            </w:r>
            <w:hyperlink r:id="rId22" w:tgtFrame="_blank" w:history="1">
              <w:r w:rsidRPr="00D42C2D">
                <w:rPr>
                  <w:rFonts w:ascii="Times New Roman" w:hAnsi="Times New Roman"/>
                  <w:sz w:val="24"/>
                  <w:szCs w:val="24"/>
                </w:rPr>
                <w:t>702/2014</w:t>
              </w:r>
            </w:hyperlink>
            <w:r w:rsidR="002938B5">
              <w:rPr>
                <w:rFonts w:ascii="Times New Roman" w:hAnsi="Times New Roman"/>
                <w:sz w:val="24"/>
                <w:szCs w:val="24"/>
              </w:rPr>
              <w:t>, ievērojot</w:t>
            </w:r>
            <w:r w:rsidR="00755546" w:rsidRPr="007A7182">
              <w:rPr>
                <w:rFonts w:ascii="Times New Roman" w:hAnsi="Times New Roman"/>
                <w:sz w:val="24"/>
                <w:szCs w:val="24"/>
              </w:rPr>
              <w:t xml:space="preserve"> Eiropas Komisijas lēmumu </w:t>
            </w:r>
            <w:hyperlink r:id="rId23" w:tgtFrame="_blank" w:history="1">
              <w:r w:rsidR="00755546" w:rsidRPr="00EA2ED3">
                <w:rPr>
                  <w:rFonts w:ascii="Times New Roman" w:hAnsi="Times New Roman"/>
                  <w:sz w:val="24"/>
                </w:rPr>
                <w:t>SA.41387</w:t>
              </w:r>
            </w:hyperlink>
            <w:r w:rsidR="00755546" w:rsidRPr="00EA2ED3">
              <w:rPr>
                <w:rFonts w:ascii="Times New Roman" w:hAnsi="Times New Roman"/>
                <w:sz w:val="24"/>
              </w:rPr>
              <w:t xml:space="preserve"> „Kredītprocentu daļēja dzēšana lauksaimniecības produktu pārstrādei</w:t>
            </w:r>
            <w:r w:rsidR="00755546" w:rsidRPr="007A7182">
              <w:rPr>
                <w:rFonts w:ascii="Times New Roman" w:hAnsi="Times New Roman"/>
                <w:sz w:val="24"/>
                <w:szCs w:val="24"/>
              </w:rPr>
              <w:t xml:space="preserve">. </w:t>
            </w:r>
            <w:r w:rsidR="00755546">
              <w:rPr>
                <w:rFonts w:ascii="Times New Roman" w:hAnsi="Times New Roman"/>
                <w:sz w:val="24"/>
                <w:szCs w:val="24"/>
              </w:rPr>
              <w:t>V</w:t>
            </w:r>
            <w:r w:rsidR="00755546" w:rsidRPr="007A7182">
              <w:rPr>
                <w:rFonts w:ascii="Times New Roman" w:hAnsi="Times New Roman"/>
                <w:sz w:val="24"/>
                <w:szCs w:val="24"/>
              </w:rPr>
              <w:t xml:space="preserve">alsts atbalsts kredītprocentu daļējai dzēšanai </w:t>
            </w:r>
            <w:r w:rsidR="00755546">
              <w:rPr>
                <w:rFonts w:ascii="Times New Roman" w:hAnsi="Times New Roman"/>
                <w:sz w:val="24"/>
                <w:szCs w:val="24"/>
              </w:rPr>
              <w:t xml:space="preserve">lauksaimniecības produktu pārstrādei </w:t>
            </w:r>
            <w:r w:rsidR="002938B5">
              <w:rPr>
                <w:rFonts w:ascii="Times New Roman" w:hAnsi="Times New Roman"/>
                <w:sz w:val="24"/>
                <w:szCs w:val="24"/>
              </w:rPr>
              <w:t xml:space="preserve">ir </w:t>
            </w:r>
            <w:r w:rsidR="00755546" w:rsidRPr="007A7182">
              <w:rPr>
                <w:rFonts w:ascii="Times New Roman" w:hAnsi="Times New Roman"/>
                <w:sz w:val="24"/>
                <w:szCs w:val="24"/>
              </w:rPr>
              <w:t>saskaņots līdz 20</w:t>
            </w:r>
            <w:r w:rsidR="00755546">
              <w:rPr>
                <w:rFonts w:ascii="Times New Roman" w:hAnsi="Times New Roman"/>
                <w:sz w:val="24"/>
                <w:szCs w:val="24"/>
              </w:rPr>
              <w:t>21</w:t>
            </w:r>
            <w:r w:rsidR="00755546" w:rsidRPr="007A7182">
              <w:rPr>
                <w:rFonts w:ascii="Times New Roman" w:hAnsi="Times New Roman"/>
                <w:sz w:val="24"/>
                <w:szCs w:val="24"/>
              </w:rPr>
              <w:t xml:space="preserve">.gada </w:t>
            </w:r>
            <w:r w:rsidR="00755546">
              <w:rPr>
                <w:rFonts w:ascii="Times New Roman" w:hAnsi="Times New Roman"/>
                <w:sz w:val="24"/>
                <w:szCs w:val="24"/>
              </w:rPr>
              <w:t>30</w:t>
            </w:r>
            <w:r w:rsidR="00755546" w:rsidRPr="007A7182">
              <w:rPr>
                <w:rFonts w:ascii="Times New Roman" w:hAnsi="Times New Roman"/>
                <w:sz w:val="24"/>
                <w:szCs w:val="24"/>
              </w:rPr>
              <w:t>.</w:t>
            </w:r>
            <w:r w:rsidR="00755546">
              <w:rPr>
                <w:rFonts w:ascii="Times New Roman" w:hAnsi="Times New Roman"/>
                <w:sz w:val="24"/>
                <w:szCs w:val="24"/>
              </w:rPr>
              <w:t>jūnijam</w:t>
            </w:r>
            <w:r w:rsidR="00755546" w:rsidRPr="007A7182">
              <w:rPr>
                <w:rFonts w:ascii="Times New Roman" w:hAnsi="Times New Roman"/>
                <w:sz w:val="24"/>
                <w:szCs w:val="24"/>
              </w:rPr>
              <w:t>.</w:t>
            </w:r>
          </w:p>
        </w:tc>
      </w:tr>
      <w:tr w:rsidR="00676910" w:rsidRPr="003175A7" w14:paraId="286BD2CE" w14:textId="77777777" w:rsidTr="0012313F">
        <w:trPr>
          <w:gridBefore w:val="1"/>
          <w:wBefore w:w="580" w:type="dxa"/>
          <w:jc w:val="center"/>
        </w:trPr>
        <w:tc>
          <w:tcPr>
            <w:tcW w:w="2269" w:type="dxa"/>
            <w:gridSpan w:val="3"/>
            <w:tcBorders>
              <w:top w:val="outset" w:sz="6" w:space="0" w:color="auto"/>
              <w:bottom w:val="outset" w:sz="6" w:space="0" w:color="auto"/>
              <w:right w:val="outset" w:sz="6" w:space="0" w:color="auto"/>
            </w:tcBorders>
          </w:tcPr>
          <w:p w14:paraId="305D27DE" w14:textId="77777777" w:rsidR="002F30BD" w:rsidRPr="007A7182" w:rsidRDefault="002F30BD" w:rsidP="00BC7E31">
            <w:pPr>
              <w:spacing w:after="0" w:line="240" w:lineRule="auto"/>
              <w:ind w:left="57" w:right="57"/>
              <w:rPr>
                <w:rFonts w:ascii="Times New Roman" w:hAnsi="Times New Roman"/>
                <w:sz w:val="24"/>
                <w:szCs w:val="24"/>
              </w:rPr>
            </w:pPr>
            <w:r w:rsidRPr="007A7182">
              <w:rPr>
                <w:rFonts w:ascii="Times New Roman" w:hAnsi="Times New Roman"/>
                <w:sz w:val="24"/>
                <w:szCs w:val="24"/>
              </w:rPr>
              <w:t>Cita informācija</w:t>
            </w:r>
          </w:p>
        </w:tc>
        <w:tc>
          <w:tcPr>
            <w:tcW w:w="7569" w:type="dxa"/>
            <w:gridSpan w:val="9"/>
            <w:tcBorders>
              <w:top w:val="outset" w:sz="6" w:space="0" w:color="auto"/>
              <w:left w:val="outset" w:sz="6" w:space="0" w:color="auto"/>
              <w:bottom w:val="outset" w:sz="6" w:space="0" w:color="auto"/>
            </w:tcBorders>
          </w:tcPr>
          <w:p w14:paraId="00CF3689" w14:textId="77777777" w:rsidR="002F30BD" w:rsidRPr="003175A7" w:rsidRDefault="002F30BD" w:rsidP="00BC7E31">
            <w:pPr>
              <w:spacing w:after="0" w:line="240" w:lineRule="auto"/>
              <w:ind w:left="57" w:right="57"/>
              <w:rPr>
                <w:rFonts w:ascii="Times New Roman" w:hAnsi="Times New Roman"/>
                <w:sz w:val="24"/>
                <w:szCs w:val="24"/>
              </w:rPr>
            </w:pPr>
            <w:r w:rsidRPr="003175A7">
              <w:rPr>
                <w:rFonts w:ascii="Times New Roman" w:hAnsi="Times New Roman"/>
                <w:sz w:val="24"/>
                <w:szCs w:val="24"/>
              </w:rPr>
              <w:t>Nav.</w:t>
            </w:r>
          </w:p>
        </w:tc>
      </w:tr>
      <w:tr w:rsidR="00676910" w:rsidRPr="007A7182" w14:paraId="195A98B4" w14:textId="77777777" w:rsidTr="0012313F">
        <w:trPr>
          <w:gridBefore w:val="1"/>
          <w:wBefore w:w="580" w:type="dxa"/>
          <w:jc w:val="center"/>
        </w:trPr>
        <w:tc>
          <w:tcPr>
            <w:tcW w:w="9838" w:type="dxa"/>
            <w:gridSpan w:val="12"/>
            <w:tcBorders>
              <w:top w:val="outset" w:sz="6" w:space="0" w:color="auto"/>
              <w:bottom w:val="outset" w:sz="6" w:space="0" w:color="auto"/>
            </w:tcBorders>
            <w:vAlign w:val="center"/>
          </w:tcPr>
          <w:p w14:paraId="4B82E2AE" w14:textId="77777777" w:rsidR="002F30BD" w:rsidRPr="007A7182" w:rsidRDefault="002F30BD" w:rsidP="00BC7E31">
            <w:pPr>
              <w:spacing w:after="0" w:line="240" w:lineRule="auto"/>
              <w:ind w:left="57" w:right="57"/>
              <w:rPr>
                <w:rFonts w:ascii="Times New Roman" w:hAnsi="Times New Roman"/>
                <w:b/>
                <w:sz w:val="24"/>
                <w:szCs w:val="24"/>
              </w:rPr>
            </w:pPr>
            <w:r w:rsidRPr="007A7182">
              <w:rPr>
                <w:rFonts w:ascii="Times New Roman" w:hAnsi="Times New Roman"/>
                <w:b/>
                <w:sz w:val="24"/>
                <w:szCs w:val="24"/>
              </w:rPr>
              <w:t>2.tabula</w:t>
            </w:r>
          </w:p>
          <w:p w14:paraId="773F1B3D" w14:textId="77777777" w:rsidR="002F30BD" w:rsidRPr="007A7182" w:rsidRDefault="002F30BD" w:rsidP="00BC7E31">
            <w:pPr>
              <w:spacing w:after="0" w:line="240" w:lineRule="auto"/>
              <w:ind w:left="57" w:right="57"/>
              <w:rPr>
                <w:rFonts w:ascii="Times New Roman" w:hAnsi="Times New Roman"/>
                <w:b/>
                <w:sz w:val="24"/>
                <w:szCs w:val="24"/>
              </w:rPr>
            </w:pPr>
            <w:r w:rsidRPr="007A7182">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14:paraId="4B04FC94" w14:textId="77777777" w:rsidR="002F30BD" w:rsidRPr="007A7182" w:rsidRDefault="002F30BD" w:rsidP="00BC7E31">
            <w:pPr>
              <w:spacing w:after="0" w:line="240" w:lineRule="auto"/>
              <w:ind w:left="57" w:right="57"/>
              <w:rPr>
                <w:rFonts w:ascii="Times New Roman" w:hAnsi="Times New Roman"/>
                <w:b/>
                <w:sz w:val="24"/>
                <w:szCs w:val="24"/>
              </w:rPr>
            </w:pPr>
            <w:r w:rsidRPr="007A7182">
              <w:rPr>
                <w:rFonts w:ascii="Times New Roman" w:hAnsi="Times New Roman"/>
                <w:b/>
                <w:sz w:val="24"/>
                <w:szCs w:val="24"/>
              </w:rPr>
              <w:lastRenderedPageBreak/>
              <w:t>Pasākumi šo saistību izpildei</w:t>
            </w:r>
          </w:p>
        </w:tc>
      </w:tr>
      <w:tr w:rsidR="00676910" w:rsidRPr="007A7182" w14:paraId="6549836A" w14:textId="77777777" w:rsidTr="0012313F">
        <w:trPr>
          <w:gridBefore w:val="1"/>
          <w:wBefore w:w="580" w:type="dxa"/>
          <w:jc w:val="center"/>
        </w:trPr>
        <w:tc>
          <w:tcPr>
            <w:tcW w:w="2446" w:type="dxa"/>
            <w:gridSpan w:val="4"/>
            <w:tcBorders>
              <w:top w:val="outset" w:sz="6" w:space="0" w:color="auto"/>
              <w:bottom w:val="outset" w:sz="6" w:space="0" w:color="auto"/>
              <w:right w:val="outset" w:sz="6" w:space="0" w:color="auto"/>
            </w:tcBorders>
            <w:vAlign w:val="center"/>
          </w:tcPr>
          <w:p w14:paraId="43A0EA30" w14:textId="77777777" w:rsidR="002F30BD" w:rsidRPr="007A7182" w:rsidRDefault="002F30BD" w:rsidP="00BC7E31">
            <w:pPr>
              <w:spacing w:after="0" w:line="240" w:lineRule="auto"/>
              <w:ind w:left="57" w:right="57"/>
              <w:rPr>
                <w:rFonts w:ascii="Times New Roman" w:hAnsi="Times New Roman"/>
                <w:sz w:val="24"/>
                <w:szCs w:val="24"/>
              </w:rPr>
            </w:pPr>
            <w:r w:rsidRPr="007A7182">
              <w:rPr>
                <w:rFonts w:ascii="Times New Roman" w:hAnsi="Times New Roman"/>
                <w:sz w:val="24"/>
                <w:szCs w:val="24"/>
              </w:rPr>
              <w:lastRenderedPageBreak/>
              <w:t>Attiecīgā starptautiskā tiesību akta vai starptautiskas institūcijas vai organizācijas dokumenta (turpmāk – starptautiskais dokuments) datums, numurs un nosaukums</w:t>
            </w:r>
          </w:p>
        </w:tc>
        <w:tc>
          <w:tcPr>
            <w:tcW w:w="7392" w:type="dxa"/>
            <w:gridSpan w:val="8"/>
            <w:tcBorders>
              <w:top w:val="outset" w:sz="6" w:space="0" w:color="auto"/>
              <w:left w:val="outset" w:sz="6" w:space="0" w:color="auto"/>
              <w:bottom w:val="outset" w:sz="6" w:space="0" w:color="auto"/>
            </w:tcBorders>
          </w:tcPr>
          <w:p w14:paraId="0F450124" w14:textId="77777777" w:rsidR="002F30BD" w:rsidRPr="007A7182" w:rsidRDefault="002F30BD" w:rsidP="00BC7E31">
            <w:pPr>
              <w:spacing w:after="0" w:line="240" w:lineRule="auto"/>
              <w:ind w:left="57" w:right="57"/>
              <w:rPr>
                <w:rFonts w:ascii="Times New Roman" w:hAnsi="Times New Roman"/>
                <w:sz w:val="24"/>
                <w:szCs w:val="24"/>
              </w:rPr>
            </w:pPr>
            <w:r w:rsidRPr="007A7182">
              <w:rPr>
                <w:rFonts w:ascii="Times New Roman" w:hAnsi="Times New Roman"/>
                <w:sz w:val="24"/>
                <w:szCs w:val="24"/>
              </w:rPr>
              <w:t>Projekts šo jomu neskar.</w:t>
            </w:r>
          </w:p>
        </w:tc>
      </w:tr>
      <w:tr w:rsidR="00676910" w:rsidRPr="00016696" w14:paraId="72950CE4" w14:textId="77777777" w:rsidTr="0012313F">
        <w:trPr>
          <w:gridBefore w:val="1"/>
          <w:wBefore w:w="580" w:type="dxa"/>
          <w:jc w:val="center"/>
        </w:trPr>
        <w:tc>
          <w:tcPr>
            <w:tcW w:w="2446" w:type="dxa"/>
            <w:gridSpan w:val="4"/>
            <w:tcBorders>
              <w:top w:val="outset" w:sz="6" w:space="0" w:color="auto"/>
              <w:bottom w:val="outset" w:sz="6" w:space="0" w:color="auto"/>
              <w:right w:val="outset" w:sz="6" w:space="0" w:color="auto"/>
            </w:tcBorders>
            <w:vAlign w:val="center"/>
          </w:tcPr>
          <w:p w14:paraId="50436255" w14:textId="77777777" w:rsidR="002F30BD" w:rsidRPr="00610E3E" w:rsidRDefault="002F30BD" w:rsidP="00BC7E31">
            <w:pPr>
              <w:spacing w:after="0" w:line="240" w:lineRule="auto"/>
              <w:ind w:left="57" w:right="57"/>
              <w:rPr>
                <w:rFonts w:ascii="Times New Roman" w:hAnsi="Times New Roman"/>
                <w:sz w:val="24"/>
                <w:szCs w:val="24"/>
              </w:rPr>
            </w:pPr>
            <w:r w:rsidRPr="00610E3E">
              <w:rPr>
                <w:rFonts w:ascii="Times New Roman" w:hAnsi="Times New Roman"/>
                <w:sz w:val="24"/>
                <w:szCs w:val="24"/>
              </w:rPr>
              <w:t>A</w:t>
            </w:r>
          </w:p>
        </w:tc>
        <w:tc>
          <w:tcPr>
            <w:tcW w:w="2968" w:type="dxa"/>
            <w:gridSpan w:val="4"/>
            <w:tcBorders>
              <w:top w:val="outset" w:sz="6" w:space="0" w:color="auto"/>
              <w:left w:val="outset" w:sz="6" w:space="0" w:color="auto"/>
              <w:bottom w:val="outset" w:sz="6" w:space="0" w:color="auto"/>
              <w:right w:val="outset" w:sz="6" w:space="0" w:color="auto"/>
            </w:tcBorders>
            <w:vAlign w:val="center"/>
          </w:tcPr>
          <w:p w14:paraId="44203524" w14:textId="77777777" w:rsidR="002F30BD" w:rsidRPr="00610E3E" w:rsidRDefault="002F30BD" w:rsidP="00BC7E31">
            <w:pPr>
              <w:spacing w:after="0" w:line="240" w:lineRule="auto"/>
              <w:ind w:left="57" w:right="57"/>
              <w:rPr>
                <w:rFonts w:ascii="Times New Roman" w:hAnsi="Times New Roman"/>
                <w:sz w:val="24"/>
                <w:szCs w:val="24"/>
              </w:rPr>
            </w:pPr>
            <w:r w:rsidRPr="00610E3E">
              <w:rPr>
                <w:rFonts w:ascii="Times New Roman" w:hAnsi="Times New Roman"/>
                <w:sz w:val="24"/>
                <w:szCs w:val="24"/>
              </w:rPr>
              <w:t>B</w:t>
            </w:r>
          </w:p>
        </w:tc>
        <w:tc>
          <w:tcPr>
            <w:tcW w:w="4424" w:type="dxa"/>
            <w:gridSpan w:val="4"/>
            <w:tcBorders>
              <w:top w:val="outset" w:sz="6" w:space="0" w:color="auto"/>
              <w:left w:val="outset" w:sz="6" w:space="0" w:color="auto"/>
              <w:bottom w:val="outset" w:sz="6" w:space="0" w:color="auto"/>
            </w:tcBorders>
            <w:vAlign w:val="center"/>
          </w:tcPr>
          <w:p w14:paraId="22A36CE3" w14:textId="77777777" w:rsidR="002F30BD" w:rsidRPr="00016696" w:rsidRDefault="002F30BD" w:rsidP="00BC7E31">
            <w:pPr>
              <w:spacing w:after="0" w:line="240" w:lineRule="auto"/>
              <w:ind w:left="57" w:right="57"/>
              <w:rPr>
                <w:rFonts w:ascii="Times New Roman" w:hAnsi="Times New Roman"/>
                <w:sz w:val="24"/>
                <w:szCs w:val="24"/>
              </w:rPr>
            </w:pPr>
            <w:r w:rsidRPr="00016696">
              <w:rPr>
                <w:rFonts w:ascii="Times New Roman" w:hAnsi="Times New Roman"/>
                <w:sz w:val="24"/>
                <w:szCs w:val="24"/>
              </w:rPr>
              <w:t>C</w:t>
            </w:r>
          </w:p>
        </w:tc>
      </w:tr>
      <w:tr w:rsidR="00676910" w:rsidRPr="00016696" w14:paraId="3B5261E2" w14:textId="77777777" w:rsidTr="0012313F">
        <w:trPr>
          <w:gridBefore w:val="1"/>
          <w:wBefore w:w="580" w:type="dxa"/>
          <w:jc w:val="center"/>
        </w:trPr>
        <w:tc>
          <w:tcPr>
            <w:tcW w:w="2446" w:type="dxa"/>
            <w:gridSpan w:val="4"/>
            <w:tcBorders>
              <w:top w:val="outset" w:sz="6" w:space="0" w:color="auto"/>
              <w:bottom w:val="outset" w:sz="6" w:space="0" w:color="auto"/>
              <w:right w:val="outset" w:sz="6" w:space="0" w:color="auto"/>
            </w:tcBorders>
          </w:tcPr>
          <w:p w14:paraId="5B1C6B28" w14:textId="77777777" w:rsidR="002F30BD" w:rsidRPr="00610E3E" w:rsidRDefault="002F30BD" w:rsidP="00BC7E31">
            <w:pPr>
              <w:spacing w:after="0" w:line="240" w:lineRule="auto"/>
              <w:ind w:left="57" w:right="57"/>
              <w:rPr>
                <w:rFonts w:ascii="Times New Roman" w:hAnsi="Times New Roman"/>
                <w:sz w:val="24"/>
                <w:szCs w:val="24"/>
              </w:rPr>
            </w:pPr>
            <w:r w:rsidRPr="00610E3E">
              <w:rPr>
                <w:rFonts w:ascii="Times New Roman" w:hAnsi="Times New Roman"/>
                <w:sz w:val="24"/>
                <w:szCs w:val="24"/>
              </w:rPr>
              <w:t>Starptautiskās saistības (pēc būtības), kas izriet no norādītā starptautis</w:t>
            </w:r>
            <w:r w:rsidRPr="00610E3E">
              <w:rPr>
                <w:rFonts w:ascii="Times New Roman" w:hAnsi="Times New Roman"/>
                <w:sz w:val="24"/>
                <w:szCs w:val="24"/>
              </w:rPr>
              <w:softHyphen/>
              <w:t>kā dokumenta.</w:t>
            </w:r>
          </w:p>
          <w:p w14:paraId="6C47BFC3" w14:textId="77777777" w:rsidR="002F30BD" w:rsidRPr="00610E3E" w:rsidRDefault="002F30BD" w:rsidP="00BC7E31">
            <w:pPr>
              <w:spacing w:after="0" w:line="240" w:lineRule="auto"/>
              <w:ind w:left="57" w:right="57"/>
              <w:rPr>
                <w:rFonts w:ascii="Times New Roman" w:hAnsi="Times New Roman"/>
                <w:sz w:val="24"/>
                <w:szCs w:val="24"/>
              </w:rPr>
            </w:pPr>
            <w:r w:rsidRPr="00610E3E">
              <w:rPr>
                <w:rFonts w:ascii="Times New Roman" w:hAnsi="Times New Roman"/>
                <w:sz w:val="24"/>
                <w:szCs w:val="24"/>
              </w:rPr>
              <w:t>Konkrēti veicamie pasākumi vai uzdevumi, kas nepieciešami šo starptautisko saistību izpildei</w:t>
            </w:r>
          </w:p>
        </w:tc>
        <w:tc>
          <w:tcPr>
            <w:tcW w:w="2968" w:type="dxa"/>
            <w:gridSpan w:val="4"/>
            <w:tcBorders>
              <w:top w:val="outset" w:sz="6" w:space="0" w:color="auto"/>
              <w:left w:val="outset" w:sz="6" w:space="0" w:color="auto"/>
              <w:bottom w:val="outset" w:sz="6" w:space="0" w:color="auto"/>
              <w:right w:val="outset" w:sz="6" w:space="0" w:color="auto"/>
            </w:tcBorders>
          </w:tcPr>
          <w:p w14:paraId="17947AB4" w14:textId="77777777" w:rsidR="002F30BD" w:rsidRPr="00610E3E" w:rsidRDefault="002F30BD" w:rsidP="00BC7E31">
            <w:pPr>
              <w:spacing w:after="0" w:line="240" w:lineRule="auto"/>
              <w:ind w:left="57" w:right="57"/>
              <w:rPr>
                <w:rFonts w:ascii="Times New Roman" w:hAnsi="Times New Roman"/>
                <w:sz w:val="24"/>
                <w:szCs w:val="24"/>
              </w:rPr>
            </w:pPr>
            <w:r w:rsidRPr="00610E3E">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424" w:type="dxa"/>
            <w:gridSpan w:val="4"/>
            <w:tcBorders>
              <w:top w:val="outset" w:sz="6" w:space="0" w:color="auto"/>
              <w:left w:val="outset" w:sz="6" w:space="0" w:color="auto"/>
              <w:bottom w:val="outset" w:sz="6" w:space="0" w:color="auto"/>
            </w:tcBorders>
          </w:tcPr>
          <w:p w14:paraId="3633FD5E" w14:textId="77777777" w:rsidR="002F30BD" w:rsidRPr="00016696" w:rsidRDefault="002F30BD" w:rsidP="00BC7E31">
            <w:pPr>
              <w:spacing w:after="0" w:line="240" w:lineRule="auto"/>
              <w:ind w:left="57" w:right="57"/>
              <w:rPr>
                <w:rFonts w:ascii="Times New Roman" w:hAnsi="Times New Roman"/>
                <w:sz w:val="24"/>
                <w:szCs w:val="24"/>
              </w:rPr>
            </w:pPr>
            <w:r w:rsidRPr="00016696">
              <w:rPr>
                <w:rFonts w:ascii="Times New Roman" w:hAnsi="Times New Roman"/>
                <w:sz w:val="24"/>
                <w:szCs w:val="24"/>
              </w:rPr>
              <w:t>Informācija par to, vai starptautiskās saistības, kas minētas šīs tabulas A ailē, tiek izpildītas pilnībā vai daļēji.</w:t>
            </w:r>
          </w:p>
          <w:p w14:paraId="038BDEE9" w14:textId="77777777" w:rsidR="002F30BD" w:rsidRPr="00016696" w:rsidRDefault="002F30BD" w:rsidP="00BC7E31">
            <w:pPr>
              <w:spacing w:after="0" w:line="240" w:lineRule="auto"/>
              <w:ind w:left="57" w:right="57"/>
              <w:rPr>
                <w:rFonts w:ascii="Times New Roman" w:hAnsi="Times New Roman"/>
                <w:sz w:val="24"/>
                <w:szCs w:val="24"/>
              </w:rPr>
            </w:pPr>
            <w:r w:rsidRPr="00016696">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14:paraId="27F3495E" w14:textId="77777777" w:rsidR="002F30BD" w:rsidRPr="00016696" w:rsidRDefault="002F30BD" w:rsidP="00BC7E31">
            <w:pPr>
              <w:spacing w:after="0" w:line="240" w:lineRule="auto"/>
              <w:ind w:left="57" w:right="57"/>
              <w:rPr>
                <w:rFonts w:ascii="Times New Roman" w:hAnsi="Times New Roman"/>
                <w:sz w:val="24"/>
                <w:szCs w:val="24"/>
              </w:rPr>
            </w:pPr>
            <w:r w:rsidRPr="00016696">
              <w:rPr>
                <w:rFonts w:ascii="Times New Roman" w:hAnsi="Times New Roman"/>
                <w:sz w:val="24"/>
                <w:szCs w:val="24"/>
              </w:rPr>
              <w:t>Norāda institūciju, kas ir atbildīga par šo saistību izpildi pilnībā</w:t>
            </w:r>
          </w:p>
        </w:tc>
      </w:tr>
      <w:tr w:rsidR="00676910" w:rsidRPr="00B84678" w14:paraId="77A11527" w14:textId="77777777" w:rsidTr="0012313F">
        <w:trPr>
          <w:gridBefore w:val="1"/>
          <w:wBefore w:w="580" w:type="dxa"/>
          <w:jc w:val="center"/>
        </w:trPr>
        <w:tc>
          <w:tcPr>
            <w:tcW w:w="2446" w:type="dxa"/>
            <w:gridSpan w:val="4"/>
            <w:tcBorders>
              <w:top w:val="outset" w:sz="6" w:space="0" w:color="auto"/>
              <w:bottom w:val="outset" w:sz="6" w:space="0" w:color="auto"/>
              <w:right w:val="outset" w:sz="6" w:space="0" w:color="auto"/>
            </w:tcBorders>
          </w:tcPr>
          <w:p w14:paraId="6281E08F" w14:textId="77777777" w:rsidR="002F30BD" w:rsidRPr="00B84678" w:rsidRDefault="002F30BD" w:rsidP="00BC7E31">
            <w:pPr>
              <w:spacing w:after="0" w:line="240" w:lineRule="auto"/>
              <w:ind w:left="57" w:right="57"/>
              <w:rPr>
                <w:rFonts w:ascii="Times New Roman" w:hAnsi="Times New Roman"/>
                <w:sz w:val="24"/>
                <w:szCs w:val="24"/>
              </w:rPr>
            </w:pPr>
            <w:r w:rsidRPr="00B84678">
              <w:rPr>
                <w:rFonts w:ascii="Times New Roman" w:hAnsi="Times New Roman"/>
                <w:sz w:val="24"/>
                <w:szCs w:val="24"/>
              </w:rPr>
              <w:t> Projekts šo jomu neskar.</w:t>
            </w:r>
          </w:p>
        </w:tc>
        <w:tc>
          <w:tcPr>
            <w:tcW w:w="2968" w:type="dxa"/>
            <w:gridSpan w:val="4"/>
            <w:tcBorders>
              <w:top w:val="outset" w:sz="6" w:space="0" w:color="auto"/>
              <w:left w:val="outset" w:sz="6" w:space="0" w:color="auto"/>
              <w:bottom w:val="outset" w:sz="6" w:space="0" w:color="auto"/>
              <w:right w:val="outset" w:sz="6" w:space="0" w:color="auto"/>
            </w:tcBorders>
          </w:tcPr>
          <w:p w14:paraId="2B90B667" w14:textId="77777777" w:rsidR="002F30BD" w:rsidRPr="00B84678" w:rsidRDefault="002F30BD" w:rsidP="00BC7E31">
            <w:pPr>
              <w:spacing w:after="0" w:line="240" w:lineRule="auto"/>
              <w:ind w:left="57" w:right="57"/>
              <w:rPr>
                <w:rFonts w:ascii="Times New Roman" w:hAnsi="Times New Roman"/>
                <w:sz w:val="24"/>
                <w:szCs w:val="24"/>
              </w:rPr>
            </w:pPr>
            <w:r w:rsidRPr="00B84678">
              <w:rPr>
                <w:rFonts w:ascii="Times New Roman" w:hAnsi="Times New Roman"/>
                <w:sz w:val="24"/>
                <w:szCs w:val="24"/>
              </w:rPr>
              <w:t> Projekts šo jomu neskar.</w:t>
            </w:r>
          </w:p>
        </w:tc>
        <w:tc>
          <w:tcPr>
            <w:tcW w:w="4424" w:type="dxa"/>
            <w:gridSpan w:val="4"/>
            <w:tcBorders>
              <w:top w:val="outset" w:sz="6" w:space="0" w:color="auto"/>
              <w:left w:val="outset" w:sz="6" w:space="0" w:color="auto"/>
              <w:bottom w:val="outset" w:sz="6" w:space="0" w:color="auto"/>
            </w:tcBorders>
          </w:tcPr>
          <w:p w14:paraId="69B248D5" w14:textId="77777777" w:rsidR="002F30BD" w:rsidRPr="00B84678" w:rsidRDefault="002F30BD" w:rsidP="00BC7E31">
            <w:pPr>
              <w:spacing w:after="0" w:line="240" w:lineRule="auto"/>
              <w:ind w:left="57" w:right="57"/>
              <w:rPr>
                <w:rFonts w:ascii="Times New Roman" w:hAnsi="Times New Roman"/>
                <w:sz w:val="24"/>
                <w:szCs w:val="24"/>
              </w:rPr>
            </w:pPr>
            <w:r w:rsidRPr="00B84678">
              <w:rPr>
                <w:rFonts w:ascii="Times New Roman" w:hAnsi="Times New Roman"/>
                <w:sz w:val="24"/>
                <w:szCs w:val="24"/>
              </w:rPr>
              <w:t> Projekts šo jomu neskar.</w:t>
            </w:r>
          </w:p>
        </w:tc>
      </w:tr>
      <w:tr w:rsidR="00676910" w:rsidRPr="00B84678" w14:paraId="68B379B6" w14:textId="77777777" w:rsidTr="0012313F">
        <w:trPr>
          <w:gridBefore w:val="1"/>
          <w:wBefore w:w="580" w:type="dxa"/>
          <w:jc w:val="center"/>
        </w:trPr>
        <w:tc>
          <w:tcPr>
            <w:tcW w:w="2446" w:type="dxa"/>
            <w:gridSpan w:val="4"/>
            <w:tcBorders>
              <w:top w:val="outset" w:sz="6" w:space="0" w:color="auto"/>
              <w:bottom w:val="outset" w:sz="6" w:space="0" w:color="auto"/>
              <w:right w:val="outset" w:sz="6" w:space="0" w:color="auto"/>
            </w:tcBorders>
          </w:tcPr>
          <w:p w14:paraId="79B56A15" w14:textId="77777777" w:rsidR="002F30BD" w:rsidRPr="00B84678" w:rsidRDefault="002F30BD" w:rsidP="00BC7E31">
            <w:pPr>
              <w:spacing w:after="0" w:line="240" w:lineRule="auto"/>
              <w:ind w:left="57" w:right="57"/>
              <w:rPr>
                <w:rFonts w:ascii="Times New Roman" w:hAnsi="Times New Roman"/>
                <w:sz w:val="24"/>
                <w:szCs w:val="24"/>
              </w:rPr>
            </w:pPr>
            <w:r w:rsidRPr="00B84678">
              <w:rPr>
                <w:rFonts w:ascii="Times New Roman" w:hAnsi="Times New Roman"/>
                <w:sz w:val="24"/>
                <w:szCs w:val="24"/>
              </w:rPr>
              <w:t>Vai starptautiskajā dokumentā paredzētās saistības nav pretrunā ar jau esošajām Latvijas Republikas starptautis</w:t>
            </w:r>
            <w:r w:rsidRPr="00B84678">
              <w:rPr>
                <w:rFonts w:ascii="Times New Roman" w:hAnsi="Times New Roman"/>
                <w:sz w:val="24"/>
                <w:szCs w:val="24"/>
              </w:rPr>
              <w:softHyphen/>
              <w:t>kajām saistībām</w:t>
            </w:r>
          </w:p>
        </w:tc>
        <w:tc>
          <w:tcPr>
            <w:tcW w:w="7392" w:type="dxa"/>
            <w:gridSpan w:val="8"/>
            <w:tcBorders>
              <w:top w:val="outset" w:sz="6" w:space="0" w:color="auto"/>
              <w:left w:val="outset" w:sz="6" w:space="0" w:color="auto"/>
              <w:bottom w:val="outset" w:sz="6" w:space="0" w:color="auto"/>
            </w:tcBorders>
          </w:tcPr>
          <w:p w14:paraId="3FB39DA4" w14:textId="77777777" w:rsidR="002F30BD" w:rsidRPr="00B84678" w:rsidRDefault="002F30BD" w:rsidP="00BC7E31">
            <w:pPr>
              <w:spacing w:after="0" w:line="240" w:lineRule="auto"/>
              <w:ind w:left="57" w:right="57"/>
              <w:rPr>
                <w:rFonts w:ascii="Times New Roman" w:hAnsi="Times New Roman"/>
                <w:sz w:val="24"/>
                <w:szCs w:val="24"/>
              </w:rPr>
            </w:pPr>
            <w:r w:rsidRPr="00B84678">
              <w:rPr>
                <w:rFonts w:ascii="Times New Roman" w:hAnsi="Times New Roman"/>
                <w:sz w:val="24"/>
                <w:szCs w:val="24"/>
              </w:rPr>
              <w:t> Projekts šo jomu neskar.</w:t>
            </w:r>
          </w:p>
        </w:tc>
      </w:tr>
      <w:tr w:rsidR="00676910" w:rsidRPr="00B84678" w14:paraId="4580EC9D" w14:textId="77777777" w:rsidTr="0012313F">
        <w:trPr>
          <w:gridBefore w:val="1"/>
          <w:wBefore w:w="580" w:type="dxa"/>
          <w:jc w:val="center"/>
        </w:trPr>
        <w:tc>
          <w:tcPr>
            <w:tcW w:w="2446" w:type="dxa"/>
            <w:gridSpan w:val="4"/>
            <w:tcBorders>
              <w:top w:val="outset" w:sz="6" w:space="0" w:color="auto"/>
              <w:bottom w:val="outset" w:sz="6" w:space="0" w:color="auto"/>
              <w:right w:val="outset" w:sz="6" w:space="0" w:color="auto"/>
            </w:tcBorders>
          </w:tcPr>
          <w:p w14:paraId="485132DA" w14:textId="77777777" w:rsidR="002F30BD" w:rsidRPr="00B84678" w:rsidRDefault="002F30BD" w:rsidP="00BC7E31">
            <w:pPr>
              <w:spacing w:after="0" w:line="240" w:lineRule="auto"/>
              <w:ind w:left="57" w:right="57"/>
              <w:rPr>
                <w:rFonts w:ascii="Times New Roman" w:hAnsi="Times New Roman"/>
                <w:sz w:val="24"/>
                <w:szCs w:val="24"/>
              </w:rPr>
            </w:pPr>
            <w:r w:rsidRPr="00B84678">
              <w:rPr>
                <w:rFonts w:ascii="Times New Roman" w:hAnsi="Times New Roman"/>
                <w:sz w:val="24"/>
                <w:szCs w:val="24"/>
              </w:rPr>
              <w:t>Cita informācija</w:t>
            </w:r>
          </w:p>
        </w:tc>
        <w:tc>
          <w:tcPr>
            <w:tcW w:w="7392" w:type="dxa"/>
            <w:gridSpan w:val="8"/>
            <w:tcBorders>
              <w:top w:val="outset" w:sz="6" w:space="0" w:color="auto"/>
              <w:left w:val="outset" w:sz="6" w:space="0" w:color="auto"/>
              <w:bottom w:val="outset" w:sz="6" w:space="0" w:color="auto"/>
            </w:tcBorders>
          </w:tcPr>
          <w:p w14:paraId="6E18B912" w14:textId="77777777" w:rsidR="002F30BD" w:rsidRPr="00B84678" w:rsidRDefault="002F30BD" w:rsidP="00BC7E31">
            <w:pPr>
              <w:spacing w:after="0" w:line="240" w:lineRule="auto"/>
              <w:ind w:left="57" w:right="57"/>
              <w:rPr>
                <w:rFonts w:ascii="Times New Roman" w:hAnsi="Times New Roman"/>
                <w:sz w:val="24"/>
                <w:szCs w:val="24"/>
              </w:rPr>
            </w:pPr>
            <w:r w:rsidRPr="00B84678">
              <w:rPr>
                <w:rFonts w:ascii="Times New Roman" w:hAnsi="Times New Roman"/>
                <w:sz w:val="24"/>
                <w:szCs w:val="24"/>
              </w:rPr>
              <w:t>Nav.</w:t>
            </w:r>
          </w:p>
        </w:tc>
      </w:tr>
    </w:tbl>
    <w:p w14:paraId="26B88FA5" w14:textId="77777777" w:rsidR="002F30BD" w:rsidRPr="00DD49B6" w:rsidDel="009D1634" w:rsidRDefault="002F30BD" w:rsidP="000330A2">
      <w:pPr>
        <w:spacing w:after="0" w:line="240" w:lineRule="auto"/>
        <w:rPr>
          <w:rFonts w:ascii="Times New Roman" w:hAnsi="Times New Roman"/>
          <w:sz w:val="24"/>
          <w:szCs w:val="24"/>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0"/>
        <w:gridCol w:w="2731"/>
        <w:gridCol w:w="6206"/>
      </w:tblGrid>
      <w:tr w:rsidR="002F30BD" w:rsidRPr="00ED22C8" w14:paraId="5F89D89A" w14:textId="77777777" w:rsidTr="00B425FA">
        <w:trPr>
          <w:trHeight w:val="421"/>
          <w:jc w:val="center"/>
        </w:trPr>
        <w:tc>
          <w:tcPr>
            <w:tcW w:w="9417" w:type="dxa"/>
            <w:gridSpan w:val="3"/>
            <w:vAlign w:val="center"/>
          </w:tcPr>
          <w:p w14:paraId="116B618B" w14:textId="77777777" w:rsidR="002F30BD" w:rsidRPr="00DD49B6" w:rsidRDefault="002F30BD" w:rsidP="00BC7E31">
            <w:pPr>
              <w:pStyle w:val="naisnod"/>
              <w:spacing w:before="0" w:beforeAutospacing="0" w:after="0" w:afterAutospacing="0"/>
              <w:ind w:left="57" w:right="57"/>
              <w:jc w:val="center"/>
            </w:pPr>
            <w:r w:rsidRPr="00DD49B6">
              <w:rPr>
                <w:b/>
              </w:rPr>
              <w:t>VI. Sabiedrības līdzdalība un komunikācijas aktivitātes</w:t>
            </w:r>
          </w:p>
        </w:tc>
      </w:tr>
      <w:tr w:rsidR="002F30BD" w:rsidRPr="00ED22C8" w14:paraId="4A4AB7A9" w14:textId="77777777" w:rsidTr="00B425FA">
        <w:trPr>
          <w:trHeight w:val="553"/>
          <w:jc w:val="center"/>
        </w:trPr>
        <w:tc>
          <w:tcPr>
            <w:tcW w:w="480" w:type="dxa"/>
          </w:tcPr>
          <w:p w14:paraId="4647743F" w14:textId="77777777" w:rsidR="002F30BD" w:rsidRPr="00ED22C8" w:rsidRDefault="002F30BD" w:rsidP="00BC7E31">
            <w:pPr>
              <w:spacing w:after="0" w:line="240" w:lineRule="auto"/>
              <w:ind w:left="57" w:right="57"/>
              <w:jc w:val="both"/>
              <w:rPr>
                <w:rFonts w:ascii="Times New Roman" w:hAnsi="Times New Roman"/>
                <w:bCs/>
                <w:sz w:val="24"/>
                <w:szCs w:val="24"/>
              </w:rPr>
            </w:pPr>
            <w:r w:rsidRPr="00ED22C8">
              <w:rPr>
                <w:rFonts w:ascii="Times New Roman" w:hAnsi="Times New Roman"/>
                <w:bCs/>
                <w:sz w:val="24"/>
                <w:szCs w:val="24"/>
              </w:rPr>
              <w:t>1.</w:t>
            </w:r>
          </w:p>
        </w:tc>
        <w:tc>
          <w:tcPr>
            <w:tcW w:w="2731" w:type="dxa"/>
          </w:tcPr>
          <w:p w14:paraId="3E4368BB" w14:textId="77777777" w:rsidR="002F30BD" w:rsidRPr="00ED22C8" w:rsidRDefault="002F30BD" w:rsidP="00BC7E31">
            <w:pPr>
              <w:tabs>
                <w:tab w:val="left" w:pos="170"/>
              </w:tabs>
              <w:spacing w:after="0" w:line="240" w:lineRule="auto"/>
              <w:ind w:left="57" w:right="57"/>
              <w:rPr>
                <w:rFonts w:ascii="Times New Roman" w:hAnsi="Times New Roman"/>
                <w:sz w:val="24"/>
                <w:szCs w:val="24"/>
              </w:rPr>
            </w:pPr>
            <w:r w:rsidRPr="00ED22C8">
              <w:rPr>
                <w:rFonts w:ascii="Times New Roman" w:hAnsi="Times New Roman"/>
                <w:sz w:val="24"/>
                <w:szCs w:val="24"/>
              </w:rPr>
              <w:t>Plānotās sabiedrības līdzdalības un komunikācijas aktivitātes saistībā ar projektu</w:t>
            </w:r>
          </w:p>
        </w:tc>
        <w:tc>
          <w:tcPr>
            <w:tcW w:w="6206" w:type="dxa"/>
          </w:tcPr>
          <w:p w14:paraId="3B15B197" w14:textId="78D92934" w:rsidR="002F30BD" w:rsidRPr="00ED22C8" w:rsidRDefault="00AC4CF6" w:rsidP="00BC7E31">
            <w:pPr>
              <w:pStyle w:val="naiskr"/>
              <w:spacing w:before="0" w:beforeAutospacing="0" w:after="0"/>
              <w:ind w:left="57" w:right="57"/>
              <w:jc w:val="both"/>
            </w:pPr>
            <w:bookmarkStart w:id="2" w:name="p61"/>
            <w:bookmarkEnd w:id="2"/>
            <w:r>
              <w:t xml:space="preserve">Saskaņā ar Ministru kabineta </w:t>
            </w:r>
            <w:proofErr w:type="gramStart"/>
            <w:r>
              <w:t>2009.gada</w:t>
            </w:r>
            <w:proofErr w:type="gramEnd"/>
            <w:r>
              <w:t xml:space="preserve"> 25.augusta noteikumiem Nr.970 “Sabiedrības līdzdalības kārtība attīstības plānošanas procesā”</w:t>
            </w:r>
            <w:r w:rsidR="000874B2">
              <w:t xml:space="preserve"> projekts </w:t>
            </w:r>
            <w:r w:rsidR="003F2028">
              <w:t xml:space="preserve">2015.gada </w:t>
            </w:r>
            <w:r w:rsidR="00755546">
              <w:t>2.jūnijā</w:t>
            </w:r>
            <w:r w:rsidR="003F2028">
              <w:t xml:space="preserve"> </w:t>
            </w:r>
            <w:r w:rsidR="000874B2">
              <w:t>nosūtīts</w:t>
            </w:r>
            <w:r w:rsidR="003F2028">
              <w:t xml:space="preserve"> </w:t>
            </w:r>
            <w:r w:rsidR="000874B2">
              <w:t xml:space="preserve"> </w:t>
            </w:r>
            <w:r w:rsidR="002938B5" w:rsidRPr="00771A52">
              <w:t>biedrīb</w:t>
            </w:r>
            <w:r w:rsidR="002938B5">
              <w:t>ām</w:t>
            </w:r>
            <w:r w:rsidR="002938B5" w:rsidRPr="00771A52">
              <w:t xml:space="preserve"> „</w:t>
            </w:r>
            <w:r w:rsidR="000874B2" w:rsidRPr="00771A52">
              <w:t>Lauksaimnie</w:t>
            </w:r>
            <w:r w:rsidR="00C4048B">
              <w:t>ku</w:t>
            </w:r>
            <w:r w:rsidR="000874B2" w:rsidRPr="00771A52">
              <w:t xml:space="preserve"> organizāciju sadarbības padom</w:t>
            </w:r>
            <w:r w:rsidR="000874B2">
              <w:t>e</w:t>
            </w:r>
            <w:r w:rsidR="002938B5">
              <w:t>”</w:t>
            </w:r>
            <w:r w:rsidR="000874B2" w:rsidRPr="00771A52">
              <w:t xml:space="preserve">, „Zemnieku saeima”, </w:t>
            </w:r>
            <w:r w:rsidR="002938B5" w:rsidRPr="00771A52">
              <w:t>„</w:t>
            </w:r>
            <w:r w:rsidR="000874B2" w:rsidRPr="00771A52">
              <w:t>Latvijas Lauksaimniecības kooperatīvu asociācij</w:t>
            </w:r>
            <w:r w:rsidR="000874B2">
              <w:t>a</w:t>
            </w:r>
            <w:r w:rsidR="002938B5">
              <w:t>”</w:t>
            </w:r>
            <w:r w:rsidR="000874B2" w:rsidRPr="00771A52">
              <w:t xml:space="preserve"> un </w:t>
            </w:r>
            <w:r w:rsidR="002938B5" w:rsidRPr="00771A52">
              <w:t>„</w:t>
            </w:r>
            <w:r w:rsidR="000874B2" w:rsidRPr="00771A52">
              <w:t>Latvijas pārtikas uzņēmumu federāci</w:t>
            </w:r>
            <w:r w:rsidR="000874B2">
              <w:t>ja</w:t>
            </w:r>
            <w:r w:rsidR="002938B5">
              <w:t>”</w:t>
            </w:r>
            <w:r w:rsidR="000874B2">
              <w:t>,</w:t>
            </w:r>
            <w:r w:rsidR="000E7E1F">
              <w:t xml:space="preserve"> lai noskaidrotu to </w:t>
            </w:r>
            <w:r w:rsidR="000874B2">
              <w:t>viedok</w:t>
            </w:r>
            <w:r w:rsidR="000E7E1F">
              <w:t>li.</w:t>
            </w:r>
            <w:r w:rsidR="000874B2">
              <w:t xml:space="preserve"> </w:t>
            </w:r>
          </w:p>
        </w:tc>
      </w:tr>
      <w:tr w:rsidR="002F30BD" w:rsidRPr="00ED22C8" w14:paraId="5285EC0D" w14:textId="77777777" w:rsidTr="00B425FA">
        <w:trPr>
          <w:trHeight w:val="339"/>
          <w:jc w:val="center"/>
        </w:trPr>
        <w:tc>
          <w:tcPr>
            <w:tcW w:w="480" w:type="dxa"/>
          </w:tcPr>
          <w:p w14:paraId="2F74A503" w14:textId="77777777" w:rsidR="002F30BD" w:rsidRPr="00ED22C8" w:rsidRDefault="002F30BD" w:rsidP="00BC7E31">
            <w:pPr>
              <w:spacing w:after="0" w:line="240" w:lineRule="auto"/>
              <w:ind w:left="57" w:right="57"/>
              <w:jc w:val="both"/>
              <w:rPr>
                <w:rFonts w:ascii="Times New Roman" w:hAnsi="Times New Roman"/>
                <w:bCs/>
                <w:sz w:val="24"/>
                <w:szCs w:val="24"/>
              </w:rPr>
            </w:pPr>
            <w:r w:rsidRPr="00ED22C8">
              <w:rPr>
                <w:rFonts w:ascii="Times New Roman" w:hAnsi="Times New Roman"/>
                <w:bCs/>
                <w:sz w:val="24"/>
                <w:szCs w:val="24"/>
              </w:rPr>
              <w:t>2.</w:t>
            </w:r>
          </w:p>
        </w:tc>
        <w:tc>
          <w:tcPr>
            <w:tcW w:w="2731" w:type="dxa"/>
          </w:tcPr>
          <w:p w14:paraId="28EB3D08" w14:textId="77777777" w:rsidR="002F30BD" w:rsidRPr="00ED22C8" w:rsidRDefault="002F30BD" w:rsidP="00BC7E31">
            <w:pPr>
              <w:spacing w:after="0" w:line="240" w:lineRule="auto"/>
              <w:ind w:left="57" w:right="57"/>
              <w:rPr>
                <w:rFonts w:ascii="Times New Roman" w:hAnsi="Times New Roman"/>
                <w:sz w:val="24"/>
                <w:szCs w:val="24"/>
              </w:rPr>
            </w:pPr>
            <w:r w:rsidRPr="00ED22C8">
              <w:rPr>
                <w:rFonts w:ascii="Times New Roman" w:hAnsi="Times New Roman"/>
                <w:sz w:val="24"/>
                <w:szCs w:val="24"/>
              </w:rPr>
              <w:t>Sabiedrības līdzdalība projekta izstrādē</w:t>
            </w:r>
          </w:p>
        </w:tc>
        <w:tc>
          <w:tcPr>
            <w:tcW w:w="6206" w:type="dxa"/>
          </w:tcPr>
          <w:p w14:paraId="639126AF" w14:textId="783BC5F1" w:rsidR="002F30BD" w:rsidRPr="00ED22C8" w:rsidRDefault="000874B2" w:rsidP="00BC7E31">
            <w:pPr>
              <w:ind w:left="57" w:right="57"/>
              <w:jc w:val="both"/>
              <w:rPr>
                <w:rFonts w:ascii="Times New Roman" w:hAnsi="Times New Roman"/>
                <w:sz w:val="24"/>
                <w:szCs w:val="24"/>
              </w:rPr>
            </w:pPr>
            <w:bookmarkStart w:id="3" w:name="p62"/>
            <w:bookmarkEnd w:id="3"/>
            <w:r>
              <w:rPr>
                <w:rFonts w:ascii="Times New Roman" w:hAnsi="Times New Roman"/>
                <w:sz w:val="24"/>
                <w:szCs w:val="24"/>
              </w:rPr>
              <w:t xml:space="preserve"> Konceptuāli atbalsta</w:t>
            </w:r>
            <w:r w:rsidR="00C52A48">
              <w:rPr>
                <w:rFonts w:ascii="Times New Roman" w:hAnsi="Times New Roman"/>
                <w:sz w:val="24"/>
                <w:szCs w:val="24"/>
              </w:rPr>
              <w:t>.</w:t>
            </w:r>
          </w:p>
        </w:tc>
      </w:tr>
      <w:tr w:rsidR="002F30BD" w:rsidRPr="00ED22C8" w14:paraId="5CCD5281" w14:textId="77777777" w:rsidTr="00B425FA">
        <w:trPr>
          <w:trHeight w:val="476"/>
          <w:jc w:val="center"/>
        </w:trPr>
        <w:tc>
          <w:tcPr>
            <w:tcW w:w="480" w:type="dxa"/>
          </w:tcPr>
          <w:p w14:paraId="76BD9ED0" w14:textId="77777777" w:rsidR="002F30BD" w:rsidRPr="00ED22C8" w:rsidRDefault="002F30BD" w:rsidP="00BC7E31">
            <w:pPr>
              <w:spacing w:after="0" w:line="240" w:lineRule="auto"/>
              <w:ind w:left="57" w:right="57"/>
              <w:jc w:val="both"/>
              <w:rPr>
                <w:rFonts w:ascii="Times New Roman" w:hAnsi="Times New Roman"/>
                <w:bCs/>
                <w:sz w:val="24"/>
                <w:szCs w:val="24"/>
              </w:rPr>
            </w:pPr>
            <w:r w:rsidRPr="00ED22C8">
              <w:rPr>
                <w:rFonts w:ascii="Times New Roman" w:hAnsi="Times New Roman"/>
                <w:bCs/>
                <w:sz w:val="24"/>
                <w:szCs w:val="24"/>
              </w:rPr>
              <w:t>3.</w:t>
            </w:r>
          </w:p>
        </w:tc>
        <w:tc>
          <w:tcPr>
            <w:tcW w:w="2731" w:type="dxa"/>
          </w:tcPr>
          <w:p w14:paraId="63828793" w14:textId="77777777" w:rsidR="002F30BD" w:rsidRPr="00ED22C8" w:rsidRDefault="002F30BD" w:rsidP="00BC7E31">
            <w:pPr>
              <w:spacing w:after="0" w:line="240" w:lineRule="auto"/>
              <w:ind w:left="57" w:right="57"/>
              <w:rPr>
                <w:rFonts w:ascii="Times New Roman" w:hAnsi="Times New Roman"/>
                <w:sz w:val="24"/>
                <w:szCs w:val="24"/>
              </w:rPr>
            </w:pPr>
            <w:r w:rsidRPr="00ED22C8">
              <w:rPr>
                <w:rFonts w:ascii="Times New Roman" w:hAnsi="Times New Roman"/>
                <w:sz w:val="24"/>
                <w:szCs w:val="24"/>
              </w:rPr>
              <w:t>Sabiedrības līdzdalības rezultāti</w:t>
            </w:r>
          </w:p>
        </w:tc>
        <w:tc>
          <w:tcPr>
            <w:tcW w:w="6206" w:type="dxa"/>
          </w:tcPr>
          <w:p w14:paraId="2197EF8A" w14:textId="02D58B4A" w:rsidR="002F30BD" w:rsidRPr="00290226" w:rsidRDefault="002F30BD" w:rsidP="00BC7E31">
            <w:pPr>
              <w:pStyle w:val="naiskr"/>
              <w:spacing w:before="0" w:beforeAutospacing="0" w:after="0"/>
              <w:ind w:left="57" w:right="57"/>
              <w:jc w:val="both"/>
            </w:pPr>
            <w:r w:rsidRPr="00290226">
              <w:t xml:space="preserve">Saskaņots ar </w:t>
            </w:r>
            <w:r w:rsidR="002938B5" w:rsidRPr="00771A52">
              <w:t>biedrīb</w:t>
            </w:r>
            <w:r w:rsidR="002938B5">
              <w:t>ām</w:t>
            </w:r>
            <w:r w:rsidR="002938B5" w:rsidRPr="00771A52">
              <w:t xml:space="preserve"> „Lauksaimnie</w:t>
            </w:r>
            <w:r w:rsidR="00C4048B">
              <w:t>ku</w:t>
            </w:r>
            <w:r w:rsidR="002938B5" w:rsidRPr="00771A52">
              <w:t xml:space="preserve"> organizāciju sadarbības padom</w:t>
            </w:r>
            <w:r w:rsidR="002938B5">
              <w:t>e”</w:t>
            </w:r>
            <w:r w:rsidR="002938B5" w:rsidRPr="00771A52">
              <w:t>, „Zemnieku saeima”, „Latvijas Lauksaimniecības kooperatīvu asociācij</w:t>
            </w:r>
            <w:r w:rsidR="002938B5">
              <w:t>a”</w:t>
            </w:r>
            <w:r w:rsidR="002938B5" w:rsidRPr="00771A52">
              <w:t xml:space="preserve"> un „Latvijas pārtikas uzņēmumu federāci</w:t>
            </w:r>
            <w:r w:rsidR="002938B5">
              <w:t>ja”</w:t>
            </w:r>
            <w:r w:rsidRPr="00DF175E">
              <w:t>.</w:t>
            </w:r>
          </w:p>
        </w:tc>
      </w:tr>
      <w:tr w:rsidR="002F30BD" w:rsidRPr="00ED22C8" w14:paraId="4A36B249" w14:textId="77777777" w:rsidTr="00B425FA">
        <w:trPr>
          <w:trHeight w:val="476"/>
          <w:jc w:val="center"/>
        </w:trPr>
        <w:tc>
          <w:tcPr>
            <w:tcW w:w="480" w:type="dxa"/>
          </w:tcPr>
          <w:p w14:paraId="4BE302BE" w14:textId="77777777" w:rsidR="002F30BD" w:rsidRPr="00ED22C8" w:rsidRDefault="002F30BD" w:rsidP="00BC7E31">
            <w:pPr>
              <w:spacing w:after="0" w:line="240" w:lineRule="auto"/>
              <w:ind w:left="57" w:right="57"/>
              <w:jc w:val="both"/>
              <w:rPr>
                <w:rFonts w:ascii="Times New Roman" w:hAnsi="Times New Roman"/>
                <w:bCs/>
                <w:sz w:val="24"/>
                <w:szCs w:val="24"/>
              </w:rPr>
            </w:pPr>
            <w:r w:rsidRPr="00ED22C8">
              <w:rPr>
                <w:rFonts w:ascii="Times New Roman" w:hAnsi="Times New Roman"/>
                <w:bCs/>
                <w:sz w:val="24"/>
                <w:szCs w:val="24"/>
              </w:rPr>
              <w:t>4.</w:t>
            </w:r>
          </w:p>
        </w:tc>
        <w:tc>
          <w:tcPr>
            <w:tcW w:w="2731" w:type="dxa"/>
          </w:tcPr>
          <w:p w14:paraId="5EED11BB" w14:textId="77777777" w:rsidR="002F30BD" w:rsidRPr="00ED22C8" w:rsidRDefault="002F30BD" w:rsidP="00BC7E31">
            <w:pPr>
              <w:spacing w:after="0" w:line="240" w:lineRule="auto"/>
              <w:ind w:left="57" w:right="57"/>
              <w:rPr>
                <w:rFonts w:ascii="Times New Roman" w:hAnsi="Times New Roman"/>
                <w:sz w:val="24"/>
                <w:szCs w:val="24"/>
              </w:rPr>
            </w:pPr>
            <w:r w:rsidRPr="00ED22C8">
              <w:rPr>
                <w:rFonts w:ascii="Times New Roman" w:hAnsi="Times New Roman"/>
                <w:sz w:val="24"/>
                <w:szCs w:val="24"/>
              </w:rPr>
              <w:t>Cita informācija</w:t>
            </w:r>
          </w:p>
        </w:tc>
        <w:tc>
          <w:tcPr>
            <w:tcW w:w="6206" w:type="dxa"/>
          </w:tcPr>
          <w:p w14:paraId="47CE238D" w14:textId="77777777" w:rsidR="002F30BD" w:rsidRPr="00290226" w:rsidRDefault="002F30BD" w:rsidP="00BC7E31">
            <w:pPr>
              <w:pStyle w:val="naiskr"/>
              <w:spacing w:before="0" w:beforeAutospacing="0" w:after="0"/>
              <w:ind w:left="57" w:right="57"/>
              <w:jc w:val="both"/>
            </w:pPr>
            <w:r>
              <w:t>Nav</w:t>
            </w:r>
            <w:r w:rsidRPr="00290226">
              <w:t>.</w:t>
            </w:r>
          </w:p>
        </w:tc>
      </w:tr>
    </w:tbl>
    <w:p w14:paraId="2F628119" w14:textId="77777777" w:rsidR="002F30BD" w:rsidRDefault="002F30BD" w:rsidP="000330A2">
      <w:pPr>
        <w:spacing w:after="0" w:line="240" w:lineRule="auto"/>
        <w:rPr>
          <w:rFonts w:ascii="Times New Roman" w:hAnsi="Times New Roman"/>
          <w:sz w:val="24"/>
          <w:szCs w:val="24"/>
        </w:rPr>
      </w:pPr>
    </w:p>
    <w:tbl>
      <w:tblPr>
        <w:tblW w:w="9498"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6"/>
        <w:gridCol w:w="3832"/>
        <w:gridCol w:w="5240"/>
      </w:tblGrid>
      <w:tr w:rsidR="00676910" w:rsidRPr="00B232A4" w14:paraId="1101441C" w14:textId="77777777" w:rsidTr="00676910">
        <w:trPr>
          <w:tblCellSpacing w:w="0" w:type="dxa"/>
        </w:trPr>
        <w:tc>
          <w:tcPr>
            <w:tcW w:w="9498" w:type="dxa"/>
            <w:gridSpan w:val="3"/>
            <w:tcBorders>
              <w:top w:val="single" w:sz="4" w:space="0" w:color="auto"/>
              <w:left w:val="nil"/>
              <w:bottom w:val="single" w:sz="4" w:space="0" w:color="auto"/>
              <w:right w:val="nil"/>
            </w:tcBorders>
          </w:tcPr>
          <w:p w14:paraId="7FCDB0B6" w14:textId="77777777" w:rsidR="00676910" w:rsidRPr="00D25E38" w:rsidRDefault="00676910" w:rsidP="00BC7E31">
            <w:pPr>
              <w:spacing w:before="100" w:beforeAutospacing="1" w:after="100" w:afterAutospacing="1" w:line="240" w:lineRule="auto"/>
              <w:ind w:left="57" w:right="57"/>
              <w:rPr>
                <w:rFonts w:ascii="Times New Roman" w:hAnsi="Times New Roman"/>
                <w:sz w:val="24"/>
                <w:szCs w:val="24"/>
              </w:rPr>
            </w:pPr>
            <w:r w:rsidRPr="00D25E38">
              <w:rPr>
                <w:rFonts w:ascii="Times New Roman" w:hAnsi="Times New Roman"/>
                <w:b/>
                <w:bCs/>
                <w:sz w:val="24"/>
                <w:szCs w:val="24"/>
              </w:rPr>
              <w:t> VII. Tiesību akta projekta izpildes nodrošināšana un tās ietekme uz institūcijām</w:t>
            </w:r>
          </w:p>
        </w:tc>
      </w:tr>
      <w:tr w:rsidR="00676910" w:rsidRPr="00B232A4" w14:paraId="6953C1D0" w14:textId="77777777" w:rsidTr="00676910">
        <w:trPr>
          <w:trHeight w:val="427"/>
          <w:tblCellSpacing w:w="0" w:type="dxa"/>
        </w:trPr>
        <w:tc>
          <w:tcPr>
            <w:tcW w:w="426" w:type="dxa"/>
            <w:tcBorders>
              <w:top w:val="single" w:sz="4" w:space="0" w:color="auto"/>
              <w:left w:val="nil"/>
              <w:bottom w:val="single" w:sz="4" w:space="0" w:color="auto"/>
              <w:right w:val="single" w:sz="4" w:space="0" w:color="auto"/>
            </w:tcBorders>
          </w:tcPr>
          <w:p w14:paraId="789EA1BD" w14:textId="77777777" w:rsidR="00676910" w:rsidRPr="00D25E38" w:rsidRDefault="00676910" w:rsidP="00BC7E31">
            <w:pPr>
              <w:spacing w:before="100" w:beforeAutospacing="1" w:after="100" w:afterAutospacing="1" w:line="240" w:lineRule="auto"/>
              <w:ind w:left="57" w:right="57"/>
              <w:rPr>
                <w:rFonts w:ascii="Times New Roman" w:hAnsi="Times New Roman"/>
                <w:sz w:val="24"/>
                <w:szCs w:val="24"/>
              </w:rPr>
            </w:pPr>
            <w:r w:rsidRPr="00D25E38">
              <w:rPr>
                <w:rFonts w:ascii="Times New Roman" w:hAnsi="Times New Roman"/>
                <w:sz w:val="24"/>
                <w:szCs w:val="24"/>
              </w:rPr>
              <w:t> 1.</w:t>
            </w:r>
          </w:p>
        </w:tc>
        <w:tc>
          <w:tcPr>
            <w:tcW w:w="3832" w:type="dxa"/>
            <w:tcBorders>
              <w:top w:val="single" w:sz="4" w:space="0" w:color="auto"/>
              <w:left w:val="single" w:sz="4" w:space="0" w:color="auto"/>
              <w:bottom w:val="single" w:sz="4" w:space="0" w:color="auto"/>
              <w:right w:val="single" w:sz="4" w:space="0" w:color="auto"/>
            </w:tcBorders>
          </w:tcPr>
          <w:p w14:paraId="78AFB902" w14:textId="77777777" w:rsidR="00676910" w:rsidRPr="00D25E38" w:rsidRDefault="00676910" w:rsidP="00BC7E31">
            <w:pPr>
              <w:spacing w:before="100" w:beforeAutospacing="1" w:after="100" w:afterAutospacing="1" w:line="240" w:lineRule="auto"/>
              <w:ind w:left="57" w:right="57"/>
              <w:rPr>
                <w:rFonts w:ascii="Times New Roman" w:hAnsi="Times New Roman"/>
                <w:sz w:val="24"/>
                <w:szCs w:val="24"/>
              </w:rPr>
            </w:pPr>
            <w:r w:rsidRPr="00D25E38">
              <w:rPr>
                <w:rFonts w:ascii="Times New Roman" w:hAnsi="Times New Roman"/>
                <w:sz w:val="24"/>
                <w:szCs w:val="24"/>
              </w:rPr>
              <w:t> Projekta izpildē iesaistītās institūcijas</w:t>
            </w:r>
          </w:p>
        </w:tc>
        <w:tc>
          <w:tcPr>
            <w:tcW w:w="5240" w:type="dxa"/>
            <w:tcBorders>
              <w:top w:val="single" w:sz="4" w:space="0" w:color="auto"/>
              <w:left w:val="single" w:sz="4" w:space="0" w:color="auto"/>
              <w:bottom w:val="single" w:sz="4" w:space="0" w:color="auto"/>
              <w:right w:val="nil"/>
            </w:tcBorders>
          </w:tcPr>
          <w:p w14:paraId="08596A68" w14:textId="26FFBF10" w:rsidR="00676910" w:rsidRPr="00E24A36" w:rsidRDefault="00EA2ED3" w:rsidP="00BC7E31">
            <w:pPr>
              <w:pStyle w:val="naisnod"/>
              <w:spacing w:before="0" w:after="0"/>
              <w:ind w:left="57" w:right="57"/>
              <w:jc w:val="both"/>
            </w:pPr>
            <w:r>
              <w:rPr>
                <w:iCs/>
              </w:rPr>
              <w:t>Lauku atbalsta dienests</w:t>
            </w:r>
          </w:p>
        </w:tc>
      </w:tr>
      <w:tr w:rsidR="00676910" w:rsidRPr="00B232A4" w14:paraId="4A9ACD16" w14:textId="77777777" w:rsidTr="00676910">
        <w:trPr>
          <w:trHeight w:val="463"/>
          <w:tblCellSpacing w:w="0" w:type="dxa"/>
        </w:trPr>
        <w:tc>
          <w:tcPr>
            <w:tcW w:w="426" w:type="dxa"/>
            <w:tcBorders>
              <w:top w:val="single" w:sz="4" w:space="0" w:color="auto"/>
              <w:left w:val="nil"/>
              <w:bottom w:val="single" w:sz="4" w:space="0" w:color="auto"/>
              <w:right w:val="single" w:sz="4" w:space="0" w:color="auto"/>
            </w:tcBorders>
          </w:tcPr>
          <w:p w14:paraId="4D3F44F1" w14:textId="77777777" w:rsidR="00676910" w:rsidRPr="00D25E38" w:rsidRDefault="00676910" w:rsidP="00BC7E31">
            <w:pPr>
              <w:spacing w:before="100" w:beforeAutospacing="1" w:after="100" w:afterAutospacing="1" w:line="240" w:lineRule="auto"/>
              <w:ind w:left="57" w:right="57"/>
              <w:rPr>
                <w:rFonts w:ascii="Times New Roman" w:hAnsi="Times New Roman"/>
                <w:sz w:val="24"/>
                <w:szCs w:val="24"/>
              </w:rPr>
            </w:pPr>
            <w:r w:rsidRPr="00D25E38">
              <w:rPr>
                <w:rFonts w:ascii="Times New Roman" w:hAnsi="Times New Roman"/>
                <w:sz w:val="24"/>
                <w:szCs w:val="24"/>
              </w:rPr>
              <w:t> 2.</w:t>
            </w:r>
          </w:p>
        </w:tc>
        <w:tc>
          <w:tcPr>
            <w:tcW w:w="3832" w:type="dxa"/>
            <w:tcBorders>
              <w:top w:val="single" w:sz="4" w:space="0" w:color="auto"/>
              <w:left w:val="single" w:sz="4" w:space="0" w:color="auto"/>
              <w:bottom w:val="single" w:sz="4" w:space="0" w:color="auto"/>
              <w:right w:val="single" w:sz="4" w:space="0" w:color="auto"/>
            </w:tcBorders>
          </w:tcPr>
          <w:p w14:paraId="0F44BF79" w14:textId="77777777" w:rsidR="00676910" w:rsidRPr="00D25E38" w:rsidRDefault="00676910" w:rsidP="00BC7E31">
            <w:pPr>
              <w:spacing w:before="100" w:beforeAutospacing="1" w:after="100" w:afterAutospacing="1" w:line="240" w:lineRule="auto"/>
              <w:ind w:left="57" w:right="57"/>
              <w:rPr>
                <w:rFonts w:ascii="Times New Roman" w:hAnsi="Times New Roman"/>
                <w:sz w:val="24"/>
                <w:szCs w:val="24"/>
              </w:rPr>
            </w:pPr>
            <w:r w:rsidRPr="00D25E38">
              <w:rPr>
                <w:rFonts w:ascii="Times New Roman" w:hAnsi="Times New Roman"/>
                <w:sz w:val="24"/>
                <w:szCs w:val="24"/>
              </w:rPr>
              <w:t> Projekta izpildes ietekme uz pārvaldes funkcijām</w:t>
            </w:r>
          </w:p>
        </w:tc>
        <w:tc>
          <w:tcPr>
            <w:tcW w:w="5240" w:type="dxa"/>
            <w:tcBorders>
              <w:top w:val="single" w:sz="4" w:space="0" w:color="auto"/>
              <w:left w:val="single" w:sz="4" w:space="0" w:color="auto"/>
              <w:bottom w:val="single" w:sz="4" w:space="0" w:color="auto"/>
              <w:right w:val="nil"/>
            </w:tcBorders>
          </w:tcPr>
          <w:p w14:paraId="5B724A57" w14:textId="77777777" w:rsidR="00676910" w:rsidRPr="00E24A36" w:rsidRDefault="00676910" w:rsidP="00BC7E31">
            <w:pPr>
              <w:pStyle w:val="naisnod"/>
              <w:spacing w:before="0" w:after="0"/>
              <w:ind w:left="57" w:right="57"/>
              <w:jc w:val="both"/>
            </w:pPr>
            <w:r w:rsidRPr="00E24A36">
              <w:t>Projekts šo jomu neskar.</w:t>
            </w:r>
          </w:p>
        </w:tc>
      </w:tr>
      <w:tr w:rsidR="00676910" w:rsidRPr="00B232A4" w14:paraId="15DF2001" w14:textId="77777777" w:rsidTr="00676910">
        <w:trPr>
          <w:trHeight w:val="725"/>
          <w:tblCellSpacing w:w="0" w:type="dxa"/>
        </w:trPr>
        <w:tc>
          <w:tcPr>
            <w:tcW w:w="426" w:type="dxa"/>
            <w:tcBorders>
              <w:top w:val="single" w:sz="4" w:space="0" w:color="auto"/>
              <w:left w:val="nil"/>
              <w:bottom w:val="single" w:sz="4" w:space="0" w:color="auto"/>
              <w:right w:val="single" w:sz="4" w:space="0" w:color="auto"/>
            </w:tcBorders>
          </w:tcPr>
          <w:p w14:paraId="2FBAAAE5" w14:textId="77777777" w:rsidR="00676910" w:rsidRPr="00D25E38" w:rsidRDefault="00676910" w:rsidP="00BC7E31">
            <w:pPr>
              <w:spacing w:before="100" w:beforeAutospacing="1" w:after="100" w:afterAutospacing="1" w:line="240" w:lineRule="auto"/>
              <w:ind w:left="57" w:right="57"/>
              <w:rPr>
                <w:rFonts w:ascii="Times New Roman" w:hAnsi="Times New Roman"/>
                <w:sz w:val="24"/>
                <w:szCs w:val="24"/>
              </w:rPr>
            </w:pPr>
            <w:r w:rsidRPr="00D25E38">
              <w:rPr>
                <w:rFonts w:ascii="Times New Roman" w:hAnsi="Times New Roman"/>
                <w:sz w:val="24"/>
                <w:szCs w:val="24"/>
              </w:rPr>
              <w:t> 3.</w:t>
            </w:r>
          </w:p>
        </w:tc>
        <w:tc>
          <w:tcPr>
            <w:tcW w:w="3832" w:type="dxa"/>
            <w:tcBorders>
              <w:top w:val="single" w:sz="4" w:space="0" w:color="auto"/>
              <w:left w:val="single" w:sz="4" w:space="0" w:color="auto"/>
              <w:bottom w:val="single" w:sz="4" w:space="0" w:color="auto"/>
              <w:right w:val="single" w:sz="4" w:space="0" w:color="auto"/>
            </w:tcBorders>
          </w:tcPr>
          <w:p w14:paraId="273AEE3B" w14:textId="77777777" w:rsidR="00676910" w:rsidRPr="00D25E38" w:rsidRDefault="00676910" w:rsidP="00BC7E31">
            <w:pPr>
              <w:spacing w:after="0" w:line="240" w:lineRule="auto"/>
              <w:ind w:left="57" w:right="57"/>
              <w:rPr>
                <w:rFonts w:ascii="Times New Roman" w:hAnsi="Times New Roman"/>
                <w:sz w:val="24"/>
                <w:szCs w:val="24"/>
              </w:rPr>
            </w:pPr>
            <w:r w:rsidRPr="00D25E38">
              <w:rPr>
                <w:rFonts w:ascii="Times New Roman" w:hAnsi="Times New Roman"/>
                <w:sz w:val="24"/>
                <w:szCs w:val="24"/>
              </w:rPr>
              <w:t> Projekta izpildes ietekme uz pārvaldes institucionālo struktūru.</w:t>
            </w:r>
          </w:p>
          <w:p w14:paraId="1AD21B83" w14:textId="77777777" w:rsidR="00676910" w:rsidRPr="00D25E38" w:rsidRDefault="00676910" w:rsidP="00BC7E31">
            <w:pPr>
              <w:spacing w:after="0" w:line="240" w:lineRule="auto"/>
              <w:ind w:left="57" w:right="57"/>
              <w:rPr>
                <w:rFonts w:ascii="Times New Roman" w:hAnsi="Times New Roman"/>
                <w:sz w:val="24"/>
                <w:szCs w:val="24"/>
              </w:rPr>
            </w:pPr>
            <w:r w:rsidRPr="00D25E38">
              <w:rPr>
                <w:rFonts w:ascii="Times New Roman" w:hAnsi="Times New Roman"/>
                <w:sz w:val="24"/>
                <w:szCs w:val="24"/>
              </w:rPr>
              <w:t>Jaunu institūciju izveide</w:t>
            </w:r>
          </w:p>
        </w:tc>
        <w:tc>
          <w:tcPr>
            <w:tcW w:w="5240" w:type="dxa"/>
            <w:tcBorders>
              <w:top w:val="single" w:sz="4" w:space="0" w:color="auto"/>
              <w:left w:val="single" w:sz="4" w:space="0" w:color="auto"/>
              <w:bottom w:val="single" w:sz="4" w:space="0" w:color="auto"/>
              <w:right w:val="nil"/>
            </w:tcBorders>
          </w:tcPr>
          <w:p w14:paraId="09762E69" w14:textId="528C4AA9" w:rsidR="00676910" w:rsidRPr="00E24A36" w:rsidRDefault="00676910" w:rsidP="00BC7E31">
            <w:pPr>
              <w:pStyle w:val="naisnod"/>
              <w:spacing w:before="0" w:after="0"/>
              <w:ind w:left="57" w:right="57"/>
              <w:jc w:val="both"/>
            </w:pPr>
            <w:r w:rsidRPr="00E24A36">
              <w:t>Projekts šo jomu neskar.</w:t>
            </w:r>
          </w:p>
        </w:tc>
      </w:tr>
      <w:tr w:rsidR="00676910" w:rsidRPr="00B232A4" w14:paraId="37AEF339" w14:textId="77777777" w:rsidTr="00676910">
        <w:trPr>
          <w:trHeight w:val="780"/>
          <w:tblCellSpacing w:w="0" w:type="dxa"/>
        </w:trPr>
        <w:tc>
          <w:tcPr>
            <w:tcW w:w="426" w:type="dxa"/>
            <w:tcBorders>
              <w:top w:val="single" w:sz="4" w:space="0" w:color="auto"/>
              <w:left w:val="nil"/>
              <w:bottom w:val="single" w:sz="4" w:space="0" w:color="auto"/>
              <w:right w:val="single" w:sz="4" w:space="0" w:color="auto"/>
            </w:tcBorders>
          </w:tcPr>
          <w:p w14:paraId="2BDB8022" w14:textId="77777777" w:rsidR="00676910" w:rsidRPr="00D25E38" w:rsidRDefault="00676910" w:rsidP="00BC7E31">
            <w:pPr>
              <w:spacing w:before="100" w:beforeAutospacing="1" w:after="100" w:afterAutospacing="1" w:line="240" w:lineRule="auto"/>
              <w:ind w:left="57" w:right="57"/>
              <w:rPr>
                <w:rFonts w:ascii="Times New Roman" w:hAnsi="Times New Roman"/>
                <w:sz w:val="24"/>
                <w:szCs w:val="24"/>
              </w:rPr>
            </w:pPr>
            <w:r w:rsidRPr="00D25E38">
              <w:rPr>
                <w:rFonts w:ascii="Times New Roman" w:hAnsi="Times New Roman"/>
                <w:sz w:val="24"/>
                <w:szCs w:val="24"/>
              </w:rPr>
              <w:t> 4.</w:t>
            </w:r>
          </w:p>
        </w:tc>
        <w:tc>
          <w:tcPr>
            <w:tcW w:w="3832" w:type="dxa"/>
            <w:tcBorders>
              <w:top w:val="single" w:sz="4" w:space="0" w:color="auto"/>
              <w:left w:val="single" w:sz="4" w:space="0" w:color="auto"/>
              <w:bottom w:val="single" w:sz="4" w:space="0" w:color="auto"/>
              <w:right w:val="single" w:sz="4" w:space="0" w:color="auto"/>
            </w:tcBorders>
          </w:tcPr>
          <w:p w14:paraId="1ECF73EB" w14:textId="77777777" w:rsidR="00676910" w:rsidRPr="00D25E38" w:rsidRDefault="00676910" w:rsidP="00BC7E31">
            <w:pPr>
              <w:spacing w:after="0" w:line="240" w:lineRule="auto"/>
              <w:ind w:left="57" w:right="57"/>
              <w:rPr>
                <w:rFonts w:ascii="Times New Roman" w:hAnsi="Times New Roman"/>
                <w:sz w:val="24"/>
                <w:szCs w:val="24"/>
              </w:rPr>
            </w:pPr>
            <w:r w:rsidRPr="00D25E38">
              <w:rPr>
                <w:rFonts w:ascii="Times New Roman" w:hAnsi="Times New Roman"/>
                <w:sz w:val="24"/>
                <w:szCs w:val="24"/>
              </w:rPr>
              <w:t> Projekta izpildes ietekme uz pārvaldes institucionālo struktūru.</w:t>
            </w:r>
          </w:p>
          <w:p w14:paraId="179EB080" w14:textId="77777777" w:rsidR="00676910" w:rsidRPr="00D25E38" w:rsidRDefault="00676910" w:rsidP="00BC7E31">
            <w:pPr>
              <w:spacing w:after="0" w:line="240" w:lineRule="auto"/>
              <w:ind w:left="57" w:right="57"/>
              <w:rPr>
                <w:rFonts w:ascii="Times New Roman" w:hAnsi="Times New Roman"/>
                <w:sz w:val="24"/>
                <w:szCs w:val="24"/>
              </w:rPr>
            </w:pPr>
            <w:r w:rsidRPr="00D25E38">
              <w:rPr>
                <w:rFonts w:ascii="Times New Roman" w:hAnsi="Times New Roman"/>
                <w:sz w:val="24"/>
                <w:szCs w:val="24"/>
              </w:rPr>
              <w:t>Esošu institūciju likvidācija</w:t>
            </w:r>
          </w:p>
        </w:tc>
        <w:tc>
          <w:tcPr>
            <w:tcW w:w="5240" w:type="dxa"/>
            <w:tcBorders>
              <w:top w:val="single" w:sz="4" w:space="0" w:color="auto"/>
              <w:left w:val="single" w:sz="4" w:space="0" w:color="auto"/>
              <w:bottom w:val="single" w:sz="4" w:space="0" w:color="auto"/>
              <w:right w:val="nil"/>
            </w:tcBorders>
          </w:tcPr>
          <w:p w14:paraId="3DE5E5D5" w14:textId="05186B14" w:rsidR="00676910" w:rsidRPr="00E24A36" w:rsidRDefault="00676910" w:rsidP="00BC7E31">
            <w:pPr>
              <w:pStyle w:val="naisnod"/>
              <w:spacing w:before="0" w:beforeAutospacing="0" w:after="0" w:afterAutospacing="0"/>
              <w:ind w:left="57" w:right="57"/>
              <w:jc w:val="both"/>
            </w:pPr>
            <w:r w:rsidRPr="00E24A36">
              <w:t>Projekts šo jomu neskar.</w:t>
            </w:r>
          </w:p>
        </w:tc>
      </w:tr>
      <w:tr w:rsidR="00676910" w:rsidRPr="00B232A4" w14:paraId="293C9298" w14:textId="77777777" w:rsidTr="00676910">
        <w:trPr>
          <w:trHeight w:val="703"/>
          <w:tblCellSpacing w:w="0" w:type="dxa"/>
        </w:trPr>
        <w:tc>
          <w:tcPr>
            <w:tcW w:w="426" w:type="dxa"/>
            <w:tcBorders>
              <w:top w:val="single" w:sz="4" w:space="0" w:color="auto"/>
              <w:left w:val="nil"/>
              <w:bottom w:val="single" w:sz="4" w:space="0" w:color="auto"/>
              <w:right w:val="single" w:sz="4" w:space="0" w:color="auto"/>
            </w:tcBorders>
          </w:tcPr>
          <w:p w14:paraId="4DB59930" w14:textId="77777777" w:rsidR="00676910" w:rsidRPr="00D25E38" w:rsidRDefault="00676910" w:rsidP="00BC7E31">
            <w:pPr>
              <w:spacing w:before="100" w:beforeAutospacing="1" w:after="100" w:afterAutospacing="1" w:line="240" w:lineRule="auto"/>
              <w:ind w:left="57" w:right="57"/>
              <w:rPr>
                <w:rFonts w:ascii="Times New Roman" w:hAnsi="Times New Roman"/>
                <w:sz w:val="24"/>
                <w:szCs w:val="24"/>
              </w:rPr>
            </w:pPr>
            <w:r w:rsidRPr="00D25E38">
              <w:rPr>
                <w:rFonts w:ascii="Times New Roman" w:hAnsi="Times New Roman"/>
                <w:sz w:val="24"/>
                <w:szCs w:val="24"/>
              </w:rPr>
              <w:t> 5.</w:t>
            </w:r>
          </w:p>
        </w:tc>
        <w:tc>
          <w:tcPr>
            <w:tcW w:w="3832" w:type="dxa"/>
            <w:tcBorders>
              <w:top w:val="single" w:sz="4" w:space="0" w:color="auto"/>
              <w:left w:val="single" w:sz="4" w:space="0" w:color="auto"/>
              <w:bottom w:val="single" w:sz="4" w:space="0" w:color="auto"/>
              <w:right w:val="single" w:sz="4" w:space="0" w:color="auto"/>
            </w:tcBorders>
          </w:tcPr>
          <w:p w14:paraId="4AC2AB37" w14:textId="77777777" w:rsidR="00676910" w:rsidRPr="00D25E38" w:rsidRDefault="00676910" w:rsidP="00BC7E31">
            <w:pPr>
              <w:spacing w:after="0" w:line="240" w:lineRule="auto"/>
              <w:ind w:left="57" w:right="57"/>
              <w:rPr>
                <w:rFonts w:ascii="Times New Roman" w:hAnsi="Times New Roman"/>
                <w:sz w:val="24"/>
                <w:szCs w:val="24"/>
              </w:rPr>
            </w:pPr>
            <w:r w:rsidRPr="00D25E38">
              <w:rPr>
                <w:rFonts w:ascii="Times New Roman" w:hAnsi="Times New Roman"/>
                <w:sz w:val="24"/>
                <w:szCs w:val="24"/>
              </w:rPr>
              <w:t> Projekta izpildes ietekme uz pārvaldes institucionālo struktūru.</w:t>
            </w:r>
          </w:p>
          <w:p w14:paraId="292F4296" w14:textId="77777777" w:rsidR="00676910" w:rsidRPr="00D25E38" w:rsidRDefault="00676910" w:rsidP="00BC7E31">
            <w:pPr>
              <w:spacing w:after="0" w:line="240" w:lineRule="auto"/>
              <w:ind w:left="57" w:right="57"/>
              <w:rPr>
                <w:rFonts w:ascii="Times New Roman" w:hAnsi="Times New Roman"/>
                <w:sz w:val="24"/>
                <w:szCs w:val="24"/>
              </w:rPr>
            </w:pPr>
            <w:r w:rsidRPr="00D25E38">
              <w:rPr>
                <w:rFonts w:ascii="Times New Roman" w:hAnsi="Times New Roman"/>
                <w:sz w:val="24"/>
                <w:szCs w:val="24"/>
              </w:rPr>
              <w:t>Esošu institūciju reorganizācija</w:t>
            </w:r>
          </w:p>
        </w:tc>
        <w:tc>
          <w:tcPr>
            <w:tcW w:w="5240" w:type="dxa"/>
            <w:tcBorders>
              <w:top w:val="single" w:sz="4" w:space="0" w:color="auto"/>
              <w:left w:val="single" w:sz="4" w:space="0" w:color="auto"/>
              <w:bottom w:val="single" w:sz="4" w:space="0" w:color="auto"/>
              <w:right w:val="nil"/>
            </w:tcBorders>
          </w:tcPr>
          <w:p w14:paraId="151A33A9" w14:textId="3EDBF336" w:rsidR="00676910" w:rsidRPr="00E24A36" w:rsidRDefault="00676910" w:rsidP="00BC7E31">
            <w:pPr>
              <w:pStyle w:val="naisnod"/>
              <w:spacing w:before="0" w:beforeAutospacing="0" w:after="0" w:afterAutospacing="0"/>
              <w:ind w:left="57" w:right="57"/>
              <w:jc w:val="both"/>
            </w:pPr>
            <w:r w:rsidRPr="00E24A36">
              <w:t>Projekts šo jomu neskar.</w:t>
            </w:r>
          </w:p>
        </w:tc>
      </w:tr>
      <w:tr w:rsidR="00676910" w:rsidRPr="00B232A4" w14:paraId="5CCDDB00" w14:textId="77777777" w:rsidTr="00676910">
        <w:trPr>
          <w:trHeight w:val="476"/>
          <w:tblCellSpacing w:w="0" w:type="dxa"/>
        </w:trPr>
        <w:tc>
          <w:tcPr>
            <w:tcW w:w="426" w:type="dxa"/>
            <w:tcBorders>
              <w:top w:val="single" w:sz="4" w:space="0" w:color="auto"/>
              <w:left w:val="nil"/>
              <w:bottom w:val="single" w:sz="4" w:space="0" w:color="auto"/>
              <w:right w:val="single" w:sz="4" w:space="0" w:color="auto"/>
            </w:tcBorders>
          </w:tcPr>
          <w:p w14:paraId="13D08D8A" w14:textId="77777777" w:rsidR="00676910" w:rsidRPr="00D25E38" w:rsidRDefault="00676910" w:rsidP="00BC7E31">
            <w:pPr>
              <w:spacing w:after="0" w:line="240" w:lineRule="auto"/>
              <w:ind w:left="57" w:right="57"/>
              <w:rPr>
                <w:rFonts w:ascii="Times New Roman" w:hAnsi="Times New Roman"/>
                <w:sz w:val="24"/>
                <w:szCs w:val="24"/>
              </w:rPr>
            </w:pPr>
            <w:r w:rsidRPr="00D25E38">
              <w:rPr>
                <w:rFonts w:ascii="Times New Roman" w:hAnsi="Times New Roman"/>
                <w:sz w:val="24"/>
                <w:szCs w:val="24"/>
              </w:rPr>
              <w:t> 6.</w:t>
            </w:r>
          </w:p>
        </w:tc>
        <w:tc>
          <w:tcPr>
            <w:tcW w:w="3832" w:type="dxa"/>
            <w:tcBorders>
              <w:top w:val="single" w:sz="4" w:space="0" w:color="auto"/>
              <w:left w:val="single" w:sz="4" w:space="0" w:color="auto"/>
              <w:bottom w:val="single" w:sz="4" w:space="0" w:color="auto"/>
              <w:right w:val="single" w:sz="4" w:space="0" w:color="auto"/>
            </w:tcBorders>
          </w:tcPr>
          <w:p w14:paraId="42D2A313" w14:textId="77777777" w:rsidR="00676910" w:rsidRPr="00D25E38" w:rsidRDefault="00676910" w:rsidP="00BC7E31">
            <w:pPr>
              <w:spacing w:after="0" w:line="240" w:lineRule="auto"/>
              <w:ind w:left="57" w:right="57"/>
              <w:rPr>
                <w:rFonts w:ascii="Times New Roman" w:hAnsi="Times New Roman"/>
                <w:sz w:val="24"/>
                <w:szCs w:val="24"/>
              </w:rPr>
            </w:pPr>
            <w:r w:rsidRPr="00D25E38">
              <w:rPr>
                <w:rFonts w:ascii="Times New Roman" w:hAnsi="Times New Roman"/>
                <w:sz w:val="24"/>
                <w:szCs w:val="24"/>
              </w:rPr>
              <w:t> Cita informācija</w:t>
            </w:r>
          </w:p>
        </w:tc>
        <w:tc>
          <w:tcPr>
            <w:tcW w:w="5240" w:type="dxa"/>
            <w:tcBorders>
              <w:top w:val="single" w:sz="4" w:space="0" w:color="auto"/>
              <w:left w:val="single" w:sz="4" w:space="0" w:color="auto"/>
              <w:bottom w:val="single" w:sz="4" w:space="0" w:color="auto"/>
              <w:right w:val="nil"/>
            </w:tcBorders>
          </w:tcPr>
          <w:p w14:paraId="25C6F5BB" w14:textId="77777777" w:rsidR="00676910" w:rsidRPr="00D67627" w:rsidRDefault="00676910" w:rsidP="00BC7E31">
            <w:pPr>
              <w:pStyle w:val="naiskr"/>
              <w:spacing w:before="0" w:beforeAutospacing="0" w:after="0" w:afterAutospacing="0"/>
              <w:ind w:left="57" w:right="57"/>
            </w:pPr>
            <w:r w:rsidRPr="00D67627">
              <w:t>Nav.</w:t>
            </w:r>
          </w:p>
        </w:tc>
      </w:tr>
    </w:tbl>
    <w:p w14:paraId="1FEDC5E5" w14:textId="77777777" w:rsidR="00676910" w:rsidRDefault="00676910" w:rsidP="00290226">
      <w:pPr>
        <w:rPr>
          <w:rFonts w:ascii="Times New Roman" w:hAnsi="Times New Roman"/>
          <w:i/>
          <w:sz w:val="24"/>
          <w:szCs w:val="24"/>
        </w:rPr>
      </w:pPr>
    </w:p>
    <w:p w14:paraId="44776E7D" w14:textId="77777777" w:rsidR="00C03DF3" w:rsidRDefault="00C03DF3" w:rsidP="00290226">
      <w:pPr>
        <w:spacing w:after="0" w:line="240" w:lineRule="auto"/>
        <w:ind w:firstLine="720"/>
        <w:rPr>
          <w:rFonts w:ascii="Times New Roman" w:hAnsi="Times New Roman"/>
          <w:sz w:val="24"/>
          <w:szCs w:val="28"/>
        </w:rPr>
      </w:pPr>
    </w:p>
    <w:p w14:paraId="34D68ACD" w14:textId="77777777" w:rsidR="00C03DF3" w:rsidRDefault="00C03DF3" w:rsidP="00290226">
      <w:pPr>
        <w:spacing w:after="0" w:line="240" w:lineRule="auto"/>
        <w:ind w:firstLine="720"/>
        <w:rPr>
          <w:rFonts w:ascii="Times New Roman" w:hAnsi="Times New Roman"/>
          <w:sz w:val="24"/>
          <w:szCs w:val="28"/>
        </w:rPr>
      </w:pPr>
    </w:p>
    <w:p w14:paraId="11702686" w14:textId="45EF0752" w:rsidR="002F30BD" w:rsidRPr="00BC7E31" w:rsidRDefault="002F30BD" w:rsidP="00290226">
      <w:pPr>
        <w:spacing w:after="0" w:line="240" w:lineRule="auto"/>
        <w:ind w:firstLine="720"/>
        <w:rPr>
          <w:rFonts w:ascii="Times New Roman" w:hAnsi="Times New Roman"/>
          <w:sz w:val="24"/>
          <w:szCs w:val="28"/>
        </w:rPr>
      </w:pPr>
      <w:bookmarkStart w:id="4" w:name="_GoBack"/>
      <w:bookmarkEnd w:id="4"/>
      <w:r w:rsidRPr="00BC7E31">
        <w:rPr>
          <w:rFonts w:ascii="Times New Roman" w:hAnsi="Times New Roman"/>
          <w:sz w:val="24"/>
          <w:szCs w:val="28"/>
        </w:rPr>
        <w:t>Zemkopības ministrs</w:t>
      </w:r>
      <w:r w:rsidRPr="00BC7E31">
        <w:rPr>
          <w:rFonts w:ascii="Times New Roman" w:hAnsi="Times New Roman"/>
          <w:sz w:val="24"/>
          <w:szCs w:val="28"/>
        </w:rPr>
        <w:tab/>
      </w:r>
      <w:r w:rsidRPr="00BC7E31">
        <w:rPr>
          <w:rFonts w:ascii="Times New Roman" w:hAnsi="Times New Roman"/>
          <w:sz w:val="24"/>
          <w:szCs w:val="28"/>
        </w:rPr>
        <w:tab/>
      </w:r>
      <w:r w:rsidRPr="00BC7E31">
        <w:rPr>
          <w:rFonts w:ascii="Times New Roman" w:hAnsi="Times New Roman"/>
          <w:sz w:val="24"/>
          <w:szCs w:val="28"/>
        </w:rPr>
        <w:tab/>
      </w:r>
      <w:r w:rsidR="00BC7E31">
        <w:rPr>
          <w:rFonts w:ascii="Times New Roman" w:hAnsi="Times New Roman"/>
          <w:sz w:val="24"/>
          <w:szCs w:val="28"/>
        </w:rPr>
        <w:tab/>
      </w:r>
      <w:r w:rsidR="00BC7E31">
        <w:rPr>
          <w:rFonts w:ascii="Times New Roman" w:hAnsi="Times New Roman"/>
          <w:sz w:val="24"/>
          <w:szCs w:val="28"/>
        </w:rPr>
        <w:tab/>
      </w:r>
      <w:r w:rsidRPr="00BC7E31">
        <w:rPr>
          <w:rFonts w:ascii="Times New Roman" w:hAnsi="Times New Roman"/>
          <w:sz w:val="24"/>
          <w:szCs w:val="28"/>
        </w:rPr>
        <w:tab/>
      </w:r>
      <w:r w:rsidRPr="00BC7E31">
        <w:rPr>
          <w:rFonts w:ascii="Times New Roman" w:hAnsi="Times New Roman"/>
          <w:sz w:val="24"/>
          <w:szCs w:val="28"/>
        </w:rPr>
        <w:tab/>
        <w:t xml:space="preserve"> J.Dūklavs</w:t>
      </w:r>
    </w:p>
    <w:p w14:paraId="1682A3F2" w14:textId="77777777" w:rsidR="002F30BD" w:rsidRDefault="002F30BD" w:rsidP="00290226">
      <w:pPr>
        <w:spacing w:after="0" w:line="240" w:lineRule="auto"/>
        <w:jc w:val="both"/>
        <w:rPr>
          <w:rFonts w:ascii="Times New Roman" w:hAnsi="Times New Roman"/>
          <w:sz w:val="20"/>
          <w:szCs w:val="20"/>
        </w:rPr>
      </w:pPr>
    </w:p>
    <w:p w14:paraId="480B02EC" w14:textId="77777777" w:rsidR="00BC7E31" w:rsidRDefault="00BC7E31" w:rsidP="00290226">
      <w:pPr>
        <w:spacing w:after="0" w:line="240" w:lineRule="auto"/>
        <w:rPr>
          <w:rFonts w:ascii="Times New Roman" w:hAnsi="Times New Roman"/>
          <w:sz w:val="20"/>
          <w:szCs w:val="20"/>
        </w:rPr>
      </w:pPr>
    </w:p>
    <w:p w14:paraId="697BEFEC" w14:textId="77777777" w:rsidR="00BC7E31" w:rsidRDefault="00BC7E31" w:rsidP="00290226">
      <w:pPr>
        <w:spacing w:after="0" w:line="240" w:lineRule="auto"/>
        <w:rPr>
          <w:rFonts w:ascii="Times New Roman" w:hAnsi="Times New Roman"/>
          <w:sz w:val="20"/>
          <w:szCs w:val="20"/>
        </w:rPr>
      </w:pPr>
    </w:p>
    <w:p w14:paraId="52B028EB" w14:textId="77777777" w:rsidR="00BC7E31" w:rsidRDefault="00BC7E31" w:rsidP="00290226">
      <w:pPr>
        <w:spacing w:after="0" w:line="240" w:lineRule="auto"/>
        <w:rPr>
          <w:rFonts w:ascii="Times New Roman" w:hAnsi="Times New Roman"/>
          <w:sz w:val="20"/>
          <w:szCs w:val="20"/>
        </w:rPr>
      </w:pPr>
    </w:p>
    <w:p w14:paraId="4B1EA6B2" w14:textId="77777777" w:rsidR="00BC7E31" w:rsidRDefault="00BC7E31" w:rsidP="00290226">
      <w:pPr>
        <w:spacing w:after="0" w:line="240" w:lineRule="auto"/>
        <w:rPr>
          <w:rFonts w:ascii="Times New Roman" w:hAnsi="Times New Roman"/>
          <w:sz w:val="20"/>
          <w:szCs w:val="20"/>
        </w:rPr>
      </w:pPr>
    </w:p>
    <w:p w14:paraId="71EDE702" w14:textId="77777777" w:rsidR="00BC7E31" w:rsidRDefault="00BC7E31" w:rsidP="00290226">
      <w:pPr>
        <w:spacing w:after="0" w:line="240" w:lineRule="auto"/>
        <w:rPr>
          <w:rFonts w:ascii="Times New Roman" w:hAnsi="Times New Roman"/>
          <w:sz w:val="20"/>
          <w:szCs w:val="20"/>
        </w:rPr>
      </w:pPr>
    </w:p>
    <w:p w14:paraId="4EC42A97" w14:textId="77777777" w:rsidR="00BC7E31" w:rsidRDefault="00BC7E31" w:rsidP="00290226">
      <w:pPr>
        <w:spacing w:after="0" w:line="240" w:lineRule="auto"/>
        <w:rPr>
          <w:rFonts w:ascii="Times New Roman" w:hAnsi="Times New Roman"/>
          <w:sz w:val="20"/>
          <w:szCs w:val="20"/>
        </w:rPr>
      </w:pPr>
    </w:p>
    <w:p w14:paraId="56A2CE3A" w14:textId="77777777" w:rsidR="00BC7E31" w:rsidRDefault="00BC7E31" w:rsidP="00290226">
      <w:pPr>
        <w:spacing w:after="0" w:line="240" w:lineRule="auto"/>
        <w:rPr>
          <w:rFonts w:ascii="Times New Roman" w:hAnsi="Times New Roman"/>
          <w:sz w:val="20"/>
          <w:szCs w:val="20"/>
        </w:rPr>
      </w:pPr>
    </w:p>
    <w:p w14:paraId="3ECE6C13" w14:textId="77777777" w:rsidR="00BC7E31" w:rsidRDefault="00BC7E31" w:rsidP="00290226">
      <w:pPr>
        <w:spacing w:after="0" w:line="240" w:lineRule="auto"/>
        <w:rPr>
          <w:rFonts w:ascii="Times New Roman" w:hAnsi="Times New Roman"/>
          <w:sz w:val="20"/>
          <w:szCs w:val="20"/>
        </w:rPr>
      </w:pPr>
    </w:p>
    <w:p w14:paraId="1014E90D" w14:textId="77777777" w:rsidR="00BC7E31" w:rsidRDefault="00BC7E31" w:rsidP="00290226">
      <w:pPr>
        <w:spacing w:after="0" w:line="240" w:lineRule="auto"/>
        <w:rPr>
          <w:rFonts w:ascii="Times New Roman" w:hAnsi="Times New Roman"/>
          <w:sz w:val="20"/>
          <w:szCs w:val="20"/>
        </w:rPr>
      </w:pPr>
    </w:p>
    <w:p w14:paraId="0D3D4A87" w14:textId="77777777" w:rsidR="00BC7E31" w:rsidRDefault="00BC7E31" w:rsidP="00290226">
      <w:pPr>
        <w:spacing w:after="0" w:line="240" w:lineRule="auto"/>
        <w:rPr>
          <w:rFonts w:ascii="Times New Roman" w:hAnsi="Times New Roman"/>
          <w:sz w:val="20"/>
          <w:szCs w:val="20"/>
        </w:rPr>
      </w:pPr>
    </w:p>
    <w:p w14:paraId="0360D65E" w14:textId="77777777" w:rsidR="00BC7E31" w:rsidRDefault="00BC7E31" w:rsidP="00290226">
      <w:pPr>
        <w:spacing w:after="0" w:line="240" w:lineRule="auto"/>
        <w:rPr>
          <w:rFonts w:ascii="Times New Roman" w:hAnsi="Times New Roman"/>
          <w:sz w:val="20"/>
          <w:szCs w:val="20"/>
        </w:rPr>
      </w:pPr>
    </w:p>
    <w:p w14:paraId="350C85E7" w14:textId="77777777" w:rsidR="00BC7E31" w:rsidRDefault="00BC7E31" w:rsidP="00290226">
      <w:pPr>
        <w:spacing w:after="0" w:line="240" w:lineRule="auto"/>
        <w:rPr>
          <w:rFonts w:ascii="Times New Roman" w:hAnsi="Times New Roman"/>
          <w:sz w:val="20"/>
          <w:szCs w:val="20"/>
        </w:rPr>
      </w:pPr>
    </w:p>
    <w:p w14:paraId="3C79B9C6" w14:textId="77777777" w:rsidR="00BC7E31" w:rsidRDefault="00BC7E31" w:rsidP="00290226">
      <w:pPr>
        <w:spacing w:after="0" w:line="240" w:lineRule="auto"/>
        <w:rPr>
          <w:rFonts w:ascii="Times New Roman" w:hAnsi="Times New Roman"/>
          <w:sz w:val="20"/>
          <w:szCs w:val="20"/>
        </w:rPr>
      </w:pPr>
    </w:p>
    <w:p w14:paraId="24D8A604" w14:textId="77777777" w:rsidR="00BC7E31" w:rsidRDefault="00BC7E31" w:rsidP="00290226">
      <w:pPr>
        <w:spacing w:after="0" w:line="240" w:lineRule="auto"/>
        <w:rPr>
          <w:rFonts w:ascii="Times New Roman" w:hAnsi="Times New Roman"/>
          <w:sz w:val="20"/>
          <w:szCs w:val="20"/>
        </w:rPr>
      </w:pPr>
    </w:p>
    <w:p w14:paraId="2665AD10" w14:textId="77777777" w:rsidR="00BC7E31" w:rsidRDefault="00BC7E31" w:rsidP="00290226">
      <w:pPr>
        <w:spacing w:after="0" w:line="240" w:lineRule="auto"/>
        <w:rPr>
          <w:rFonts w:ascii="Times New Roman" w:hAnsi="Times New Roman"/>
          <w:sz w:val="20"/>
          <w:szCs w:val="20"/>
        </w:rPr>
      </w:pPr>
    </w:p>
    <w:p w14:paraId="25AD0ED6" w14:textId="77777777" w:rsidR="00BC7E31" w:rsidRDefault="00BC7E31" w:rsidP="00290226">
      <w:pPr>
        <w:spacing w:after="0" w:line="240" w:lineRule="auto"/>
        <w:rPr>
          <w:rFonts w:ascii="Times New Roman" w:hAnsi="Times New Roman"/>
          <w:sz w:val="20"/>
          <w:szCs w:val="20"/>
        </w:rPr>
      </w:pPr>
    </w:p>
    <w:p w14:paraId="7B1F0147" w14:textId="77777777" w:rsidR="00BC7E31" w:rsidRDefault="00BC7E31" w:rsidP="00290226">
      <w:pPr>
        <w:spacing w:after="0" w:line="240" w:lineRule="auto"/>
        <w:rPr>
          <w:rFonts w:ascii="Times New Roman" w:hAnsi="Times New Roman"/>
          <w:sz w:val="20"/>
          <w:szCs w:val="20"/>
        </w:rPr>
      </w:pPr>
    </w:p>
    <w:p w14:paraId="6F810351" w14:textId="77777777" w:rsidR="00BC7E31" w:rsidRDefault="00BC7E31" w:rsidP="00290226">
      <w:pPr>
        <w:spacing w:after="0" w:line="240" w:lineRule="auto"/>
        <w:rPr>
          <w:rFonts w:ascii="Times New Roman" w:hAnsi="Times New Roman"/>
          <w:sz w:val="20"/>
          <w:szCs w:val="20"/>
        </w:rPr>
      </w:pPr>
    </w:p>
    <w:p w14:paraId="43692473" w14:textId="77777777" w:rsidR="00BC7E31" w:rsidRDefault="00BC7E31" w:rsidP="00290226">
      <w:pPr>
        <w:spacing w:after="0" w:line="240" w:lineRule="auto"/>
        <w:rPr>
          <w:rFonts w:ascii="Times New Roman" w:hAnsi="Times New Roman"/>
          <w:sz w:val="20"/>
          <w:szCs w:val="20"/>
        </w:rPr>
      </w:pPr>
    </w:p>
    <w:p w14:paraId="33A82A84" w14:textId="77777777" w:rsidR="00BC7E31" w:rsidRDefault="00BC7E31" w:rsidP="00290226">
      <w:pPr>
        <w:spacing w:after="0" w:line="240" w:lineRule="auto"/>
        <w:rPr>
          <w:rFonts w:ascii="Times New Roman" w:hAnsi="Times New Roman"/>
          <w:sz w:val="20"/>
          <w:szCs w:val="20"/>
        </w:rPr>
      </w:pPr>
    </w:p>
    <w:p w14:paraId="5573E284" w14:textId="77777777" w:rsidR="00BC7E31" w:rsidRDefault="00BC7E31" w:rsidP="00290226">
      <w:pPr>
        <w:spacing w:after="0" w:line="240" w:lineRule="auto"/>
        <w:rPr>
          <w:rFonts w:ascii="Times New Roman" w:hAnsi="Times New Roman"/>
          <w:sz w:val="20"/>
          <w:szCs w:val="20"/>
        </w:rPr>
      </w:pPr>
    </w:p>
    <w:p w14:paraId="59C5D69D" w14:textId="77777777" w:rsidR="00BC7E31" w:rsidRDefault="00BC7E31" w:rsidP="00290226">
      <w:pPr>
        <w:spacing w:after="0" w:line="240" w:lineRule="auto"/>
        <w:rPr>
          <w:rFonts w:ascii="Times New Roman" w:hAnsi="Times New Roman"/>
          <w:sz w:val="20"/>
          <w:szCs w:val="20"/>
        </w:rPr>
      </w:pPr>
    </w:p>
    <w:p w14:paraId="15C73E1F" w14:textId="77777777" w:rsidR="00BC7E31" w:rsidRDefault="00BC7E31" w:rsidP="00290226">
      <w:pPr>
        <w:spacing w:after="0" w:line="240" w:lineRule="auto"/>
        <w:rPr>
          <w:rFonts w:ascii="Times New Roman" w:hAnsi="Times New Roman"/>
          <w:sz w:val="20"/>
          <w:szCs w:val="20"/>
        </w:rPr>
      </w:pPr>
    </w:p>
    <w:p w14:paraId="17A6F31F" w14:textId="77777777" w:rsidR="00BC7E31" w:rsidRDefault="00BC7E31" w:rsidP="00290226">
      <w:pPr>
        <w:spacing w:after="0" w:line="240" w:lineRule="auto"/>
        <w:rPr>
          <w:rFonts w:ascii="Times New Roman" w:hAnsi="Times New Roman"/>
          <w:sz w:val="20"/>
          <w:szCs w:val="20"/>
        </w:rPr>
      </w:pPr>
    </w:p>
    <w:p w14:paraId="2C801C48" w14:textId="77777777" w:rsidR="00375CF6" w:rsidRPr="001262F8" w:rsidRDefault="00375CF6" w:rsidP="00290226">
      <w:pPr>
        <w:spacing w:after="0" w:line="240" w:lineRule="auto"/>
        <w:rPr>
          <w:rFonts w:ascii="Times New Roman" w:hAnsi="Times New Roman"/>
          <w:sz w:val="20"/>
          <w:szCs w:val="20"/>
        </w:rPr>
      </w:pPr>
      <w:r w:rsidRPr="001262F8">
        <w:rPr>
          <w:rFonts w:ascii="Times New Roman" w:hAnsi="Times New Roman"/>
          <w:sz w:val="20"/>
          <w:szCs w:val="20"/>
        </w:rPr>
        <w:t>15.07.2015. 14:26</w:t>
      </w:r>
    </w:p>
    <w:p w14:paraId="5F45772F" w14:textId="77777777" w:rsidR="001262F8" w:rsidRPr="001262F8" w:rsidRDefault="001262F8" w:rsidP="00290226">
      <w:pPr>
        <w:spacing w:after="0" w:line="240" w:lineRule="auto"/>
        <w:rPr>
          <w:rFonts w:ascii="Times New Roman" w:hAnsi="Times New Roman"/>
          <w:sz w:val="20"/>
          <w:szCs w:val="20"/>
        </w:rPr>
      </w:pPr>
      <w:r w:rsidRPr="001262F8">
        <w:rPr>
          <w:rFonts w:ascii="Times New Roman" w:hAnsi="Times New Roman"/>
          <w:sz w:val="20"/>
          <w:szCs w:val="20"/>
        </w:rPr>
        <w:fldChar w:fldCharType="begin"/>
      </w:r>
      <w:r w:rsidRPr="001262F8">
        <w:rPr>
          <w:rFonts w:ascii="Times New Roman" w:hAnsi="Times New Roman"/>
          <w:sz w:val="20"/>
          <w:szCs w:val="20"/>
        </w:rPr>
        <w:instrText xml:space="preserve"> NUMWORDS   \* MERGEFORMAT </w:instrText>
      </w:r>
      <w:r w:rsidRPr="001262F8">
        <w:rPr>
          <w:rFonts w:ascii="Times New Roman" w:hAnsi="Times New Roman"/>
          <w:sz w:val="20"/>
          <w:szCs w:val="20"/>
        </w:rPr>
        <w:fldChar w:fldCharType="separate"/>
      </w:r>
      <w:r w:rsidRPr="001262F8">
        <w:rPr>
          <w:rFonts w:ascii="Times New Roman" w:hAnsi="Times New Roman"/>
          <w:noProof/>
          <w:sz w:val="20"/>
          <w:szCs w:val="20"/>
        </w:rPr>
        <w:t>3469</w:t>
      </w:r>
      <w:r w:rsidRPr="001262F8">
        <w:rPr>
          <w:rFonts w:ascii="Times New Roman" w:hAnsi="Times New Roman"/>
          <w:sz w:val="20"/>
          <w:szCs w:val="20"/>
        </w:rPr>
        <w:fldChar w:fldCharType="end"/>
      </w:r>
    </w:p>
    <w:p w14:paraId="4DDB0FB1" w14:textId="06FA4109" w:rsidR="002F30BD" w:rsidRPr="001262F8" w:rsidRDefault="002F30BD" w:rsidP="00290226">
      <w:pPr>
        <w:spacing w:after="0" w:line="240" w:lineRule="auto"/>
        <w:rPr>
          <w:rFonts w:ascii="Times New Roman" w:hAnsi="Times New Roman"/>
          <w:sz w:val="20"/>
          <w:szCs w:val="20"/>
        </w:rPr>
      </w:pPr>
      <w:r w:rsidRPr="001262F8">
        <w:rPr>
          <w:rFonts w:ascii="Times New Roman" w:hAnsi="Times New Roman"/>
          <w:sz w:val="20"/>
          <w:szCs w:val="20"/>
        </w:rPr>
        <w:t>L.Voiče</w:t>
      </w:r>
    </w:p>
    <w:p w14:paraId="67F5C93F" w14:textId="77777777" w:rsidR="002F30BD" w:rsidRPr="001262F8" w:rsidRDefault="002F30BD" w:rsidP="00290226">
      <w:pPr>
        <w:spacing w:after="0" w:line="240" w:lineRule="auto"/>
        <w:rPr>
          <w:rFonts w:ascii="Times New Roman" w:hAnsi="Times New Roman"/>
          <w:sz w:val="20"/>
          <w:szCs w:val="20"/>
        </w:rPr>
      </w:pPr>
      <w:r w:rsidRPr="001262F8">
        <w:rPr>
          <w:rFonts w:ascii="Times New Roman" w:hAnsi="Times New Roman"/>
          <w:sz w:val="20"/>
          <w:szCs w:val="20"/>
        </w:rPr>
        <w:t>67027121, Linda.Voice@zm.gov.lv</w:t>
      </w:r>
    </w:p>
    <w:sectPr w:rsidR="002F30BD" w:rsidRPr="001262F8" w:rsidSect="00C03DF3">
      <w:headerReference w:type="default" r:id="rId24"/>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FC3FE" w14:textId="77777777" w:rsidR="00581BAD" w:rsidRDefault="00581BAD" w:rsidP="00215205">
      <w:pPr>
        <w:spacing w:after="0" w:line="240" w:lineRule="auto"/>
      </w:pPr>
      <w:r>
        <w:separator/>
      </w:r>
    </w:p>
  </w:endnote>
  <w:endnote w:type="continuationSeparator" w:id="0">
    <w:p w14:paraId="2BA8080B" w14:textId="77777777" w:rsidR="00581BAD" w:rsidRDefault="00581BAD" w:rsidP="0021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2D1F" w14:textId="3E6132B4" w:rsidR="00997B58" w:rsidRDefault="00997B58" w:rsidP="00C06281">
    <w:pPr>
      <w:pStyle w:val="Parasts1"/>
      <w:jc w:val="both"/>
      <w:rPr>
        <w:sz w:val="20"/>
        <w:szCs w:val="20"/>
      </w:rPr>
    </w:pPr>
    <w:r w:rsidRPr="00C06281">
      <w:rPr>
        <w:sz w:val="20"/>
        <w:szCs w:val="20"/>
      </w:rPr>
      <w:t>ZMAnot_</w:t>
    </w:r>
    <w:r w:rsidR="004977FF">
      <w:rPr>
        <w:sz w:val="20"/>
        <w:szCs w:val="20"/>
      </w:rPr>
      <w:t>30</w:t>
    </w:r>
    <w:r w:rsidR="00EA2ED3">
      <w:rPr>
        <w:sz w:val="20"/>
        <w:szCs w:val="20"/>
      </w:rPr>
      <w:t>0</w:t>
    </w:r>
    <w:r w:rsidR="004977FF">
      <w:rPr>
        <w:sz w:val="20"/>
        <w:szCs w:val="20"/>
      </w:rPr>
      <w:t>6</w:t>
    </w:r>
    <w:r w:rsidRPr="00C06281">
      <w:rPr>
        <w:sz w:val="20"/>
        <w:szCs w:val="20"/>
      </w:rPr>
      <w:t xml:space="preserve">15; </w:t>
    </w:r>
    <w:r w:rsidR="00EA2ED3" w:rsidRPr="008C5E6A">
      <w:rPr>
        <w:sz w:val="20"/>
        <w:szCs w:val="20"/>
      </w:rPr>
      <w:t>Grozījumi Ministru kabineta 201</w:t>
    </w:r>
    <w:r w:rsidR="00EA2ED3">
      <w:rPr>
        <w:sz w:val="20"/>
        <w:szCs w:val="20"/>
      </w:rPr>
      <w:t>5</w:t>
    </w:r>
    <w:r w:rsidR="00EA2ED3" w:rsidRPr="008C5E6A">
      <w:rPr>
        <w:sz w:val="20"/>
        <w:szCs w:val="20"/>
      </w:rPr>
      <w:t xml:space="preserve">.gada </w:t>
    </w:r>
    <w:r w:rsidR="00EA2ED3">
      <w:rPr>
        <w:sz w:val="20"/>
        <w:szCs w:val="20"/>
      </w:rPr>
      <w:t>3.februāra</w:t>
    </w:r>
    <w:r w:rsidR="00EA2ED3" w:rsidRPr="008C5E6A">
      <w:rPr>
        <w:sz w:val="20"/>
        <w:szCs w:val="20"/>
      </w:rPr>
      <w:t xml:space="preserve"> noteikumos Nr.</w:t>
    </w:r>
    <w:r w:rsidR="00EA2ED3">
      <w:rPr>
        <w:sz w:val="20"/>
        <w:szCs w:val="20"/>
      </w:rPr>
      <w:t>59</w:t>
    </w:r>
    <w:r w:rsidR="00EA2ED3" w:rsidRPr="008C5E6A">
      <w:rPr>
        <w:sz w:val="20"/>
        <w:szCs w:val="20"/>
      </w:rPr>
      <w:t xml:space="preserve"> „</w:t>
    </w:r>
    <w:r w:rsidR="00EA2ED3" w:rsidRPr="008B284C">
      <w:rPr>
        <w:sz w:val="20"/>
        <w:szCs w:val="20"/>
      </w:rPr>
      <w:t>Valsts un Eiropas Savienības atbalsta piešķiršanas kārtība investīciju veicināšanai lauksaimniecībā</w:t>
    </w:r>
    <w:r w:rsidR="00EA2ED3" w:rsidRPr="008C5E6A">
      <w:rPr>
        <w:sz w:val="20"/>
        <w:szCs w:val="20"/>
      </w:rPr>
      <w:t>”</w:t>
    </w:r>
  </w:p>
  <w:p w14:paraId="4E521345" w14:textId="67932A1B" w:rsidR="00997B58" w:rsidRPr="00215205" w:rsidRDefault="00997B58" w:rsidP="00215205">
    <w:pPr>
      <w:pStyle w:val="Kjene"/>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44C1F" w14:textId="77777777" w:rsidR="00581BAD" w:rsidRDefault="00581BAD" w:rsidP="00215205">
      <w:pPr>
        <w:spacing w:after="0" w:line="240" w:lineRule="auto"/>
      </w:pPr>
      <w:r>
        <w:separator/>
      </w:r>
    </w:p>
  </w:footnote>
  <w:footnote w:type="continuationSeparator" w:id="0">
    <w:p w14:paraId="32278814" w14:textId="77777777" w:rsidR="00581BAD" w:rsidRDefault="00581BAD" w:rsidP="0021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685295"/>
      <w:docPartObj>
        <w:docPartGallery w:val="Page Numbers (Top of Page)"/>
        <w:docPartUnique/>
      </w:docPartObj>
    </w:sdtPr>
    <w:sdtEndPr>
      <w:rPr>
        <w:rFonts w:ascii="Times New Roman" w:hAnsi="Times New Roman"/>
        <w:sz w:val="24"/>
      </w:rPr>
    </w:sdtEndPr>
    <w:sdtContent>
      <w:p w14:paraId="0A7DB595" w14:textId="41A8C38E" w:rsidR="00C03DF3" w:rsidRPr="00C03DF3" w:rsidRDefault="00C03DF3">
        <w:pPr>
          <w:pStyle w:val="Galvene"/>
          <w:jc w:val="center"/>
          <w:rPr>
            <w:rFonts w:ascii="Times New Roman" w:hAnsi="Times New Roman"/>
            <w:sz w:val="24"/>
          </w:rPr>
        </w:pPr>
        <w:r w:rsidRPr="00C03DF3">
          <w:rPr>
            <w:rFonts w:ascii="Times New Roman" w:hAnsi="Times New Roman"/>
            <w:sz w:val="24"/>
          </w:rPr>
          <w:fldChar w:fldCharType="begin"/>
        </w:r>
        <w:r w:rsidRPr="00C03DF3">
          <w:rPr>
            <w:rFonts w:ascii="Times New Roman" w:hAnsi="Times New Roman"/>
            <w:sz w:val="24"/>
          </w:rPr>
          <w:instrText>PAGE   \* MERGEFORMAT</w:instrText>
        </w:r>
        <w:r w:rsidRPr="00C03DF3">
          <w:rPr>
            <w:rFonts w:ascii="Times New Roman" w:hAnsi="Times New Roman"/>
            <w:sz w:val="24"/>
          </w:rPr>
          <w:fldChar w:fldCharType="separate"/>
        </w:r>
        <w:r>
          <w:rPr>
            <w:rFonts w:ascii="Times New Roman" w:hAnsi="Times New Roman"/>
            <w:noProof/>
            <w:sz w:val="24"/>
          </w:rPr>
          <w:t>8</w:t>
        </w:r>
        <w:r w:rsidRPr="00C03DF3">
          <w:rPr>
            <w:rFonts w:ascii="Times New Roman" w:hAnsi="Times New Roman"/>
            <w:sz w:val="24"/>
          </w:rPr>
          <w:fldChar w:fldCharType="end"/>
        </w:r>
      </w:p>
    </w:sdtContent>
  </w:sdt>
  <w:p w14:paraId="268C58FB" w14:textId="77777777" w:rsidR="004977FF" w:rsidRDefault="004977F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64C"/>
    <w:multiLevelType w:val="hybridMultilevel"/>
    <w:tmpl w:val="A2AABD60"/>
    <w:lvl w:ilvl="0" w:tplc="B360EF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C205D"/>
    <w:multiLevelType w:val="hybridMultilevel"/>
    <w:tmpl w:val="6C52EA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0D7409"/>
    <w:multiLevelType w:val="hybridMultilevel"/>
    <w:tmpl w:val="B53A21CA"/>
    <w:lvl w:ilvl="0" w:tplc="41BAD3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15521F5F"/>
    <w:multiLevelType w:val="hybridMultilevel"/>
    <w:tmpl w:val="8800F5CA"/>
    <w:lvl w:ilvl="0" w:tplc="04260001">
      <w:start w:val="1"/>
      <w:numFmt w:val="bullet"/>
      <w:lvlText w:val=""/>
      <w:lvlJc w:val="left"/>
      <w:pPr>
        <w:ind w:left="420" w:hanging="360"/>
      </w:pPr>
      <w:rPr>
        <w:rFonts w:ascii="Symbol" w:hAnsi="Symbo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454535FA"/>
    <w:multiLevelType w:val="hybridMultilevel"/>
    <w:tmpl w:val="03D68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A3741B2"/>
    <w:multiLevelType w:val="hybridMultilevel"/>
    <w:tmpl w:val="08609E8C"/>
    <w:lvl w:ilvl="0" w:tplc="C37033E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5D37E3"/>
    <w:multiLevelType w:val="hybridMultilevel"/>
    <w:tmpl w:val="D42AE344"/>
    <w:lvl w:ilvl="0" w:tplc="0D06184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6654"/>
    <w:rsid w:val="00007243"/>
    <w:rsid w:val="00016696"/>
    <w:rsid w:val="00016A40"/>
    <w:rsid w:val="00022FDB"/>
    <w:rsid w:val="000330A2"/>
    <w:rsid w:val="00043575"/>
    <w:rsid w:val="0004377A"/>
    <w:rsid w:val="00056C50"/>
    <w:rsid w:val="000874B2"/>
    <w:rsid w:val="00091D8A"/>
    <w:rsid w:val="000B0C15"/>
    <w:rsid w:val="000B64EA"/>
    <w:rsid w:val="000D0E55"/>
    <w:rsid w:val="000D52EF"/>
    <w:rsid w:val="000E7E1F"/>
    <w:rsid w:val="000F2D28"/>
    <w:rsid w:val="0010462A"/>
    <w:rsid w:val="001128DC"/>
    <w:rsid w:val="0012313F"/>
    <w:rsid w:val="001262F8"/>
    <w:rsid w:val="00144730"/>
    <w:rsid w:val="0015266C"/>
    <w:rsid w:val="001578EA"/>
    <w:rsid w:val="001721C8"/>
    <w:rsid w:val="001823CC"/>
    <w:rsid w:val="001C661E"/>
    <w:rsid w:val="001E06E2"/>
    <w:rsid w:val="001E0C14"/>
    <w:rsid w:val="001F0C4B"/>
    <w:rsid w:val="001F3DA3"/>
    <w:rsid w:val="001F5F42"/>
    <w:rsid w:val="00200B15"/>
    <w:rsid w:val="0020374F"/>
    <w:rsid w:val="00203935"/>
    <w:rsid w:val="00210205"/>
    <w:rsid w:val="00210872"/>
    <w:rsid w:val="00215205"/>
    <w:rsid w:val="00235597"/>
    <w:rsid w:val="00236404"/>
    <w:rsid w:val="00280A6F"/>
    <w:rsid w:val="00290226"/>
    <w:rsid w:val="002938B5"/>
    <w:rsid w:val="002A7990"/>
    <w:rsid w:val="002E3A3A"/>
    <w:rsid w:val="002F1965"/>
    <w:rsid w:val="002F2128"/>
    <w:rsid w:val="002F2757"/>
    <w:rsid w:val="002F2993"/>
    <w:rsid w:val="002F30BD"/>
    <w:rsid w:val="003017AF"/>
    <w:rsid w:val="00315554"/>
    <w:rsid w:val="003175A7"/>
    <w:rsid w:val="00332B34"/>
    <w:rsid w:val="00337773"/>
    <w:rsid w:val="00340B5A"/>
    <w:rsid w:val="00342A11"/>
    <w:rsid w:val="0035345D"/>
    <w:rsid w:val="003665A2"/>
    <w:rsid w:val="00370D5B"/>
    <w:rsid w:val="00374119"/>
    <w:rsid w:val="00375CF6"/>
    <w:rsid w:val="00377602"/>
    <w:rsid w:val="003B6482"/>
    <w:rsid w:val="003D4F62"/>
    <w:rsid w:val="003E30A1"/>
    <w:rsid w:val="003E432E"/>
    <w:rsid w:val="003E4FBC"/>
    <w:rsid w:val="003F2028"/>
    <w:rsid w:val="003F7EFA"/>
    <w:rsid w:val="0040194B"/>
    <w:rsid w:val="00404F85"/>
    <w:rsid w:val="00415977"/>
    <w:rsid w:val="00422589"/>
    <w:rsid w:val="00427E50"/>
    <w:rsid w:val="0043113C"/>
    <w:rsid w:val="00431697"/>
    <w:rsid w:val="00437DF8"/>
    <w:rsid w:val="004423F6"/>
    <w:rsid w:val="00444241"/>
    <w:rsid w:val="0045551E"/>
    <w:rsid w:val="00462BE4"/>
    <w:rsid w:val="00477230"/>
    <w:rsid w:val="00487504"/>
    <w:rsid w:val="00487C57"/>
    <w:rsid w:val="00491E71"/>
    <w:rsid w:val="00496D4E"/>
    <w:rsid w:val="004977FF"/>
    <w:rsid w:val="004A0587"/>
    <w:rsid w:val="004A07AB"/>
    <w:rsid w:val="004E7726"/>
    <w:rsid w:val="00506F54"/>
    <w:rsid w:val="0051013E"/>
    <w:rsid w:val="005108E2"/>
    <w:rsid w:val="0052773C"/>
    <w:rsid w:val="00534C4F"/>
    <w:rsid w:val="00542110"/>
    <w:rsid w:val="00552B5D"/>
    <w:rsid w:val="00554BDF"/>
    <w:rsid w:val="0056482A"/>
    <w:rsid w:val="00581BAD"/>
    <w:rsid w:val="005944C6"/>
    <w:rsid w:val="00596F59"/>
    <w:rsid w:val="005B4623"/>
    <w:rsid w:val="005B4AB1"/>
    <w:rsid w:val="005C46DC"/>
    <w:rsid w:val="005D1054"/>
    <w:rsid w:val="005E7960"/>
    <w:rsid w:val="005F1115"/>
    <w:rsid w:val="0060417C"/>
    <w:rsid w:val="00605699"/>
    <w:rsid w:val="00610E3E"/>
    <w:rsid w:val="00632852"/>
    <w:rsid w:val="0063432D"/>
    <w:rsid w:val="0064043D"/>
    <w:rsid w:val="0064077A"/>
    <w:rsid w:val="006477C7"/>
    <w:rsid w:val="00676910"/>
    <w:rsid w:val="006A5B70"/>
    <w:rsid w:val="006D0787"/>
    <w:rsid w:val="006D31C0"/>
    <w:rsid w:val="006D63BD"/>
    <w:rsid w:val="006D7990"/>
    <w:rsid w:val="00711CD0"/>
    <w:rsid w:val="0071702D"/>
    <w:rsid w:val="00734751"/>
    <w:rsid w:val="00753F17"/>
    <w:rsid w:val="00755546"/>
    <w:rsid w:val="0077120D"/>
    <w:rsid w:val="00771A52"/>
    <w:rsid w:val="00775F7D"/>
    <w:rsid w:val="0077727B"/>
    <w:rsid w:val="00780AFB"/>
    <w:rsid w:val="00790D2C"/>
    <w:rsid w:val="007945D4"/>
    <w:rsid w:val="00797F1C"/>
    <w:rsid w:val="007A059D"/>
    <w:rsid w:val="007A137C"/>
    <w:rsid w:val="007A4701"/>
    <w:rsid w:val="007A7182"/>
    <w:rsid w:val="007B5EF3"/>
    <w:rsid w:val="007B6A60"/>
    <w:rsid w:val="007C0A53"/>
    <w:rsid w:val="007D7632"/>
    <w:rsid w:val="007E11D3"/>
    <w:rsid w:val="00801C0A"/>
    <w:rsid w:val="00824A88"/>
    <w:rsid w:val="00826336"/>
    <w:rsid w:val="00834CEF"/>
    <w:rsid w:val="008362F0"/>
    <w:rsid w:val="00891589"/>
    <w:rsid w:val="008958BC"/>
    <w:rsid w:val="008A4412"/>
    <w:rsid w:val="008A79D5"/>
    <w:rsid w:val="008A7F6E"/>
    <w:rsid w:val="008B0AA4"/>
    <w:rsid w:val="008C77E1"/>
    <w:rsid w:val="008C7A11"/>
    <w:rsid w:val="008F4667"/>
    <w:rsid w:val="009070ED"/>
    <w:rsid w:val="00915DD3"/>
    <w:rsid w:val="00924961"/>
    <w:rsid w:val="00930360"/>
    <w:rsid w:val="009371D2"/>
    <w:rsid w:val="009438FC"/>
    <w:rsid w:val="009704F7"/>
    <w:rsid w:val="009741FB"/>
    <w:rsid w:val="00976B83"/>
    <w:rsid w:val="00980B36"/>
    <w:rsid w:val="00983C26"/>
    <w:rsid w:val="00985741"/>
    <w:rsid w:val="00986E38"/>
    <w:rsid w:val="009876A6"/>
    <w:rsid w:val="00996105"/>
    <w:rsid w:val="00997B58"/>
    <w:rsid w:val="009D1634"/>
    <w:rsid w:val="009D2BEA"/>
    <w:rsid w:val="00A06400"/>
    <w:rsid w:val="00A07AA4"/>
    <w:rsid w:val="00A24EE1"/>
    <w:rsid w:val="00A374CE"/>
    <w:rsid w:val="00A375C5"/>
    <w:rsid w:val="00A40C33"/>
    <w:rsid w:val="00A44D47"/>
    <w:rsid w:val="00A6303F"/>
    <w:rsid w:val="00A63CC5"/>
    <w:rsid w:val="00A7542C"/>
    <w:rsid w:val="00A9038F"/>
    <w:rsid w:val="00AC4A9C"/>
    <w:rsid w:val="00AC4CF6"/>
    <w:rsid w:val="00B0071D"/>
    <w:rsid w:val="00B02D3B"/>
    <w:rsid w:val="00B07758"/>
    <w:rsid w:val="00B109EA"/>
    <w:rsid w:val="00B11488"/>
    <w:rsid w:val="00B232A4"/>
    <w:rsid w:val="00B35B4D"/>
    <w:rsid w:val="00B425FA"/>
    <w:rsid w:val="00B5430B"/>
    <w:rsid w:val="00B546F3"/>
    <w:rsid w:val="00B57DF9"/>
    <w:rsid w:val="00B66647"/>
    <w:rsid w:val="00B72060"/>
    <w:rsid w:val="00B84678"/>
    <w:rsid w:val="00B900BD"/>
    <w:rsid w:val="00BB7213"/>
    <w:rsid w:val="00BC7E31"/>
    <w:rsid w:val="00BD3C7E"/>
    <w:rsid w:val="00BD75A0"/>
    <w:rsid w:val="00BE5CF9"/>
    <w:rsid w:val="00C03DF3"/>
    <w:rsid w:val="00C06281"/>
    <w:rsid w:val="00C301E7"/>
    <w:rsid w:val="00C3521C"/>
    <w:rsid w:val="00C4048B"/>
    <w:rsid w:val="00C409B8"/>
    <w:rsid w:val="00C42B7D"/>
    <w:rsid w:val="00C524DF"/>
    <w:rsid w:val="00C52A48"/>
    <w:rsid w:val="00C56796"/>
    <w:rsid w:val="00C65490"/>
    <w:rsid w:val="00C72A47"/>
    <w:rsid w:val="00C902D6"/>
    <w:rsid w:val="00CC55A7"/>
    <w:rsid w:val="00CC6FC7"/>
    <w:rsid w:val="00CD1374"/>
    <w:rsid w:val="00CE48FF"/>
    <w:rsid w:val="00CF1981"/>
    <w:rsid w:val="00CF4438"/>
    <w:rsid w:val="00CF6DC5"/>
    <w:rsid w:val="00D0504C"/>
    <w:rsid w:val="00D11110"/>
    <w:rsid w:val="00D20693"/>
    <w:rsid w:val="00D25E38"/>
    <w:rsid w:val="00D2657C"/>
    <w:rsid w:val="00D37516"/>
    <w:rsid w:val="00D41368"/>
    <w:rsid w:val="00D42C2D"/>
    <w:rsid w:val="00D8473A"/>
    <w:rsid w:val="00D86003"/>
    <w:rsid w:val="00D96898"/>
    <w:rsid w:val="00DD1883"/>
    <w:rsid w:val="00DD4631"/>
    <w:rsid w:val="00DD4976"/>
    <w:rsid w:val="00DD49B6"/>
    <w:rsid w:val="00DE6F77"/>
    <w:rsid w:val="00DF175E"/>
    <w:rsid w:val="00E20F7A"/>
    <w:rsid w:val="00E2230B"/>
    <w:rsid w:val="00E254A3"/>
    <w:rsid w:val="00E323E5"/>
    <w:rsid w:val="00E35E0F"/>
    <w:rsid w:val="00E439E1"/>
    <w:rsid w:val="00E532CF"/>
    <w:rsid w:val="00E65A3E"/>
    <w:rsid w:val="00E8323F"/>
    <w:rsid w:val="00E92FDD"/>
    <w:rsid w:val="00EA155D"/>
    <w:rsid w:val="00EA2ED3"/>
    <w:rsid w:val="00EA6191"/>
    <w:rsid w:val="00ED1B07"/>
    <w:rsid w:val="00ED22C8"/>
    <w:rsid w:val="00ED3D67"/>
    <w:rsid w:val="00EE67A6"/>
    <w:rsid w:val="00EF74AD"/>
    <w:rsid w:val="00F0084D"/>
    <w:rsid w:val="00F036F6"/>
    <w:rsid w:val="00F068A4"/>
    <w:rsid w:val="00F21ACC"/>
    <w:rsid w:val="00F40876"/>
    <w:rsid w:val="00F47808"/>
    <w:rsid w:val="00F57FA5"/>
    <w:rsid w:val="00F728F2"/>
    <w:rsid w:val="00F822CF"/>
    <w:rsid w:val="00FA3D91"/>
    <w:rsid w:val="00FA4E45"/>
    <w:rsid w:val="00FA5822"/>
    <w:rsid w:val="00FD0F0B"/>
    <w:rsid w:val="00FE39F2"/>
    <w:rsid w:val="00FF3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30565537"/>
  <w15:docId w15:val="{64F6B6F4-DA1B-41C7-BE32-25FAE16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pPr>
      <w:spacing w:after="200" w:line="276" w:lineRule="auto"/>
    </w:pPr>
    <w:rPr>
      <w:rFonts w:eastAsia="Times New Roman"/>
      <w:sz w:val="22"/>
      <w:szCs w:val="22"/>
    </w:rPr>
  </w:style>
  <w:style w:type="paragraph" w:styleId="Virsraksts3">
    <w:name w:val="heading 3"/>
    <w:basedOn w:val="Parasts"/>
    <w:link w:val="Virsraksts3Rakstz"/>
    <w:uiPriority w:val="99"/>
    <w:qFormat/>
    <w:rsid w:val="000330A2"/>
    <w:pPr>
      <w:spacing w:before="100" w:beforeAutospacing="1" w:after="100" w:afterAutospacing="1" w:line="240" w:lineRule="auto"/>
      <w:outlineLvl w:val="2"/>
    </w:pPr>
    <w:rPr>
      <w:rFonts w:ascii="Times New Roman" w:eastAsia="Calibri" w:hAnsi="Times New Roman"/>
      <w:b/>
      <w:sz w:val="27"/>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locked/>
    <w:rsid w:val="000330A2"/>
    <w:rPr>
      <w:rFonts w:ascii="Times New Roman" w:hAnsi="Times New Roman"/>
      <w:b/>
      <w:sz w:val="27"/>
      <w:lang w:eastAsia="lv-LV"/>
    </w:rPr>
  </w:style>
  <w:style w:type="paragraph" w:customStyle="1" w:styleId="naisf">
    <w:name w:val="naisf"/>
    <w:basedOn w:val="Parasts"/>
    <w:uiPriority w:val="99"/>
    <w:rsid w:val="000330A2"/>
    <w:pPr>
      <w:spacing w:before="100" w:beforeAutospacing="1" w:after="100" w:afterAutospacing="1" w:line="240" w:lineRule="auto"/>
    </w:pPr>
    <w:rPr>
      <w:rFonts w:ascii="Times New Roman" w:hAnsi="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hAnsi="Times New Roman"/>
      <w:sz w:val="24"/>
      <w:szCs w:val="24"/>
    </w:rPr>
  </w:style>
  <w:style w:type="paragraph" w:customStyle="1" w:styleId="naiskr">
    <w:name w:val="naiskr"/>
    <w:basedOn w:val="Parasts"/>
    <w:uiPriority w:val="99"/>
    <w:rsid w:val="000330A2"/>
    <w:pPr>
      <w:spacing w:before="100" w:beforeAutospacing="1" w:after="100" w:afterAutospacing="1" w:line="240" w:lineRule="auto"/>
    </w:pPr>
    <w:rPr>
      <w:rFonts w:ascii="Times New Roman" w:hAnsi="Times New Roman"/>
      <w:sz w:val="24"/>
      <w:szCs w:val="24"/>
    </w:rPr>
  </w:style>
  <w:style w:type="character" w:styleId="Izteiksmgs">
    <w:name w:val="Strong"/>
    <w:uiPriority w:val="99"/>
    <w:qFormat/>
    <w:rsid w:val="00290226"/>
    <w:rPr>
      <w:rFonts w:cs="Times New Roman"/>
      <w:b/>
    </w:rPr>
  </w:style>
  <w:style w:type="paragraph" w:customStyle="1" w:styleId="naisc">
    <w:name w:val="naisc"/>
    <w:basedOn w:val="Parasts"/>
    <w:uiPriority w:val="99"/>
    <w:rsid w:val="00290226"/>
    <w:pPr>
      <w:spacing w:before="450" w:after="300" w:line="240" w:lineRule="auto"/>
      <w:jc w:val="center"/>
    </w:pPr>
    <w:rPr>
      <w:rFonts w:ascii="Times New Roman" w:hAnsi="Times New Roman"/>
      <w:sz w:val="26"/>
      <w:szCs w:val="26"/>
    </w:rPr>
  </w:style>
  <w:style w:type="paragraph" w:styleId="Galvene">
    <w:name w:val="header"/>
    <w:basedOn w:val="Parasts"/>
    <w:link w:val="GalveneRakstz"/>
    <w:uiPriority w:val="99"/>
    <w:rsid w:val="00215205"/>
    <w:pPr>
      <w:tabs>
        <w:tab w:val="center" w:pos="4153"/>
        <w:tab w:val="right" w:pos="8306"/>
      </w:tabs>
      <w:spacing w:after="0" w:line="240" w:lineRule="auto"/>
    </w:pPr>
    <w:rPr>
      <w:sz w:val="20"/>
      <w:szCs w:val="20"/>
    </w:rPr>
  </w:style>
  <w:style w:type="character" w:customStyle="1" w:styleId="GalveneRakstz">
    <w:name w:val="Galvene Rakstz."/>
    <w:link w:val="Galvene"/>
    <w:uiPriority w:val="99"/>
    <w:locked/>
    <w:rsid w:val="00215205"/>
    <w:rPr>
      <w:rFonts w:eastAsia="Times New Roman"/>
      <w:lang w:eastAsia="lv-LV"/>
    </w:rPr>
  </w:style>
  <w:style w:type="paragraph" w:styleId="Kjene">
    <w:name w:val="footer"/>
    <w:basedOn w:val="Parasts"/>
    <w:link w:val="KjeneRakstz"/>
    <w:uiPriority w:val="99"/>
    <w:rsid w:val="00215205"/>
    <w:pPr>
      <w:tabs>
        <w:tab w:val="center" w:pos="4153"/>
        <w:tab w:val="right" w:pos="8306"/>
      </w:tabs>
      <w:spacing w:after="0" w:line="240" w:lineRule="auto"/>
    </w:pPr>
    <w:rPr>
      <w:sz w:val="20"/>
      <w:szCs w:val="20"/>
    </w:rPr>
  </w:style>
  <w:style w:type="character" w:customStyle="1" w:styleId="KjeneRakstz">
    <w:name w:val="Kājene Rakstz."/>
    <w:link w:val="Kjene"/>
    <w:uiPriority w:val="99"/>
    <w:locked/>
    <w:rsid w:val="00215205"/>
    <w:rPr>
      <w:rFonts w:eastAsia="Times New Roman"/>
      <w:lang w:eastAsia="lv-LV"/>
    </w:rPr>
  </w:style>
  <w:style w:type="paragraph" w:styleId="Balonteksts">
    <w:name w:val="Balloon Text"/>
    <w:basedOn w:val="Parasts"/>
    <w:link w:val="BalontekstsRakstz"/>
    <w:uiPriority w:val="99"/>
    <w:semiHidden/>
    <w:rsid w:val="00215205"/>
    <w:pPr>
      <w:spacing w:after="0" w:line="240" w:lineRule="auto"/>
    </w:pPr>
    <w:rPr>
      <w:rFonts w:ascii="Tahoma" w:eastAsia="Calibri" w:hAnsi="Tahoma"/>
      <w:sz w:val="16"/>
      <w:szCs w:val="20"/>
    </w:rPr>
  </w:style>
  <w:style w:type="character" w:customStyle="1" w:styleId="BalontekstsRakstz">
    <w:name w:val="Balonteksts Rakstz."/>
    <w:link w:val="Balonteksts"/>
    <w:uiPriority w:val="99"/>
    <w:semiHidden/>
    <w:locked/>
    <w:rsid w:val="00215205"/>
    <w:rPr>
      <w:rFonts w:ascii="Tahoma" w:hAnsi="Tahoma"/>
      <w:sz w:val="16"/>
      <w:lang w:eastAsia="lv-LV"/>
    </w:rPr>
  </w:style>
  <w:style w:type="paragraph" w:customStyle="1" w:styleId="Default">
    <w:name w:val="Default"/>
    <w:rsid w:val="00A63CC5"/>
    <w:pPr>
      <w:autoSpaceDE w:val="0"/>
      <w:autoSpaceDN w:val="0"/>
      <w:adjustRightInd w:val="0"/>
    </w:pPr>
    <w:rPr>
      <w:rFonts w:ascii="EUAlbertina" w:hAnsi="EUAlbertina" w:cs="EUAlbertina"/>
      <w:color w:val="000000"/>
      <w:sz w:val="24"/>
      <w:szCs w:val="24"/>
    </w:rPr>
  </w:style>
  <w:style w:type="character" w:styleId="Komentraatsauce">
    <w:name w:val="annotation reference"/>
    <w:basedOn w:val="Noklusjumarindkopasfonts"/>
    <w:uiPriority w:val="99"/>
    <w:semiHidden/>
    <w:unhideWhenUsed/>
    <w:rsid w:val="00B109EA"/>
    <w:rPr>
      <w:sz w:val="16"/>
      <w:szCs w:val="16"/>
    </w:rPr>
  </w:style>
  <w:style w:type="paragraph" w:styleId="Komentrateksts">
    <w:name w:val="annotation text"/>
    <w:basedOn w:val="Parasts"/>
    <w:link w:val="KomentratekstsRakstz"/>
    <w:uiPriority w:val="99"/>
    <w:unhideWhenUsed/>
    <w:rsid w:val="00B109EA"/>
    <w:pPr>
      <w:spacing w:line="240" w:lineRule="auto"/>
    </w:pPr>
    <w:rPr>
      <w:sz w:val="20"/>
      <w:szCs w:val="20"/>
    </w:rPr>
  </w:style>
  <w:style w:type="character" w:customStyle="1" w:styleId="KomentratekstsRakstz">
    <w:name w:val="Komentāra teksts Rakstz."/>
    <w:basedOn w:val="Noklusjumarindkopasfonts"/>
    <w:link w:val="Komentrateksts"/>
    <w:uiPriority w:val="99"/>
    <w:rsid w:val="00B109EA"/>
    <w:rPr>
      <w:rFonts w:eastAsia="Times New Roman"/>
    </w:rPr>
  </w:style>
  <w:style w:type="paragraph" w:styleId="Komentratma">
    <w:name w:val="annotation subject"/>
    <w:basedOn w:val="Komentrateksts"/>
    <w:next w:val="Komentrateksts"/>
    <w:link w:val="KomentratmaRakstz"/>
    <w:uiPriority w:val="99"/>
    <w:semiHidden/>
    <w:unhideWhenUsed/>
    <w:rsid w:val="00B109EA"/>
    <w:rPr>
      <w:b/>
      <w:bCs/>
    </w:rPr>
  </w:style>
  <w:style w:type="character" w:customStyle="1" w:styleId="KomentratmaRakstz">
    <w:name w:val="Komentāra tēma Rakstz."/>
    <w:basedOn w:val="KomentratekstsRakstz"/>
    <w:link w:val="Komentratma"/>
    <w:uiPriority w:val="99"/>
    <w:semiHidden/>
    <w:rsid w:val="00B109EA"/>
    <w:rPr>
      <w:rFonts w:eastAsia="Times New Roman"/>
      <w:b/>
      <w:bCs/>
    </w:rPr>
  </w:style>
  <w:style w:type="paragraph" w:styleId="Pamattekstaatkpe2">
    <w:name w:val="Body Text Indent 2"/>
    <w:basedOn w:val="Parasts"/>
    <w:link w:val="Pamattekstaatkpe2Rakstz"/>
    <w:rsid w:val="00676910"/>
    <w:pPr>
      <w:spacing w:after="0" w:line="240" w:lineRule="auto"/>
      <w:ind w:firstLine="435"/>
      <w:jc w:val="both"/>
    </w:pPr>
    <w:rPr>
      <w:rFonts w:ascii="Times New Roman" w:hAnsi="Times New Roman"/>
      <w:sz w:val="24"/>
      <w:szCs w:val="20"/>
      <w:lang w:eastAsia="en-US"/>
    </w:rPr>
  </w:style>
  <w:style w:type="character" w:customStyle="1" w:styleId="Pamattekstaatkpe2Rakstz">
    <w:name w:val="Pamatteksta atkāpe 2 Rakstz."/>
    <w:basedOn w:val="Noklusjumarindkopasfonts"/>
    <w:link w:val="Pamattekstaatkpe2"/>
    <w:rsid w:val="00676910"/>
    <w:rPr>
      <w:rFonts w:ascii="Times New Roman" w:eastAsia="Times New Roman" w:hAnsi="Times New Roman"/>
      <w:sz w:val="24"/>
      <w:lang w:eastAsia="en-US"/>
    </w:rPr>
  </w:style>
  <w:style w:type="paragraph" w:customStyle="1" w:styleId="Parasts1">
    <w:name w:val="Parasts1"/>
    <w:uiPriority w:val="99"/>
    <w:rsid w:val="00C06281"/>
    <w:rPr>
      <w:rFonts w:ascii="Times New Roman" w:eastAsia="Times New Roman" w:hAnsi="Times New Roman"/>
      <w:sz w:val="24"/>
      <w:szCs w:val="24"/>
    </w:rPr>
  </w:style>
  <w:style w:type="paragraph" w:styleId="Sarakstarindkopa">
    <w:name w:val="List Paragraph"/>
    <w:basedOn w:val="Parasts"/>
    <w:uiPriority w:val="34"/>
    <w:qFormat/>
    <w:rsid w:val="00A44D47"/>
    <w:pPr>
      <w:ind w:left="720"/>
      <w:contextualSpacing/>
    </w:pPr>
  </w:style>
  <w:style w:type="character" w:styleId="Hipersaite">
    <w:name w:val="Hyperlink"/>
    <w:uiPriority w:val="99"/>
    <w:unhideWhenUsed/>
    <w:rsid w:val="00EA2ED3"/>
    <w:rPr>
      <w:color w:val="0000FF"/>
      <w:u w:val="single"/>
    </w:rPr>
  </w:style>
  <w:style w:type="paragraph" w:styleId="Paraststmeklis">
    <w:name w:val="Normal (Web)"/>
    <w:basedOn w:val="Parasts"/>
    <w:uiPriority w:val="99"/>
    <w:unhideWhenUsed/>
    <w:rsid w:val="00A6303F"/>
    <w:pPr>
      <w:spacing w:before="100" w:beforeAutospacing="1" w:after="100" w:afterAutospacing="1" w:line="240" w:lineRule="auto"/>
    </w:pPr>
    <w:rPr>
      <w:rFonts w:ascii="Times New Roman" w:eastAsia="Arial Unicode MS"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08485">
      <w:marLeft w:val="0"/>
      <w:marRight w:val="0"/>
      <w:marTop w:val="0"/>
      <w:marBottom w:val="0"/>
      <w:divBdr>
        <w:top w:val="none" w:sz="0" w:space="0" w:color="auto"/>
        <w:left w:val="none" w:sz="0" w:space="0" w:color="auto"/>
        <w:bottom w:val="none" w:sz="0" w:space="0" w:color="auto"/>
        <w:right w:val="none" w:sz="0" w:space="0" w:color="auto"/>
      </w:divBdr>
    </w:div>
    <w:div w:id="1360277910">
      <w:bodyDiv w:val="1"/>
      <w:marLeft w:val="0"/>
      <w:marRight w:val="0"/>
      <w:marTop w:val="0"/>
      <w:marBottom w:val="0"/>
      <w:divBdr>
        <w:top w:val="none" w:sz="0" w:space="0" w:color="auto"/>
        <w:left w:val="none" w:sz="0" w:space="0" w:color="auto"/>
        <w:bottom w:val="none" w:sz="0" w:space="0" w:color="auto"/>
        <w:right w:val="none" w:sz="0" w:space="0" w:color="auto"/>
      </w:divBdr>
      <w:divsChild>
        <w:div w:id="569386766">
          <w:marLeft w:val="0"/>
          <w:marRight w:val="0"/>
          <w:marTop w:val="0"/>
          <w:marBottom w:val="0"/>
          <w:divBdr>
            <w:top w:val="none" w:sz="0" w:space="0" w:color="auto"/>
            <w:left w:val="none" w:sz="0" w:space="0" w:color="auto"/>
            <w:bottom w:val="none" w:sz="0" w:space="0" w:color="auto"/>
            <w:right w:val="none" w:sz="0" w:space="0" w:color="auto"/>
          </w:divBdr>
          <w:divsChild>
            <w:div w:id="797064344">
              <w:marLeft w:val="0"/>
              <w:marRight w:val="0"/>
              <w:marTop w:val="0"/>
              <w:marBottom w:val="0"/>
              <w:divBdr>
                <w:top w:val="none" w:sz="0" w:space="0" w:color="auto"/>
                <w:left w:val="none" w:sz="0" w:space="0" w:color="auto"/>
                <w:bottom w:val="none" w:sz="0" w:space="0" w:color="auto"/>
                <w:right w:val="none" w:sz="0" w:space="0" w:color="auto"/>
              </w:divBdr>
              <w:divsChild>
                <w:div w:id="502623711">
                  <w:marLeft w:val="0"/>
                  <w:marRight w:val="0"/>
                  <w:marTop w:val="0"/>
                  <w:marBottom w:val="0"/>
                  <w:divBdr>
                    <w:top w:val="none" w:sz="0" w:space="0" w:color="auto"/>
                    <w:left w:val="none" w:sz="0" w:space="0" w:color="auto"/>
                    <w:bottom w:val="none" w:sz="0" w:space="0" w:color="auto"/>
                    <w:right w:val="none" w:sz="0" w:space="0" w:color="auto"/>
                  </w:divBdr>
                  <w:divsChild>
                    <w:div w:id="1624992659">
                      <w:marLeft w:val="1"/>
                      <w:marRight w:val="1"/>
                      <w:marTop w:val="0"/>
                      <w:marBottom w:val="0"/>
                      <w:divBdr>
                        <w:top w:val="none" w:sz="0" w:space="0" w:color="auto"/>
                        <w:left w:val="none" w:sz="0" w:space="0" w:color="auto"/>
                        <w:bottom w:val="none" w:sz="0" w:space="0" w:color="auto"/>
                        <w:right w:val="none" w:sz="0" w:space="0" w:color="auto"/>
                      </w:divBdr>
                      <w:divsChild>
                        <w:div w:id="1520120307">
                          <w:marLeft w:val="0"/>
                          <w:marRight w:val="0"/>
                          <w:marTop w:val="0"/>
                          <w:marBottom w:val="0"/>
                          <w:divBdr>
                            <w:top w:val="none" w:sz="0" w:space="0" w:color="auto"/>
                            <w:left w:val="none" w:sz="0" w:space="0" w:color="auto"/>
                            <w:bottom w:val="none" w:sz="0" w:space="0" w:color="auto"/>
                            <w:right w:val="none" w:sz="0" w:space="0" w:color="auto"/>
                          </w:divBdr>
                          <w:divsChild>
                            <w:div w:id="1037655646">
                              <w:marLeft w:val="0"/>
                              <w:marRight w:val="0"/>
                              <w:marTop w:val="0"/>
                              <w:marBottom w:val="360"/>
                              <w:divBdr>
                                <w:top w:val="none" w:sz="0" w:space="0" w:color="auto"/>
                                <w:left w:val="none" w:sz="0" w:space="0" w:color="auto"/>
                                <w:bottom w:val="none" w:sz="0" w:space="0" w:color="auto"/>
                                <w:right w:val="none" w:sz="0" w:space="0" w:color="auto"/>
                              </w:divBdr>
                              <w:divsChild>
                                <w:div w:id="343095895">
                                  <w:marLeft w:val="0"/>
                                  <w:marRight w:val="0"/>
                                  <w:marTop w:val="0"/>
                                  <w:marBottom w:val="0"/>
                                  <w:divBdr>
                                    <w:top w:val="none" w:sz="0" w:space="0" w:color="auto"/>
                                    <w:left w:val="none" w:sz="0" w:space="0" w:color="auto"/>
                                    <w:bottom w:val="none" w:sz="0" w:space="0" w:color="auto"/>
                                    <w:right w:val="none" w:sz="0" w:space="0" w:color="auto"/>
                                  </w:divBdr>
                                  <w:divsChild>
                                    <w:div w:id="78909064">
                                      <w:marLeft w:val="0"/>
                                      <w:marRight w:val="0"/>
                                      <w:marTop w:val="0"/>
                                      <w:marBottom w:val="0"/>
                                      <w:divBdr>
                                        <w:top w:val="none" w:sz="0" w:space="0" w:color="auto"/>
                                        <w:left w:val="none" w:sz="0" w:space="0" w:color="auto"/>
                                        <w:bottom w:val="none" w:sz="0" w:space="0" w:color="auto"/>
                                        <w:right w:val="none" w:sz="0" w:space="0" w:color="auto"/>
                                      </w:divBdr>
                                      <w:divsChild>
                                        <w:div w:id="5623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elojade/isef/case_details.cfm?proc_code=3_SA_41387" TargetMode="External"/><Relationship Id="rId13" Type="http://schemas.openxmlformats.org/officeDocument/2006/relationships/hyperlink" Target="http://eur-lex.europa.eu/LexUriServ/LexUriServ.do?uri=OJ:L:2006:379:0005:01:LV:HTML" TargetMode="External"/><Relationship Id="rId18" Type="http://schemas.openxmlformats.org/officeDocument/2006/relationships/hyperlink" Target="http://eur-lex.europa.eu/LexUriServ/LexUriServ.do?uri=OJ:L:2006:379:0005:01:LV: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ur-lex.europa.eu/eli/reg/2014/702?locale=LV" TargetMode="External"/><Relationship Id="rId7" Type="http://schemas.openxmlformats.org/officeDocument/2006/relationships/hyperlink" Target="http://eur-lex.europa.eu/LexUriServ/LexUriServ.do?uri=OJ:L:2006:379:0005:01:LV:HTML" TargetMode="External"/><Relationship Id="rId12" Type="http://schemas.openxmlformats.org/officeDocument/2006/relationships/hyperlink" Target="http://eur-lex.europa.eu/LexUriServ/LexUriServ.do?uri=OJ:L:2006:379:0005:01:LV:HTML" TargetMode="External"/><Relationship Id="rId17" Type="http://schemas.openxmlformats.org/officeDocument/2006/relationships/hyperlink" Target="http://eur-lex.europa.eu/LexUriServ/LexUriServ.do?uri=OJ:L:2006:379:0005:01:LV: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ur-lex.europa.eu/LexUriServ/LexUriServ.do?uri=OJ:L:2006:379:0005:01:LV:HTML" TargetMode="External"/><Relationship Id="rId20" Type="http://schemas.openxmlformats.org/officeDocument/2006/relationships/hyperlink" Target="http://eur-lex.europa.eu/eli/reg/2014/702?local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OJ:L:2006:379:0005:01:LV: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ur-lex.europa.eu/eli/reg/2014/717?locale=LV" TargetMode="External"/><Relationship Id="rId23" Type="http://schemas.openxmlformats.org/officeDocument/2006/relationships/hyperlink" Target="http://ec.europa.eu/competition/elojade/isef/case_details.cfm?proc_code=3_SA_41387" TargetMode="External"/><Relationship Id="rId10" Type="http://schemas.openxmlformats.org/officeDocument/2006/relationships/hyperlink" Target="http://eur-lex.europa.eu/eli/reg/2014/717?locale=LV" TargetMode="External"/><Relationship Id="rId19" Type="http://schemas.openxmlformats.org/officeDocument/2006/relationships/hyperlink" Target="http://eur-lex.europa.eu/LexUriServ/LexUriServ.do?uri=OJ:L:2006:379:0005:01:LV:HTML" TargetMode="External"/><Relationship Id="rId4" Type="http://schemas.openxmlformats.org/officeDocument/2006/relationships/webSettings" Target="webSettings.xml"/><Relationship Id="rId9" Type="http://schemas.openxmlformats.org/officeDocument/2006/relationships/hyperlink" Target="http://eur-lex.europa.eu/LexUriServ/LexUriServ.do?uri=OJ:L:2006:379:0005:01:LV:HTML" TargetMode="External"/><Relationship Id="rId14" Type="http://schemas.openxmlformats.org/officeDocument/2006/relationships/hyperlink" Target="http://eur-lex.europa.eu/eli/reg/2014/717?locale=LV" TargetMode="External"/><Relationship Id="rId22" Type="http://schemas.openxmlformats.org/officeDocument/2006/relationships/hyperlink" Target="http://eur-lex.europa.eu/eli/reg/2014/702?locale=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18791</Words>
  <Characters>10711</Characters>
  <Application>Microsoft Office Word</Application>
  <DocSecurity>0</DocSecurity>
  <Lines>89</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„Lauksaimniecības un lauku attīstības kredītu garantēšanas programma” sākotnējās ietekmes novērtējuma ziņojums (anotācija)</vt:lpstr>
      <vt:lpstr>Ministru kabineta noteikumu projekta „Lauksaimniecības un lauku attīstības kredītu garantēšanas programma” sākotnējās ietekmes novērtējuma ziņojums (anotācija)</vt:lpstr>
    </vt:vector>
  </TitlesOfParts>
  <Company>Zemkopības Ministrija</Company>
  <LinksUpToDate>false</LinksUpToDate>
  <CharactersWithSpaces>29444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„Lauksaimniecības un lauku attīstības kredītu garantēšanas programma” sākotnējās ietekmes novērtējuma ziņojums (anotācija)</dc:title>
  <dc:creator>Linda Voiče</dc:creator>
  <cp:lastModifiedBy>Alise Apalupa</cp:lastModifiedBy>
  <cp:revision>10</cp:revision>
  <cp:lastPrinted>2015-05-27T11:36:00Z</cp:lastPrinted>
  <dcterms:created xsi:type="dcterms:W3CDTF">2015-07-15T11:14:00Z</dcterms:created>
  <dcterms:modified xsi:type="dcterms:W3CDTF">2015-07-15T12:07:00Z</dcterms:modified>
</cp:coreProperties>
</file>