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3A69" w14:textId="77777777" w:rsidR="00A8305F" w:rsidRPr="00B217C6" w:rsidRDefault="00A8305F" w:rsidP="00A8305F">
      <w:pPr>
        <w:jc w:val="right"/>
        <w:rPr>
          <w:color w:val="000000" w:themeColor="text1"/>
          <w:szCs w:val="28"/>
          <w:lang w:eastAsia="fr-FR"/>
        </w:rPr>
      </w:pPr>
      <w:r w:rsidRPr="00B217C6">
        <w:rPr>
          <w:color w:val="000000" w:themeColor="text1"/>
          <w:szCs w:val="28"/>
          <w:lang w:eastAsia="fr-FR"/>
        </w:rPr>
        <w:t>1.</w:t>
      </w:r>
      <w:r w:rsidR="005F27E4" w:rsidRPr="00B217C6">
        <w:rPr>
          <w:color w:val="000000" w:themeColor="text1"/>
          <w:szCs w:val="28"/>
          <w:lang w:eastAsia="fr-FR"/>
        </w:rPr>
        <w:t> </w:t>
      </w:r>
      <w:r w:rsidRPr="00B217C6">
        <w:rPr>
          <w:color w:val="000000" w:themeColor="text1"/>
          <w:szCs w:val="28"/>
          <w:lang w:eastAsia="fr-FR"/>
        </w:rPr>
        <w:t>pielikums</w:t>
      </w:r>
    </w:p>
    <w:p w14:paraId="00C73A6A" w14:textId="77777777" w:rsidR="00A8305F" w:rsidRPr="00B217C6" w:rsidRDefault="00A8305F" w:rsidP="00A8305F">
      <w:pPr>
        <w:jc w:val="right"/>
        <w:rPr>
          <w:color w:val="000000" w:themeColor="text1"/>
          <w:szCs w:val="28"/>
          <w:lang w:eastAsia="fr-FR"/>
        </w:rPr>
      </w:pPr>
      <w:r w:rsidRPr="00B217C6">
        <w:rPr>
          <w:color w:val="000000" w:themeColor="text1"/>
          <w:szCs w:val="28"/>
          <w:lang w:eastAsia="fr-FR"/>
        </w:rPr>
        <w:t>Ministru kabineta</w:t>
      </w:r>
    </w:p>
    <w:p w14:paraId="2C0B3DBF" w14:textId="159F63E2" w:rsidR="003C7813" w:rsidRPr="00CD757F" w:rsidRDefault="003C7813" w:rsidP="00CD757F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3A3E4C">
        <w:rPr>
          <w:szCs w:val="28"/>
        </w:rPr>
        <w:t>28. jūlij</w:t>
      </w:r>
      <w:r w:rsidR="003A3E4C">
        <w:rPr>
          <w:szCs w:val="28"/>
        </w:rPr>
        <w:t>a</w:t>
      </w:r>
    </w:p>
    <w:p w14:paraId="464C9869" w14:textId="3611242E" w:rsidR="003C7813" w:rsidRPr="00CD757F" w:rsidRDefault="003C7813" w:rsidP="00CD757F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3A3E4C">
        <w:rPr>
          <w:szCs w:val="22"/>
        </w:rPr>
        <w:t>422</w:t>
      </w:r>
      <w:bookmarkStart w:id="0" w:name="_GoBack"/>
      <w:bookmarkEnd w:id="0"/>
    </w:p>
    <w:p w14:paraId="00C73A6D" w14:textId="77777777" w:rsidR="00A8305F" w:rsidRPr="00927E7F" w:rsidRDefault="00A8305F" w:rsidP="00A8305F">
      <w:pPr>
        <w:jc w:val="right"/>
        <w:rPr>
          <w:color w:val="000000" w:themeColor="text1"/>
          <w:sz w:val="24"/>
          <w:szCs w:val="24"/>
          <w:lang w:eastAsia="fr-FR"/>
        </w:rPr>
      </w:pPr>
    </w:p>
    <w:p w14:paraId="00C73A6E" w14:textId="77777777" w:rsidR="00A8305F" w:rsidRPr="003C7813" w:rsidRDefault="00A8305F" w:rsidP="00A8305F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3C7813">
        <w:rPr>
          <w:b/>
          <w:bCs/>
          <w:color w:val="000000" w:themeColor="text1"/>
          <w:szCs w:val="28"/>
          <w:lang w:eastAsia="fr-FR"/>
        </w:rPr>
        <w:t>Sastāvs pārtikas produktiem ar samazinātu enerģētisko vērtību</w:t>
      </w:r>
    </w:p>
    <w:p w14:paraId="00C73A6F" w14:textId="77777777" w:rsidR="00A8305F" w:rsidRDefault="00A8305F" w:rsidP="00A8305F">
      <w:pPr>
        <w:jc w:val="both"/>
        <w:rPr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TableGrid"/>
        <w:tblW w:w="9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3"/>
        <w:gridCol w:w="1700"/>
        <w:gridCol w:w="1700"/>
        <w:gridCol w:w="1700"/>
        <w:gridCol w:w="1558"/>
      </w:tblGrid>
      <w:tr w:rsidR="00A8305F" w14:paraId="00C73A76" w14:textId="77777777" w:rsidTr="0067238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70" w14:textId="77777777" w:rsidR="00A8305F" w:rsidRDefault="00A8305F" w:rsidP="003C7813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Nr.</w:t>
            </w:r>
          </w:p>
          <w:p w14:paraId="00C73A72" w14:textId="59028EBC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p.</w:t>
            </w:r>
            <w:r w:rsidR="003C781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73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Enerģētiskā vērtība un sastāvs, mērvienības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4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Pilnīgs uztura aizstājējs svara kontrolei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5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Ēdienreizes aizstājējs svara kontrolei</w:t>
            </w:r>
          </w:p>
        </w:tc>
      </w:tr>
      <w:tr w:rsidR="00A8305F" w14:paraId="00C73A7D" w14:textId="77777777" w:rsidTr="0067238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7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8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9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A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B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minimālais daudzums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3A7C" w14:textId="77777777" w:rsidR="00A8305F" w:rsidRDefault="00A8305F" w:rsidP="003C7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maksimālais daudzums</w:t>
            </w:r>
          </w:p>
        </w:tc>
      </w:tr>
      <w:tr w:rsidR="00A8305F" w14:paraId="00C73A84" w14:textId="77777777" w:rsidTr="00B20C21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7E" w14:textId="77777777" w:rsidR="00A8305F" w:rsidRPr="00874538" w:rsidRDefault="00874538">
            <w:pPr>
              <w:jc w:val="both"/>
              <w:rPr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874538">
              <w:rPr>
                <w:bCs/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7F" w14:textId="77777777" w:rsidR="00A8305F" w:rsidRDefault="00A8305F" w:rsidP="00672381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Enerģētiskā vērtība, kJ (kcal)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0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3360 (800)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1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5040 (1200)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2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840 (200)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3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1680 (400)</w:t>
            </w:r>
          </w:p>
        </w:tc>
      </w:tr>
      <w:tr w:rsidR="00A8305F" w14:paraId="00C73A8B" w14:textId="77777777" w:rsidTr="0067238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5" w14:textId="77777777" w:rsidR="00A8305F" w:rsidRDefault="00A8305F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6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Olbaltumvielas</w:t>
            </w:r>
            <w:r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1, 2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, 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7" w14:textId="60D3F605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8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9" w14:textId="01E7CD6C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A" w14:textId="514C1525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</w:tr>
      <w:tr w:rsidR="00A8305F" w:rsidRPr="00A8305F" w14:paraId="00C73A92" w14:textId="77777777" w:rsidTr="0067238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8C" w14:textId="77777777" w:rsidR="00A8305F" w:rsidRDefault="00A8305F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8D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E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8F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90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25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91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</w:tr>
      <w:tr w:rsidR="00A8305F" w:rsidRPr="00A8305F" w14:paraId="00C73AA6" w14:textId="77777777" w:rsidTr="0067238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93" w14:textId="77777777" w:rsidR="00A8305F" w:rsidRDefault="00A8305F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94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Tauki,</w:t>
            </w:r>
          </w:p>
          <w:p w14:paraId="00C73A95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6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7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8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9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linolēnskābe glicerīdu veidā, 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9B" w14:textId="5CCAA6BC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  <w:p w14:paraId="00C73A9C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D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9E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9F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A1" w14:textId="656B6A63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  <w:p w14:paraId="00C73AA2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A3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  <w:p w14:paraId="00C73AA4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5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kopējās produkta enerģētiskās vērtības</w:t>
            </w:r>
          </w:p>
        </w:tc>
      </w:tr>
      <w:tr w:rsidR="00A8305F" w14:paraId="00C73AAD" w14:textId="77777777" w:rsidTr="0067238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A7" w14:textId="77777777" w:rsidR="00A8305F" w:rsidRDefault="00A8305F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AA8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9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A" w14:textId="59F2E7F2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B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C" w14:textId="12ABB022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</w:tr>
      <w:tr w:rsidR="00A8305F" w14:paraId="00C73AB4" w14:textId="77777777" w:rsidTr="0067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E" w14:textId="77777777" w:rsidR="00A8305F" w:rsidRDefault="00A8305F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AF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Šķiedrvielas, 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0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1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2" w14:textId="5D4FE32A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3" w14:textId="51DB1F26" w:rsidR="00A8305F" w:rsidRDefault="00B20C21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722BA7">
              <w:rPr>
                <w:color w:val="000000" w:themeColor="text1"/>
                <w:szCs w:val="28"/>
                <w:lang w:eastAsia="fr-FR"/>
              </w:rPr>
              <w:t>–</w:t>
            </w:r>
          </w:p>
        </w:tc>
      </w:tr>
      <w:tr w:rsidR="00A8305F" w:rsidRPr="00A8305F" w14:paraId="00C73ABB" w14:textId="77777777" w:rsidTr="006723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5" w14:textId="77777777" w:rsidR="00A8305F" w:rsidRDefault="00A8305F">
            <w:pPr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6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Vitamīni un minerālvielas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7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vismaz 100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 xml:space="preserve">% no šo noteikumu </w:t>
            </w:r>
            <w:r w:rsidR="00DE37AF" w:rsidRPr="009F3723"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Pr="009F3723">
              <w:rPr>
                <w:color w:val="000000" w:themeColor="text1"/>
                <w:sz w:val="24"/>
                <w:szCs w:val="24"/>
                <w:lang w:eastAsia="fr-FR"/>
              </w:rPr>
              <w:t>.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9F3723">
              <w:rPr>
                <w:color w:val="000000" w:themeColor="text1"/>
                <w:sz w:val="24"/>
                <w:szCs w:val="24"/>
                <w:lang w:eastAsia="fr-FR"/>
              </w:rPr>
              <w:t>pielikumā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 xml:space="preserve"> norādītā vitamīnu un minerālvielu daudzuma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B8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3AB9" w14:textId="77618721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vismaz 30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>% no šo noteikumu</w:t>
            </w:r>
            <w:r w:rsidR="00275236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275236" w:rsidRPr="009F3723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  <w:r w:rsidR="005F27E4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="00275236" w:rsidRPr="009F3723">
              <w:rPr>
                <w:color w:val="000000" w:themeColor="text1"/>
                <w:sz w:val="24"/>
                <w:szCs w:val="24"/>
                <w:lang w:eastAsia="fr-FR"/>
              </w:rPr>
              <w:t>pielikumā</w:t>
            </w:r>
            <w:r>
              <w:rPr>
                <w:color w:val="000000" w:themeColor="text1"/>
                <w:sz w:val="24"/>
                <w:szCs w:val="24"/>
                <w:lang w:eastAsia="fr-FR"/>
              </w:rPr>
              <w:t xml:space="preserve"> norādītā vitamīnu un minerālvielu daudzuma vienā ēdienreizē</w:t>
            </w:r>
            <w:r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ABA" w14:textId="77777777" w:rsidR="00A8305F" w:rsidRDefault="00A8305F" w:rsidP="00672381">
            <w:pPr>
              <w:rPr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14:paraId="44879F18" w14:textId="77777777" w:rsidR="003C7813" w:rsidRDefault="003C7813" w:rsidP="00A8305F">
      <w:pPr>
        <w:jc w:val="both"/>
        <w:rPr>
          <w:iCs/>
          <w:color w:val="000000" w:themeColor="text1"/>
          <w:sz w:val="24"/>
          <w:szCs w:val="24"/>
          <w:lang w:eastAsia="fr-FR"/>
        </w:rPr>
      </w:pPr>
    </w:p>
    <w:p w14:paraId="00C73ABC" w14:textId="77777777" w:rsidR="00A8305F" w:rsidRPr="00927E7F" w:rsidRDefault="00A8305F" w:rsidP="003C7813">
      <w:pPr>
        <w:ind w:firstLine="709"/>
        <w:jc w:val="both"/>
        <w:rPr>
          <w:iCs/>
          <w:color w:val="000000" w:themeColor="text1"/>
          <w:sz w:val="24"/>
          <w:szCs w:val="24"/>
          <w:lang w:eastAsia="fr-FR"/>
        </w:rPr>
      </w:pPr>
      <w:r w:rsidRPr="00927E7F">
        <w:rPr>
          <w:iCs/>
          <w:color w:val="000000" w:themeColor="text1"/>
          <w:sz w:val="24"/>
          <w:szCs w:val="24"/>
          <w:lang w:eastAsia="fr-FR"/>
        </w:rPr>
        <w:t>Piezīmes.</w:t>
      </w:r>
    </w:p>
    <w:p w14:paraId="00C73ABD" w14:textId="22FC3A67" w:rsidR="00A8305F" w:rsidRPr="00927E7F" w:rsidRDefault="00A8305F" w:rsidP="003C7813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927E7F">
        <w:rPr>
          <w:color w:val="000000" w:themeColor="text1"/>
          <w:sz w:val="24"/>
          <w:szCs w:val="24"/>
          <w:vertAlign w:val="superscript"/>
          <w:lang w:eastAsia="fr-FR"/>
        </w:rPr>
        <w:t>1</w:t>
      </w:r>
      <w:r w:rsidR="00B20C21">
        <w:rPr>
          <w:color w:val="000000" w:themeColor="text1"/>
          <w:sz w:val="24"/>
          <w:szCs w:val="24"/>
          <w:lang w:eastAsia="fr-FR"/>
        </w:rPr>
        <w:t> </w:t>
      </w:r>
      <w:r w:rsidRPr="00927E7F">
        <w:rPr>
          <w:color w:val="000000" w:themeColor="text1"/>
          <w:sz w:val="24"/>
          <w:szCs w:val="24"/>
          <w:lang w:eastAsia="fr-FR"/>
        </w:rPr>
        <w:t xml:space="preserve">Olbaltumvielu norma attiecas uz olbaltumvielām, kuru ķīmiskais indekss (vismazākā attiecība starp katras neaizstājamās aminoskābes daudzumu izmantojamajā olbaltumvielā un katras attiecīgās aminoskābes daudzumu salīdzināmajā olbaltumvielā) </w:t>
      </w:r>
      <w:r w:rsidR="005F27E4" w:rsidRPr="00927E7F">
        <w:rPr>
          <w:color w:val="000000" w:themeColor="text1"/>
          <w:sz w:val="24"/>
          <w:szCs w:val="24"/>
          <w:lang w:eastAsia="fr-FR"/>
        </w:rPr>
        <w:t xml:space="preserve">ir </w:t>
      </w:r>
      <w:r w:rsidRPr="00927E7F">
        <w:rPr>
          <w:color w:val="000000" w:themeColor="text1"/>
          <w:sz w:val="24"/>
          <w:szCs w:val="24"/>
          <w:lang w:eastAsia="fr-FR"/>
        </w:rPr>
        <w:t>vienāds ar salīdzināmās olbaltumvielas ķīmisko indeksu. Ja olbaltumvielas ķīmiskais indekss ir mazāks par 100</w:t>
      </w:r>
      <w:r w:rsidR="005F27E4" w:rsidRPr="00927E7F">
        <w:rPr>
          <w:color w:val="000000" w:themeColor="text1"/>
          <w:sz w:val="24"/>
          <w:szCs w:val="24"/>
          <w:lang w:eastAsia="fr-FR"/>
        </w:rPr>
        <w:t> </w:t>
      </w:r>
      <w:r w:rsidRPr="00927E7F">
        <w:rPr>
          <w:color w:val="000000" w:themeColor="text1"/>
          <w:sz w:val="24"/>
          <w:szCs w:val="24"/>
          <w:lang w:eastAsia="fr-FR"/>
        </w:rPr>
        <w:t>% no salīdzināmās olbaltumvielas ķīmiskā indeksa, minimālais olbaltumvielu daudzums produktā attiecīgi jāpalielina</w:t>
      </w:r>
      <w:r w:rsidR="005F27E4" w:rsidRPr="00927E7F">
        <w:rPr>
          <w:color w:val="000000" w:themeColor="text1"/>
          <w:sz w:val="24"/>
          <w:szCs w:val="24"/>
          <w:lang w:eastAsia="fr-FR"/>
        </w:rPr>
        <w:t>, tomēr</w:t>
      </w:r>
      <w:r w:rsidRPr="00927E7F">
        <w:rPr>
          <w:color w:val="000000" w:themeColor="text1"/>
          <w:sz w:val="24"/>
          <w:szCs w:val="24"/>
          <w:lang w:eastAsia="fr-FR"/>
        </w:rPr>
        <w:t xml:space="preserve"> olbaltumvielas ķīmiskais indekss nedrīkst būt mazāks par 80 % no salīdzināmās olbaltumvielas ķīmiskā indeksa.</w:t>
      </w:r>
    </w:p>
    <w:p w14:paraId="00C73ABF" w14:textId="16C7C16F" w:rsidR="00A8305F" w:rsidRDefault="00A8305F" w:rsidP="003C7813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927E7F">
        <w:rPr>
          <w:color w:val="000000" w:themeColor="text1"/>
          <w:sz w:val="24"/>
          <w:szCs w:val="24"/>
          <w:vertAlign w:val="superscript"/>
          <w:lang w:eastAsia="fr-FR"/>
        </w:rPr>
        <w:t>2</w:t>
      </w:r>
      <w:r w:rsidR="00B20C21">
        <w:rPr>
          <w:color w:val="000000" w:themeColor="text1"/>
          <w:sz w:val="24"/>
          <w:szCs w:val="24"/>
          <w:lang w:eastAsia="fr-FR"/>
        </w:rPr>
        <w:t> </w:t>
      </w:r>
      <w:r w:rsidRPr="00927E7F">
        <w:rPr>
          <w:color w:val="000000" w:themeColor="text1"/>
          <w:sz w:val="24"/>
          <w:szCs w:val="24"/>
          <w:lang w:eastAsia="fr-FR"/>
        </w:rPr>
        <w:t>Aminoskābju pievienošana atļauta tikai olbaltumvielu uzturvērtības uzlabošanai un tikai attiecībās, kādas nepieciešamas šim nolūkam.</w:t>
      </w:r>
    </w:p>
    <w:p w14:paraId="00C73AC0" w14:textId="77777777" w:rsidR="00927E7F" w:rsidRPr="00927E7F" w:rsidRDefault="00927E7F" w:rsidP="003C7813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</w:p>
    <w:p w14:paraId="00C73AC1" w14:textId="2D825497" w:rsidR="00A8305F" w:rsidRPr="00927E7F" w:rsidRDefault="00A8305F" w:rsidP="003C7813">
      <w:pPr>
        <w:ind w:firstLine="709"/>
        <w:jc w:val="both"/>
        <w:rPr>
          <w:color w:val="000000" w:themeColor="text1"/>
          <w:sz w:val="24"/>
          <w:szCs w:val="24"/>
          <w:lang w:eastAsia="fr-FR"/>
        </w:rPr>
      </w:pPr>
      <w:r w:rsidRPr="00927E7F">
        <w:rPr>
          <w:color w:val="000000" w:themeColor="text1"/>
          <w:sz w:val="24"/>
          <w:szCs w:val="24"/>
          <w:vertAlign w:val="superscript"/>
          <w:lang w:eastAsia="fr-FR"/>
        </w:rPr>
        <w:lastRenderedPageBreak/>
        <w:t>3</w:t>
      </w:r>
      <w:r w:rsidR="00B20C21">
        <w:rPr>
          <w:color w:val="000000" w:themeColor="text1"/>
          <w:sz w:val="24"/>
          <w:szCs w:val="24"/>
          <w:lang w:eastAsia="fr-FR"/>
        </w:rPr>
        <w:t> </w:t>
      </w:r>
      <w:r w:rsidRPr="00927E7F">
        <w:rPr>
          <w:color w:val="000000" w:themeColor="text1"/>
          <w:sz w:val="24"/>
          <w:szCs w:val="24"/>
          <w:lang w:eastAsia="fr-FR"/>
        </w:rPr>
        <w:t xml:space="preserve">Šo noteikumu </w:t>
      </w:r>
      <w:hyperlink r:id="rId8" w:anchor="n3.1" w:tgtFrame="_blank" w:history="1">
        <w:r w:rsidRPr="00927E7F">
          <w:rPr>
            <w:rStyle w:val="Hyperlink"/>
            <w:color w:val="000000" w:themeColor="text1"/>
            <w:sz w:val="24"/>
            <w:szCs w:val="24"/>
            <w:u w:val="none"/>
            <w:lang w:eastAsia="fr-FR"/>
          </w:rPr>
          <w:t>2.2</w:t>
        </w:r>
      </w:hyperlink>
      <w:r w:rsidRPr="00927E7F">
        <w:rPr>
          <w:color w:val="000000" w:themeColor="text1"/>
          <w:sz w:val="24"/>
          <w:szCs w:val="24"/>
          <w:lang w:eastAsia="fr-FR"/>
        </w:rPr>
        <w:t>.</w:t>
      </w:r>
      <w:r w:rsidR="005F27E4" w:rsidRPr="00927E7F">
        <w:rPr>
          <w:color w:val="000000" w:themeColor="text1"/>
          <w:sz w:val="24"/>
          <w:szCs w:val="24"/>
          <w:lang w:eastAsia="fr-FR"/>
        </w:rPr>
        <w:t> </w:t>
      </w:r>
      <w:r w:rsidRPr="00927E7F">
        <w:rPr>
          <w:color w:val="000000" w:themeColor="text1"/>
          <w:sz w:val="24"/>
          <w:szCs w:val="24"/>
          <w:lang w:eastAsia="fr-FR"/>
        </w:rPr>
        <w:t>apakšpunktā minētaj</w:t>
      </w:r>
      <w:r w:rsidR="008D3E23" w:rsidRPr="00927E7F">
        <w:rPr>
          <w:color w:val="000000" w:themeColor="text1"/>
          <w:sz w:val="24"/>
          <w:szCs w:val="24"/>
          <w:lang w:eastAsia="fr-FR"/>
        </w:rPr>
        <w:t>iem</w:t>
      </w:r>
      <w:r w:rsidRPr="00927E7F">
        <w:rPr>
          <w:color w:val="000000" w:themeColor="text1"/>
          <w:sz w:val="24"/>
          <w:szCs w:val="24"/>
          <w:lang w:eastAsia="fr-FR"/>
        </w:rPr>
        <w:t xml:space="preserve"> pārtika</w:t>
      </w:r>
      <w:r w:rsidR="008D3E23" w:rsidRPr="00927E7F">
        <w:rPr>
          <w:color w:val="000000" w:themeColor="text1"/>
          <w:sz w:val="24"/>
          <w:szCs w:val="24"/>
          <w:lang w:eastAsia="fr-FR"/>
        </w:rPr>
        <w:t>s produktiem</w:t>
      </w:r>
      <w:r w:rsidRPr="00927E7F">
        <w:rPr>
          <w:color w:val="000000" w:themeColor="text1"/>
          <w:sz w:val="24"/>
          <w:szCs w:val="24"/>
          <w:lang w:eastAsia="fr-FR"/>
        </w:rPr>
        <w:t xml:space="preserve"> kālija daudzums vienā ēdienreizē ir vismaz 500 mg.</w:t>
      </w:r>
    </w:p>
    <w:p w14:paraId="00C73AC2" w14:textId="77777777" w:rsidR="00A8305F" w:rsidRPr="00B20C21" w:rsidRDefault="00A8305F" w:rsidP="00A8305F">
      <w:pPr>
        <w:rPr>
          <w:color w:val="414142"/>
          <w:szCs w:val="28"/>
          <w:lang w:eastAsia="fr-FR"/>
        </w:rPr>
      </w:pPr>
    </w:p>
    <w:p w14:paraId="00C73AC3" w14:textId="77777777" w:rsidR="00774AA2" w:rsidRPr="00B20C21" w:rsidRDefault="00774AA2" w:rsidP="00A8305F">
      <w:pPr>
        <w:rPr>
          <w:color w:val="414142"/>
          <w:szCs w:val="28"/>
          <w:lang w:eastAsia="fr-FR"/>
        </w:rPr>
      </w:pPr>
    </w:p>
    <w:p w14:paraId="21EF43DF" w14:textId="77777777" w:rsidR="003C7813" w:rsidRPr="00B20C21" w:rsidRDefault="003C7813" w:rsidP="00A8305F">
      <w:pPr>
        <w:rPr>
          <w:color w:val="414142"/>
          <w:szCs w:val="28"/>
          <w:lang w:eastAsia="fr-FR"/>
        </w:rPr>
      </w:pPr>
    </w:p>
    <w:p w14:paraId="00C73AC4" w14:textId="2CBC0798" w:rsidR="00774AA2" w:rsidRPr="00B217C6" w:rsidRDefault="00774AA2" w:rsidP="00774AA2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  <w:r w:rsidRPr="00B217C6">
        <w:rPr>
          <w:color w:val="000000" w:themeColor="text1"/>
          <w:lang w:val="lv-LV"/>
        </w:rPr>
        <w:t>Zemkopības ministrs</w:t>
      </w:r>
      <w:r w:rsidRPr="00B217C6">
        <w:rPr>
          <w:color w:val="000000" w:themeColor="text1"/>
          <w:lang w:val="lv-LV"/>
        </w:rPr>
        <w:tab/>
        <w:t>J</w:t>
      </w:r>
      <w:r w:rsidR="00B217C6">
        <w:rPr>
          <w:color w:val="000000" w:themeColor="text1"/>
          <w:lang w:val="lv-LV"/>
        </w:rPr>
        <w:t>ānis</w:t>
      </w:r>
      <w:r w:rsidR="002E565C" w:rsidRPr="00B217C6">
        <w:rPr>
          <w:color w:val="000000" w:themeColor="text1"/>
          <w:lang w:val="lv-LV"/>
        </w:rPr>
        <w:t> </w:t>
      </w:r>
      <w:r w:rsidRPr="00B217C6">
        <w:rPr>
          <w:color w:val="000000" w:themeColor="text1"/>
          <w:lang w:val="lv-LV"/>
        </w:rPr>
        <w:t>Dūklavs</w:t>
      </w:r>
    </w:p>
    <w:sectPr w:rsidR="00774AA2" w:rsidRPr="00B217C6" w:rsidSect="003C781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3AED" w14:textId="77777777" w:rsidR="006B0035" w:rsidRDefault="006B0035" w:rsidP="00A901A0">
      <w:r>
        <w:separator/>
      </w:r>
    </w:p>
  </w:endnote>
  <w:endnote w:type="continuationSeparator" w:id="0">
    <w:p w14:paraId="00C73AEE" w14:textId="77777777" w:rsidR="006B0035" w:rsidRDefault="006B0035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972B" w14:textId="77777777" w:rsidR="003C7813" w:rsidRPr="003C7813" w:rsidRDefault="003C7813" w:rsidP="003C7813">
    <w:pPr>
      <w:pStyle w:val="Footer"/>
      <w:rPr>
        <w:sz w:val="16"/>
        <w:szCs w:val="16"/>
      </w:rPr>
    </w:pPr>
    <w:r w:rsidRPr="003C7813">
      <w:rPr>
        <w:sz w:val="16"/>
        <w:szCs w:val="16"/>
      </w:rPr>
      <w:t>N1269_5p1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7BA9" w14:textId="4243E53D" w:rsidR="00B217C6" w:rsidRPr="003C7813" w:rsidRDefault="003C7813">
    <w:pPr>
      <w:pStyle w:val="Footer"/>
      <w:rPr>
        <w:sz w:val="16"/>
        <w:szCs w:val="16"/>
      </w:rPr>
    </w:pPr>
    <w:r w:rsidRPr="003C7813">
      <w:rPr>
        <w:sz w:val="16"/>
        <w:szCs w:val="16"/>
      </w:rPr>
      <w:t>N1269_5p1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73AEB" w14:textId="77777777" w:rsidR="006B0035" w:rsidRDefault="006B0035" w:rsidP="00A901A0">
      <w:r>
        <w:separator/>
      </w:r>
    </w:p>
  </w:footnote>
  <w:footnote w:type="continuationSeparator" w:id="0">
    <w:p w14:paraId="00C73AEC" w14:textId="77777777" w:rsidR="006B0035" w:rsidRDefault="006B0035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3AEF" w14:textId="77777777" w:rsidR="005311CC" w:rsidRPr="003C7813" w:rsidRDefault="005311CC" w:rsidP="005311CC">
    <w:pPr>
      <w:pStyle w:val="Header"/>
      <w:jc w:val="center"/>
      <w:rPr>
        <w:sz w:val="24"/>
      </w:rPr>
    </w:pPr>
    <w:r w:rsidRPr="003C7813">
      <w:rPr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0471"/>
    <w:rsid w:val="0003401B"/>
    <w:rsid w:val="0004018C"/>
    <w:rsid w:val="0004063B"/>
    <w:rsid w:val="00042786"/>
    <w:rsid w:val="00044835"/>
    <w:rsid w:val="00075CDF"/>
    <w:rsid w:val="000A4399"/>
    <w:rsid w:val="000A6114"/>
    <w:rsid w:val="000D03BA"/>
    <w:rsid w:val="001154CC"/>
    <w:rsid w:val="00154649"/>
    <w:rsid w:val="001669A4"/>
    <w:rsid w:val="00170945"/>
    <w:rsid w:val="00171F61"/>
    <w:rsid w:val="00174EA2"/>
    <w:rsid w:val="001777D3"/>
    <w:rsid w:val="00192B36"/>
    <w:rsid w:val="001B42BD"/>
    <w:rsid w:val="001D0300"/>
    <w:rsid w:val="001D25C3"/>
    <w:rsid w:val="001E1B0A"/>
    <w:rsid w:val="001E7D68"/>
    <w:rsid w:val="001F2048"/>
    <w:rsid w:val="001F56AE"/>
    <w:rsid w:val="0020696E"/>
    <w:rsid w:val="00207F5C"/>
    <w:rsid w:val="002229A9"/>
    <w:rsid w:val="002464D6"/>
    <w:rsid w:val="002501CD"/>
    <w:rsid w:val="00255598"/>
    <w:rsid w:val="00271281"/>
    <w:rsid w:val="0027163A"/>
    <w:rsid w:val="002720DE"/>
    <w:rsid w:val="00275236"/>
    <w:rsid w:val="002964DE"/>
    <w:rsid w:val="002A209C"/>
    <w:rsid w:val="002A6C89"/>
    <w:rsid w:val="002D33DF"/>
    <w:rsid w:val="002E2343"/>
    <w:rsid w:val="002E565C"/>
    <w:rsid w:val="002F62BA"/>
    <w:rsid w:val="0032627F"/>
    <w:rsid w:val="00373131"/>
    <w:rsid w:val="00376C3E"/>
    <w:rsid w:val="003875B9"/>
    <w:rsid w:val="003A3E4C"/>
    <w:rsid w:val="003B1E63"/>
    <w:rsid w:val="003B330A"/>
    <w:rsid w:val="003C7813"/>
    <w:rsid w:val="003E3B20"/>
    <w:rsid w:val="003E6FB6"/>
    <w:rsid w:val="00414E6D"/>
    <w:rsid w:val="00432BE6"/>
    <w:rsid w:val="0045634F"/>
    <w:rsid w:val="004616F5"/>
    <w:rsid w:val="00474B88"/>
    <w:rsid w:val="00483372"/>
    <w:rsid w:val="00484664"/>
    <w:rsid w:val="00484DC5"/>
    <w:rsid w:val="00497BCF"/>
    <w:rsid w:val="004A7F35"/>
    <w:rsid w:val="004B0D38"/>
    <w:rsid w:val="004C0A94"/>
    <w:rsid w:val="004D3985"/>
    <w:rsid w:val="005110FE"/>
    <w:rsid w:val="00522B85"/>
    <w:rsid w:val="0052522F"/>
    <w:rsid w:val="005311CC"/>
    <w:rsid w:val="00583118"/>
    <w:rsid w:val="005857A1"/>
    <w:rsid w:val="005B6BCE"/>
    <w:rsid w:val="005E2D62"/>
    <w:rsid w:val="005F27E4"/>
    <w:rsid w:val="00602809"/>
    <w:rsid w:val="00617B15"/>
    <w:rsid w:val="00634677"/>
    <w:rsid w:val="00645126"/>
    <w:rsid w:val="00652109"/>
    <w:rsid w:val="006529E5"/>
    <w:rsid w:val="00661F0D"/>
    <w:rsid w:val="00670333"/>
    <w:rsid w:val="006716D4"/>
    <w:rsid w:val="00672381"/>
    <w:rsid w:val="00686D4F"/>
    <w:rsid w:val="006A2FA0"/>
    <w:rsid w:val="006B0035"/>
    <w:rsid w:val="006B11C8"/>
    <w:rsid w:val="006B532E"/>
    <w:rsid w:val="006C0376"/>
    <w:rsid w:val="006C1BB2"/>
    <w:rsid w:val="006C2B59"/>
    <w:rsid w:val="006D4E7D"/>
    <w:rsid w:val="006D6C0E"/>
    <w:rsid w:val="006E1F2A"/>
    <w:rsid w:val="006F75E0"/>
    <w:rsid w:val="0070056F"/>
    <w:rsid w:val="007260CC"/>
    <w:rsid w:val="007451F5"/>
    <w:rsid w:val="00774AA2"/>
    <w:rsid w:val="007B2BA3"/>
    <w:rsid w:val="007E5931"/>
    <w:rsid w:val="007E6B1F"/>
    <w:rsid w:val="008032C9"/>
    <w:rsid w:val="00803DDD"/>
    <w:rsid w:val="008219BD"/>
    <w:rsid w:val="00844886"/>
    <w:rsid w:val="00846B8F"/>
    <w:rsid w:val="008546B4"/>
    <w:rsid w:val="00865608"/>
    <w:rsid w:val="0086604A"/>
    <w:rsid w:val="00874538"/>
    <w:rsid w:val="0089432E"/>
    <w:rsid w:val="00896BE9"/>
    <w:rsid w:val="008A1306"/>
    <w:rsid w:val="008B001A"/>
    <w:rsid w:val="008C01C2"/>
    <w:rsid w:val="008D0572"/>
    <w:rsid w:val="008D3E23"/>
    <w:rsid w:val="00907D8A"/>
    <w:rsid w:val="009105EE"/>
    <w:rsid w:val="00913234"/>
    <w:rsid w:val="00927E7F"/>
    <w:rsid w:val="00931B80"/>
    <w:rsid w:val="00943497"/>
    <w:rsid w:val="00963DFF"/>
    <w:rsid w:val="0097412A"/>
    <w:rsid w:val="00991ACF"/>
    <w:rsid w:val="009979EC"/>
    <w:rsid w:val="009B140D"/>
    <w:rsid w:val="009B67D9"/>
    <w:rsid w:val="009C057B"/>
    <w:rsid w:val="009E00E3"/>
    <w:rsid w:val="009F00A5"/>
    <w:rsid w:val="009F3723"/>
    <w:rsid w:val="00A101ED"/>
    <w:rsid w:val="00A14E0E"/>
    <w:rsid w:val="00A26F55"/>
    <w:rsid w:val="00A43ADD"/>
    <w:rsid w:val="00A539D6"/>
    <w:rsid w:val="00A53C80"/>
    <w:rsid w:val="00A576BC"/>
    <w:rsid w:val="00A714B5"/>
    <w:rsid w:val="00A8305F"/>
    <w:rsid w:val="00A85BAA"/>
    <w:rsid w:val="00A901A0"/>
    <w:rsid w:val="00A906DF"/>
    <w:rsid w:val="00A909A2"/>
    <w:rsid w:val="00A912BC"/>
    <w:rsid w:val="00A93617"/>
    <w:rsid w:val="00A9428D"/>
    <w:rsid w:val="00A96630"/>
    <w:rsid w:val="00AA21E1"/>
    <w:rsid w:val="00AB2107"/>
    <w:rsid w:val="00AB5541"/>
    <w:rsid w:val="00AB5D87"/>
    <w:rsid w:val="00AD1A92"/>
    <w:rsid w:val="00AE0DB7"/>
    <w:rsid w:val="00AF156E"/>
    <w:rsid w:val="00B06F84"/>
    <w:rsid w:val="00B20C21"/>
    <w:rsid w:val="00B217C6"/>
    <w:rsid w:val="00B4139B"/>
    <w:rsid w:val="00B42D54"/>
    <w:rsid w:val="00B45869"/>
    <w:rsid w:val="00B63FF9"/>
    <w:rsid w:val="00B74863"/>
    <w:rsid w:val="00B7712E"/>
    <w:rsid w:val="00BA2F39"/>
    <w:rsid w:val="00BB1189"/>
    <w:rsid w:val="00BC3B6D"/>
    <w:rsid w:val="00BC69FB"/>
    <w:rsid w:val="00BE4F20"/>
    <w:rsid w:val="00BE68D8"/>
    <w:rsid w:val="00C01B40"/>
    <w:rsid w:val="00C04DAA"/>
    <w:rsid w:val="00C06CB4"/>
    <w:rsid w:val="00C218D4"/>
    <w:rsid w:val="00C40A6C"/>
    <w:rsid w:val="00C51D15"/>
    <w:rsid w:val="00C53724"/>
    <w:rsid w:val="00C8694D"/>
    <w:rsid w:val="00C91859"/>
    <w:rsid w:val="00CB3633"/>
    <w:rsid w:val="00CB5005"/>
    <w:rsid w:val="00CC35A5"/>
    <w:rsid w:val="00CD19F0"/>
    <w:rsid w:val="00CD559A"/>
    <w:rsid w:val="00CF6891"/>
    <w:rsid w:val="00D0194A"/>
    <w:rsid w:val="00D2401C"/>
    <w:rsid w:val="00D35422"/>
    <w:rsid w:val="00D3613E"/>
    <w:rsid w:val="00D3718E"/>
    <w:rsid w:val="00D60979"/>
    <w:rsid w:val="00D7374C"/>
    <w:rsid w:val="00DA227C"/>
    <w:rsid w:val="00DD120B"/>
    <w:rsid w:val="00DE2AA9"/>
    <w:rsid w:val="00DE37AF"/>
    <w:rsid w:val="00DE5A52"/>
    <w:rsid w:val="00E00857"/>
    <w:rsid w:val="00E057CB"/>
    <w:rsid w:val="00E25A47"/>
    <w:rsid w:val="00E33273"/>
    <w:rsid w:val="00E37C25"/>
    <w:rsid w:val="00E52EAA"/>
    <w:rsid w:val="00E54DD7"/>
    <w:rsid w:val="00EB0ADB"/>
    <w:rsid w:val="00EB6304"/>
    <w:rsid w:val="00EC6BDC"/>
    <w:rsid w:val="00EC727B"/>
    <w:rsid w:val="00ED2416"/>
    <w:rsid w:val="00ED7405"/>
    <w:rsid w:val="00F159C7"/>
    <w:rsid w:val="00F20D96"/>
    <w:rsid w:val="00F2562E"/>
    <w:rsid w:val="00F270EF"/>
    <w:rsid w:val="00F413AE"/>
    <w:rsid w:val="00F519CB"/>
    <w:rsid w:val="00F52AC3"/>
    <w:rsid w:val="00F62AAE"/>
    <w:rsid w:val="00F64846"/>
    <w:rsid w:val="00F6528E"/>
    <w:rsid w:val="00F75019"/>
    <w:rsid w:val="00F8001C"/>
    <w:rsid w:val="00F875AB"/>
    <w:rsid w:val="00FA05F1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3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4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4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2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FFB5-6877-47F5-822A-5B651F7E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"Prasības pārtikas produktiem ar samazinātu enerģētisko vērtību un to papildu marķējumam" </vt:lpstr>
      <vt:lpstr>Ministru kabineta noteikumu projekts "Prasības pārtikas produktiem ar samazinātu enerģētisko vērtību un to marķējumam" </vt:lpstr>
    </vt:vector>
  </TitlesOfParts>
  <Company>Zemkopības Ministrija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pārtikas produktiem ar samazinātu enerģētisko vērtību un to papildu marķējumam" </dc:title>
  <dc:subject>1.pielikums</dc:subject>
  <dc:creator>Zemkopības ministrija</dc:creator>
  <dc:description>Inara.Cinezm.gov.lv;
 67027146</dc:description>
  <cp:lastModifiedBy>Leontīne Babkina</cp:lastModifiedBy>
  <cp:revision>65</cp:revision>
  <cp:lastPrinted>2015-07-10T09:01:00Z</cp:lastPrinted>
  <dcterms:created xsi:type="dcterms:W3CDTF">2015-01-21T15:27:00Z</dcterms:created>
  <dcterms:modified xsi:type="dcterms:W3CDTF">2015-07-29T07:57:00Z</dcterms:modified>
</cp:coreProperties>
</file>