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D67CFE">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Likumprojekta „Grozījumi Militārā dienesta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1"/>
        <w:gridCol w:w="2589"/>
        <w:gridCol w:w="5864"/>
      </w:tblGrid>
      <w:tr w:rsidR="00065F37" w:rsidRPr="00E65F9E" w:rsidTr="0099706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5D1112" w:rsidTr="0099706E">
        <w:trPr>
          <w:trHeight w:val="324"/>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65F9E" w:rsidRDefault="00650AAC" w:rsidP="004B5818">
            <w:pPr>
              <w:jc w:val="both"/>
              <w:rPr>
                <w:rFonts w:cs="Times New Roman"/>
                <w:sz w:val="24"/>
                <w:szCs w:val="24"/>
                <w:lang w:val="lv-LV" w:eastAsia="lv-LV" w:bidi="ar-SA"/>
              </w:rPr>
            </w:pPr>
            <w:r w:rsidRPr="00E65F9E">
              <w:rPr>
                <w:rFonts w:cs="Times New Roman"/>
                <w:sz w:val="24"/>
                <w:szCs w:val="24"/>
                <w:lang w:val="lv-LV"/>
              </w:rPr>
              <w:t xml:space="preserve">Aizsardzības ministrija ir apkopojusi aktuālus grozījumus Militārā dienesta likumā (turpmāk – MDL), kas saistīti ar </w:t>
            </w:r>
            <w:r w:rsidR="008914F7">
              <w:rPr>
                <w:rFonts w:cs="Times New Roman"/>
                <w:sz w:val="24"/>
                <w:szCs w:val="24"/>
                <w:lang w:val="lv-LV"/>
              </w:rPr>
              <w:t xml:space="preserve">kandidātu </w:t>
            </w:r>
            <w:proofErr w:type="spellStart"/>
            <w:r w:rsidR="008914F7">
              <w:rPr>
                <w:rFonts w:cs="Times New Roman"/>
                <w:sz w:val="24"/>
                <w:szCs w:val="24"/>
                <w:lang w:val="lv-LV"/>
              </w:rPr>
              <w:t>rekrutēšanas</w:t>
            </w:r>
            <w:proofErr w:type="spellEnd"/>
            <w:r w:rsidR="008914F7">
              <w:rPr>
                <w:rFonts w:cs="Times New Roman"/>
                <w:sz w:val="24"/>
                <w:szCs w:val="24"/>
                <w:lang w:val="lv-LV"/>
              </w:rPr>
              <w:t xml:space="preserve"> </w:t>
            </w:r>
            <w:r w:rsidR="004B5818">
              <w:rPr>
                <w:rFonts w:cs="Times New Roman"/>
                <w:sz w:val="24"/>
                <w:szCs w:val="24"/>
                <w:lang w:val="lv-LV"/>
              </w:rPr>
              <w:t>uzdevuma</w:t>
            </w:r>
            <w:r w:rsidR="008914F7">
              <w:rPr>
                <w:rFonts w:cs="Times New Roman"/>
                <w:sz w:val="24"/>
                <w:szCs w:val="24"/>
                <w:lang w:val="lv-LV"/>
              </w:rPr>
              <w:t xml:space="preserve"> nodošanu Nacionālajiem bruņotajiem spēkiem</w:t>
            </w:r>
            <w:r w:rsidRPr="00E65F9E">
              <w:rPr>
                <w:rFonts w:cs="Times New Roman"/>
                <w:sz w:val="24"/>
                <w:szCs w:val="24"/>
                <w:lang w:val="lv-LV"/>
              </w:rPr>
              <w:t xml:space="preserve">.   </w:t>
            </w:r>
          </w:p>
        </w:tc>
      </w:tr>
      <w:tr w:rsidR="00065F37" w:rsidRPr="005D1112"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182" w:type="pct"/>
            <w:tcBorders>
              <w:top w:val="outset" w:sz="6" w:space="0" w:color="414142"/>
              <w:left w:val="outset" w:sz="6" w:space="0" w:color="414142"/>
              <w:bottom w:val="outset" w:sz="6" w:space="0" w:color="414142"/>
              <w:right w:val="outset" w:sz="6" w:space="0" w:color="414142"/>
            </w:tcBorders>
            <w:hideMark/>
          </w:tcPr>
          <w:p w:rsidR="00030C42" w:rsidRDefault="00030C42" w:rsidP="00030C42">
            <w:pPr>
              <w:pStyle w:val="naiskr"/>
              <w:spacing w:before="0" w:after="0"/>
              <w:jc w:val="both"/>
              <w:rPr>
                <w:u w:val="single"/>
              </w:rPr>
            </w:pPr>
            <w:r w:rsidRPr="008914F7">
              <w:rPr>
                <w:u w:val="single"/>
              </w:rPr>
              <w:t xml:space="preserve">MDL </w:t>
            </w:r>
            <w:r w:rsidR="00442DD2" w:rsidRPr="008914F7">
              <w:rPr>
                <w:u w:val="single"/>
              </w:rPr>
              <w:t>17.¹pants</w:t>
            </w:r>
            <w:r w:rsidR="00442DD2">
              <w:rPr>
                <w:u w:val="single"/>
              </w:rPr>
              <w:t xml:space="preserve"> un 19.</w:t>
            </w:r>
            <w:r w:rsidR="008914F7" w:rsidRPr="008914F7">
              <w:rPr>
                <w:u w:val="single"/>
              </w:rPr>
              <w:t>pants</w:t>
            </w:r>
          </w:p>
          <w:p w:rsidR="00DC2CFC" w:rsidRDefault="00442DD2" w:rsidP="00030C42">
            <w:pPr>
              <w:pStyle w:val="naiskr"/>
              <w:spacing w:before="0" w:after="0"/>
              <w:jc w:val="both"/>
            </w:pPr>
            <w:r>
              <w:t xml:space="preserve">Pašreiz </w:t>
            </w:r>
            <w:proofErr w:type="spellStart"/>
            <w:r>
              <w:t>rekrutēšanas</w:t>
            </w:r>
            <w:proofErr w:type="spellEnd"/>
            <w:r>
              <w:t xml:space="preserve"> un atlases funkcija ir sadalīta starp </w:t>
            </w:r>
            <w:proofErr w:type="spellStart"/>
            <w:r>
              <w:t>Rekrutēšanas</w:t>
            </w:r>
            <w:proofErr w:type="spellEnd"/>
            <w:r>
              <w:t xml:space="preserve"> un </w:t>
            </w:r>
            <w:proofErr w:type="spellStart"/>
            <w:r>
              <w:t>jaunsardzes</w:t>
            </w:r>
            <w:proofErr w:type="spellEnd"/>
            <w:r>
              <w:t xml:space="preserve"> centru un Nacionālo bruņoto spēku Mācību vadības pavēlniecības Atlases un rezerves personāla uzskaites centru. </w:t>
            </w:r>
          </w:p>
          <w:p w:rsidR="00040423" w:rsidRDefault="00442DD2" w:rsidP="00030C42">
            <w:pPr>
              <w:pStyle w:val="naiskr"/>
              <w:spacing w:before="0" w:after="0"/>
              <w:jc w:val="both"/>
            </w:pPr>
            <w:proofErr w:type="spellStart"/>
            <w:r>
              <w:t>Rekrutēšanas</w:t>
            </w:r>
            <w:proofErr w:type="spellEnd"/>
            <w:r>
              <w:t xml:space="preserve"> laikā sabiedrība tiek informēta par profesionālā dienesta iespējām Nacionālajos bruņotajos spēkos ar mērķi piesaistīt Latvijas pilsoņus profesionālaj</w:t>
            </w:r>
            <w:r w:rsidR="003E2675">
              <w:t>a</w:t>
            </w:r>
            <w:r>
              <w:t>m dienestam.</w:t>
            </w:r>
            <w:r w:rsidR="00040423">
              <w:t xml:space="preserve"> </w:t>
            </w:r>
            <w:proofErr w:type="spellStart"/>
            <w:r w:rsidR="00040423">
              <w:t>Rekrutēšanas</w:t>
            </w:r>
            <w:proofErr w:type="spellEnd"/>
            <w:r w:rsidR="00040423">
              <w:t xml:space="preserve"> laikā tiek nodrošināta kandidāta pirmreizējās anketas aizpildīšana un kandidāta kontaktu iegūšana. </w:t>
            </w:r>
            <w:r w:rsidR="003E2675">
              <w:t xml:space="preserve">Atlases procesa mērķis </w:t>
            </w:r>
            <w:r w:rsidR="00040423">
              <w:t xml:space="preserve">ir kandidātu atbilstības pārbaude profesionālajam dienestam noteiktajām prasībām. </w:t>
            </w:r>
          </w:p>
          <w:p w:rsidR="00065F37" w:rsidRDefault="00040423" w:rsidP="009B41E9">
            <w:pPr>
              <w:pStyle w:val="naiskr"/>
              <w:spacing w:before="0" w:after="0"/>
              <w:jc w:val="both"/>
            </w:pPr>
            <w:r>
              <w:t>L</w:t>
            </w:r>
            <w:r w:rsidR="0099597E">
              <w:t xml:space="preserve">ai </w:t>
            </w:r>
            <w:r w:rsidR="00482454">
              <w:t xml:space="preserve">nodrošinātu lielāku </w:t>
            </w:r>
            <w:proofErr w:type="spellStart"/>
            <w:r w:rsidR="00482454">
              <w:t>rekrutēšanas</w:t>
            </w:r>
            <w:proofErr w:type="spellEnd"/>
            <w:r w:rsidR="00482454">
              <w:t xml:space="preserve"> un atlases sistēmas efektivitāti un novērstu savstarpēji cieši saistītu uzdevumu</w:t>
            </w:r>
            <w:r w:rsidR="009B41E9">
              <w:t xml:space="preserve"> un resursu</w:t>
            </w:r>
            <w:r w:rsidR="00482454">
              <w:t xml:space="preserve"> sadrumstalotību </w:t>
            </w:r>
            <w:r w:rsidR="009B41E9">
              <w:t xml:space="preserve">starp divām institūcijām, ir nepieciešams nodot visas ar </w:t>
            </w:r>
            <w:proofErr w:type="spellStart"/>
            <w:r w:rsidR="009B41E9">
              <w:t>rekrutēšanas</w:t>
            </w:r>
            <w:proofErr w:type="spellEnd"/>
            <w:r w:rsidR="009B41E9">
              <w:t xml:space="preserve"> un atlases procesu organizāciju saistītās darbības vienas institūcijas – Nacionālo bruņoto spēku Mācību vadības pavēlniecības – atbildībā. Vienlaikus nepieciešams mainīt </w:t>
            </w:r>
            <w:proofErr w:type="spellStart"/>
            <w:r w:rsidR="009B41E9">
              <w:t>Rekrutēšanas</w:t>
            </w:r>
            <w:proofErr w:type="spellEnd"/>
            <w:r w:rsidR="009B41E9">
              <w:t xml:space="preserve"> un </w:t>
            </w:r>
            <w:proofErr w:type="spellStart"/>
            <w:r w:rsidR="009B41E9">
              <w:t>jaunsardzes</w:t>
            </w:r>
            <w:proofErr w:type="spellEnd"/>
            <w:r w:rsidR="009B41E9">
              <w:t xml:space="preserve"> centra nosaukumu.</w:t>
            </w:r>
            <w:r w:rsidR="00551A8D">
              <w:t xml:space="preserve"> </w:t>
            </w:r>
            <w:r w:rsidR="003A2021">
              <w:t xml:space="preserve"> </w:t>
            </w:r>
          </w:p>
          <w:p w:rsidR="0066337C" w:rsidRPr="00E65F9E" w:rsidRDefault="0075182F" w:rsidP="003349EF">
            <w:pPr>
              <w:pStyle w:val="naiskr"/>
              <w:spacing w:before="0" w:after="0"/>
              <w:jc w:val="both"/>
            </w:pPr>
            <w:r>
              <w:t xml:space="preserve">Nacionālie bruņotie spēki </w:t>
            </w:r>
            <w:r w:rsidR="003349EF">
              <w:t xml:space="preserve">pilnībā pārņems </w:t>
            </w:r>
            <w:proofErr w:type="spellStart"/>
            <w:r>
              <w:t>rekrutēšanas</w:t>
            </w:r>
            <w:proofErr w:type="spellEnd"/>
            <w:r>
              <w:t xml:space="preserve"> </w:t>
            </w:r>
            <w:r w:rsidR="003349EF">
              <w:t>funkciju</w:t>
            </w:r>
            <w:r>
              <w:t xml:space="preserve"> ar 2016.gada 1.janvāri. Tādēļ likumprojekt</w:t>
            </w:r>
            <w:r w:rsidR="009E6E78">
              <w:t>ā noteikts tā spēkā stāšanas datums</w:t>
            </w:r>
            <w:r>
              <w:t>.</w:t>
            </w:r>
          </w:p>
        </w:tc>
      </w:tr>
      <w:tr w:rsidR="00065F37" w:rsidRPr="00E65F9E"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B432E8">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 xml:space="preserve">Aizsardzības ministrija un </w:t>
            </w:r>
            <w:proofErr w:type="spellStart"/>
            <w:r w:rsidR="001F2472" w:rsidRPr="00E65F9E">
              <w:rPr>
                <w:rFonts w:cs="Times New Roman"/>
                <w:sz w:val="24"/>
                <w:szCs w:val="24"/>
                <w:lang w:val="lv-LV" w:eastAsia="lv-LV" w:bidi="ar-SA"/>
              </w:rPr>
              <w:t>Rekrutēšanas</w:t>
            </w:r>
            <w:proofErr w:type="spellEnd"/>
            <w:r w:rsidR="001F2472" w:rsidRPr="00E65F9E">
              <w:rPr>
                <w:rFonts w:cs="Times New Roman"/>
                <w:sz w:val="24"/>
                <w:szCs w:val="24"/>
                <w:lang w:val="lv-LV" w:eastAsia="lv-LV" w:bidi="ar-SA"/>
              </w:rPr>
              <w:t xml:space="preserve"> un </w:t>
            </w:r>
            <w:proofErr w:type="spellStart"/>
            <w:r w:rsidR="001F2472" w:rsidRPr="00E65F9E">
              <w:rPr>
                <w:rFonts w:cs="Times New Roman"/>
                <w:sz w:val="24"/>
                <w:szCs w:val="24"/>
                <w:lang w:val="lv-LV" w:eastAsia="lv-LV" w:bidi="ar-SA"/>
              </w:rPr>
              <w:t>jaunsardzes</w:t>
            </w:r>
            <w:proofErr w:type="spellEnd"/>
            <w:r w:rsidR="001F2472" w:rsidRPr="00E65F9E">
              <w:rPr>
                <w:rFonts w:cs="Times New Roman"/>
                <w:sz w:val="24"/>
                <w:szCs w:val="24"/>
                <w:lang w:val="lv-LV" w:eastAsia="lv-LV" w:bidi="ar-SA"/>
              </w:rPr>
              <w:t xml:space="preserve"> centrs</w:t>
            </w:r>
          </w:p>
        </w:tc>
      </w:tr>
      <w:tr w:rsidR="00065F37" w:rsidRPr="00BF7D46" w:rsidTr="0099706E">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65F9E" w:rsidRDefault="00DC56F9" w:rsidP="00F6466F">
            <w:pPr>
              <w:rPr>
                <w:rFonts w:cs="Times New Roman"/>
                <w:sz w:val="24"/>
                <w:szCs w:val="24"/>
                <w:lang w:val="lv-LV" w:eastAsia="lv-LV" w:bidi="ar-SA"/>
              </w:rPr>
            </w:pPr>
            <w:r>
              <w:rPr>
                <w:rFonts w:cs="Times New Roman"/>
                <w:sz w:val="24"/>
                <w:szCs w:val="24"/>
                <w:lang w:val="lv-LV" w:eastAsia="lv-LV" w:bidi="ar-SA"/>
              </w:rPr>
              <w:t>Nav</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0"/>
        <w:gridCol w:w="2589"/>
        <w:gridCol w:w="5805"/>
      </w:tblGrid>
      <w:tr w:rsidR="00065F37" w:rsidRPr="005D1112" w:rsidTr="0099706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99706E">
        <w:trPr>
          <w:trHeight w:val="372"/>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040BA5" w:rsidP="009B41E9">
            <w:pPr>
              <w:rPr>
                <w:rFonts w:cs="Times New Roman"/>
                <w:sz w:val="24"/>
                <w:szCs w:val="24"/>
                <w:lang w:val="lv-LV" w:eastAsia="lv-LV" w:bidi="ar-SA"/>
              </w:rPr>
            </w:pPr>
            <w:r w:rsidRPr="00E65F9E">
              <w:rPr>
                <w:rFonts w:cs="Times New Roman"/>
                <w:sz w:val="24"/>
                <w:szCs w:val="24"/>
                <w:lang w:val="lv-LV" w:eastAsia="lv-LV" w:bidi="ar-SA"/>
              </w:rPr>
              <w:t xml:space="preserve">Nacionālo bruņoto spēku profesionālā dienesta karavīri </w:t>
            </w:r>
          </w:p>
        </w:tc>
      </w:tr>
      <w:tr w:rsidR="00065F37" w:rsidRPr="00E65F9E"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9706E">
        <w:trPr>
          <w:trHeight w:val="276"/>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BF7D46"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9277" w:type="dxa"/>
        <w:jc w:val="center"/>
        <w:tblInd w:w="37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268"/>
        <w:gridCol w:w="1418"/>
        <w:gridCol w:w="1559"/>
        <w:gridCol w:w="1134"/>
        <w:gridCol w:w="1134"/>
        <w:gridCol w:w="1764"/>
      </w:tblGrid>
      <w:tr w:rsidR="00BF7D46" w:rsidRPr="005D1112" w:rsidTr="00B7328B">
        <w:trPr>
          <w:trHeight w:val="288"/>
          <w:jc w:val="center"/>
        </w:trPr>
        <w:tc>
          <w:tcPr>
            <w:tcW w:w="9277" w:type="dxa"/>
            <w:gridSpan w:val="6"/>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III. Tiesību akta projekta ietekme uz valsts budžetu un pašvaldību budžetiem</w:t>
            </w:r>
          </w:p>
        </w:tc>
      </w:tr>
      <w:tr w:rsidR="00BF7D46" w:rsidRPr="00BF7D46" w:rsidTr="00B7328B">
        <w:trPr>
          <w:jc w:val="center"/>
        </w:trPr>
        <w:tc>
          <w:tcPr>
            <w:tcW w:w="2268" w:type="dxa"/>
            <w:vMerge w:val="restart"/>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Rādītāji</w:t>
            </w:r>
          </w:p>
        </w:tc>
        <w:tc>
          <w:tcPr>
            <w:tcW w:w="297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2015. gads</w:t>
            </w:r>
          </w:p>
        </w:tc>
        <w:tc>
          <w:tcPr>
            <w:tcW w:w="4032" w:type="dxa"/>
            <w:gridSpan w:val="3"/>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Turpmākie trīs gadi (</w:t>
            </w:r>
            <w:proofErr w:type="spellStart"/>
            <w:r w:rsidRPr="00BF7D46">
              <w:rPr>
                <w:rFonts w:eastAsia="Calibri" w:cs="Times New Roman"/>
                <w:i/>
                <w:iCs/>
                <w:sz w:val="24"/>
                <w:szCs w:val="24"/>
                <w:lang w:val="lv-LV" w:eastAsia="lv-LV" w:bidi="ar-SA"/>
              </w:rPr>
              <w:t>euro</w:t>
            </w:r>
            <w:proofErr w:type="spellEnd"/>
            <w:r w:rsidRPr="00BF7D46">
              <w:rPr>
                <w:rFonts w:eastAsia="Calibri" w:cs="Times New Roman"/>
                <w:sz w:val="24"/>
                <w:szCs w:val="24"/>
                <w:lang w:val="lv-LV" w:eastAsia="lv-LV" w:bidi="ar-SA"/>
              </w:rPr>
              <w:t>)</w:t>
            </w:r>
          </w:p>
        </w:tc>
      </w:tr>
      <w:tr w:rsidR="00BF7D46" w:rsidRPr="00BF7D46" w:rsidTr="00B7328B">
        <w:trPr>
          <w:jc w:val="center"/>
        </w:trPr>
        <w:tc>
          <w:tcPr>
            <w:tcW w:w="2268" w:type="dxa"/>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rPr>
                <w:rFonts w:eastAsia="Calibri" w:cs="Times New Roman"/>
                <w:b/>
                <w:bCs/>
                <w:sz w:val="24"/>
                <w:szCs w:val="24"/>
                <w:lang w:val="lv-LV" w:eastAsia="lv-LV" w:bidi="ar-SA"/>
              </w:rPr>
            </w:pPr>
          </w:p>
        </w:tc>
        <w:tc>
          <w:tcPr>
            <w:tcW w:w="2977" w:type="dxa"/>
            <w:gridSpan w:val="2"/>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rPr>
                <w:rFonts w:eastAsia="Calibri" w:cs="Times New Roman"/>
                <w:b/>
                <w:bCs/>
                <w:sz w:val="24"/>
                <w:szCs w:val="24"/>
                <w:lang w:val="lv-LV" w:eastAsia="lv-LV" w:bidi="ar-SA"/>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2016.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2017.</w:t>
            </w:r>
          </w:p>
        </w:tc>
        <w:tc>
          <w:tcPr>
            <w:tcW w:w="176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F7D46">
              <w:rPr>
                <w:rFonts w:eastAsia="Calibri" w:cs="Times New Roman"/>
                <w:b/>
                <w:bCs/>
                <w:sz w:val="24"/>
                <w:szCs w:val="24"/>
                <w:lang w:val="lv-LV" w:eastAsia="lv-LV" w:bidi="ar-SA"/>
              </w:rPr>
              <w:t>2018.</w:t>
            </w:r>
          </w:p>
        </w:tc>
      </w:tr>
      <w:tr w:rsidR="00BF7D46" w:rsidRPr="00BF7D46" w:rsidTr="00B7328B">
        <w:trPr>
          <w:jc w:val="center"/>
        </w:trPr>
        <w:tc>
          <w:tcPr>
            <w:tcW w:w="2268" w:type="dxa"/>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rPr>
                <w:rFonts w:eastAsia="Calibri" w:cs="Times New Roman"/>
                <w:b/>
                <w:bCs/>
                <w:sz w:val="24"/>
                <w:szCs w:val="24"/>
                <w:lang w:val="lv-LV" w:eastAsia="lv-LV" w:bidi="ar-SA"/>
              </w:rPr>
            </w:pP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saskaņā ar valsts budžetu kārtējam gadam</w:t>
            </w:r>
          </w:p>
        </w:tc>
        <w:tc>
          <w:tcPr>
            <w:tcW w:w="1559"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izmaiņas kārtējā gadā, salīdzinot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izmaiņas, salīdzinot ar kārtējo (n) gadu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izmaiņas, salīdzinot ar kārtējo (n) gadu</w:t>
            </w:r>
          </w:p>
        </w:tc>
        <w:tc>
          <w:tcPr>
            <w:tcW w:w="176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izmaiņas, salīdzinot ar kārtējo (n) gadu</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1</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2</w:t>
            </w:r>
          </w:p>
        </w:tc>
        <w:tc>
          <w:tcPr>
            <w:tcW w:w="1559"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5</w:t>
            </w:r>
          </w:p>
        </w:tc>
        <w:tc>
          <w:tcPr>
            <w:tcW w:w="1764"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6</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1. Budžeta ieņēmumi:</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47 200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1.1. valsts pamatbudžets, tai skaitā ieņēmumi no maksas pakalpojumiem un citi pašu ieņēmumi</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47 200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1.2. valsts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1.3.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2. Budžeta izdevumi:</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47 200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2A60AB" w:rsidRDefault="00BF7D46" w:rsidP="002A60AB">
            <w:pPr>
              <w:widowControl w:val="0"/>
              <w:spacing w:after="200" w:line="276" w:lineRule="auto"/>
              <w:jc w:val="center"/>
              <w:rPr>
                <w:rFonts w:eastAsia="Calibri" w:cs="Times New Roman"/>
                <w:sz w:val="24"/>
                <w:szCs w:val="24"/>
                <w:highlight w:val="yellow"/>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2.1. valsts pamatbudžets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47 200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2A60AB" w:rsidRDefault="00BF7D46" w:rsidP="002A60AB">
            <w:pPr>
              <w:widowControl w:val="0"/>
              <w:spacing w:after="200" w:line="276" w:lineRule="auto"/>
              <w:jc w:val="center"/>
              <w:rPr>
                <w:rFonts w:eastAsia="Calibri" w:cs="Times New Roman"/>
                <w:sz w:val="24"/>
                <w:szCs w:val="24"/>
                <w:highlight w:val="yellow"/>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2.2. valsts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2.3.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3. Finansiālā ietekme:</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2A60AB">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3.1. valsts pamatbudžets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2A60AB">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lastRenderedPageBreak/>
              <w:t>3.2.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3.3.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4. Finanšu līdzekļi papildu izdevumu finansēšanai (kompensējošu izdevumu samazinājumu norāda ar "+" zīmi)</w:t>
            </w:r>
          </w:p>
        </w:tc>
        <w:tc>
          <w:tcPr>
            <w:tcW w:w="1418"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X</w:t>
            </w:r>
          </w:p>
        </w:tc>
        <w:tc>
          <w:tcPr>
            <w:tcW w:w="1559"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5. Precizēta finansiālā ietekme:</w:t>
            </w:r>
          </w:p>
        </w:tc>
        <w:tc>
          <w:tcPr>
            <w:tcW w:w="1418" w:type="dxa"/>
            <w:vMerge w:val="restart"/>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before="100" w:beforeAutospacing="1" w:after="100" w:afterAutospacing="1" w:line="315" w:lineRule="atLeast"/>
              <w:jc w:val="center"/>
              <w:rPr>
                <w:rFonts w:eastAsia="Calibri" w:cs="Times New Roman"/>
                <w:sz w:val="24"/>
                <w:szCs w:val="24"/>
                <w:lang w:val="lv-LV" w:eastAsia="lv-LV" w:bidi="ar-SA"/>
              </w:rPr>
            </w:pPr>
            <w:r w:rsidRPr="00BF7D46">
              <w:rPr>
                <w:rFonts w:eastAsia="Calibri" w:cs="Times New Roman"/>
                <w:sz w:val="24"/>
                <w:szCs w:val="24"/>
                <w:lang w:val="lv-LV" w:eastAsia="lv-LV" w:bidi="ar-SA"/>
              </w:rPr>
              <w:t>X</w:t>
            </w: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2A60AB">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5.1. valsts pamatbudžets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2A60AB">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267 966</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665333" w:rsidRDefault="00BF7D46" w:rsidP="002A60AB">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xml:space="preserve">- </w:t>
            </w:r>
            <w:r w:rsidR="002A60AB" w:rsidRPr="00665333">
              <w:rPr>
                <w:rFonts w:eastAsia="Calibri" w:cs="Times New Roman"/>
                <w:sz w:val="24"/>
                <w:szCs w:val="24"/>
                <w:lang w:val="lv-LV" w:eastAsia="lv-LV" w:bidi="ar-SA"/>
              </w:rPr>
              <w:t>195 557</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665333" w:rsidRDefault="002A60AB" w:rsidP="00BF7D46">
            <w:pPr>
              <w:widowControl w:val="0"/>
              <w:spacing w:after="200" w:line="276" w:lineRule="auto"/>
              <w:jc w:val="center"/>
              <w:rPr>
                <w:rFonts w:eastAsia="Calibri" w:cs="Times New Roman"/>
                <w:sz w:val="24"/>
                <w:szCs w:val="24"/>
                <w:lang w:val="lv-LV" w:eastAsia="lv-LV" w:bidi="ar-SA"/>
              </w:rPr>
            </w:pPr>
            <w:r w:rsidRPr="00665333">
              <w:rPr>
                <w:rFonts w:eastAsia="Calibri" w:cs="Times New Roman"/>
                <w:sz w:val="24"/>
                <w:szCs w:val="24"/>
                <w:lang w:val="lv-LV" w:eastAsia="lv-LV" w:bidi="ar-SA"/>
              </w:rPr>
              <w:t>- 195 557</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5.2. speciālais 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5.3. pašvaldību 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p>
        </w:tc>
        <w:tc>
          <w:tcPr>
            <w:tcW w:w="1559"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13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c>
          <w:tcPr>
            <w:tcW w:w="1764"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jc w:val="center"/>
              <w:rPr>
                <w:rFonts w:eastAsia="Calibri" w:cs="Times New Roman"/>
                <w:sz w:val="24"/>
                <w:szCs w:val="24"/>
                <w:lang w:val="lv-LV" w:eastAsia="lv-LV" w:bidi="ar-SA"/>
              </w:rPr>
            </w:pPr>
            <w:r w:rsidRPr="00BF7D46">
              <w:rPr>
                <w:rFonts w:eastAsia="Calibri" w:cs="Times New Roman"/>
                <w:sz w:val="24"/>
                <w:szCs w:val="24"/>
                <w:lang w:val="lv-LV" w:eastAsia="lv-LV" w:bidi="ar-SA"/>
              </w:rPr>
              <w:t>0</w:t>
            </w:r>
          </w:p>
        </w:tc>
      </w:tr>
      <w:tr w:rsidR="00BF7D46" w:rsidRPr="005D1112"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6. Detalizēts ieņēmumu un izdevumu aprēķins (ja nepieciešams, detalizētu ieņēmumu un izdevumu aprēķinu var pievienot anotācijas pielikumā):</w:t>
            </w:r>
          </w:p>
          <w:p w:rsidR="00BF7D46" w:rsidRPr="00BF7D46" w:rsidRDefault="00BF7D46" w:rsidP="00BF7D46">
            <w:pPr>
              <w:widowControl w:val="0"/>
              <w:spacing w:after="200" w:line="276" w:lineRule="auto"/>
              <w:rPr>
                <w:rFonts w:eastAsia="Calibri" w:cs="Times New Roman"/>
                <w:sz w:val="24"/>
                <w:szCs w:val="24"/>
                <w:lang w:val="lv-LV" w:eastAsia="lv-LV" w:bidi="ar-SA"/>
              </w:rPr>
            </w:pPr>
          </w:p>
        </w:tc>
        <w:tc>
          <w:tcPr>
            <w:tcW w:w="7009"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360" w:lineRule="auto"/>
              <w:rPr>
                <w:rFonts w:eastAsia="Calibri" w:cs="Times New Roman"/>
                <w:sz w:val="24"/>
                <w:szCs w:val="24"/>
                <w:lang w:val="lv-LV" w:bidi="ar-SA"/>
              </w:rPr>
            </w:pPr>
            <w:r w:rsidRPr="00BF7D46">
              <w:rPr>
                <w:rFonts w:eastAsia="Calibri" w:cs="Times New Roman"/>
                <w:sz w:val="24"/>
                <w:szCs w:val="24"/>
                <w:lang w:val="lv-LV" w:bidi="ar-SA"/>
              </w:rPr>
              <w:t> </w:t>
            </w:r>
            <w:r w:rsidRPr="00BF7D46">
              <w:rPr>
                <w:rFonts w:eastAsia="Calibri" w:cs="Times New Roman"/>
                <w:sz w:val="24"/>
                <w:szCs w:val="24"/>
                <w:u w:val="single"/>
                <w:lang w:val="lv-LV" w:bidi="ar-SA"/>
              </w:rPr>
              <w:t>Aprēķins</w:t>
            </w:r>
            <w:r w:rsidRPr="00BF7D46">
              <w:rPr>
                <w:rFonts w:eastAsia="Calibri" w:cs="Times New Roman"/>
                <w:sz w:val="24"/>
                <w:szCs w:val="24"/>
                <w:lang w:val="lv-LV" w:bidi="ar-SA"/>
              </w:rPr>
              <w:t>:</w:t>
            </w:r>
          </w:p>
          <w:p w:rsidR="00BF7D46" w:rsidRPr="00BF7D46" w:rsidRDefault="00BF7D46" w:rsidP="00BF7D46">
            <w:pPr>
              <w:widowControl w:val="0"/>
              <w:spacing w:after="200" w:line="276" w:lineRule="auto"/>
              <w:jc w:val="both"/>
              <w:rPr>
                <w:rFonts w:eastAsia="Calibri" w:cs="Times New Roman"/>
                <w:sz w:val="24"/>
                <w:szCs w:val="24"/>
                <w:lang w:val="lv-LV" w:bidi="ar-SA"/>
              </w:rPr>
            </w:pPr>
            <w:r w:rsidRPr="00BF7D46">
              <w:rPr>
                <w:rFonts w:eastAsia="Calibri" w:cs="Times New Roman"/>
                <w:b/>
                <w:sz w:val="24"/>
                <w:szCs w:val="24"/>
                <w:u w:val="single"/>
                <w:lang w:val="lv-LV" w:bidi="ar-SA"/>
              </w:rPr>
              <w:t xml:space="preserve">2016.gadā – EUR </w:t>
            </w:r>
            <w:r w:rsidR="002A60AB" w:rsidRPr="00665333">
              <w:rPr>
                <w:rFonts w:eastAsia="Calibri" w:cs="Times New Roman"/>
                <w:b/>
                <w:sz w:val="24"/>
                <w:szCs w:val="24"/>
                <w:u w:val="single"/>
                <w:lang w:val="lv-LV" w:bidi="ar-SA"/>
              </w:rPr>
              <w:t>267</w:t>
            </w:r>
            <w:r w:rsidR="00753AA1" w:rsidRPr="00665333">
              <w:rPr>
                <w:rFonts w:eastAsia="Calibri" w:cs="Times New Roman"/>
                <w:b/>
                <w:sz w:val="24"/>
                <w:szCs w:val="24"/>
                <w:u w:val="single"/>
                <w:lang w:val="lv-LV" w:bidi="ar-SA"/>
              </w:rPr>
              <w:t> </w:t>
            </w:r>
            <w:r w:rsidR="002A60AB" w:rsidRPr="00665333">
              <w:rPr>
                <w:rFonts w:eastAsia="Calibri" w:cs="Times New Roman"/>
                <w:b/>
                <w:sz w:val="24"/>
                <w:szCs w:val="24"/>
                <w:u w:val="single"/>
                <w:lang w:val="lv-LV" w:bidi="ar-SA"/>
              </w:rPr>
              <w:t>966</w:t>
            </w:r>
            <w:r w:rsidR="00753AA1">
              <w:rPr>
                <w:rFonts w:eastAsia="Calibri" w:cs="Times New Roman"/>
                <w:sz w:val="24"/>
                <w:szCs w:val="24"/>
                <w:lang w:val="lv-LV" w:bidi="ar-SA"/>
              </w:rPr>
              <w:t>, t.sk.</w:t>
            </w:r>
            <w:r w:rsidRPr="00BF7D46">
              <w:rPr>
                <w:rFonts w:eastAsia="Calibri" w:cs="Times New Roman"/>
                <w:sz w:val="24"/>
                <w:szCs w:val="24"/>
                <w:lang w:val="lv-LV" w:bidi="ar-SA"/>
              </w:rPr>
              <w:t xml:space="preserve"> </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 xml:space="preserve">EUR </w:t>
            </w:r>
            <w:r w:rsidR="002A60AB" w:rsidRPr="00665333">
              <w:rPr>
                <w:rFonts w:eastAsia="Calibri" w:cs="Times New Roman"/>
                <w:sz w:val="24"/>
                <w:szCs w:val="24"/>
                <w:lang w:val="lv-LV" w:eastAsia="lv-LV" w:bidi="ar-SA"/>
              </w:rPr>
              <w:t>108 772</w:t>
            </w:r>
            <w:r w:rsidRPr="00BF7D46">
              <w:rPr>
                <w:rFonts w:eastAsia="Calibri" w:cs="Times New Roman"/>
                <w:sz w:val="24"/>
                <w:szCs w:val="24"/>
                <w:lang w:val="lv-LV" w:eastAsia="lv-LV" w:bidi="ar-SA"/>
              </w:rPr>
              <w:t xml:space="preserve"> - atlīdzība (2PD; 4CD).</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EUR 47 584</w:t>
            </w:r>
            <w:r w:rsidRPr="00BF7D46">
              <w:rPr>
                <w:rFonts w:eastAsia="Calibri" w:cs="Times New Roman"/>
                <w:i/>
                <w:sz w:val="24"/>
                <w:szCs w:val="24"/>
                <w:lang w:val="lv-LV" w:eastAsia="lv-LV" w:bidi="ar-SA"/>
              </w:rPr>
              <w:t xml:space="preserve"> – </w:t>
            </w:r>
            <w:r w:rsidRPr="00BF7D46">
              <w:rPr>
                <w:rFonts w:eastAsia="Calibri" w:cs="Times New Roman"/>
                <w:sz w:val="24"/>
                <w:szCs w:val="24"/>
                <w:lang w:val="lv-LV" w:eastAsia="lv-LV" w:bidi="ar-SA"/>
              </w:rPr>
              <w:t>preces un pakalpojumi (t.sk. informatīvie pasākumi, degviela, sakaru pakalpojumi, komandējumi u.c.).</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EUR 111 610</w:t>
            </w:r>
            <w:r w:rsidRPr="00BF7D46">
              <w:rPr>
                <w:rFonts w:eastAsia="Calibri" w:cs="Times New Roman"/>
                <w:i/>
                <w:sz w:val="24"/>
                <w:szCs w:val="24"/>
                <w:lang w:val="lv-LV" w:eastAsia="lv-LV" w:bidi="ar-SA"/>
              </w:rPr>
              <w:t xml:space="preserve"> </w:t>
            </w:r>
            <w:r w:rsidRPr="00BF7D46">
              <w:rPr>
                <w:rFonts w:eastAsia="Calibri" w:cs="Times New Roman"/>
                <w:sz w:val="24"/>
                <w:szCs w:val="24"/>
                <w:lang w:val="lv-LV" w:eastAsia="lv-LV" w:bidi="ar-SA"/>
              </w:rPr>
              <w:t>– kapitālie izdevumi (datortehnika un biroja tehnika).</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p>
          <w:p w:rsidR="00753AA1" w:rsidRDefault="00BF7D46" w:rsidP="00BF7D46">
            <w:pPr>
              <w:widowControl w:val="0"/>
              <w:spacing w:after="200" w:line="276" w:lineRule="auto"/>
              <w:jc w:val="both"/>
              <w:rPr>
                <w:rFonts w:eastAsia="Calibri" w:cs="Times New Roman"/>
                <w:sz w:val="24"/>
                <w:szCs w:val="24"/>
                <w:lang w:val="lv-LV" w:bidi="ar-SA"/>
              </w:rPr>
            </w:pPr>
            <w:r w:rsidRPr="00BF7D46">
              <w:rPr>
                <w:rFonts w:eastAsia="Calibri" w:cs="Times New Roman"/>
                <w:b/>
                <w:sz w:val="24"/>
                <w:szCs w:val="24"/>
                <w:u w:val="single"/>
                <w:lang w:val="lv-LV" w:bidi="ar-SA"/>
              </w:rPr>
              <w:t xml:space="preserve">2017.gadā – EUR </w:t>
            </w:r>
            <w:r w:rsidR="002A60AB" w:rsidRPr="00665333">
              <w:rPr>
                <w:rFonts w:eastAsia="Calibri" w:cs="Times New Roman"/>
                <w:b/>
                <w:sz w:val="24"/>
                <w:szCs w:val="24"/>
                <w:u w:val="single"/>
                <w:lang w:val="lv-LV" w:bidi="ar-SA"/>
              </w:rPr>
              <w:t>195</w:t>
            </w:r>
            <w:r w:rsidR="00753AA1" w:rsidRPr="00665333">
              <w:rPr>
                <w:rFonts w:eastAsia="Calibri" w:cs="Times New Roman"/>
                <w:b/>
                <w:sz w:val="24"/>
                <w:szCs w:val="24"/>
                <w:u w:val="single"/>
                <w:lang w:val="lv-LV" w:bidi="ar-SA"/>
              </w:rPr>
              <w:t> </w:t>
            </w:r>
            <w:r w:rsidR="002A60AB" w:rsidRPr="00665333">
              <w:rPr>
                <w:rFonts w:eastAsia="Calibri" w:cs="Times New Roman"/>
                <w:b/>
                <w:sz w:val="24"/>
                <w:szCs w:val="24"/>
                <w:u w:val="single"/>
                <w:lang w:val="lv-LV" w:bidi="ar-SA"/>
              </w:rPr>
              <w:t>557</w:t>
            </w:r>
            <w:r w:rsidR="00753AA1">
              <w:rPr>
                <w:rFonts w:eastAsia="Calibri" w:cs="Times New Roman"/>
                <w:sz w:val="24"/>
                <w:szCs w:val="24"/>
                <w:lang w:val="lv-LV" w:bidi="ar-SA"/>
              </w:rPr>
              <w:t>, t.sk.</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 xml:space="preserve">EUR </w:t>
            </w:r>
            <w:r w:rsidR="002A60AB" w:rsidRPr="00665333">
              <w:rPr>
                <w:rFonts w:eastAsia="Calibri" w:cs="Times New Roman"/>
                <w:sz w:val="24"/>
                <w:szCs w:val="24"/>
                <w:lang w:val="lv-LV" w:eastAsia="lv-LV" w:bidi="ar-SA"/>
              </w:rPr>
              <w:t>155 557</w:t>
            </w:r>
            <w:r w:rsidRPr="00BF7D46">
              <w:rPr>
                <w:rFonts w:eastAsia="Calibri" w:cs="Times New Roman"/>
                <w:sz w:val="24"/>
                <w:szCs w:val="24"/>
                <w:lang w:val="lv-LV" w:eastAsia="lv-LV" w:bidi="ar-SA"/>
              </w:rPr>
              <w:t xml:space="preserve"> - atlīdzība (2PD; 7CD).</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EUR 40 000</w:t>
            </w:r>
            <w:r w:rsidRPr="00BF7D46">
              <w:rPr>
                <w:rFonts w:eastAsia="Calibri" w:cs="Times New Roman"/>
                <w:i/>
                <w:sz w:val="24"/>
                <w:szCs w:val="24"/>
                <w:lang w:val="lv-LV" w:eastAsia="lv-LV" w:bidi="ar-SA"/>
              </w:rPr>
              <w:t xml:space="preserve"> – </w:t>
            </w:r>
            <w:r w:rsidRPr="00BF7D46">
              <w:rPr>
                <w:rFonts w:eastAsia="Calibri" w:cs="Times New Roman"/>
                <w:sz w:val="24"/>
                <w:szCs w:val="24"/>
                <w:lang w:val="lv-LV" w:eastAsia="lv-LV" w:bidi="ar-SA"/>
              </w:rPr>
              <w:t xml:space="preserve">preces un pakalpojumi (t.sk. informatīvie pasākumi, degviela, sakaru </w:t>
            </w:r>
            <w:r w:rsidR="00753AA1">
              <w:rPr>
                <w:rFonts w:eastAsia="Calibri" w:cs="Times New Roman"/>
                <w:sz w:val="24"/>
                <w:szCs w:val="24"/>
                <w:lang w:val="lv-LV" w:eastAsia="lv-LV" w:bidi="ar-SA"/>
              </w:rPr>
              <w:t>pakalpojumi, komandējumi u.c.).</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p>
          <w:p w:rsidR="00753AA1" w:rsidRDefault="00BF7D46" w:rsidP="00BF7D46">
            <w:pPr>
              <w:widowControl w:val="0"/>
              <w:spacing w:after="200" w:line="276" w:lineRule="auto"/>
              <w:jc w:val="both"/>
              <w:rPr>
                <w:rFonts w:eastAsia="Calibri" w:cs="Times New Roman"/>
                <w:sz w:val="24"/>
                <w:szCs w:val="24"/>
                <w:lang w:val="lv-LV" w:bidi="ar-SA"/>
              </w:rPr>
            </w:pPr>
            <w:r w:rsidRPr="00BF7D46">
              <w:rPr>
                <w:rFonts w:eastAsia="Calibri" w:cs="Times New Roman"/>
                <w:b/>
                <w:sz w:val="24"/>
                <w:szCs w:val="24"/>
                <w:u w:val="single"/>
                <w:lang w:val="lv-LV" w:bidi="ar-SA"/>
              </w:rPr>
              <w:t xml:space="preserve">2018.gadā – EUR </w:t>
            </w:r>
            <w:r w:rsidR="002A60AB" w:rsidRPr="00665333">
              <w:rPr>
                <w:rFonts w:eastAsia="Calibri" w:cs="Times New Roman"/>
                <w:b/>
                <w:sz w:val="24"/>
                <w:szCs w:val="24"/>
                <w:u w:val="single"/>
                <w:lang w:val="lv-LV" w:bidi="ar-SA"/>
              </w:rPr>
              <w:t>195</w:t>
            </w:r>
            <w:r w:rsidR="00753AA1" w:rsidRPr="00665333">
              <w:rPr>
                <w:rFonts w:eastAsia="Calibri" w:cs="Times New Roman"/>
                <w:b/>
                <w:sz w:val="24"/>
                <w:szCs w:val="24"/>
                <w:u w:val="single"/>
                <w:lang w:val="lv-LV" w:bidi="ar-SA"/>
              </w:rPr>
              <w:t> </w:t>
            </w:r>
            <w:r w:rsidR="002A60AB" w:rsidRPr="00665333">
              <w:rPr>
                <w:rFonts w:eastAsia="Calibri" w:cs="Times New Roman"/>
                <w:b/>
                <w:sz w:val="24"/>
                <w:szCs w:val="24"/>
                <w:u w:val="single"/>
                <w:lang w:val="lv-LV" w:bidi="ar-SA"/>
              </w:rPr>
              <w:t>557</w:t>
            </w:r>
            <w:r w:rsidR="00753AA1">
              <w:rPr>
                <w:rFonts w:eastAsia="Calibri" w:cs="Times New Roman"/>
                <w:sz w:val="24"/>
                <w:szCs w:val="24"/>
                <w:lang w:val="lv-LV" w:bidi="ar-SA"/>
              </w:rPr>
              <w:t xml:space="preserve">, t.sk. </w:t>
            </w:r>
          </w:p>
          <w:p w:rsidR="00BF7D46" w:rsidRP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lastRenderedPageBreak/>
              <w:t xml:space="preserve">EUR </w:t>
            </w:r>
            <w:r w:rsidR="002A60AB" w:rsidRPr="00665333">
              <w:rPr>
                <w:rFonts w:eastAsia="Calibri" w:cs="Times New Roman"/>
                <w:sz w:val="24"/>
                <w:szCs w:val="24"/>
                <w:lang w:val="lv-LV" w:eastAsia="lv-LV" w:bidi="ar-SA"/>
              </w:rPr>
              <w:t>155 557</w:t>
            </w:r>
            <w:r w:rsidRPr="00BF7D46">
              <w:rPr>
                <w:rFonts w:eastAsia="Calibri" w:cs="Times New Roman"/>
                <w:sz w:val="24"/>
                <w:szCs w:val="24"/>
                <w:lang w:val="lv-LV" w:eastAsia="lv-LV" w:bidi="ar-SA"/>
              </w:rPr>
              <w:t xml:space="preserve"> - atlīdzība (2PD; 7CD).</w:t>
            </w:r>
          </w:p>
          <w:p w:rsidR="00BF7D46" w:rsidRDefault="00BF7D46" w:rsidP="00BF7D46">
            <w:pPr>
              <w:widowControl w:val="0"/>
              <w:spacing w:after="200" w:line="276" w:lineRule="auto"/>
              <w:jc w:val="both"/>
              <w:rPr>
                <w:rFonts w:eastAsia="Calibri" w:cs="Times New Roman"/>
                <w:sz w:val="24"/>
                <w:szCs w:val="24"/>
                <w:lang w:val="lv-LV" w:eastAsia="lv-LV" w:bidi="ar-SA"/>
              </w:rPr>
            </w:pPr>
            <w:r w:rsidRPr="00BF7D46">
              <w:rPr>
                <w:rFonts w:eastAsia="Calibri" w:cs="Times New Roman"/>
                <w:sz w:val="24"/>
                <w:szCs w:val="24"/>
                <w:lang w:val="lv-LV" w:eastAsia="lv-LV" w:bidi="ar-SA"/>
              </w:rPr>
              <w:t>EUR 40 000</w:t>
            </w:r>
            <w:r w:rsidRPr="00BF7D46">
              <w:rPr>
                <w:rFonts w:eastAsia="Calibri" w:cs="Times New Roman"/>
                <w:i/>
                <w:sz w:val="24"/>
                <w:szCs w:val="24"/>
                <w:lang w:val="lv-LV" w:eastAsia="lv-LV" w:bidi="ar-SA"/>
              </w:rPr>
              <w:t xml:space="preserve"> – </w:t>
            </w:r>
            <w:r w:rsidRPr="00BF7D46">
              <w:rPr>
                <w:rFonts w:eastAsia="Calibri" w:cs="Times New Roman"/>
                <w:sz w:val="24"/>
                <w:szCs w:val="24"/>
                <w:lang w:val="lv-LV" w:eastAsia="lv-LV" w:bidi="ar-SA"/>
              </w:rPr>
              <w:t>preces un pakalpojumi (t.sk. informatīvie pasākumi, degviela, sakaru pakalpojumi, komandējumi u.c.).</w:t>
            </w:r>
          </w:p>
          <w:p w:rsidR="00F95762" w:rsidRPr="00F95762" w:rsidRDefault="00F95762" w:rsidP="00412516">
            <w:pPr>
              <w:widowControl w:val="0"/>
              <w:spacing w:after="200" w:line="276" w:lineRule="auto"/>
              <w:jc w:val="both"/>
              <w:rPr>
                <w:rFonts w:eastAsia="Calibri" w:cs="Times New Roman"/>
                <w:i/>
                <w:sz w:val="24"/>
                <w:szCs w:val="24"/>
                <w:lang w:val="lv-LV" w:eastAsia="lv-LV" w:bidi="ar-SA"/>
              </w:rPr>
            </w:pPr>
            <w:r w:rsidRPr="00665333">
              <w:rPr>
                <w:rFonts w:eastAsia="Calibri" w:cs="Times New Roman"/>
                <w:i/>
                <w:sz w:val="24"/>
                <w:szCs w:val="24"/>
                <w:lang w:val="lv-LV" w:eastAsia="lv-LV" w:bidi="ar-SA"/>
              </w:rPr>
              <w:t xml:space="preserve">Detalizēti aprēķini iekļauti </w:t>
            </w:r>
            <w:r w:rsidR="00412516" w:rsidRPr="00665333">
              <w:rPr>
                <w:rFonts w:eastAsia="Calibri" w:cs="Times New Roman"/>
                <w:i/>
                <w:sz w:val="24"/>
                <w:szCs w:val="24"/>
                <w:lang w:val="lv-LV" w:bidi="ar-SA"/>
              </w:rPr>
              <w:t>Aizsardzības ministrijas sagatavotajā un iesniegtajā</w:t>
            </w:r>
            <w:r w:rsidR="00412516" w:rsidRPr="00665333">
              <w:rPr>
                <w:rFonts w:eastAsia="Calibri" w:cs="Times New Roman"/>
                <w:sz w:val="24"/>
                <w:szCs w:val="24"/>
                <w:lang w:val="lv-LV" w:bidi="ar-SA"/>
              </w:rPr>
              <w:t xml:space="preserve"> </w:t>
            </w:r>
            <w:r w:rsidRPr="00665333">
              <w:rPr>
                <w:rFonts w:eastAsia="Calibri" w:cs="Times New Roman"/>
                <w:i/>
                <w:sz w:val="24"/>
                <w:szCs w:val="24"/>
                <w:lang w:val="lv-LV" w:eastAsia="lv-LV" w:bidi="ar-SA"/>
              </w:rPr>
              <w:t xml:space="preserve">JPI </w:t>
            </w:r>
            <w:r w:rsidR="00412516" w:rsidRPr="00665333">
              <w:rPr>
                <w:rFonts w:eastAsia="Calibri" w:cs="Times New Roman"/>
                <w:i/>
                <w:sz w:val="24"/>
                <w:szCs w:val="24"/>
                <w:lang w:val="lv-LV" w:eastAsia="lv-LV" w:bidi="ar-SA"/>
              </w:rPr>
              <w:t>„NBS kaujas spēju celšana”, kas klasificēta</w:t>
            </w:r>
            <w:r w:rsidRPr="00665333">
              <w:rPr>
                <w:rFonts w:eastAsia="Calibri" w:cs="Times New Roman"/>
                <w:i/>
                <w:sz w:val="24"/>
                <w:szCs w:val="24"/>
                <w:lang w:val="lv-LV" w:eastAsia="lv-LV" w:bidi="ar-SA"/>
              </w:rPr>
              <w:t xml:space="preserve"> kā informācija dienesta vajadzībām.</w:t>
            </w: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6.1. detalizēts ieņēmumu aprēķins</w:t>
            </w:r>
          </w:p>
        </w:tc>
        <w:tc>
          <w:tcPr>
            <w:tcW w:w="7009" w:type="dxa"/>
            <w:gridSpan w:val="5"/>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rPr>
                <w:rFonts w:eastAsia="Calibri" w:cs="Times New Roman"/>
                <w:sz w:val="24"/>
                <w:szCs w:val="24"/>
                <w:lang w:val="lv-LV" w:eastAsia="lv-LV" w:bidi="ar-SA"/>
              </w:rPr>
            </w:pPr>
          </w:p>
        </w:tc>
      </w:tr>
      <w:tr w:rsidR="00BF7D46" w:rsidRPr="00BF7D46" w:rsidTr="00B7328B">
        <w:trPr>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t>6.2. detalizēts izdevumu aprēķins</w:t>
            </w:r>
          </w:p>
        </w:tc>
        <w:tc>
          <w:tcPr>
            <w:tcW w:w="7009" w:type="dxa"/>
            <w:gridSpan w:val="5"/>
            <w:vMerge/>
            <w:tcBorders>
              <w:top w:val="outset" w:sz="6" w:space="0" w:color="414142"/>
              <w:left w:val="outset" w:sz="6" w:space="0" w:color="414142"/>
              <w:bottom w:val="outset" w:sz="6" w:space="0" w:color="414142"/>
              <w:right w:val="outset" w:sz="6" w:space="0" w:color="414142"/>
            </w:tcBorders>
            <w:vAlign w:val="center"/>
            <w:hideMark/>
          </w:tcPr>
          <w:p w:rsidR="00BF7D46" w:rsidRPr="00BF7D46" w:rsidRDefault="00BF7D46" w:rsidP="00BF7D46">
            <w:pPr>
              <w:widowControl w:val="0"/>
              <w:spacing w:after="200" w:line="276" w:lineRule="auto"/>
              <w:rPr>
                <w:rFonts w:eastAsia="Calibri" w:cs="Times New Roman"/>
                <w:sz w:val="24"/>
                <w:szCs w:val="24"/>
                <w:lang w:val="lv-LV" w:eastAsia="lv-LV" w:bidi="ar-SA"/>
              </w:rPr>
            </w:pPr>
          </w:p>
        </w:tc>
      </w:tr>
      <w:tr w:rsidR="00BF7D46" w:rsidRPr="005D1112" w:rsidTr="00B7328B">
        <w:trPr>
          <w:trHeight w:val="444"/>
          <w:jc w:val="center"/>
        </w:trPr>
        <w:tc>
          <w:tcPr>
            <w:tcW w:w="2268" w:type="dxa"/>
            <w:tcBorders>
              <w:top w:val="outset" w:sz="6" w:space="0" w:color="414142"/>
              <w:left w:val="outset" w:sz="6" w:space="0" w:color="414142"/>
              <w:bottom w:val="outset" w:sz="6" w:space="0" w:color="414142"/>
              <w:right w:val="outset" w:sz="6" w:space="0" w:color="414142"/>
            </w:tcBorders>
            <w:hideMark/>
          </w:tcPr>
          <w:p w:rsidR="00BF7D46" w:rsidRPr="00BF7D46" w:rsidRDefault="00BF7D46" w:rsidP="00BF7D46">
            <w:pPr>
              <w:widowControl w:val="0"/>
              <w:spacing w:after="200" w:line="276" w:lineRule="auto"/>
              <w:rPr>
                <w:rFonts w:eastAsia="Calibri" w:cs="Times New Roman"/>
                <w:sz w:val="24"/>
                <w:szCs w:val="24"/>
                <w:lang w:val="lv-LV" w:eastAsia="lv-LV" w:bidi="ar-SA"/>
              </w:rPr>
            </w:pPr>
            <w:r w:rsidRPr="00BF7D46">
              <w:rPr>
                <w:rFonts w:eastAsia="Calibri" w:cs="Times New Roman"/>
                <w:sz w:val="24"/>
                <w:szCs w:val="24"/>
                <w:lang w:val="lv-LV" w:eastAsia="lv-LV" w:bidi="ar-SA"/>
              </w:rPr>
              <w:lastRenderedPageBreak/>
              <w:t>7. Cita informācija</w:t>
            </w:r>
          </w:p>
        </w:tc>
        <w:tc>
          <w:tcPr>
            <w:tcW w:w="7009" w:type="dxa"/>
            <w:gridSpan w:val="5"/>
            <w:tcBorders>
              <w:top w:val="outset" w:sz="6" w:space="0" w:color="414142"/>
              <w:left w:val="outset" w:sz="6" w:space="0" w:color="414142"/>
              <w:bottom w:val="outset" w:sz="6" w:space="0" w:color="414142"/>
              <w:right w:val="outset" w:sz="6" w:space="0" w:color="414142"/>
            </w:tcBorders>
            <w:hideMark/>
          </w:tcPr>
          <w:p w:rsidR="00753AA1" w:rsidRDefault="00753AA1" w:rsidP="009E6A47">
            <w:pPr>
              <w:widowControl w:val="0"/>
              <w:spacing w:after="200" w:line="276" w:lineRule="auto"/>
              <w:jc w:val="both"/>
              <w:rPr>
                <w:rFonts w:eastAsia="Calibri" w:cs="Times New Roman"/>
                <w:sz w:val="24"/>
                <w:szCs w:val="24"/>
                <w:lang w:val="lv-LV" w:bidi="ar-SA"/>
              </w:rPr>
            </w:pPr>
            <w:r w:rsidRPr="00665333">
              <w:rPr>
                <w:rFonts w:eastAsia="Calibri" w:cs="Times New Roman"/>
                <w:sz w:val="24"/>
                <w:szCs w:val="24"/>
                <w:lang w:val="lv-LV" w:bidi="ar-SA"/>
              </w:rPr>
              <w:t>Papildu nepieciešamā finansējuma pieprasījums ir iekļauts Aizsardzības ministrijas sagatavotajā un iesniegtajā JPI „NBS kaujas spēju celšana” 2016.-2018.gadam (JPI 1.1.9.apakšpunkts).</w:t>
            </w:r>
          </w:p>
          <w:p w:rsidR="00BF7D46" w:rsidRPr="00BF7D46" w:rsidRDefault="00BF7D46" w:rsidP="009E6A47">
            <w:pPr>
              <w:widowControl w:val="0"/>
              <w:spacing w:after="200" w:line="276" w:lineRule="auto"/>
              <w:jc w:val="both"/>
              <w:rPr>
                <w:rFonts w:eastAsia="Calibri" w:cs="Times New Roman"/>
                <w:sz w:val="24"/>
                <w:szCs w:val="24"/>
                <w:lang w:val="lv-LV" w:bidi="ar-SA"/>
              </w:rPr>
            </w:pPr>
            <w:r w:rsidRPr="00BF7D46">
              <w:rPr>
                <w:rFonts w:eastAsia="Calibri" w:cs="Times New Roman"/>
                <w:sz w:val="24"/>
                <w:szCs w:val="24"/>
                <w:lang w:val="lv-LV" w:bidi="ar-SA"/>
              </w:rPr>
              <w:t xml:space="preserve">Jautājumu par papildu nepieciešamo finansējumu Aizsardzības ministrijai 2016.gadā – </w:t>
            </w:r>
            <w:r w:rsidRPr="00665333">
              <w:rPr>
                <w:rFonts w:eastAsia="Calibri" w:cs="Times New Roman"/>
                <w:sz w:val="24"/>
                <w:szCs w:val="24"/>
                <w:lang w:val="lv-LV" w:bidi="ar-SA"/>
              </w:rPr>
              <w:t xml:space="preserve">EUR </w:t>
            </w:r>
            <w:r w:rsidR="009E6A47" w:rsidRPr="00665333">
              <w:rPr>
                <w:rFonts w:eastAsia="Calibri" w:cs="Times New Roman"/>
                <w:sz w:val="24"/>
                <w:szCs w:val="24"/>
                <w:lang w:val="lv-LV" w:bidi="ar-SA"/>
              </w:rPr>
              <w:t>267 966</w:t>
            </w:r>
            <w:r w:rsidRPr="00665333">
              <w:rPr>
                <w:rFonts w:eastAsia="Calibri" w:cs="Times New Roman"/>
                <w:sz w:val="24"/>
                <w:szCs w:val="24"/>
                <w:lang w:val="lv-LV" w:bidi="ar-SA"/>
              </w:rPr>
              <w:t xml:space="preserve">, 2017.gadā – EUR </w:t>
            </w:r>
            <w:r w:rsidR="009E6A47" w:rsidRPr="00665333">
              <w:rPr>
                <w:rFonts w:eastAsia="Calibri" w:cs="Times New Roman"/>
                <w:sz w:val="24"/>
                <w:szCs w:val="24"/>
                <w:lang w:val="lv-LV" w:bidi="ar-SA"/>
              </w:rPr>
              <w:t>195 557</w:t>
            </w:r>
            <w:r w:rsidRPr="00665333">
              <w:rPr>
                <w:rFonts w:eastAsia="Calibri" w:cs="Times New Roman"/>
                <w:sz w:val="24"/>
                <w:szCs w:val="24"/>
                <w:lang w:val="lv-LV" w:bidi="ar-SA"/>
              </w:rPr>
              <w:t xml:space="preserve">, 2018.gadā – EUR </w:t>
            </w:r>
            <w:r w:rsidR="009E6A47" w:rsidRPr="00665333">
              <w:rPr>
                <w:rFonts w:eastAsia="Calibri" w:cs="Times New Roman"/>
                <w:sz w:val="24"/>
                <w:szCs w:val="24"/>
                <w:lang w:val="lv-LV" w:bidi="ar-SA"/>
              </w:rPr>
              <w:t>195 557</w:t>
            </w:r>
            <w:r w:rsidRPr="00665333">
              <w:rPr>
                <w:rFonts w:eastAsia="Calibri" w:cs="Times New Roman"/>
                <w:sz w:val="24"/>
                <w:szCs w:val="24"/>
                <w:lang w:val="lv-LV" w:bidi="ar-SA"/>
              </w:rPr>
              <w:t xml:space="preserve"> apmērā (programmā 22.00.00 ”Nacionālie bruņotie spēki”</w:t>
            </w:r>
            <w:r w:rsidR="00F95762" w:rsidRPr="00665333">
              <w:rPr>
                <w:rFonts w:eastAsia="Calibri" w:cs="Times New Roman"/>
                <w:sz w:val="24"/>
                <w:szCs w:val="24"/>
                <w:lang w:val="lv-LV" w:bidi="ar-SA"/>
              </w:rPr>
              <w:t xml:space="preserve"> apakšprogrammu 22.10.00 „Starptautisko operāciju un Nacionālo bruņoto spēku personālsastāva centralizētais atalgojums” un 22.12.00 „Nacionālo bruņoto spēku uzturēšana” ietvaros</w:t>
            </w:r>
            <w:r w:rsidRPr="00665333">
              <w:rPr>
                <w:rFonts w:eastAsia="Calibri" w:cs="Times New Roman"/>
                <w:sz w:val="24"/>
                <w:szCs w:val="24"/>
                <w:lang w:val="lv-LV" w:bidi="ar-SA"/>
              </w:rPr>
              <w:t>)</w:t>
            </w:r>
            <w:r w:rsidRPr="00BF7D46">
              <w:rPr>
                <w:rFonts w:eastAsia="Calibri" w:cs="Times New Roman"/>
                <w:sz w:val="24"/>
                <w:szCs w:val="24"/>
                <w:lang w:val="lv-LV" w:bidi="ar-SA"/>
              </w:rPr>
              <w:t xml:space="preserve"> izskatīt likumprojekta „Par valsts budžetu 2016.gadam” un likumprojekta „Par vidēja termiņa budžeta ietvaru 2016., 2017. un 2018.gadam” sagatavošanas un izskatīšanas procesā kopā ar visu ministriju un centrālo valsts iestāžu priekšlikumiem jaunajām politikas iniciatīvām.</w:t>
            </w:r>
          </w:p>
        </w:tc>
      </w:tr>
    </w:tbl>
    <w:p w:rsidR="00DA55F2" w:rsidRPr="00E65F9E" w:rsidRDefault="00DA55F2" w:rsidP="00E61F4F">
      <w:pPr>
        <w:shd w:val="clear" w:color="auto" w:fill="FFFFFF"/>
        <w:ind w:firstLine="301"/>
        <w:rPr>
          <w:rFonts w:cs="Times New Roman"/>
          <w:sz w:val="24"/>
          <w:szCs w:val="24"/>
          <w:lang w:val="lv-LV" w:eastAsia="lv-LV" w:bidi="ar-SA"/>
        </w:rPr>
      </w:pPr>
    </w:p>
    <w:tbl>
      <w:tblPr>
        <w:tblW w:w="5588" w:type="pct"/>
        <w:jc w:val="center"/>
        <w:tblInd w:w="-8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41"/>
        <w:gridCol w:w="2424"/>
        <w:gridCol w:w="5671"/>
      </w:tblGrid>
      <w:tr w:rsidR="00065F37" w:rsidRPr="005D1112" w:rsidTr="00FD41E5">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E33BA5" w:rsidTr="00FD41E5">
        <w:trPr>
          <w:jc w:val="center"/>
        </w:trPr>
        <w:tc>
          <w:tcPr>
            <w:tcW w:w="66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298"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037" w:type="pct"/>
            <w:tcBorders>
              <w:top w:val="outset" w:sz="6" w:space="0" w:color="414142"/>
              <w:left w:val="outset" w:sz="6" w:space="0" w:color="414142"/>
              <w:bottom w:val="outset" w:sz="6" w:space="0" w:color="414142"/>
              <w:right w:val="outset" w:sz="6" w:space="0" w:color="414142"/>
            </w:tcBorders>
            <w:hideMark/>
          </w:tcPr>
          <w:p w:rsidR="005D1112" w:rsidRDefault="005D1112" w:rsidP="00D43D19">
            <w:pPr>
              <w:pStyle w:val="ListParagraph"/>
              <w:tabs>
                <w:tab w:val="left" w:pos="268"/>
              </w:tabs>
              <w:ind w:left="0" w:firstLine="228"/>
              <w:jc w:val="both"/>
              <w:rPr>
                <w:rFonts w:cs="Times New Roman"/>
                <w:sz w:val="24"/>
                <w:szCs w:val="24"/>
                <w:lang w:val="lv-LV" w:eastAsia="lv-LV" w:bidi="ar-SA"/>
              </w:rPr>
            </w:pPr>
            <w:r>
              <w:rPr>
                <w:rFonts w:cs="Times New Roman"/>
                <w:sz w:val="24"/>
                <w:szCs w:val="24"/>
                <w:lang w:val="lv-LV" w:eastAsia="lv-LV" w:bidi="ar-SA"/>
              </w:rPr>
              <w:t>Vienlaikus ar grozījumiem Militārā dienesta likumā tiek virzīti grozījumi šādos normatīvajos aktos:</w:t>
            </w:r>
          </w:p>
          <w:p w:rsidR="00DA55F2" w:rsidRDefault="002B7A3C" w:rsidP="005D1112">
            <w:pPr>
              <w:pStyle w:val="ListParagraph"/>
              <w:numPr>
                <w:ilvl w:val="0"/>
                <w:numId w:val="5"/>
              </w:numPr>
              <w:tabs>
                <w:tab w:val="left" w:pos="512"/>
              </w:tabs>
              <w:ind w:left="0" w:firstLine="228"/>
              <w:jc w:val="both"/>
              <w:rPr>
                <w:rFonts w:cs="Times New Roman"/>
                <w:sz w:val="24"/>
                <w:szCs w:val="24"/>
                <w:lang w:val="lv-LV" w:eastAsia="lv-LV" w:bidi="ar-SA"/>
              </w:rPr>
            </w:pPr>
            <w:r>
              <w:rPr>
                <w:rFonts w:cs="Times New Roman"/>
                <w:sz w:val="24"/>
                <w:szCs w:val="24"/>
                <w:lang w:val="lv-LV" w:eastAsia="lv-LV" w:bidi="ar-SA"/>
              </w:rPr>
              <w:t xml:space="preserve">Ministru kabineta 2009.gada 15.decembra </w:t>
            </w:r>
            <w:r w:rsidR="00C70134">
              <w:rPr>
                <w:rFonts w:cs="Times New Roman"/>
                <w:sz w:val="24"/>
                <w:szCs w:val="24"/>
                <w:lang w:val="lv-LV" w:eastAsia="lv-LV" w:bidi="ar-SA"/>
              </w:rPr>
              <w:t>noteikumos Nr.1419 „</w:t>
            </w:r>
            <w:proofErr w:type="spellStart"/>
            <w:r w:rsidR="00C70134">
              <w:rPr>
                <w:rFonts w:cs="Times New Roman"/>
                <w:sz w:val="24"/>
                <w:szCs w:val="24"/>
                <w:lang w:val="lv-LV" w:eastAsia="lv-LV" w:bidi="ar-SA"/>
              </w:rPr>
              <w:t>Rekrutēšanas</w:t>
            </w:r>
            <w:proofErr w:type="spellEnd"/>
            <w:r w:rsidR="00C70134">
              <w:rPr>
                <w:rFonts w:cs="Times New Roman"/>
                <w:sz w:val="24"/>
                <w:szCs w:val="24"/>
                <w:lang w:val="lv-LV" w:eastAsia="lv-LV" w:bidi="ar-SA"/>
              </w:rPr>
              <w:t xml:space="preserve"> un </w:t>
            </w:r>
            <w:proofErr w:type="spellStart"/>
            <w:r w:rsidR="00C70134">
              <w:rPr>
                <w:rFonts w:cs="Times New Roman"/>
                <w:sz w:val="24"/>
                <w:szCs w:val="24"/>
                <w:lang w:val="lv-LV" w:eastAsia="lv-LV" w:bidi="ar-SA"/>
              </w:rPr>
              <w:t>jaunsardzes</w:t>
            </w:r>
            <w:proofErr w:type="spellEnd"/>
            <w:r w:rsidR="00C70134">
              <w:rPr>
                <w:rFonts w:cs="Times New Roman"/>
                <w:sz w:val="24"/>
                <w:szCs w:val="24"/>
                <w:lang w:val="lv-LV" w:eastAsia="lv-LV" w:bidi="ar-SA"/>
              </w:rPr>
              <w:t xml:space="preserve"> centra nolikums”</w:t>
            </w:r>
            <w:r w:rsidR="00976F2C" w:rsidRPr="009B4565">
              <w:rPr>
                <w:rFonts w:cs="Times New Roman"/>
                <w:sz w:val="24"/>
                <w:szCs w:val="24"/>
                <w:lang w:val="lv-LV" w:eastAsia="lv-LV" w:bidi="ar-SA"/>
              </w:rPr>
              <w:t>.</w:t>
            </w:r>
          </w:p>
          <w:p w:rsidR="005D1112" w:rsidRDefault="005D1112" w:rsidP="005D1112">
            <w:pPr>
              <w:pStyle w:val="ListParagraph"/>
              <w:numPr>
                <w:ilvl w:val="0"/>
                <w:numId w:val="5"/>
              </w:numPr>
              <w:tabs>
                <w:tab w:val="left" w:pos="512"/>
              </w:tabs>
              <w:ind w:left="0" w:firstLine="228"/>
              <w:jc w:val="both"/>
              <w:rPr>
                <w:rFonts w:cs="Times New Roman"/>
                <w:sz w:val="24"/>
                <w:szCs w:val="24"/>
                <w:lang w:val="lv-LV" w:eastAsia="lv-LV" w:bidi="ar-SA"/>
              </w:rPr>
            </w:pPr>
            <w:r>
              <w:rPr>
                <w:rFonts w:cs="Times New Roman"/>
                <w:sz w:val="24"/>
                <w:szCs w:val="24"/>
                <w:lang w:val="lv-LV" w:eastAsia="lv-LV" w:bidi="ar-SA"/>
              </w:rPr>
              <w:t>Ministru kabineta 2003.gada 29.aprīļa noteikumos Nr.236 „Aizsardzības ministrijas nolikums”.</w:t>
            </w:r>
          </w:p>
          <w:p w:rsidR="005D1112" w:rsidRPr="009B4565" w:rsidRDefault="00D43D19" w:rsidP="00D43D19">
            <w:pPr>
              <w:pStyle w:val="ListParagraph"/>
              <w:tabs>
                <w:tab w:val="left" w:pos="512"/>
              </w:tabs>
              <w:ind w:left="0" w:firstLine="228"/>
              <w:jc w:val="both"/>
              <w:rPr>
                <w:rFonts w:cs="Times New Roman"/>
                <w:sz w:val="24"/>
                <w:szCs w:val="24"/>
                <w:lang w:val="lv-LV" w:eastAsia="lv-LV" w:bidi="ar-SA"/>
              </w:rPr>
            </w:pPr>
            <w:r>
              <w:rPr>
                <w:rFonts w:cs="Times New Roman"/>
                <w:sz w:val="24"/>
                <w:szCs w:val="24"/>
                <w:lang w:val="lv-LV" w:eastAsia="lv-LV" w:bidi="ar-SA"/>
              </w:rPr>
              <w:t xml:space="preserve">Šādu likumu grozījumi, kas saistīti ar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w:t>
            </w:r>
            <w:proofErr w:type="spellStart"/>
            <w:r>
              <w:rPr>
                <w:rFonts w:cs="Times New Roman"/>
                <w:sz w:val="24"/>
                <w:szCs w:val="24"/>
                <w:lang w:val="lv-LV" w:eastAsia="lv-LV" w:bidi="ar-SA"/>
              </w:rPr>
              <w:t>unjaunsardzes</w:t>
            </w:r>
            <w:proofErr w:type="spellEnd"/>
            <w:r>
              <w:rPr>
                <w:rFonts w:cs="Times New Roman"/>
                <w:sz w:val="24"/>
                <w:szCs w:val="24"/>
                <w:lang w:val="lv-LV" w:eastAsia="lv-LV" w:bidi="ar-SA"/>
              </w:rPr>
              <w:t xml:space="preserve"> centra nosaukuma precizēšanu, tiks virzīti kopā ar būtiskākiem likumu grozījumiem:</w:t>
            </w:r>
          </w:p>
          <w:p w:rsidR="00963455" w:rsidRDefault="00D43D19" w:rsidP="00D43D19">
            <w:pPr>
              <w:pStyle w:val="ListParagraph"/>
              <w:tabs>
                <w:tab w:val="left" w:pos="512"/>
              </w:tabs>
              <w:ind w:left="0" w:firstLine="228"/>
              <w:jc w:val="both"/>
              <w:rPr>
                <w:rFonts w:cs="Times New Roman"/>
                <w:sz w:val="24"/>
                <w:szCs w:val="24"/>
                <w:lang w:val="lv-LV" w:eastAsia="lv-LV" w:bidi="ar-SA"/>
              </w:rPr>
            </w:pPr>
            <w:r>
              <w:rPr>
                <w:rFonts w:cs="Times New Roman"/>
                <w:sz w:val="24"/>
                <w:szCs w:val="24"/>
                <w:lang w:val="lv-LV" w:eastAsia="lv-LV" w:bidi="ar-SA"/>
              </w:rPr>
              <w:t>1</w:t>
            </w:r>
            <w:r w:rsidR="00AE68BD">
              <w:rPr>
                <w:rFonts w:cs="Times New Roman"/>
                <w:sz w:val="24"/>
                <w:szCs w:val="24"/>
                <w:lang w:val="lv-LV" w:eastAsia="lv-LV" w:bidi="ar-SA"/>
              </w:rPr>
              <w:t>.</w:t>
            </w:r>
            <w:r>
              <w:rPr>
                <w:rFonts w:cs="Times New Roman"/>
                <w:sz w:val="24"/>
                <w:szCs w:val="24"/>
                <w:lang w:val="lv-LV" w:eastAsia="lv-LV" w:bidi="ar-SA"/>
              </w:rPr>
              <w:t xml:space="preserve"> </w:t>
            </w:r>
            <w:r w:rsidR="00FD02ED">
              <w:rPr>
                <w:rFonts w:cs="Times New Roman"/>
                <w:sz w:val="24"/>
                <w:szCs w:val="24"/>
                <w:lang w:val="lv-LV" w:eastAsia="lv-LV" w:bidi="ar-SA"/>
              </w:rPr>
              <w:t>Ieroču un speciālo līdzekļu aprites likum</w:t>
            </w:r>
            <w:r w:rsidR="00490576">
              <w:rPr>
                <w:rFonts w:cs="Times New Roman"/>
                <w:sz w:val="24"/>
                <w:szCs w:val="24"/>
                <w:lang w:val="lv-LV" w:eastAsia="lv-LV" w:bidi="ar-SA"/>
              </w:rPr>
              <w:t>ā.</w:t>
            </w:r>
          </w:p>
          <w:p w:rsidR="00FB02C4" w:rsidRDefault="00D43D19" w:rsidP="00D43D19">
            <w:pPr>
              <w:pStyle w:val="ListParagraph"/>
              <w:tabs>
                <w:tab w:val="left" w:pos="292"/>
              </w:tabs>
              <w:ind w:left="0" w:firstLine="228"/>
              <w:jc w:val="both"/>
              <w:rPr>
                <w:rFonts w:cs="Times New Roman"/>
                <w:sz w:val="24"/>
                <w:szCs w:val="24"/>
                <w:lang w:val="lv-LV" w:eastAsia="lv-LV" w:bidi="ar-SA"/>
              </w:rPr>
            </w:pPr>
            <w:r>
              <w:rPr>
                <w:rFonts w:cs="Times New Roman"/>
                <w:sz w:val="24"/>
                <w:szCs w:val="24"/>
                <w:lang w:val="lv-LV" w:eastAsia="lv-LV" w:bidi="ar-SA"/>
              </w:rPr>
              <w:t>2</w:t>
            </w:r>
            <w:r w:rsidR="00FB02C4">
              <w:rPr>
                <w:rFonts w:cs="Times New Roman"/>
                <w:sz w:val="24"/>
                <w:szCs w:val="24"/>
                <w:lang w:val="lv-LV" w:eastAsia="lv-LV" w:bidi="ar-SA"/>
              </w:rPr>
              <w:t>.</w:t>
            </w:r>
            <w:r>
              <w:rPr>
                <w:rFonts w:cs="Times New Roman"/>
                <w:sz w:val="24"/>
                <w:szCs w:val="24"/>
                <w:lang w:val="lv-LV" w:eastAsia="lv-LV" w:bidi="ar-SA"/>
              </w:rPr>
              <w:t xml:space="preserve"> </w:t>
            </w:r>
            <w:r w:rsidR="00FB02C4">
              <w:rPr>
                <w:rFonts w:cs="Times New Roman"/>
                <w:sz w:val="24"/>
                <w:szCs w:val="24"/>
                <w:lang w:val="lv-LV" w:eastAsia="lv-LV" w:bidi="ar-SA"/>
              </w:rPr>
              <w:t>Latvijas Republikas Zemessardzes likumā.</w:t>
            </w:r>
          </w:p>
          <w:p w:rsidR="00D43D19" w:rsidRDefault="00E33BA5" w:rsidP="00D43D19">
            <w:pPr>
              <w:pStyle w:val="ListParagraph"/>
              <w:tabs>
                <w:tab w:val="left" w:pos="292"/>
              </w:tabs>
              <w:ind w:left="0" w:firstLine="228"/>
              <w:jc w:val="both"/>
              <w:rPr>
                <w:rFonts w:cs="Times New Roman"/>
                <w:sz w:val="24"/>
                <w:szCs w:val="24"/>
                <w:lang w:val="lv-LV" w:eastAsia="lv-LV" w:bidi="ar-SA"/>
              </w:rPr>
            </w:pPr>
            <w:r>
              <w:rPr>
                <w:rFonts w:cs="Times New Roman"/>
                <w:sz w:val="24"/>
                <w:szCs w:val="24"/>
                <w:lang w:val="lv-LV" w:eastAsia="lv-LV" w:bidi="ar-SA"/>
              </w:rPr>
              <w:t>Šād</w:t>
            </w:r>
            <w:r>
              <w:rPr>
                <w:rFonts w:cs="Times New Roman"/>
                <w:sz w:val="24"/>
                <w:szCs w:val="24"/>
                <w:lang w:val="lv-LV" w:eastAsia="lv-LV" w:bidi="ar-SA"/>
              </w:rPr>
              <w:t>u Ministru kabineta noteikumu</w:t>
            </w:r>
            <w:r>
              <w:rPr>
                <w:rFonts w:cs="Times New Roman"/>
                <w:sz w:val="24"/>
                <w:szCs w:val="24"/>
                <w:lang w:val="lv-LV" w:eastAsia="lv-LV" w:bidi="ar-SA"/>
              </w:rPr>
              <w:t xml:space="preserve"> grozījumi, kas saistīti ar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w:t>
            </w:r>
            <w:proofErr w:type="spellStart"/>
            <w:r>
              <w:rPr>
                <w:rFonts w:cs="Times New Roman"/>
                <w:sz w:val="24"/>
                <w:szCs w:val="24"/>
                <w:lang w:val="lv-LV" w:eastAsia="lv-LV" w:bidi="ar-SA"/>
              </w:rPr>
              <w:t>unjaunsardzes</w:t>
            </w:r>
            <w:proofErr w:type="spellEnd"/>
            <w:r>
              <w:rPr>
                <w:rFonts w:cs="Times New Roman"/>
                <w:sz w:val="24"/>
                <w:szCs w:val="24"/>
                <w:lang w:val="lv-LV" w:eastAsia="lv-LV" w:bidi="ar-SA"/>
              </w:rPr>
              <w:t xml:space="preserve"> centra nosaukuma precizēšanu, tiks </w:t>
            </w:r>
            <w:r>
              <w:rPr>
                <w:rFonts w:cs="Times New Roman"/>
                <w:sz w:val="24"/>
                <w:szCs w:val="24"/>
                <w:lang w:val="lv-LV" w:eastAsia="lv-LV" w:bidi="ar-SA"/>
              </w:rPr>
              <w:t>izdarīti līdz 2016.gada 1.janvārim:</w:t>
            </w:r>
          </w:p>
          <w:p w:rsidR="00490576" w:rsidRDefault="00E33BA5" w:rsidP="00E33BA5">
            <w:pPr>
              <w:pStyle w:val="ListParagraph"/>
              <w:tabs>
                <w:tab w:val="left" w:pos="292"/>
              </w:tabs>
              <w:ind w:left="0" w:firstLine="228"/>
              <w:jc w:val="both"/>
              <w:rPr>
                <w:rFonts w:cs="Times New Roman"/>
                <w:sz w:val="24"/>
                <w:szCs w:val="24"/>
                <w:lang w:val="lv-LV" w:eastAsia="lv-LV" w:bidi="ar-SA"/>
              </w:rPr>
            </w:pPr>
            <w:r>
              <w:rPr>
                <w:rFonts w:cs="Times New Roman"/>
                <w:sz w:val="24"/>
                <w:szCs w:val="24"/>
                <w:lang w:val="lv-LV" w:eastAsia="lv-LV" w:bidi="ar-SA"/>
              </w:rPr>
              <w:t>1</w:t>
            </w:r>
            <w:r w:rsidR="00AE68BD">
              <w:rPr>
                <w:rFonts w:cs="Times New Roman"/>
                <w:sz w:val="24"/>
                <w:szCs w:val="24"/>
                <w:lang w:val="lv-LV" w:eastAsia="lv-LV" w:bidi="ar-SA"/>
              </w:rPr>
              <w:t>.</w:t>
            </w:r>
            <w:r>
              <w:rPr>
                <w:rFonts w:cs="Times New Roman"/>
                <w:sz w:val="24"/>
                <w:szCs w:val="24"/>
                <w:lang w:val="lv-LV" w:eastAsia="lv-LV" w:bidi="ar-SA"/>
              </w:rPr>
              <w:t xml:space="preserve"> </w:t>
            </w:r>
            <w:r w:rsidR="00490576">
              <w:rPr>
                <w:rFonts w:cs="Times New Roman"/>
                <w:sz w:val="24"/>
                <w:szCs w:val="24"/>
                <w:lang w:val="lv-LV" w:eastAsia="lv-LV" w:bidi="ar-SA"/>
              </w:rPr>
              <w:t xml:space="preserve">Ministru kabineta </w:t>
            </w:r>
            <w:r w:rsidR="003E0077">
              <w:rPr>
                <w:rFonts w:cs="Times New Roman"/>
                <w:sz w:val="24"/>
                <w:szCs w:val="24"/>
                <w:lang w:val="lv-LV" w:eastAsia="lv-LV" w:bidi="ar-SA"/>
              </w:rPr>
              <w:t>2012.gada 24.aprīļa noteikumos Nr.294 „Kārtība, kādā valsts un pašvaldību iestādes iegādājas un realizē ieročus un speciālos līdzekļus”.</w:t>
            </w:r>
          </w:p>
          <w:p w:rsidR="00451CFB" w:rsidRDefault="00E33BA5" w:rsidP="00E33BA5">
            <w:pPr>
              <w:pStyle w:val="ListParagraph"/>
              <w:tabs>
                <w:tab w:val="left" w:pos="292"/>
              </w:tabs>
              <w:ind w:left="0" w:firstLine="228"/>
              <w:jc w:val="both"/>
              <w:rPr>
                <w:rFonts w:cs="Times New Roman"/>
                <w:sz w:val="24"/>
                <w:szCs w:val="24"/>
                <w:lang w:val="lv-LV" w:eastAsia="lv-LV" w:bidi="ar-SA"/>
              </w:rPr>
            </w:pPr>
            <w:r>
              <w:rPr>
                <w:rFonts w:cs="Times New Roman"/>
                <w:sz w:val="24"/>
                <w:szCs w:val="24"/>
                <w:lang w:val="lv-LV" w:eastAsia="lv-LV" w:bidi="ar-SA"/>
              </w:rPr>
              <w:t>2</w:t>
            </w:r>
            <w:r w:rsidR="00AE68BD">
              <w:rPr>
                <w:rFonts w:cs="Times New Roman"/>
                <w:sz w:val="24"/>
                <w:szCs w:val="24"/>
                <w:lang w:val="lv-LV" w:eastAsia="lv-LV" w:bidi="ar-SA"/>
              </w:rPr>
              <w:t>.</w:t>
            </w:r>
            <w:r>
              <w:rPr>
                <w:rFonts w:cs="Times New Roman"/>
                <w:sz w:val="24"/>
                <w:szCs w:val="24"/>
                <w:lang w:val="lv-LV" w:eastAsia="lv-LV" w:bidi="ar-SA"/>
              </w:rPr>
              <w:t xml:space="preserve"> </w:t>
            </w:r>
            <w:r w:rsidR="00AE68BD">
              <w:rPr>
                <w:rFonts w:cs="Times New Roman"/>
                <w:sz w:val="24"/>
                <w:szCs w:val="24"/>
                <w:lang w:val="lv-LV" w:eastAsia="lv-LV" w:bidi="ar-SA"/>
              </w:rPr>
              <w:t>Ministru kabineta 2012.gada 14.augusta noteikumos Nr.557 „Noteikumi par apmācību pirmās palīdzības snieg</w:t>
            </w:r>
            <w:r w:rsidR="00FB02C4">
              <w:rPr>
                <w:rFonts w:cs="Times New Roman"/>
                <w:sz w:val="24"/>
                <w:szCs w:val="24"/>
                <w:lang w:val="lv-LV" w:eastAsia="lv-LV" w:bidi="ar-SA"/>
              </w:rPr>
              <w:t>ša</w:t>
            </w:r>
            <w:r w:rsidR="00AE68BD">
              <w:rPr>
                <w:rFonts w:cs="Times New Roman"/>
                <w:sz w:val="24"/>
                <w:szCs w:val="24"/>
                <w:lang w:val="lv-LV" w:eastAsia="lv-LV" w:bidi="ar-SA"/>
              </w:rPr>
              <w:t>nā”</w:t>
            </w:r>
            <w:r w:rsidR="00FB02C4">
              <w:rPr>
                <w:rFonts w:cs="Times New Roman"/>
                <w:sz w:val="24"/>
                <w:szCs w:val="24"/>
                <w:lang w:val="lv-LV" w:eastAsia="lv-LV" w:bidi="ar-SA"/>
              </w:rPr>
              <w:t>.</w:t>
            </w:r>
          </w:p>
          <w:p w:rsidR="00B3031A" w:rsidRPr="00C70134" w:rsidRDefault="00E33BA5" w:rsidP="00DD12BA">
            <w:pPr>
              <w:pStyle w:val="ListParagraph"/>
              <w:tabs>
                <w:tab w:val="left" w:pos="292"/>
              </w:tabs>
              <w:ind w:left="0" w:firstLine="228"/>
              <w:jc w:val="both"/>
              <w:rPr>
                <w:rFonts w:cs="Times New Roman"/>
                <w:sz w:val="24"/>
                <w:szCs w:val="24"/>
                <w:lang w:val="lv-LV" w:eastAsia="lv-LV" w:bidi="ar-SA"/>
              </w:rPr>
            </w:pPr>
            <w:r>
              <w:rPr>
                <w:rFonts w:cs="Times New Roman"/>
                <w:sz w:val="24"/>
                <w:szCs w:val="24"/>
                <w:lang w:val="lv-LV" w:eastAsia="lv-LV" w:bidi="ar-SA"/>
              </w:rPr>
              <w:lastRenderedPageBreak/>
              <w:t>3</w:t>
            </w:r>
            <w:r w:rsidR="001D7DAF">
              <w:rPr>
                <w:rFonts w:cs="Times New Roman"/>
                <w:sz w:val="24"/>
                <w:szCs w:val="24"/>
                <w:lang w:val="lv-LV" w:eastAsia="lv-LV" w:bidi="ar-SA"/>
              </w:rPr>
              <w:t>.</w:t>
            </w:r>
            <w:r>
              <w:rPr>
                <w:rFonts w:cs="Times New Roman"/>
                <w:sz w:val="24"/>
                <w:szCs w:val="24"/>
                <w:lang w:val="lv-LV" w:eastAsia="lv-LV" w:bidi="ar-SA"/>
              </w:rPr>
              <w:t xml:space="preserve"> </w:t>
            </w:r>
            <w:r w:rsidR="001D7DAF">
              <w:rPr>
                <w:rFonts w:cs="Times New Roman"/>
                <w:sz w:val="24"/>
                <w:szCs w:val="24"/>
                <w:lang w:val="lv-LV" w:eastAsia="lv-LV" w:bidi="ar-SA"/>
              </w:rPr>
              <w:t>Ministru kabineta 2006.gada 18.jūlija noteikumos Nr.587 „Noteikumi par kārtību, kādā civilās aviācijas lidlaukus izmanto Latvijas Republikas militārās aviācijas gaisa kuģi, un kārtību, kādā Latvijas Republikas militārās aviācijas lidlaukus izmanto civilās aviācijas gaisa kuģi”.</w:t>
            </w:r>
          </w:p>
        </w:tc>
      </w:tr>
      <w:tr w:rsidR="00065F37" w:rsidRPr="00E65F9E" w:rsidTr="00FD41E5">
        <w:trPr>
          <w:jc w:val="center"/>
        </w:trPr>
        <w:tc>
          <w:tcPr>
            <w:tcW w:w="66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298"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037"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r w:rsidR="003E0077">
              <w:rPr>
                <w:rFonts w:cs="Times New Roman"/>
                <w:sz w:val="24"/>
                <w:szCs w:val="24"/>
                <w:lang w:val="lv-LV" w:eastAsia="lv-LV" w:bidi="ar-SA"/>
              </w:rPr>
              <w:t xml:space="preserve"> </w:t>
            </w:r>
            <w:proofErr w:type="spellStart"/>
            <w:r w:rsidR="003E0077">
              <w:rPr>
                <w:rFonts w:cs="Times New Roman"/>
                <w:sz w:val="24"/>
                <w:szCs w:val="24"/>
                <w:lang w:val="lv-LV" w:eastAsia="lv-LV" w:bidi="ar-SA"/>
              </w:rPr>
              <w:t>Rekrutēšanas</w:t>
            </w:r>
            <w:proofErr w:type="spellEnd"/>
            <w:r w:rsidR="003E0077">
              <w:rPr>
                <w:rFonts w:cs="Times New Roman"/>
                <w:sz w:val="24"/>
                <w:szCs w:val="24"/>
                <w:lang w:val="lv-LV" w:eastAsia="lv-LV" w:bidi="ar-SA"/>
              </w:rPr>
              <w:t xml:space="preserve"> un </w:t>
            </w:r>
            <w:proofErr w:type="spellStart"/>
            <w:r w:rsidR="003E0077">
              <w:rPr>
                <w:rFonts w:cs="Times New Roman"/>
                <w:sz w:val="24"/>
                <w:szCs w:val="24"/>
                <w:lang w:val="lv-LV" w:eastAsia="lv-LV" w:bidi="ar-SA"/>
              </w:rPr>
              <w:t>jaunsardzes</w:t>
            </w:r>
            <w:proofErr w:type="spellEnd"/>
            <w:r w:rsidR="003E0077">
              <w:rPr>
                <w:rFonts w:cs="Times New Roman"/>
                <w:sz w:val="24"/>
                <w:szCs w:val="24"/>
                <w:lang w:val="lv-LV" w:eastAsia="lv-LV" w:bidi="ar-SA"/>
              </w:rPr>
              <w:t xml:space="preserve"> centrs</w:t>
            </w:r>
          </w:p>
        </w:tc>
      </w:tr>
      <w:tr w:rsidR="00065F37" w:rsidRPr="00E65F9E" w:rsidTr="00FD41E5">
        <w:trPr>
          <w:jc w:val="center"/>
        </w:trPr>
        <w:tc>
          <w:tcPr>
            <w:tcW w:w="66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298"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03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4"/>
      </w:tblGrid>
      <w:tr w:rsidR="00065F37" w:rsidRPr="00E65F9E" w:rsidTr="00201C33">
        <w:tc>
          <w:tcPr>
            <w:tcW w:w="50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 Tiesību akta projekta atbilstība Latvijas Republikas starptautiskajām saistībām</w:t>
            </w:r>
          </w:p>
        </w:tc>
      </w:tr>
      <w:tr w:rsidR="00065F37" w:rsidRPr="00E65F9E" w:rsidTr="00201C33">
        <w:tc>
          <w:tcPr>
            <w:tcW w:w="5000" w:type="pct"/>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497" w:type="pct"/>
        <w:jc w:val="center"/>
        <w:tblInd w:w="-7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84"/>
      </w:tblGrid>
      <w:tr w:rsidR="00065F37" w:rsidRPr="005D1112" w:rsidTr="00201C33">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 Sabiedrības līdzdalība un komunikācijas aktivitātes</w:t>
            </w:r>
          </w:p>
        </w:tc>
      </w:tr>
      <w:tr w:rsidR="00065F37" w:rsidRPr="00E65F9E" w:rsidTr="00201C33">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487" w:type="pct"/>
        <w:jc w:val="center"/>
        <w:tblInd w:w="-81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32"/>
        <w:gridCol w:w="3174"/>
        <w:gridCol w:w="4762"/>
      </w:tblGrid>
      <w:tr w:rsidR="00065F37" w:rsidRPr="005D1112" w:rsidTr="00201C33">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5D1112" w:rsidTr="00201C33">
        <w:trPr>
          <w:trHeight w:val="336"/>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p>
        </w:tc>
      </w:tr>
      <w:tr w:rsidR="00065F37" w:rsidRPr="00304C07" w:rsidTr="00201C33">
        <w:trPr>
          <w:trHeight w:val="360"/>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597" w:type="pct"/>
            <w:tcBorders>
              <w:top w:val="outset" w:sz="6" w:space="0" w:color="414142"/>
              <w:left w:val="outset" w:sz="6" w:space="0" w:color="414142"/>
              <w:bottom w:val="outset" w:sz="6" w:space="0" w:color="414142"/>
              <w:right w:val="outset" w:sz="6" w:space="0" w:color="414142"/>
            </w:tcBorders>
            <w:hideMark/>
          </w:tcPr>
          <w:p w:rsidR="00C77BDB" w:rsidRDefault="00C77BDB" w:rsidP="00793251">
            <w:pPr>
              <w:jc w:val="both"/>
              <w:rPr>
                <w:rFonts w:cs="Times New Roman"/>
                <w:sz w:val="24"/>
                <w:szCs w:val="24"/>
                <w:lang w:val="lv-LV" w:eastAsia="lv-LV" w:bidi="ar-SA"/>
              </w:rPr>
            </w:pPr>
            <w:r>
              <w:rPr>
                <w:rFonts w:cs="Times New Roman"/>
                <w:sz w:val="24"/>
                <w:szCs w:val="24"/>
                <w:lang w:val="lv-LV" w:eastAsia="lv-LV" w:bidi="ar-SA"/>
              </w:rPr>
              <w:t xml:space="preserve">Ar 2016.gada 1.janvāri savstarpēji cieši saistītus uzdevumus (profesionālā dienesta kandidātu </w:t>
            </w:r>
            <w:proofErr w:type="spellStart"/>
            <w:r>
              <w:rPr>
                <w:rFonts w:cs="Times New Roman"/>
                <w:sz w:val="24"/>
                <w:szCs w:val="24"/>
                <w:lang w:val="lv-LV" w:eastAsia="lv-LV" w:bidi="ar-SA"/>
              </w:rPr>
              <w:t>rekrutēšanu</w:t>
            </w:r>
            <w:proofErr w:type="spellEnd"/>
            <w:r>
              <w:rPr>
                <w:rFonts w:cs="Times New Roman"/>
                <w:sz w:val="24"/>
                <w:szCs w:val="24"/>
                <w:lang w:val="lv-LV" w:eastAsia="lv-LV" w:bidi="ar-SA"/>
              </w:rPr>
              <w:t xml:space="preserve"> un atlasi) veiks viena institūcija.</w:t>
            </w:r>
          </w:p>
          <w:p w:rsidR="00DA55F2" w:rsidRPr="00E65F9E" w:rsidRDefault="00DD0703" w:rsidP="00793251">
            <w:pPr>
              <w:jc w:val="both"/>
              <w:rPr>
                <w:rFonts w:cs="Times New Roman"/>
                <w:sz w:val="24"/>
                <w:szCs w:val="24"/>
                <w:lang w:val="lv-LV" w:eastAsia="lv-LV" w:bidi="ar-SA"/>
              </w:rPr>
            </w:pP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r w:rsidR="0099706E">
              <w:rPr>
                <w:rFonts w:cs="Times New Roman"/>
                <w:sz w:val="24"/>
                <w:szCs w:val="24"/>
                <w:lang w:val="lv-LV" w:eastAsia="lv-LV" w:bidi="ar-SA"/>
              </w:rPr>
              <w:t>.</w:t>
            </w:r>
          </w:p>
          <w:p w:rsidR="00DD0703" w:rsidRPr="00E65F9E" w:rsidRDefault="00DD0703" w:rsidP="009213E1">
            <w:pPr>
              <w:jc w:val="both"/>
              <w:rPr>
                <w:rFonts w:cs="Times New Roman"/>
                <w:sz w:val="24"/>
                <w:szCs w:val="24"/>
                <w:lang w:val="lv-LV" w:eastAsia="lv-LV" w:bidi="ar-SA"/>
              </w:rPr>
            </w:pPr>
          </w:p>
        </w:tc>
      </w:tr>
      <w:tr w:rsidR="00DA55F2" w:rsidRPr="00E65F9E" w:rsidTr="00201C33">
        <w:trPr>
          <w:trHeight w:val="312"/>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proofErr w:type="spellStart"/>
      <w:r w:rsidR="00172AF9">
        <w:rPr>
          <w:rFonts w:cs="Times New Roman"/>
          <w:sz w:val="24"/>
          <w:szCs w:val="24"/>
          <w:lang w:val="lv-LV"/>
        </w:rPr>
        <w:t>R.</w:t>
      </w:r>
      <w:r w:rsidR="00FB5925">
        <w:rPr>
          <w:rFonts w:cs="Times New Roman"/>
          <w:sz w:val="24"/>
          <w:szCs w:val="24"/>
          <w:lang w:val="lv-LV"/>
        </w:rPr>
        <w:t>Bergmanis</w:t>
      </w:r>
      <w:proofErr w:type="spellEnd"/>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w:t>
      </w:r>
      <w:r w:rsidR="00EE2E58">
        <w:rPr>
          <w:rFonts w:cs="Times New Roman"/>
          <w:sz w:val="24"/>
          <w:szCs w:val="24"/>
          <w:lang w:val="lv-LV"/>
        </w:rPr>
        <w:t xml:space="preserve">a </w:t>
      </w:r>
      <w:proofErr w:type="spellStart"/>
      <w:r w:rsidR="00EE2E58">
        <w:rPr>
          <w:rFonts w:cs="Times New Roman"/>
          <w:sz w:val="24"/>
          <w:szCs w:val="24"/>
          <w:lang w:val="lv-LV"/>
        </w:rPr>
        <w:t>p.i</w:t>
      </w:r>
      <w:proofErr w:type="spellEnd"/>
      <w:r w:rsidR="00EE2E58">
        <w:rPr>
          <w:rFonts w:cs="Times New Roman"/>
          <w:sz w:val="24"/>
          <w:szCs w:val="24"/>
          <w:lang w:val="lv-LV"/>
        </w:rPr>
        <w:t>.</w:t>
      </w:r>
      <w:r w:rsidRPr="00E65F9E">
        <w:rPr>
          <w:rFonts w:cs="Times New Roman"/>
          <w:sz w:val="24"/>
          <w:szCs w:val="24"/>
          <w:lang w:val="lv-LV"/>
        </w:rPr>
        <w:tab/>
      </w:r>
      <w:proofErr w:type="spellStart"/>
      <w:r w:rsidRPr="00E65F9E">
        <w:rPr>
          <w:rFonts w:cs="Times New Roman"/>
          <w:sz w:val="24"/>
          <w:szCs w:val="24"/>
          <w:lang w:val="lv-LV"/>
        </w:rPr>
        <w:t>J.</w:t>
      </w:r>
      <w:r w:rsidR="00EE2E58">
        <w:rPr>
          <w:rFonts w:cs="Times New Roman"/>
          <w:sz w:val="24"/>
          <w:szCs w:val="24"/>
          <w:lang w:val="lv-LV"/>
        </w:rPr>
        <w:t>Garisons</w:t>
      </w:r>
      <w:proofErr w:type="spellEnd"/>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Pr="00065F37" w:rsidRDefault="001701FF" w:rsidP="00DD0703">
      <w:pPr>
        <w:tabs>
          <w:tab w:val="left" w:pos="1560"/>
        </w:tabs>
        <w:rPr>
          <w:rFonts w:cs="Times New Roman"/>
          <w:lang w:val="lv-LV"/>
        </w:rPr>
      </w:pPr>
    </w:p>
    <w:p w:rsidR="004600D1" w:rsidRPr="00E377ED" w:rsidRDefault="00A86F0F" w:rsidP="004600D1">
      <w:pPr>
        <w:tabs>
          <w:tab w:val="left" w:pos="1560"/>
        </w:tabs>
      </w:pPr>
      <w:r>
        <w:t>29</w:t>
      </w:r>
      <w:r w:rsidR="004600D1">
        <w:t>.</w:t>
      </w:r>
      <w:r w:rsidR="0093126B">
        <w:t>0</w:t>
      </w:r>
      <w:r w:rsidR="00EE2E58">
        <w:t>7</w:t>
      </w:r>
      <w:r w:rsidR="004600D1" w:rsidRPr="00E377ED">
        <w:t>.201</w:t>
      </w:r>
      <w:r w:rsidR="001312D8">
        <w:t>5</w:t>
      </w:r>
      <w:r w:rsidR="004600D1">
        <w:t>.</w:t>
      </w:r>
      <w:r w:rsidR="004600D1" w:rsidRPr="00E377ED">
        <w:t xml:space="preserve">   </w:t>
      </w:r>
      <w:r w:rsidR="008E0CDA">
        <w:t>1</w:t>
      </w:r>
      <w:r w:rsidR="001F453A">
        <w:t>4</w:t>
      </w:r>
      <w:r w:rsidR="008E0CDA">
        <w:t>:</w:t>
      </w:r>
      <w:r w:rsidR="00D74F23">
        <w:t>28</w:t>
      </w:r>
      <w:bookmarkStart w:id="0" w:name="_GoBack"/>
      <w:bookmarkEnd w:id="0"/>
    </w:p>
    <w:p w:rsidR="004600D1" w:rsidRDefault="00DB2266" w:rsidP="004600D1">
      <w:pPr>
        <w:pStyle w:val="Header"/>
        <w:rPr>
          <w:sz w:val="20"/>
          <w:szCs w:val="20"/>
        </w:rPr>
      </w:pPr>
      <w:r>
        <w:rPr>
          <w:sz w:val="20"/>
          <w:szCs w:val="20"/>
        </w:rPr>
        <w:t>1039</w:t>
      </w:r>
    </w:p>
    <w:p w:rsidR="0051227D" w:rsidRDefault="0051227D" w:rsidP="004600D1">
      <w:pPr>
        <w:pStyle w:val="Header"/>
        <w:rPr>
          <w:sz w:val="20"/>
          <w:szCs w:val="20"/>
        </w:rPr>
      </w:pPr>
      <w:r>
        <w:rPr>
          <w:sz w:val="20"/>
          <w:szCs w:val="20"/>
        </w:rPr>
        <w:t>Vita Upeniece</w:t>
      </w:r>
    </w:p>
    <w:p w:rsidR="0051227D" w:rsidRDefault="00D74F23" w:rsidP="004600D1">
      <w:pPr>
        <w:pStyle w:val="Header"/>
        <w:rPr>
          <w:sz w:val="20"/>
          <w:szCs w:val="20"/>
        </w:rPr>
      </w:pPr>
      <w:hyperlink r:id="rId9" w:history="1">
        <w:r w:rsidR="0051227D" w:rsidRPr="003B15BB">
          <w:rPr>
            <w:rStyle w:val="Hyperlink"/>
            <w:sz w:val="20"/>
            <w:szCs w:val="20"/>
          </w:rPr>
          <w:t>Vita.Upeniece@mod.gov.lv</w:t>
        </w:r>
      </w:hyperlink>
      <w:r w:rsidR="0051227D">
        <w:rPr>
          <w:sz w:val="20"/>
          <w:szCs w:val="20"/>
        </w:rPr>
        <w:t>; 67335077</w:t>
      </w:r>
    </w:p>
    <w:sectPr w:rsidR="0051227D"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pPr>
      <w:pStyle w:val="Footer"/>
      <w:rPr>
        <w:lang w:val="lv-LV"/>
      </w:rPr>
    </w:pPr>
    <w:r>
      <w:rPr>
        <w:lang w:val="lv-LV"/>
      </w:rPr>
      <w:t>AIMAnot_</w:t>
    </w:r>
    <w:r w:rsidR="005D1112">
      <w:rPr>
        <w:lang w:val="lv-LV"/>
      </w:rPr>
      <w:t>29</w:t>
    </w:r>
    <w:r w:rsidR="00EE2E58">
      <w:rPr>
        <w:lang w:val="lv-LV"/>
      </w:rPr>
      <w:t>07</w:t>
    </w:r>
    <w:r>
      <w:rPr>
        <w:lang w:val="lv-LV"/>
      </w:rPr>
      <w:t>15_MDL; Likumprojekta „Grozījumi Militārā dienesta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D74F23">
          <w:rPr>
            <w:noProof/>
          </w:rPr>
          <w:t>5</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A75A2B"/>
    <w:multiLevelType w:val="hybridMultilevel"/>
    <w:tmpl w:val="D382B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30C42"/>
    <w:rsid w:val="0003168B"/>
    <w:rsid w:val="00040423"/>
    <w:rsid w:val="00040BA5"/>
    <w:rsid w:val="00042947"/>
    <w:rsid w:val="000637B5"/>
    <w:rsid w:val="00065F37"/>
    <w:rsid w:val="00086FA2"/>
    <w:rsid w:val="000874A0"/>
    <w:rsid w:val="00090C83"/>
    <w:rsid w:val="00097B16"/>
    <w:rsid w:val="000A1D45"/>
    <w:rsid w:val="000F0597"/>
    <w:rsid w:val="000F24DA"/>
    <w:rsid w:val="000F5E0C"/>
    <w:rsid w:val="00103E34"/>
    <w:rsid w:val="001312D8"/>
    <w:rsid w:val="0016559B"/>
    <w:rsid w:val="001701FF"/>
    <w:rsid w:val="00172AF9"/>
    <w:rsid w:val="0017553A"/>
    <w:rsid w:val="001919C8"/>
    <w:rsid w:val="00193650"/>
    <w:rsid w:val="0019390A"/>
    <w:rsid w:val="00194D40"/>
    <w:rsid w:val="001A42A1"/>
    <w:rsid w:val="001C12F3"/>
    <w:rsid w:val="001C25DB"/>
    <w:rsid w:val="001D7DAF"/>
    <w:rsid w:val="001E4F19"/>
    <w:rsid w:val="001F2472"/>
    <w:rsid w:val="001F453A"/>
    <w:rsid w:val="00201C33"/>
    <w:rsid w:val="0022395F"/>
    <w:rsid w:val="00224D82"/>
    <w:rsid w:val="00237EC9"/>
    <w:rsid w:val="00254A93"/>
    <w:rsid w:val="0026236D"/>
    <w:rsid w:val="002768AB"/>
    <w:rsid w:val="002809EE"/>
    <w:rsid w:val="00297668"/>
    <w:rsid w:val="002A24A5"/>
    <w:rsid w:val="002A60AB"/>
    <w:rsid w:val="002B7A3C"/>
    <w:rsid w:val="002E1F0E"/>
    <w:rsid w:val="002E384D"/>
    <w:rsid w:val="00302D0B"/>
    <w:rsid w:val="00304507"/>
    <w:rsid w:val="00304C07"/>
    <w:rsid w:val="003349EF"/>
    <w:rsid w:val="00377CD5"/>
    <w:rsid w:val="003819FD"/>
    <w:rsid w:val="003A2021"/>
    <w:rsid w:val="003A30C8"/>
    <w:rsid w:val="003A4B6F"/>
    <w:rsid w:val="003B1EE2"/>
    <w:rsid w:val="003B5312"/>
    <w:rsid w:val="003D1AF7"/>
    <w:rsid w:val="003E0077"/>
    <w:rsid w:val="003E2675"/>
    <w:rsid w:val="003F48C9"/>
    <w:rsid w:val="00412516"/>
    <w:rsid w:val="0041665F"/>
    <w:rsid w:val="004307F9"/>
    <w:rsid w:val="0043361D"/>
    <w:rsid w:val="004336E9"/>
    <w:rsid w:val="00442DD2"/>
    <w:rsid w:val="00451CFB"/>
    <w:rsid w:val="004600D1"/>
    <w:rsid w:val="004630A0"/>
    <w:rsid w:val="00482454"/>
    <w:rsid w:val="004831D3"/>
    <w:rsid w:val="004846B0"/>
    <w:rsid w:val="00490576"/>
    <w:rsid w:val="004917C2"/>
    <w:rsid w:val="0049671E"/>
    <w:rsid w:val="004B4277"/>
    <w:rsid w:val="004B5818"/>
    <w:rsid w:val="004D5115"/>
    <w:rsid w:val="00504AE1"/>
    <w:rsid w:val="0051227D"/>
    <w:rsid w:val="00551A8D"/>
    <w:rsid w:val="00572FCD"/>
    <w:rsid w:val="00573EFC"/>
    <w:rsid w:val="0057546D"/>
    <w:rsid w:val="005B176D"/>
    <w:rsid w:val="005D1112"/>
    <w:rsid w:val="005E086C"/>
    <w:rsid w:val="005E2B7A"/>
    <w:rsid w:val="005E5934"/>
    <w:rsid w:val="005F1F40"/>
    <w:rsid w:val="0063540A"/>
    <w:rsid w:val="00642A4A"/>
    <w:rsid w:val="006502FA"/>
    <w:rsid w:val="00650AAC"/>
    <w:rsid w:val="0066337C"/>
    <w:rsid w:val="00665333"/>
    <w:rsid w:val="0066667B"/>
    <w:rsid w:val="006956F2"/>
    <w:rsid w:val="006B7B3D"/>
    <w:rsid w:val="006C0AB6"/>
    <w:rsid w:val="006C36FE"/>
    <w:rsid w:val="006C3A52"/>
    <w:rsid w:val="006D6267"/>
    <w:rsid w:val="006F7C61"/>
    <w:rsid w:val="00702C3D"/>
    <w:rsid w:val="007370A5"/>
    <w:rsid w:val="0075182F"/>
    <w:rsid w:val="007533A4"/>
    <w:rsid w:val="00753AA1"/>
    <w:rsid w:val="007635F3"/>
    <w:rsid w:val="00793251"/>
    <w:rsid w:val="00797A20"/>
    <w:rsid w:val="007A1F6C"/>
    <w:rsid w:val="007B4C36"/>
    <w:rsid w:val="007B5EE0"/>
    <w:rsid w:val="007C2B83"/>
    <w:rsid w:val="007D778F"/>
    <w:rsid w:val="007F1D73"/>
    <w:rsid w:val="008118E4"/>
    <w:rsid w:val="00813D92"/>
    <w:rsid w:val="008530E8"/>
    <w:rsid w:val="008804EF"/>
    <w:rsid w:val="00890568"/>
    <w:rsid w:val="008914F7"/>
    <w:rsid w:val="008D4F6E"/>
    <w:rsid w:val="008E0711"/>
    <w:rsid w:val="008E0CDA"/>
    <w:rsid w:val="009213E1"/>
    <w:rsid w:val="0093126B"/>
    <w:rsid w:val="00950D8A"/>
    <w:rsid w:val="00961EAA"/>
    <w:rsid w:val="00963455"/>
    <w:rsid w:val="00966A51"/>
    <w:rsid w:val="00971470"/>
    <w:rsid w:val="00972D20"/>
    <w:rsid w:val="009730C6"/>
    <w:rsid w:val="00976F2C"/>
    <w:rsid w:val="0099597E"/>
    <w:rsid w:val="0099706E"/>
    <w:rsid w:val="009A48D6"/>
    <w:rsid w:val="009B0629"/>
    <w:rsid w:val="009B32A9"/>
    <w:rsid w:val="009B41E9"/>
    <w:rsid w:val="009B4565"/>
    <w:rsid w:val="009B7AA7"/>
    <w:rsid w:val="009D176E"/>
    <w:rsid w:val="009E6A47"/>
    <w:rsid w:val="009E6E78"/>
    <w:rsid w:val="009F1792"/>
    <w:rsid w:val="00A16DD5"/>
    <w:rsid w:val="00A26527"/>
    <w:rsid w:val="00A44F5A"/>
    <w:rsid w:val="00A50AF5"/>
    <w:rsid w:val="00A50D61"/>
    <w:rsid w:val="00A669D6"/>
    <w:rsid w:val="00A8328B"/>
    <w:rsid w:val="00A86F0F"/>
    <w:rsid w:val="00A93B9C"/>
    <w:rsid w:val="00AA7611"/>
    <w:rsid w:val="00AE68BD"/>
    <w:rsid w:val="00AF3AC3"/>
    <w:rsid w:val="00B03CDB"/>
    <w:rsid w:val="00B3031A"/>
    <w:rsid w:val="00B432E8"/>
    <w:rsid w:val="00B47AF6"/>
    <w:rsid w:val="00B64B56"/>
    <w:rsid w:val="00B7328B"/>
    <w:rsid w:val="00B80259"/>
    <w:rsid w:val="00B82F46"/>
    <w:rsid w:val="00B85D17"/>
    <w:rsid w:val="00B91C5E"/>
    <w:rsid w:val="00B924BD"/>
    <w:rsid w:val="00BA0458"/>
    <w:rsid w:val="00BA6DC0"/>
    <w:rsid w:val="00BB5B9D"/>
    <w:rsid w:val="00BF0F73"/>
    <w:rsid w:val="00BF7D46"/>
    <w:rsid w:val="00C042E0"/>
    <w:rsid w:val="00C04E7D"/>
    <w:rsid w:val="00C15175"/>
    <w:rsid w:val="00C366C1"/>
    <w:rsid w:val="00C53718"/>
    <w:rsid w:val="00C6134E"/>
    <w:rsid w:val="00C70134"/>
    <w:rsid w:val="00C729FB"/>
    <w:rsid w:val="00C77BDB"/>
    <w:rsid w:val="00CB7EEF"/>
    <w:rsid w:val="00D04755"/>
    <w:rsid w:val="00D30F08"/>
    <w:rsid w:val="00D30F88"/>
    <w:rsid w:val="00D43D19"/>
    <w:rsid w:val="00D50FA7"/>
    <w:rsid w:val="00D544B0"/>
    <w:rsid w:val="00D57145"/>
    <w:rsid w:val="00D67CFE"/>
    <w:rsid w:val="00D74F23"/>
    <w:rsid w:val="00DA12B7"/>
    <w:rsid w:val="00DA43BA"/>
    <w:rsid w:val="00DA55F2"/>
    <w:rsid w:val="00DB2266"/>
    <w:rsid w:val="00DC2CFC"/>
    <w:rsid w:val="00DC56F9"/>
    <w:rsid w:val="00DD0703"/>
    <w:rsid w:val="00DD12BA"/>
    <w:rsid w:val="00DF263E"/>
    <w:rsid w:val="00DF2944"/>
    <w:rsid w:val="00DF74D1"/>
    <w:rsid w:val="00E14053"/>
    <w:rsid w:val="00E20B65"/>
    <w:rsid w:val="00E33BA5"/>
    <w:rsid w:val="00E57635"/>
    <w:rsid w:val="00E61F4F"/>
    <w:rsid w:val="00E64ADC"/>
    <w:rsid w:val="00E65F9E"/>
    <w:rsid w:val="00EB4C92"/>
    <w:rsid w:val="00EB5489"/>
    <w:rsid w:val="00EE2E58"/>
    <w:rsid w:val="00F22346"/>
    <w:rsid w:val="00F41B10"/>
    <w:rsid w:val="00F44D94"/>
    <w:rsid w:val="00F52B0B"/>
    <w:rsid w:val="00F6466F"/>
    <w:rsid w:val="00F64DAF"/>
    <w:rsid w:val="00F74DE5"/>
    <w:rsid w:val="00F87F12"/>
    <w:rsid w:val="00F95762"/>
    <w:rsid w:val="00FA69E4"/>
    <w:rsid w:val="00FB02C4"/>
    <w:rsid w:val="00FB485B"/>
    <w:rsid w:val="00FB5925"/>
    <w:rsid w:val="00FD02ED"/>
    <w:rsid w:val="00FD24CA"/>
    <w:rsid w:val="00FD3BFE"/>
    <w:rsid w:val="00FD41E5"/>
    <w:rsid w:val="00FD5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C203-AB5A-426C-8DFB-497A755E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D856F044.dotm</Template>
  <TotalTime>28</TotalTime>
  <Pages>5</Pages>
  <Words>5088</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Vita Upeneice</dc:creator>
  <dc:description>Vita.Upeniece@mod.gov.lv; 67335077</dc:description>
  <cp:lastModifiedBy>Vita Upeniece</cp:lastModifiedBy>
  <cp:revision>19</cp:revision>
  <cp:lastPrinted>2015-06-09T11:04:00Z</cp:lastPrinted>
  <dcterms:created xsi:type="dcterms:W3CDTF">2015-06-17T09:44:00Z</dcterms:created>
  <dcterms:modified xsi:type="dcterms:W3CDTF">2015-07-29T11:28:00Z</dcterms:modified>
</cp:coreProperties>
</file>