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3F2B82">
      <w:pPr>
        <w:pStyle w:val="BodyText"/>
        <w:jc w:val="center"/>
        <w:rPr>
          <w:b/>
          <w:sz w:val="26"/>
          <w:szCs w:val="26"/>
        </w:rPr>
      </w:pPr>
      <w:bookmarkStart w:id="0" w:name="OLE_LINK3"/>
      <w:bookmarkStart w:id="1" w:name="OLE_LINK1"/>
      <w:bookmarkStart w:id="2" w:name="OLE_LINK2"/>
      <w:r w:rsidRPr="005A7B9C">
        <w:rPr>
          <w:b/>
          <w:sz w:val="26"/>
          <w:szCs w:val="26"/>
        </w:rPr>
        <w:t xml:space="preserve">Ministru kabineta </w:t>
      </w:r>
      <w:r w:rsidR="00C83591" w:rsidRPr="005A7B9C">
        <w:rPr>
          <w:b/>
          <w:sz w:val="26"/>
          <w:szCs w:val="26"/>
        </w:rPr>
        <w:t>noteikumu</w:t>
      </w:r>
      <w:r w:rsidR="00747779">
        <w:rPr>
          <w:b/>
          <w:sz w:val="26"/>
          <w:szCs w:val="26"/>
        </w:rPr>
        <w:t xml:space="preserve"> </w:t>
      </w:r>
      <w:r w:rsidRPr="005A7B9C">
        <w:rPr>
          <w:b/>
          <w:sz w:val="26"/>
          <w:szCs w:val="26"/>
        </w:rPr>
        <w:t xml:space="preserve">projekta </w:t>
      </w:r>
      <w:r w:rsidR="0040578F" w:rsidRPr="005A7B9C">
        <w:rPr>
          <w:b/>
          <w:sz w:val="26"/>
          <w:szCs w:val="26"/>
        </w:rPr>
        <w:t>„</w:t>
      </w:r>
      <w:r w:rsidR="006D2FD8">
        <w:rPr>
          <w:b/>
          <w:sz w:val="26"/>
          <w:szCs w:val="26"/>
        </w:rPr>
        <w:t xml:space="preserve">Grozījumi </w:t>
      </w:r>
      <w:r w:rsidR="00747779">
        <w:rPr>
          <w:b/>
          <w:sz w:val="26"/>
          <w:szCs w:val="26"/>
        </w:rPr>
        <w:t>Ministru kabineta 20</w:t>
      </w:r>
      <w:r w:rsidR="00587AF7">
        <w:rPr>
          <w:b/>
          <w:sz w:val="26"/>
          <w:szCs w:val="26"/>
        </w:rPr>
        <w:t>11</w:t>
      </w:r>
      <w:r w:rsidR="00747779">
        <w:rPr>
          <w:b/>
          <w:sz w:val="26"/>
          <w:szCs w:val="26"/>
        </w:rPr>
        <w:t xml:space="preserve">.gada </w:t>
      </w:r>
      <w:r w:rsidR="00587AF7">
        <w:rPr>
          <w:b/>
          <w:sz w:val="26"/>
          <w:szCs w:val="26"/>
        </w:rPr>
        <w:t>19.oktobra noteikumos Nr.818</w:t>
      </w:r>
      <w:r w:rsidR="0050440A" w:rsidRPr="005A7B9C">
        <w:rPr>
          <w:b/>
          <w:sz w:val="26"/>
          <w:szCs w:val="26"/>
        </w:rPr>
        <w:t xml:space="preserve"> „Noteikumi </w:t>
      </w:r>
      <w:r w:rsidR="00587AF7">
        <w:rPr>
          <w:b/>
          <w:sz w:val="26"/>
          <w:szCs w:val="26"/>
        </w:rPr>
        <w:t>par darbības programmas „Uzņēmējdarbība un inovācijas” papildinājuma 2.2.1.1.aktivitāti „Ieguldījumu fonds investīcijām garantijās, paaugstināta riska aizdevumos, riska kapitāla fondos un cita veida finanšu instrumentos””</w:t>
      </w:r>
      <w:r w:rsidR="00011C90">
        <w:rPr>
          <w:b/>
          <w:sz w:val="26"/>
          <w:szCs w:val="26"/>
        </w:rPr>
        <w:t>”</w:t>
      </w:r>
      <w:r w:rsidR="00587AF7">
        <w:rPr>
          <w:b/>
          <w:sz w:val="26"/>
          <w:szCs w:val="26"/>
        </w:rPr>
        <w:t xml:space="preserve"> </w:t>
      </w:r>
      <w:r w:rsidR="003000F0" w:rsidRPr="005A7B9C">
        <w:rPr>
          <w:b/>
          <w:sz w:val="26"/>
          <w:szCs w:val="26"/>
        </w:rPr>
        <w:t>sākotnējās ietekmes novērtējuma ziņojums</w:t>
      </w:r>
      <w:r w:rsidR="00747779">
        <w:rPr>
          <w:b/>
          <w:sz w:val="26"/>
          <w:szCs w:val="26"/>
        </w:rPr>
        <w:t xml:space="preserve"> </w:t>
      </w:r>
      <w:r w:rsidR="003000F0" w:rsidRPr="005A7B9C">
        <w:rPr>
          <w:b/>
          <w:sz w:val="26"/>
          <w:szCs w:val="26"/>
        </w:rPr>
        <w:t>(</w:t>
      </w:r>
      <w:r w:rsidR="00E73425" w:rsidRPr="005A7B9C">
        <w:rPr>
          <w:b/>
          <w:sz w:val="26"/>
          <w:szCs w:val="26"/>
        </w:rPr>
        <w:t>anotācija</w:t>
      </w:r>
      <w:r w:rsidR="003000F0" w:rsidRPr="005A7B9C">
        <w:rPr>
          <w:b/>
          <w:sz w:val="26"/>
          <w:szCs w:val="26"/>
        </w:rPr>
        <w:t>)</w:t>
      </w:r>
    </w:p>
    <w:p w:rsidR="00944C30" w:rsidRPr="005A7B9C" w:rsidRDefault="00944C3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B5151"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517993">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2B5151"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8E59B3" w:rsidRPr="00CC04C6" w:rsidRDefault="00F4308E" w:rsidP="00587AF7">
            <w:pPr>
              <w:ind w:firstLine="709"/>
              <w:jc w:val="both"/>
              <w:rPr>
                <w:sz w:val="26"/>
                <w:szCs w:val="26"/>
                <w:lang w:val="lv-LV"/>
              </w:rPr>
            </w:pPr>
            <w:r w:rsidRPr="00F4308E">
              <w:rPr>
                <w:sz w:val="26"/>
                <w:szCs w:val="26"/>
                <w:lang w:val="lv-LV"/>
              </w:rPr>
              <w:t>Noteikumu proj</w:t>
            </w:r>
            <w:r w:rsidR="00747779">
              <w:rPr>
                <w:sz w:val="26"/>
                <w:szCs w:val="26"/>
                <w:lang w:val="lv-LV"/>
              </w:rPr>
              <w:t xml:space="preserve">ekts sagatavots, pamatojoties </w:t>
            </w:r>
            <w:r w:rsidR="00CC04C6">
              <w:rPr>
                <w:sz w:val="26"/>
                <w:szCs w:val="26"/>
                <w:lang w:val="lv-LV"/>
              </w:rPr>
              <w:t xml:space="preserve">uz </w:t>
            </w:r>
            <w:r w:rsidR="00517993" w:rsidRPr="00517993">
              <w:rPr>
                <w:sz w:val="26"/>
                <w:szCs w:val="26"/>
                <w:lang w:val="lv-LV"/>
              </w:rPr>
              <w:t>Ministru kabineta iekārtas likuma 31.panta pirmās daļas 3.punktu</w:t>
            </w:r>
            <w:r w:rsidR="00C96450">
              <w:rPr>
                <w:sz w:val="26"/>
                <w:szCs w:val="26"/>
                <w:lang w:val="lv-LV"/>
              </w:rPr>
              <w:t>.</w:t>
            </w:r>
            <w:r w:rsidR="00516B5B">
              <w:rPr>
                <w:sz w:val="26"/>
                <w:szCs w:val="26"/>
                <w:lang w:val="lv-LV"/>
              </w:rPr>
              <w:t xml:space="preserve"> </w:t>
            </w:r>
          </w:p>
        </w:tc>
      </w:tr>
      <w:tr w:rsidR="00A31FDC" w:rsidRPr="002B5151"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765EB" w:rsidRDefault="00A31FDC" w:rsidP="00F22471">
            <w:pPr>
              <w:jc w:val="both"/>
              <w:rPr>
                <w:rFonts w:eastAsia="Times New Roman"/>
                <w:sz w:val="26"/>
                <w:szCs w:val="26"/>
                <w:lang w:val="lv-LV" w:eastAsia="lv-LV"/>
              </w:rPr>
            </w:pPr>
            <w:r w:rsidRPr="005765EB">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765EB" w:rsidRDefault="00BB13F4" w:rsidP="00F22471">
            <w:pPr>
              <w:jc w:val="both"/>
              <w:rPr>
                <w:rFonts w:eastAsia="Times New Roman"/>
                <w:sz w:val="26"/>
                <w:szCs w:val="26"/>
                <w:lang w:val="lv-LV" w:eastAsia="lv-LV"/>
              </w:rPr>
            </w:pPr>
            <w:r w:rsidRPr="005765EB">
              <w:rPr>
                <w:rFonts w:eastAsia="Times New Roman"/>
                <w:sz w:val="26"/>
                <w:szCs w:val="26"/>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587AF7" w:rsidRDefault="00587AF7" w:rsidP="00892C9E">
            <w:pPr>
              <w:spacing w:after="240"/>
              <w:ind w:firstLine="709"/>
              <w:jc w:val="both"/>
              <w:rPr>
                <w:sz w:val="26"/>
                <w:szCs w:val="26"/>
                <w:lang w:val="lv-LV"/>
              </w:rPr>
            </w:pPr>
            <w:r w:rsidRPr="00587AF7">
              <w:rPr>
                <w:sz w:val="26"/>
                <w:szCs w:val="26"/>
                <w:lang w:val="lv-LV"/>
              </w:rPr>
              <w:t>Ministru kabineta 2011.gada 19.oktobra noteikum</w:t>
            </w:r>
            <w:r>
              <w:rPr>
                <w:sz w:val="26"/>
                <w:szCs w:val="26"/>
                <w:lang w:val="lv-LV"/>
              </w:rPr>
              <w:t>i</w:t>
            </w:r>
            <w:r w:rsidRPr="00587AF7">
              <w:rPr>
                <w:sz w:val="26"/>
                <w:szCs w:val="26"/>
                <w:lang w:val="lv-LV"/>
              </w:rPr>
              <w:t xml:space="preserve"> Nr.818 „Noteikumi par darbības programmas „Uzņēmējdarbība un inovācijas” papildinājuma 2.2.1.1.aktivitāti „Ieguldījumu fonds investīcijām garantijās, paaugstināta riska aizdevumos, riska kapitāla fondos un cita veida finanšu instrumentos”” </w:t>
            </w:r>
            <w:r w:rsidR="00DB7AF5" w:rsidRPr="001E511B">
              <w:rPr>
                <w:sz w:val="26"/>
                <w:szCs w:val="26"/>
                <w:lang w:val="lv-LV"/>
              </w:rPr>
              <w:t>(turpm</w:t>
            </w:r>
            <w:r w:rsidR="00DB7AF5" w:rsidRPr="005765EB">
              <w:rPr>
                <w:sz w:val="26"/>
                <w:szCs w:val="26"/>
                <w:lang w:val="lv-LV"/>
              </w:rPr>
              <w:t xml:space="preserve">āk </w:t>
            </w:r>
            <w:r w:rsidR="00475C4B">
              <w:rPr>
                <w:sz w:val="26"/>
                <w:szCs w:val="26"/>
                <w:lang w:val="lv-LV"/>
              </w:rPr>
              <w:t>–</w:t>
            </w:r>
            <w:r w:rsidR="00DB7AF5" w:rsidRPr="005765EB">
              <w:rPr>
                <w:sz w:val="26"/>
                <w:szCs w:val="26"/>
                <w:lang w:val="lv-LV"/>
              </w:rPr>
              <w:t xml:space="preserve"> MK noteikumi Nr.</w:t>
            </w:r>
            <w:r>
              <w:rPr>
                <w:sz w:val="26"/>
                <w:szCs w:val="26"/>
                <w:lang w:val="lv-LV"/>
              </w:rPr>
              <w:t>818</w:t>
            </w:r>
            <w:r w:rsidR="00DB7AF5" w:rsidRPr="005765EB">
              <w:rPr>
                <w:sz w:val="26"/>
                <w:szCs w:val="26"/>
                <w:lang w:val="lv-LV"/>
              </w:rPr>
              <w:t>)</w:t>
            </w:r>
            <w:r w:rsidR="00DB7AF5">
              <w:rPr>
                <w:sz w:val="26"/>
                <w:szCs w:val="26"/>
                <w:lang w:val="lv-LV"/>
              </w:rPr>
              <w:t xml:space="preserve"> nosaka </w:t>
            </w:r>
            <w:r>
              <w:rPr>
                <w:sz w:val="26"/>
                <w:szCs w:val="26"/>
                <w:lang w:val="lv-LV"/>
              </w:rPr>
              <w:t xml:space="preserve">nosacījumus, saskaņā ar kādiem </w:t>
            </w:r>
            <w:r w:rsidRPr="00587AF7">
              <w:rPr>
                <w:sz w:val="26"/>
                <w:szCs w:val="26"/>
                <w:lang w:val="lv-LV"/>
              </w:rPr>
              <w:t xml:space="preserve"> </w:t>
            </w:r>
            <w:r>
              <w:rPr>
                <w:sz w:val="26"/>
                <w:szCs w:val="26"/>
                <w:lang w:val="lv-LV"/>
              </w:rPr>
              <w:t xml:space="preserve">AS „Attīstības finanšu institūcija </w:t>
            </w:r>
            <w:proofErr w:type="spellStart"/>
            <w:r>
              <w:rPr>
                <w:sz w:val="26"/>
                <w:szCs w:val="26"/>
                <w:lang w:val="lv-LV"/>
              </w:rPr>
              <w:t>Altum</w:t>
            </w:r>
            <w:proofErr w:type="spellEnd"/>
            <w:r>
              <w:rPr>
                <w:sz w:val="26"/>
                <w:szCs w:val="26"/>
                <w:lang w:val="lv-LV"/>
              </w:rPr>
              <w:t>”</w:t>
            </w:r>
            <w:r w:rsidR="000F19C5">
              <w:rPr>
                <w:sz w:val="26"/>
                <w:szCs w:val="26"/>
                <w:lang w:val="lv-LV"/>
              </w:rPr>
              <w:t xml:space="preserve"> (turpmāk – </w:t>
            </w:r>
            <w:proofErr w:type="spellStart"/>
            <w:r w:rsidR="000F19C5">
              <w:rPr>
                <w:sz w:val="26"/>
                <w:szCs w:val="26"/>
                <w:lang w:val="lv-LV"/>
              </w:rPr>
              <w:t>Altum</w:t>
            </w:r>
            <w:proofErr w:type="spellEnd"/>
            <w:r w:rsidR="000F19C5">
              <w:rPr>
                <w:sz w:val="26"/>
                <w:szCs w:val="26"/>
                <w:lang w:val="lv-LV"/>
              </w:rPr>
              <w:t>)</w:t>
            </w:r>
            <w:r>
              <w:rPr>
                <w:sz w:val="26"/>
                <w:szCs w:val="26"/>
                <w:lang w:val="lv-LV"/>
              </w:rPr>
              <w:t xml:space="preserve"> īsteno darbības programmas „</w:t>
            </w:r>
            <w:r w:rsidRPr="00587AF7">
              <w:rPr>
                <w:sz w:val="26"/>
                <w:szCs w:val="26"/>
                <w:lang w:val="lv-LV"/>
              </w:rPr>
              <w:t>Uzņēmējdarbība un inovācijas</w:t>
            </w:r>
            <w:r>
              <w:rPr>
                <w:sz w:val="26"/>
                <w:szCs w:val="26"/>
                <w:lang w:val="lv-LV"/>
              </w:rPr>
              <w:t>”</w:t>
            </w:r>
            <w:r w:rsidRPr="00587AF7">
              <w:rPr>
                <w:sz w:val="26"/>
                <w:szCs w:val="26"/>
                <w:lang w:val="lv-LV"/>
              </w:rPr>
              <w:t xml:space="preserve"> papildinājuma 2.2.1.1.aktivitāti </w:t>
            </w:r>
            <w:r>
              <w:rPr>
                <w:sz w:val="26"/>
                <w:szCs w:val="26"/>
                <w:lang w:val="lv-LV"/>
              </w:rPr>
              <w:t>„</w:t>
            </w:r>
            <w:r w:rsidRPr="00587AF7">
              <w:rPr>
                <w:sz w:val="26"/>
                <w:szCs w:val="26"/>
                <w:lang w:val="lv-LV"/>
              </w:rPr>
              <w:t>Ieguldījumu fonds investīcijām garantijās, paaugstināta riska aizdevumos, riska kapitāla fondos un cita veida finanšu instrumentos</w:t>
            </w:r>
            <w:r>
              <w:rPr>
                <w:sz w:val="26"/>
                <w:szCs w:val="26"/>
                <w:lang w:val="lv-LV"/>
              </w:rPr>
              <w:t>”</w:t>
            </w:r>
            <w:r w:rsidRPr="00587AF7">
              <w:rPr>
                <w:sz w:val="26"/>
                <w:szCs w:val="26"/>
                <w:lang w:val="lv-LV"/>
              </w:rPr>
              <w:t xml:space="preserve"> (turpmāk – </w:t>
            </w:r>
            <w:r>
              <w:rPr>
                <w:sz w:val="26"/>
                <w:szCs w:val="26"/>
                <w:lang w:val="lv-LV"/>
              </w:rPr>
              <w:t>2.2.1.1.</w:t>
            </w:r>
            <w:r w:rsidRPr="00587AF7">
              <w:rPr>
                <w:sz w:val="26"/>
                <w:szCs w:val="26"/>
                <w:lang w:val="lv-LV"/>
              </w:rPr>
              <w:t xml:space="preserve">aktivitāte) un ievieš </w:t>
            </w:r>
            <w:r w:rsidR="00487044">
              <w:rPr>
                <w:sz w:val="26"/>
                <w:szCs w:val="26"/>
                <w:lang w:val="lv-LV"/>
              </w:rPr>
              <w:t>I</w:t>
            </w:r>
            <w:r w:rsidRPr="00587AF7">
              <w:rPr>
                <w:sz w:val="26"/>
                <w:szCs w:val="26"/>
                <w:lang w:val="lv-LV"/>
              </w:rPr>
              <w:t>eguldījumu fondu</w:t>
            </w:r>
            <w:r w:rsidR="000F19C5">
              <w:rPr>
                <w:sz w:val="26"/>
                <w:szCs w:val="26"/>
                <w:lang w:val="lv-LV"/>
              </w:rPr>
              <w:t xml:space="preserve"> 2.2.1.1.aktivitātes ietvaros</w:t>
            </w:r>
            <w:r>
              <w:rPr>
                <w:sz w:val="26"/>
                <w:szCs w:val="26"/>
                <w:lang w:val="lv-LV"/>
              </w:rPr>
              <w:t>.</w:t>
            </w:r>
          </w:p>
          <w:p w:rsidR="006035B6" w:rsidRDefault="000F19C5" w:rsidP="006035B6">
            <w:pPr>
              <w:spacing w:after="240"/>
              <w:ind w:firstLine="709"/>
              <w:jc w:val="both"/>
              <w:rPr>
                <w:sz w:val="26"/>
                <w:szCs w:val="26"/>
                <w:lang w:val="lv-LV"/>
              </w:rPr>
            </w:pPr>
            <w:r>
              <w:rPr>
                <w:sz w:val="26"/>
                <w:szCs w:val="26"/>
                <w:lang w:val="lv-LV"/>
              </w:rPr>
              <w:t>Atbilstoši MK noteikumu</w:t>
            </w:r>
            <w:r w:rsidR="00587AF7">
              <w:rPr>
                <w:sz w:val="26"/>
                <w:szCs w:val="26"/>
                <w:lang w:val="lv-LV"/>
              </w:rPr>
              <w:t xml:space="preserve"> Nr.818 </w:t>
            </w:r>
            <w:r>
              <w:rPr>
                <w:sz w:val="26"/>
                <w:szCs w:val="26"/>
                <w:lang w:val="lv-LV"/>
              </w:rPr>
              <w:t xml:space="preserve">7.punktam 2.2.1.1.aktivitātē ir pieejams </w:t>
            </w:r>
            <w:r w:rsidRPr="000F19C5">
              <w:rPr>
                <w:sz w:val="26"/>
                <w:szCs w:val="26"/>
                <w:lang w:val="lv-LV"/>
              </w:rPr>
              <w:t xml:space="preserve">publiskais finansējums 65 265 196 </w:t>
            </w:r>
            <w:proofErr w:type="spellStart"/>
            <w:r w:rsidRPr="000F19C5">
              <w:rPr>
                <w:i/>
                <w:sz w:val="26"/>
                <w:szCs w:val="26"/>
                <w:lang w:val="lv-LV"/>
              </w:rPr>
              <w:t>euro</w:t>
            </w:r>
            <w:proofErr w:type="spellEnd"/>
            <w:r w:rsidRPr="000F19C5">
              <w:rPr>
                <w:sz w:val="26"/>
                <w:szCs w:val="26"/>
                <w:lang w:val="lv-LV"/>
              </w:rPr>
              <w:t xml:space="preserve">, ko veido Eiropas Reģionālās attīstības fonda finansējums 60 173 796 </w:t>
            </w:r>
            <w:proofErr w:type="spellStart"/>
            <w:r w:rsidRPr="000F19C5">
              <w:rPr>
                <w:i/>
                <w:sz w:val="26"/>
                <w:szCs w:val="26"/>
                <w:lang w:val="lv-LV"/>
              </w:rPr>
              <w:t>euro</w:t>
            </w:r>
            <w:proofErr w:type="spellEnd"/>
            <w:r w:rsidRPr="000F19C5">
              <w:rPr>
                <w:sz w:val="26"/>
                <w:szCs w:val="26"/>
                <w:lang w:val="lv-LV"/>
              </w:rPr>
              <w:t xml:space="preserve"> un valsts budžeta finansējums 5 091 400 </w:t>
            </w:r>
            <w:proofErr w:type="spellStart"/>
            <w:r w:rsidRPr="000F19C5">
              <w:rPr>
                <w:i/>
                <w:sz w:val="26"/>
                <w:szCs w:val="26"/>
                <w:lang w:val="lv-LV"/>
              </w:rPr>
              <w:t>euro</w:t>
            </w:r>
            <w:proofErr w:type="spellEnd"/>
            <w:r w:rsidRPr="000F19C5">
              <w:rPr>
                <w:sz w:val="26"/>
                <w:szCs w:val="26"/>
                <w:lang w:val="lv-LV"/>
              </w:rPr>
              <w:t>.</w:t>
            </w:r>
            <w:r>
              <w:rPr>
                <w:sz w:val="26"/>
                <w:szCs w:val="26"/>
                <w:lang w:val="lv-LV"/>
              </w:rPr>
              <w:t xml:space="preserve"> Laika period</w:t>
            </w:r>
            <w:r w:rsidR="009B3671">
              <w:rPr>
                <w:sz w:val="26"/>
                <w:szCs w:val="26"/>
                <w:lang w:val="lv-LV"/>
              </w:rPr>
              <w:t xml:space="preserve">ā </w:t>
            </w:r>
            <w:r w:rsidR="006035B6" w:rsidRPr="006035B6">
              <w:rPr>
                <w:sz w:val="26"/>
                <w:szCs w:val="26"/>
                <w:lang w:val="lv-LV"/>
              </w:rPr>
              <w:t xml:space="preserve">līdz 2015.gada 31.maijam ir noslēgti 171 aizdevumu un investīciju darījumu līgumi ar komersantiem par kopējo publisko finansējumu 35 736 615 </w:t>
            </w:r>
            <w:proofErr w:type="spellStart"/>
            <w:r w:rsidR="006035B6" w:rsidRPr="006035B6">
              <w:rPr>
                <w:i/>
                <w:sz w:val="26"/>
                <w:szCs w:val="26"/>
                <w:lang w:val="lv-LV"/>
              </w:rPr>
              <w:t>euro</w:t>
            </w:r>
            <w:proofErr w:type="spellEnd"/>
            <w:r w:rsidR="006035B6" w:rsidRPr="006035B6">
              <w:rPr>
                <w:sz w:val="26"/>
                <w:szCs w:val="26"/>
                <w:lang w:val="lv-LV"/>
              </w:rPr>
              <w:t xml:space="preserve"> (tajā skaitā ERAF finansējuma daļa 32 948 768 </w:t>
            </w:r>
            <w:proofErr w:type="spellStart"/>
            <w:r w:rsidR="006035B6" w:rsidRPr="006035B6">
              <w:rPr>
                <w:i/>
                <w:sz w:val="26"/>
                <w:szCs w:val="26"/>
                <w:lang w:val="lv-LV"/>
              </w:rPr>
              <w:t>euro</w:t>
            </w:r>
            <w:proofErr w:type="spellEnd"/>
            <w:r w:rsidR="006035B6" w:rsidRPr="006035B6">
              <w:rPr>
                <w:sz w:val="26"/>
                <w:szCs w:val="26"/>
                <w:lang w:val="lv-LV"/>
              </w:rPr>
              <w:t xml:space="preserve">), savukārt veikto maksājumu apmērs komersantiem par publiskā finansējuma daļu sastāda 30 620 814 </w:t>
            </w:r>
            <w:proofErr w:type="spellStart"/>
            <w:r w:rsidR="006035B6" w:rsidRPr="006035B6">
              <w:rPr>
                <w:i/>
                <w:sz w:val="26"/>
                <w:szCs w:val="26"/>
                <w:lang w:val="lv-LV"/>
              </w:rPr>
              <w:t>euro</w:t>
            </w:r>
            <w:proofErr w:type="spellEnd"/>
            <w:r w:rsidR="006035B6" w:rsidRPr="006035B6">
              <w:rPr>
                <w:i/>
                <w:sz w:val="26"/>
                <w:szCs w:val="26"/>
                <w:lang w:val="lv-LV"/>
              </w:rPr>
              <w:t xml:space="preserve"> </w:t>
            </w:r>
            <w:r w:rsidR="006035B6" w:rsidRPr="006035B6">
              <w:rPr>
                <w:sz w:val="26"/>
                <w:szCs w:val="26"/>
                <w:lang w:val="lv-LV"/>
              </w:rPr>
              <w:t xml:space="preserve">(ERAF finansējums 28 232 055 </w:t>
            </w:r>
            <w:proofErr w:type="spellStart"/>
            <w:r w:rsidR="006035B6" w:rsidRPr="006035B6">
              <w:rPr>
                <w:i/>
                <w:sz w:val="26"/>
                <w:szCs w:val="26"/>
                <w:lang w:val="lv-LV"/>
              </w:rPr>
              <w:t>euro</w:t>
            </w:r>
            <w:proofErr w:type="spellEnd"/>
            <w:r w:rsidR="006035B6" w:rsidRPr="006035B6">
              <w:rPr>
                <w:sz w:val="26"/>
                <w:szCs w:val="26"/>
                <w:lang w:val="lv-LV"/>
              </w:rPr>
              <w:t xml:space="preserve">). Ņemot vērā vadības izmaksas finanšu starpniekiem un </w:t>
            </w:r>
            <w:proofErr w:type="spellStart"/>
            <w:r w:rsidR="00002EA0">
              <w:rPr>
                <w:sz w:val="26"/>
                <w:szCs w:val="26"/>
                <w:lang w:val="lv-LV"/>
              </w:rPr>
              <w:t>Altum</w:t>
            </w:r>
            <w:proofErr w:type="spellEnd"/>
            <w:r w:rsidR="006035B6" w:rsidRPr="006035B6">
              <w:rPr>
                <w:sz w:val="26"/>
                <w:szCs w:val="26"/>
                <w:lang w:val="lv-LV"/>
              </w:rPr>
              <w:t xml:space="preserve">, kas radušās periodā līdz 2015.gada 31.martam un sastāda 9 463 083 </w:t>
            </w:r>
            <w:proofErr w:type="spellStart"/>
            <w:r w:rsidR="006035B6" w:rsidRPr="006035B6">
              <w:rPr>
                <w:i/>
                <w:sz w:val="26"/>
                <w:szCs w:val="26"/>
                <w:lang w:val="lv-LV"/>
              </w:rPr>
              <w:t>euro</w:t>
            </w:r>
            <w:proofErr w:type="spellEnd"/>
            <w:r w:rsidR="006035B6" w:rsidRPr="006035B6">
              <w:rPr>
                <w:sz w:val="26"/>
                <w:szCs w:val="26"/>
                <w:lang w:val="lv-LV"/>
              </w:rPr>
              <w:t xml:space="preserve">, 2.2.1.1.aktivitātē līdzšinēji pieejamais ERAF un valsts budžeta finansējums ir apgūts 40 083 897 </w:t>
            </w:r>
            <w:proofErr w:type="spellStart"/>
            <w:r w:rsidR="006035B6" w:rsidRPr="006035B6">
              <w:rPr>
                <w:i/>
                <w:sz w:val="26"/>
                <w:szCs w:val="26"/>
                <w:lang w:val="lv-LV"/>
              </w:rPr>
              <w:t>euro</w:t>
            </w:r>
            <w:proofErr w:type="spellEnd"/>
            <w:r w:rsidR="006035B6" w:rsidRPr="006035B6">
              <w:rPr>
                <w:sz w:val="26"/>
                <w:szCs w:val="26"/>
                <w:lang w:val="lv-LV"/>
              </w:rPr>
              <w:t xml:space="preserve"> apmērā jeb par 61 %.</w:t>
            </w:r>
          </w:p>
          <w:p w:rsidR="00357064" w:rsidRDefault="009B3671" w:rsidP="00E61A56">
            <w:pPr>
              <w:spacing w:after="240"/>
              <w:ind w:firstLine="709"/>
              <w:jc w:val="both"/>
              <w:rPr>
                <w:sz w:val="26"/>
                <w:szCs w:val="26"/>
                <w:lang w:val="lv-LV"/>
              </w:rPr>
            </w:pPr>
            <w:r w:rsidRPr="002D07BB">
              <w:rPr>
                <w:sz w:val="26"/>
                <w:szCs w:val="26"/>
                <w:lang w:val="lv-LV"/>
              </w:rPr>
              <w:t>Līdzšinēji 2.2.1.1.aktivitātē noslēgtie līgumi ar</w:t>
            </w:r>
            <w:r w:rsidR="00350098" w:rsidRPr="002D07BB">
              <w:rPr>
                <w:sz w:val="26"/>
                <w:szCs w:val="26"/>
                <w:lang w:val="lv-LV"/>
              </w:rPr>
              <w:t xml:space="preserve"> finanšu starpniekiem</w:t>
            </w:r>
            <w:r w:rsidR="00AA07DE">
              <w:rPr>
                <w:rStyle w:val="FootnoteReference"/>
                <w:sz w:val="26"/>
                <w:szCs w:val="26"/>
                <w:lang w:val="lv-LV"/>
              </w:rPr>
              <w:footnoteReference w:id="1"/>
            </w:r>
            <w:r w:rsidRPr="002D07BB">
              <w:rPr>
                <w:sz w:val="26"/>
                <w:szCs w:val="26"/>
                <w:lang w:val="lv-LV"/>
              </w:rPr>
              <w:t xml:space="preserve">, kā arī 2007.-2013.gada plānošanas periodā </w:t>
            </w:r>
            <w:r w:rsidR="002D07BB" w:rsidRPr="002D07BB">
              <w:rPr>
                <w:sz w:val="26"/>
                <w:szCs w:val="26"/>
                <w:lang w:val="lv-LV"/>
              </w:rPr>
              <w:t xml:space="preserve">radušās </w:t>
            </w:r>
            <w:r w:rsidR="002D07BB" w:rsidRPr="002D07BB">
              <w:rPr>
                <w:sz w:val="26"/>
                <w:szCs w:val="26"/>
                <w:lang w:val="lv-LV"/>
              </w:rPr>
              <w:lastRenderedPageBreak/>
              <w:t xml:space="preserve">un vēl </w:t>
            </w:r>
            <w:r w:rsidRPr="002D07BB">
              <w:rPr>
                <w:sz w:val="26"/>
                <w:szCs w:val="26"/>
                <w:lang w:val="lv-LV"/>
              </w:rPr>
              <w:t xml:space="preserve">paredzētās </w:t>
            </w:r>
            <w:r w:rsidR="00357064">
              <w:rPr>
                <w:sz w:val="26"/>
                <w:szCs w:val="26"/>
                <w:lang w:val="lv-LV"/>
              </w:rPr>
              <w:t xml:space="preserve">fondu fonda </w:t>
            </w:r>
            <w:r w:rsidRPr="002D07BB">
              <w:rPr>
                <w:sz w:val="26"/>
                <w:szCs w:val="26"/>
                <w:lang w:val="lv-LV"/>
              </w:rPr>
              <w:t xml:space="preserve">vadības izmaksas </w:t>
            </w:r>
            <w:r w:rsidR="00B234FF" w:rsidRPr="002D07BB">
              <w:rPr>
                <w:sz w:val="26"/>
                <w:szCs w:val="26"/>
                <w:lang w:val="lv-LV"/>
              </w:rPr>
              <w:t>2.2.1.1.aktivitāt</w:t>
            </w:r>
            <w:r w:rsidR="00B234FF">
              <w:rPr>
                <w:sz w:val="26"/>
                <w:szCs w:val="26"/>
                <w:lang w:val="lv-LV"/>
              </w:rPr>
              <w:t>ē</w:t>
            </w:r>
            <w:r w:rsidR="00B234FF" w:rsidRPr="002D07BB">
              <w:rPr>
                <w:sz w:val="26"/>
                <w:szCs w:val="26"/>
                <w:lang w:val="lv-LV"/>
              </w:rPr>
              <w:t xml:space="preserve"> </w:t>
            </w:r>
            <w:r w:rsidR="00357064">
              <w:rPr>
                <w:sz w:val="26"/>
                <w:szCs w:val="26"/>
                <w:lang w:val="lv-LV"/>
              </w:rPr>
              <w:t>līdz 2016.gada 31.oktobrim</w:t>
            </w:r>
            <w:r w:rsidR="00357064" w:rsidRPr="002D07BB" w:rsidDel="00357064">
              <w:rPr>
                <w:sz w:val="26"/>
                <w:szCs w:val="26"/>
                <w:lang w:val="lv-LV"/>
              </w:rPr>
              <w:t xml:space="preserve"> </w:t>
            </w:r>
            <w:r w:rsidR="00AD7578" w:rsidRPr="002D07BB">
              <w:rPr>
                <w:sz w:val="26"/>
                <w:szCs w:val="26"/>
                <w:lang w:val="lv-LV"/>
              </w:rPr>
              <w:t>nosaka, ka</w:t>
            </w:r>
            <w:r w:rsidRPr="002D07BB">
              <w:rPr>
                <w:sz w:val="26"/>
                <w:szCs w:val="26"/>
                <w:lang w:val="lv-LV"/>
              </w:rPr>
              <w:t xml:space="preserve"> 2.2.1.1.aktivitātē ir uzņemtas saistības par lielāku pieejamā publiskā – ERAF un valsts budžeta – finansējuma apmēru, nekā noteikts MK noteikumos Nr.818</w:t>
            </w:r>
            <w:r w:rsidR="00AD7578" w:rsidRPr="002D07BB">
              <w:rPr>
                <w:sz w:val="26"/>
                <w:szCs w:val="26"/>
                <w:lang w:val="lv-LV"/>
              </w:rPr>
              <w:t xml:space="preserve"> ar mērķi </w:t>
            </w:r>
            <w:r w:rsidR="002D07BB" w:rsidRPr="002D07BB">
              <w:rPr>
                <w:sz w:val="26"/>
                <w:szCs w:val="26"/>
                <w:lang w:val="lv-LV"/>
              </w:rPr>
              <w:t>nodrošināt</w:t>
            </w:r>
            <w:r w:rsidR="00AD7578" w:rsidRPr="002D07BB">
              <w:rPr>
                <w:sz w:val="26"/>
                <w:szCs w:val="26"/>
                <w:lang w:val="lv-LV"/>
              </w:rPr>
              <w:t xml:space="preserve"> 2007.-2013.gada plānošanas perioda publiskā finansējuma apguvi</w:t>
            </w:r>
            <w:r w:rsidR="00294F6D">
              <w:rPr>
                <w:sz w:val="26"/>
                <w:szCs w:val="26"/>
                <w:lang w:val="lv-LV"/>
              </w:rPr>
              <w:t xml:space="preserve"> finanšu instrumentos</w:t>
            </w:r>
            <w:r w:rsidRPr="002D07BB">
              <w:rPr>
                <w:sz w:val="26"/>
                <w:szCs w:val="26"/>
                <w:lang w:val="lv-LV"/>
              </w:rPr>
              <w:t>.</w:t>
            </w:r>
            <w:r w:rsidR="00350098" w:rsidRPr="002D07BB">
              <w:rPr>
                <w:sz w:val="26"/>
                <w:szCs w:val="26"/>
                <w:lang w:val="lv-LV"/>
              </w:rPr>
              <w:t xml:space="preserve"> </w:t>
            </w:r>
            <w:r w:rsidR="00D76F8F">
              <w:rPr>
                <w:sz w:val="26"/>
                <w:szCs w:val="26"/>
                <w:lang w:val="lv-LV"/>
              </w:rPr>
              <w:t>Līdzšinēji e</w:t>
            </w:r>
            <w:r w:rsidR="00357064">
              <w:rPr>
                <w:sz w:val="26"/>
                <w:szCs w:val="26"/>
                <w:lang w:val="lv-LV"/>
              </w:rPr>
              <w:t xml:space="preserve">sošo saistību apmērs pārsniedz </w:t>
            </w:r>
            <w:r w:rsidR="00D76F8F">
              <w:rPr>
                <w:sz w:val="26"/>
                <w:szCs w:val="26"/>
                <w:lang w:val="lv-LV"/>
              </w:rPr>
              <w:t xml:space="preserve">2.2.1.1.aktivitātē pieejamā ERAF un valsts budžeta finansējumu par </w:t>
            </w:r>
            <w:r w:rsidR="00357064" w:rsidRPr="00651735">
              <w:rPr>
                <w:sz w:val="26"/>
                <w:szCs w:val="26"/>
                <w:lang w:val="lv-LV"/>
              </w:rPr>
              <w:t>7 </w:t>
            </w:r>
            <w:r w:rsidR="00651735" w:rsidRPr="00540F14">
              <w:rPr>
                <w:sz w:val="26"/>
                <w:szCs w:val="26"/>
                <w:lang w:val="lv-LV"/>
              </w:rPr>
              <w:t>6</w:t>
            </w:r>
            <w:r w:rsidR="00357064" w:rsidRPr="00651735">
              <w:rPr>
                <w:sz w:val="26"/>
                <w:szCs w:val="26"/>
                <w:lang w:val="lv-LV"/>
              </w:rPr>
              <w:t>46 996</w:t>
            </w:r>
            <w:r w:rsidR="00357064">
              <w:rPr>
                <w:sz w:val="26"/>
                <w:szCs w:val="26"/>
                <w:lang w:val="lv-LV"/>
              </w:rPr>
              <w:t xml:space="preserve"> </w:t>
            </w:r>
            <w:proofErr w:type="spellStart"/>
            <w:r w:rsidR="00D76F8F" w:rsidRPr="00540F14">
              <w:rPr>
                <w:i/>
                <w:sz w:val="26"/>
                <w:szCs w:val="26"/>
                <w:lang w:val="lv-LV"/>
              </w:rPr>
              <w:t>euro</w:t>
            </w:r>
            <w:proofErr w:type="spellEnd"/>
            <w:r w:rsidR="00D76F8F">
              <w:rPr>
                <w:sz w:val="26"/>
                <w:szCs w:val="26"/>
                <w:lang w:val="lv-LV"/>
              </w:rPr>
              <w:t>, un</w:t>
            </w:r>
            <w:r w:rsidR="00357064">
              <w:rPr>
                <w:sz w:val="26"/>
                <w:szCs w:val="26"/>
                <w:lang w:val="lv-LV"/>
              </w:rPr>
              <w:t xml:space="preserve"> saistību apmērs ir atbilstošs:</w:t>
            </w:r>
          </w:p>
          <w:p w:rsidR="00357064" w:rsidRPr="00540F14" w:rsidRDefault="00357064" w:rsidP="00540F14">
            <w:pPr>
              <w:pStyle w:val="ListParagraph"/>
              <w:numPr>
                <w:ilvl w:val="0"/>
                <w:numId w:val="19"/>
              </w:numPr>
              <w:spacing w:after="240"/>
              <w:jc w:val="both"/>
              <w:rPr>
                <w:sz w:val="26"/>
                <w:szCs w:val="26"/>
                <w:lang w:val="lv-LV"/>
              </w:rPr>
            </w:pPr>
            <w:r>
              <w:rPr>
                <w:sz w:val="26"/>
                <w:szCs w:val="26"/>
                <w:lang w:val="lv-LV"/>
              </w:rPr>
              <w:t>2</w:t>
            </w:r>
            <w:r w:rsidRPr="002D07BB">
              <w:rPr>
                <w:sz w:val="26"/>
                <w:szCs w:val="26"/>
                <w:lang w:val="lv-LV"/>
              </w:rPr>
              <w:t xml:space="preserve">.2.1.1.aktivitātes </w:t>
            </w:r>
            <w:r>
              <w:rPr>
                <w:sz w:val="26"/>
                <w:szCs w:val="26"/>
                <w:lang w:val="lv-LV"/>
              </w:rPr>
              <w:t xml:space="preserve">Ieguldījuma fonda </w:t>
            </w:r>
            <w:r w:rsidR="00D76F8F">
              <w:rPr>
                <w:sz w:val="26"/>
                <w:szCs w:val="26"/>
                <w:lang w:val="lv-LV"/>
              </w:rPr>
              <w:t xml:space="preserve">2009.gada 17.decembra </w:t>
            </w:r>
            <w:r w:rsidR="00651735">
              <w:rPr>
                <w:sz w:val="26"/>
                <w:szCs w:val="26"/>
                <w:lang w:val="lv-LV"/>
              </w:rPr>
              <w:t>8.v</w:t>
            </w:r>
            <w:r>
              <w:rPr>
                <w:sz w:val="26"/>
                <w:szCs w:val="26"/>
                <w:lang w:val="lv-LV"/>
              </w:rPr>
              <w:t xml:space="preserve">adības komitejas </w:t>
            </w:r>
            <w:r w:rsidR="00651735">
              <w:rPr>
                <w:sz w:val="26"/>
                <w:szCs w:val="26"/>
                <w:lang w:val="lv-LV"/>
              </w:rPr>
              <w:t xml:space="preserve">sēdes informācijai par Ieguldījuma fonda naudas plūsmas modeli un tā riskiem; </w:t>
            </w:r>
            <w:r>
              <w:rPr>
                <w:sz w:val="26"/>
                <w:szCs w:val="26"/>
                <w:lang w:val="lv-LV"/>
              </w:rPr>
              <w:t xml:space="preserve">   </w:t>
            </w:r>
          </w:p>
          <w:p w:rsidR="00357064" w:rsidRPr="00540F14" w:rsidRDefault="00D6035D" w:rsidP="00B703E4">
            <w:pPr>
              <w:pStyle w:val="ListParagraph"/>
              <w:numPr>
                <w:ilvl w:val="0"/>
                <w:numId w:val="19"/>
              </w:numPr>
              <w:spacing w:after="240"/>
              <w:jc w:val="both"/>
              <w:rPr>
                <w:sz w:val="26"/>
                <w:szCs w:val="26"/>
                <w:lang w:val="lv-LV"/>
              </w:rPr>
            </w:pPr>
            <w:r w:rsidRPr="00D6035D">
              <w:rPr>
                <w:sz w:val="26"/>
                <w:szCs w:val="26"/>
                <w:lang w:val="lv-LV"/>
              </w:rPr>
              <w:t>Ministru kabineta 2008.gada 25.novembra noteikum</w:t>
            </w:r>
            <w:r>
              <w:rPr>
                <w:sz w:val="26"/>
                <w:szCs w:val="26"/>
                <w:lang w:val="lv-LV"/>
              </w:rPr>
              <w:t>iem</w:t>
            </w:r>
            <w:r w:rsidRPr="00D6035D">
              <w:rPr>
                <w:sz w:val="26"/>
                <w:szCs w:val="26"/>
                <w:lang w:val="lv-LV"/>
              </w:rPr>
              <w:t xml:space="preserve"> Nr.983 „Noteikumi par atbalsta piešķiršanu tehnoloģiju pārneses un riska kapitāla jomā”</w:t>
            </w:r>
            <w:r>
              <w:rPr>
                <w:sz w:val="26"/>
                <w:szCs w:val="26"/>
                <w:lang w:val="lv-LV"/>
              </w:rPr>
              <w:t xml:space="preserve"> (turpmāk – MK noteikumi Nr.983)</w:t>
            </w:r>
            <w:r w:rsidR="005B339A">
              <w:rPr>
                <w:sz w:val="26"/>
                <w:szCs w:val="26"/>
                <w:lang w:val="lv-LV"/>
              </w:rPr>
              <w:t>.</w:t>
            </w:r>
            <w:r>
              <w:rPr>
                <w:sz w:val="26"/>
                <w:szCs w:val="26"/>
                <w:lang w:val="lv-LV"/>
              </w:rPr>
              <w:t xml:space="preserve"> S</w:t>
            </w:r>
            <w:r w:rsidR="00357064" w:rsidRPr="00540F14">
              <w:rPr>
                <w:sz w:val="26"/>
                <w:szCs w:val="26"/>
                <w:lang w:val="lv-LV"/>
              </w:rPr>
              <w:t xml:space="preserve">agatavošanas kapitāla un sākuma kapitāla fondi </w:t>
            </w:r>
            <w:r w:rsidR="00B703E4">
              <w:rPr>
                <w:sz w:val="26"/>
                <w:szCs w:val="26"/>
                <w:lang w:val="lv-LV"/>
              </w:rPr>
              <w:t xml:space="preserve">tika </w:t>
            </w:r>
            <w:r w:rsidR="00357064" w:rsidRPr="00540F14">
              <w:rPr>
                <w:sz w:val="26"/>
                <w:szCs w:val="26"/>
                <w:lang w:val="lv-LV"/>
              </w:rPr>
              <w:t>palielināti</w:t>
            </w:r>
            <w:r w:rsidR="00B703E4">
              <w:rPr>
                <w:sz w:val="26"/>
                <w:szCs w:val="26"/>
                <w:lang w:val="lv-LV"/>
              </w:rPr>
              <w:t xml:space="preserve"> (attiecīgie grozījumi MK noteikumos Nr.983 apstiprināti 2014.gada 22.jūlij</w:t>
            </w:r>
            <w:r w:rsidR="005B339A">
              <w:rPr>
                <w:sz w:val="26"/>
                <w:szCs w:val="26"/>
                <w:lang w:val="lv-LV"/>
              </w:rPr>
              <w:t>ā</w:t>
            </w:r>
            <w:r w:rsidR="00B703E4">
              <w:rPr>
                <w:sz w:val="26"/>
                <w:szCs w:val="26"/>
                <w:lang w:val="lv-LV"/>
              </w:rPr>
              <w:t xml:space="preserve"> un 2014.gada 23.decembr</w:t>
            </w:r>
            <w:r w:rsidR="005B339A">
              <w:rPr>
                <w:sz w:val="26"/>
                <w:szCs w:val="26"/>
                <w:lang w:val="lv-LV"/>
              </w:rPr>
              <w:t>ī</w:t>
            </w:r>
            <w:r w:rsidR="00B703E4">
              <w:rPr>
                <w:sz w:val="26"/>
                <w:szCs w:val="26"/>
                <w:lang w:val="lv-LV"/>
              </w:rPr>
              <w:t xml:space="preserve">), vienlaikus norādot, ka 2.2.1.1.aktivitātē nav brīvu ERAF </w:t>
            </w:r>
            <w:r w:rsidR="00540F14">
              <w:rPr>
                <w:sz w:val="26"/>
                <w:szCs w:val="26"/>
                <w:lang w:val="lv-LV"/>
              </w:rPr>
              <w:t xml:space="preserve">finansējuma </w:t>
            </w:r>
            <w:r w:rsidR="00B703E4">
              <w:rPr>
                <w:sz w:val="26"/>
                <w:szCs w:val="26"/>
                <w:lang w:val="lv-LV"/>
              </w:rPr>
              <w:t xml:space="preserve">un valsts budžeta līdzekļu </w:t>
            </w:r>
            <w:r w:rsidR="007E75CA">
              <w:rPr>
                <w:sz w:val="26"/>
                <w:szCs w:val="26"/>
                <w:lang w:val="lv-LV"/>
              </w:rPr>
              <w:t xml:space="preserve">attiecīgā </w:t>
            </w:r>
            <w:r w:rsidR="00B703E4">
              <w:rPr>
                <w:sz w:val="26"/>
                <w:szCs w:val="26"/>
                <w:lang w:val="lv-LV"/>
              </w:rPr>
              <w:t xml:space="preserve">fonda palielinājuma finansēšanai. </w:t>
            </w:r>
            <w:r w:rsidR="007E75CA">
              <w:rPr>
                <w:sz w:val="26"/>
                <w:szCs w:val="26"/>
                <w:lang w:val="lv-LV"/>
              </w:rPr>
              <w:t>P</w:t>
            </w:r>
            <w:r w:rsidR="00B703E4">
              <w:rPr>
                <w:sz w:val="26"/>
                <w:szCs w:val="26"/>
                <w:lang w:val="lv-LV"/>
              </w:rPr>
              <w:t>ilnīgas ERAF un valsts budžeta finansējuma apguves gadījumā sagatavošanas kapitāla un sākuma kapitāla fondu palielinājums tiktu finansēts no atmaksātā</w:t>
            </w:r>
            <w:r w:rsidR="00357064" w:rsidRPr="00540F14">
              <w:rPr>
                <w:sz w:val="26"/>
                <w:szCs w:val="26"/>
                <w:lang w:val="lv-LV"/>
              </w:rPr>
              <w:t xml:space="preserve"> </w:t>
            </w:r>
            <w:r w:rsidR="005B339A">
              <w:rPr>
                <w:sz w:val="26"/>
                <w:szCs w:val="26"/>
                <w:lang w:val="lv-LV"/>
              </w:rPr>
              <w:t xml:space="preserve">publiskā </w:t>
            </w:r>
            <w:r w:rsidR="00357064" w:rsidRPr="00540F14">
              <w:rPr>
                <w:sz w:val="26"/>
                <w:szCs w:val="26"/>
                <w:lang w:val="lv-LV"/>
              </w:rPr>
              <w:t>finansējum</w:t>
            </w:r>
            <w:r w:rsidR="00B703E4">
              <w:rPr>
                <w:sz w:val="26"/>
                <w:szCs w:val="26"/>
                <w:lang w:val="lv-LV"/>
              </w:rPr>
              <w:t>a</w:t>
            </w:r>
            <w:r w:rsidR="00357064" w:rsidRPr="00540F14">
              <w:rPr>
                <w:sz w:val="26"/>
                <w:szCs w:val="26"/>
                <w:lang w:val="lv-LV"/>
              </w:rPr>
              <w:t xml:space="preserve"> finanšu instrumentos</w:t>
            </w:r>
            <w:r w:rsidR="00B703E4">
              <w:rPr>
                <w:sz w:val="26"/>
                <w:szCs w:val="26"/>
                <w:lang w:val="lv-LV"/>
              </w:rPr>
              <w:t>.</w:t>
            </w:r>
          </w:p>
          <w:p w:rsidR="00651735" w:rsidRDefault="00357064" w:rsidP="00651735">
            <w:pPr>
              <w:spacing w:after="240"/>
              <w:ind w:firstLine="709"/>
              <w:jc w:val="both"/>
              <w:rPr>
                <w:sz w:val="26"/>
                <w:szCs w:val="26"/>
                <w:lang w:val="lv-LV"/>
              </w:rPr>
            </w:pPr>
            <w:r>
              <w:rPr>
                <w:sz w:val="26"/>
                <w:szCs w:val="26"/>
                <w:lang w:val="lv-LV"/>
              </w:rPr>
              <w:t xml:space="preserve">Lēmumu pieņemšanā, kas ir saistīti ar </w:t>
            </w:r>
            <w:r w:rsidR="007E75CA">
              <w:rPr>
                <w:sz w:val="26"/>
                <w:szCs w:val="26"/>
                <w:lang w:val="lv-LV"/>
              </w:rPr>
              <w:t xml:space="preserve">uzņemto </w:t>
            </w:r>
            <w:r>
              <w:rPr>
                <w:sz w:val="26"/>
                <w:szCs w:val="26"/>
                <w:lang w:val="lv-LV"/>
              </w:rPr>
              <w:t>saistību apmēra</w:t>
            </w:r>
            <w:r w:rsidR="007E75CA">
              <w:rPr>
                <w:sz w:val="26"/>
                <w:szCs w:val="26"/>
                <w:lang w:val="lv-LV"/>
              </w:rPr>
              <w:t xml:space="preserve"> pret pieejamo ERAF un valsts budžeta finansējuma</w:t>
            </w:r>
            <w:r>
              <w:rPr>
                <w:sz w:val="26"/>
                <w:szCs w:val="26"/>
                <w:lang w:val="lv-LV"/>
              </w:rPr>
              <w:t xml:space="preserve"> pārsniegšanu, ir piedalījušies Finanšu ministrijas pārstāvji. </w:t>
            </w:r>
            <w:r w:rsidR="007E75CA">
              <w:rPr>
                <w:sz w:val="26"/>
                <w:szCs w:val="26"/>
                <w:lang w:val="lv-LV"/>
              </w:rPr>
              <w:t>Ieguldījuma fonda vadības komitejas sēdes l</w:t>
            </w:r>
            <w:r w:rsidR="00651735">
              <w:rPr>
                <w:sz w:val="26"/>
                <w:szCs w:val="26"/>
                <w:lang w:val="lv-LV"/>
              </w:rPr>
              <w:t>ēmumi paredzēja pēc</w:t>
            </w:r>
            <w:r w:rsidR="007E75CA">
              <w:rPr>
                <w:sz w:val="26"/>
                <w:szCs w:val="26"/>
                <w:lang w:val="lv-LV"/>
              </w:rPr>
              <w:t>-</w:t>
            </w:r>
            <w:r w:rsidR="00651735">
              <w:rPr>
                <w:sz w:val="26"/>
                <w:szCs w:val="26"/>
                <w:lang w:val="lv-LV"/>
              </w:rPr>
              <w:t>investīciju veikšanu riska kapitāla fondos ar mērķi nodrošināt fondu darbību atbilstoši nozares praksei, lai maksimizētu peļņu fonda līmenī, sekmētu privātā līdzfinansējuma piesaisti un palielināt</w:t>
            </w:r>
            <w:r w:rsidR="00540F14">
              <w:rPr>
                <w:sz w:val="26"/>
                <w:szCs w:val="26"/>
                <w:lang w:val="lv-LV"/>
              </w:rPr>
              <w:t>u</w:t>
            </w:r>
            <w:r w:rsidR="00651735">
              <w:rPr>
                <w:sz w:val="26"/>
                <w:szCs w:val="26"/>
                <w:lang w:val="lv-LV"/>
              </w:rPr>
              <w:t xml:space="preserve"> iespējas riska kapitāla fondu vadības komandām </w:t>
            </w:r>
            <w:r w:rsidR="00651735">
              <w:rPr>
                <w:sz w:val="26"/>
                <w:szCs w:val="26"/>
                <w:lang w:val="lv-LV"/>
              </w:rPr>
              <w:lastRenderedPageBreak/>
              <w:t>piesaistīt privāto finansējumu gan investīcijām, gan veidojot nākamos fondus.</w:t>
            </w:r>
          </w:p>
          <w:p w:rsidR="00651735" w:rsidRDefault="00651735" w:rsidP="00540F14">
            <w:pPr>
              <w:spacing w:after="240"/>
              <w:ind w:firstLine="708"/>
              <w:jc w:val="both"/>
              <w:rPr>
                <w:sz w:val="26"/>
                <w:szCs w:val="26"/>
                <w:lang w:val="lv-LV"/>
              </w:rPr>
            </w:pPr>
            <w:r>
              <w:rPr>
                <w:sz w:val="26"/>
                <w:szCs w:val="26"/>
                <w:lang w:val="lv-LV"/>
              </w:rPr>
              <w:t xml:space="preserve">Lai nodrošinātu pilnīgu 2007.-2013.gada plānošanas perioda </w:t>
            </w:r>
            <w:r w:rsidR="007E75CA">
              <w:rPr>
                <w:sz w:val="26"/>
                <w:szCs w:val="26"/>
                <w:lang w:val="lv-LV"/>
              </w:rPr>
              <w:t>ERAF, valsts budžeta</w:t>
            </w:r>
            <w:r>
              <w:rPr>
                <w:sz w:val="26"/>
                <w:szCs w:val="26"/>
                <w:lang w:val="lv-LV"/>
              </w:rPr>
              <w:t xml:space="preserve"> finansējuma</w:t>
            </w:r>
            <w:r w:rsidR="007E75CA">
              <w:rPr>
                <w:sz w:val="26"/>
                <w:szCs w:val="26"/>
                <w:lang w:val="lv-LV"/>
              </w:rPr>
              <w:t xml:space="preserve"> un</w:t>
            </w:r>
            <w:r>
              <w:rPr>
                <w:sz w:val="26"/>
                <w:szCs w:val="26"/>
                <w:lang w:val="lv-LV"/>
              </w:rPr>
              <w:t xml:space="preserve"> ieņēmumu no brīvo publisko līdzekļu noguldījumiem apguvi un </w:t>
            </w:r>
            <w:r w:rsidR="0089513D" w:rsidRPr="0089513D">
              <w:rPr>
                <w:sz w:val="26"/>
                <w:szCs w:val="26"/>
                <w:lang w:val="lv-LV"/>
              </w:rPr>
              <w:t>garantētu</w:t>
            </w:r>
            <w:r w:rsidR="00777959" w:rsidRPr="0089513D">
              <w:rPr>
                <w:sz w:val="26"/>
                <w:szCs w:val="26"/>
                <w:lang w:val="lv-LV"/>
              </w:rPr>
              <w:t xml:space="preserve"> </w:t>
            </w:r>
            <w:r>
              <w:rPr>
                <w:sz w:val="26"/>
                <w:szCs w:val="26"/>
                <w:lang w:val="lv-LV"/>
              </w:rPr>
              <w:t xml:space="preserve">riska kapitāla </w:t>
            </w:r>
            <w:r w:rsidR="00777959" w:rsidRPr="0089513D">
              <w:rPr>
                <w:sz w:val="26"/>
                <w:szCs w:val="26"/>
                <w:lang w:val="lv-LV"/>
              </w:rPr>
              <w:t>investīciju pieejamīb</w:t>
            </w:r>
            <w:r>
              <w:rPr>
                <w:sz w:val="26"/>
                <w:szCs w:val="26"/>
                <w:lang w:val="lv-LV"/>
              </w:rPr>
              <w:t>u</w:t>
            </w:r>
            <w:r w:rsidR="00777959" w:rsidRPr="0089513D">
              <w:rPr>
                <w:sz w:val="26"/>
                <w:szCs w:val="26"/>
                <w:lang w:val="lv-LV"/>
              </w:rPr>
              <w:t xml:space="preserve"> </w:t>
            </w:r>
            <w:r w:rsidRPr="0089513D">
              <w:rPr>
                <w:sz w:val="26"/>
                <w:szCs w:val="26"/>
                <w:lang w:val="lv-LV"/>
              </w:rPr>
              <w:t xml:space="preserve">komersantiem </w:t>
            </w:r>
            <w:r w:rsidR="00777959" w:rsidRPr="0089513D">
              <w:rPr>
                <w:sz w:val="26"/>
                <w:szCs w:val="26"/>
                <w:lang w:val="lv-LV"/>
              </w:rPr>
              <w:t>līdz jaunu riska kapitāla instrumentu ieviešanai 2014.-2020.gada plānošanas periodā</w:t>
            </w:r>
            <w:r w:rsidR="00350098" w:rsidRPr="0089513D">
              <w:rPr>
                <w:sz w:val="26"/>
                <w:szCs w:val="26"/>
                <w:lang w:val="lv-LV"/>
              </w:rPr>
              <w:t xml:space="preserve">, Ekonomikas ministrija (turpmāk – EM) </w:t>
            </w:r>
            <w:r w:rsidR="002D07BB" w:rsidRPr="0089513D">
              <w:rPr>
                <w:sz w:val="26"/>
                <w:szCs w:val="26"/>
                <w:lang w:val="lv-LV"/>
              </w:rPr>
              <w:t xml:space="preserve">ir izstrādājusi un </w:t>
            </w:r>
            <w:r w:rsidR="0089513D" w:rsidRPr="0089513D">
              <w:rPr>
                <w:sz w:val="26"/>
                <w:szCs w:val="26"/>
                <w:lang w:val="lv-LV"/>
              </w:rPr>
              <w:t xml:space="preserve">vienlaikus ar šo noteikumu projektu </w:t>
            </w:r>
            <w:r w:rsidR="002D07BB" w:rsidRPr="0089513D">
              <w:rPr>
                <w:sz w:val="26"/>
                <w:szCs w:val="26"/>
                <w:lang w:val="lv-LV"/>
              </w:rPr>
              <w:t xml:space="preserve">virza grozījumus </w:t>
            </w:r>
            <w:r w:rsidR="00451D23">
              <w:rPr>
                <w:sz w:val="26"/>
                <w:szCs w:val="26"/>
                <w:lang w:val="lv-LV"/>
              </w:rPr>
              <w:t xml:space="preserve">MK </w:t>
            </w:r>
            <w:r w:rsidR="007E75CA">
              <w:rPr>
                <w:sz w:val="26"/>
                <w:szCs w:val="26"/>
                <w:lang w:val="lv-LV"/>
              </w:rPr>
              <w:t xml:space="preserve">noteikumos </w:t>
            </w:r>
            <w:r w:rsidR="00451D23">
              <w:rPr>
                <w:sz w:val="26"/>
                <w:szCs w:val="26"/>
                <w:lang w:val="lv-LV"/>
              </w:rPr>
              <w:t>Nr.983</w:t>
            </w:r>
            <w:r w:rsidR="002D07BB" w:rsidRPr="0089513D">
              <w:rPr>
                <w:sz w:val="26"/>
                <w:szCs w:val="26"/>
                <w:lang w:val="lv-LV"/>
              </w:rPr>
              <w:t xml:space="preserve">, palielinot publiskā finansējuma </w:t>
            </w:r>
            <w:r w:rsidR="0089513D" w:rsidRPr="0089513D">
              <w:rPr>
                <w:sz w:val="26"/>
                <w:szCs w:val="26"/>
                <w:lang w:val="lv-LV"/>
              </w:rPr>
              <w:t xml:space="preserve">piešķīruma </w:t>
            </w:r>
            <w:r w:rsidR="002D07BB" w:rsidRPr="0089513D">
              <w:rPr>
                <w:sz w:val="26"/>
                <w:szCs w:val="26"/>
                <w:lang w:val="lv-LV"/>
              </w:rPr>
              <w:t xml:space="preserve">apmēru izaugsmes kapitāla fondos par 15 000 000 </w:t>
            </w:r>
            <w:proofErr w:type="spellStart"/>
            <w:r w:rsidR="002D07BB" w:rsidRPr="0089513D">
              <w:rPr>
                <w:i/>
                <w:sz w:val="26"/>
                <w:szCs w:val="26"/>
                <w:lang w:val="lv-LV"/>
              </w:rPr>
              <w:t>euro</w:t>
            </w:r>
            <w:proofErr w:type="spellEnd"/>
            <w:r w:rsidR="007E75CA">
              <w:rPr>
                <w:i/>
                <w:sz w:val="26"/>
                <w:szCs w:val="26"/>
                <w:lang w:val="lv-LV"/>
              </w:rPr>
              <w:t>.</w:t>
            </w:r>
          </w:p>
          <w:p w:rsidR="00651735" w:rsidRPr="00540F14" w:rsidRDefault="00651735" w:rsidP="00540F14">
            <w:pPr>
              <w:spacing w:after="240"/>
              <w:ind w:firstLine="708"/>
              <w:jc w:val="both"/>
              <w:rPr>
                <w:sz w:val="26"/>
                <w:szCs w:val="26"/>
                <w:lang w:val="lv-LV"/>
              </w:rPr>
            </w:pPr>
            <w:r w:rsidRPr="00540F14">
              <w:rPr>
                <w:sz w:val="26"/>
                <w:szCs w:val="26"/>
                <w:lang w:val="lv-LV"/>
              </w:rPr>
              <w:t xml:space="preserve">Kopumā 2.2.1.1.aktivitātē tiks uzņemtas saistības par </w:t>
            </w:r>
            <w:r w:rsidR="005B339A" w:rsidRPr="00540F14">
              <w:rPr>
                <w:sz w:val="26"/>
                <w:szCs w:val="26"/>
                <w:lang w:val="lv-LV"/>
              </w:rPr>
              <w:t xml:space="preserve">publiskā finansējuma daļu </w:t>
            </w:r>
            <w:r w:rsidRPr="00540F14">
              <w:rPr>
                <w:sz w:val="26"/>
                <w:szCs w:val="26"/>
                <w:lang w:val="lv-LV"/>
              </w:rPr>
              <w:t xml:space="preserve">87 912 192 </w:t>
            </w:r>
            <w:proofErr w:type="spellStart"/>
            <w:r w:rsidRPr="00540F14">
              <w:rPr>
                <w:i/>
                <w:sz w:val="26"/>
                <w:szCs w:val="26"/>
                <w:lang w:val="lv-LV"/>
              </w:rPr>
              <w:t>euro</w:t>
            </w:r>
            <w:proofErr w:type="spellEnd"/>
            <w:r w:rsidRPr="00540F14">
              <w:rPr>
                <w:sz w:val="26"/>
                <w:szCs w:val="26"/>
                <w:lang w:val="lv-LV"/>
              </w:rPr>
              <w:t xml:space="preserve">, kas pārsniedz līdzšinēji 2.2.1.1.aktivitātē pieejamā ERAF un valsts budžeta finansējumu par 22 646 996 </w:t>
            </w:r>
            <w:proofErr w:type="spellStart"/>
            <w:r w:rsidRPr="00540F14">
              <w:rPr>
                <w:i/>
                <w:sz w:val="26"/>
                <w:szCs w:val="26"/>
                <w:lang w:val="lv-LV"/>
              </w:rPr>
              <w:t>euro</w:t>
            </w:r>
            <w:proofErr w:type="spellEnd"/>
            <w:r w:rsidRPr="00540F14">
              <w:rPr>
                <w:sz w:val="26"/>
                <w:szCs w:val="26"/>
                <w:lang w:val="lv-LV"/>
              </w:rPr>
              <w:t xml:space="preserve">. </w:t>
            </w:r>
          </w:p>
          <w:p w:rsidR="00651735" w:rsidRDefault="00651735" w:rsidP="00540F14">
            <w:pPr>
              <w:spacing w:after="240"/>
              <w:ind w:firstLine="708"/>
              <w:jc w:val="both"/>
              <w:rPr>
                <w:sz w:val="26"/>
                <w:szCs w:val="26"/>
                <w:lang w:val="lv-LV"/>
              </w:rPr>
            </w:pPr>
            <w:r w:rsidRPr="00540F14">
              <w:rPr>
                <w:sz w:val="26"/>
                <w:szCs w:val="26"/>
                <w:lang w:val="lv-LV"/>
              </w:rPr>
              <w:t xml:space="preserve">Lai nodrošinātu pietiekošu </w:t>
            </w:r>
            <w:r w:rsidR="007E75CA" w:rsidRPr="00540F14">
              <w:rPr>
                <w:sz w:val="26"/>
                <w:szCs w:val="26"/>
                <w:lang w:val="lv-LV"/>
              </w:rPr>
              <w:t xml:space="preserve">publisko </w:t>
            </w:r>
            <w:r w:rsidRPr="00540F14">
              <w:rPr>
                <w:sz w:val="26"/>
                <w:szCs w:val="26"/>
                <w:lang w:val="lv-LV"/>
              </w:rPr>
              <w:t xml:space="preserve">finansējumu </w:t>
            </w:r>
            <w:r w:rsidR="00AA07DE" w:rsidRPr="00540F14">
              <w:rPr>
                <w:sz w:val="26"/>
                <w:szCs w:val="26"/>
                <w:lang w:val="lv-LV"/>
              </w:rPr>
              <w:t xml:space="preserve">līgumu, kas noslēgti ar finanšu starpniekiem, ietvaros </w:t>
            </w:r>
            <w:r w:rsidRPr="00540F14">
              <w:rPr>
                <w:sz w:val="26"/>
                <w:szCs w:val="26"/>
                <w:lang w:val="lv-LV"/>
              </w:rPr>
              <w:t xml:space="preserve">uzņemto saistību </w:t>
            </w:r>
            <w:r w:rsidR="007E75CA" w:rsidRPr="00540F14">
              <w:rPr>
                <w:sz w:val="26"/>
                <w:szCs w:val="26"/>
                <w:lang w:val="lv-LV"/>
              </w:rPr>
              <w:t>finansēšanai</w:t>
            </w:r>
            <w:r w:rsidR="005E0427" w:rsidRPr="00540F14">
              <w:rPr>
                <w:sz w:val="26"/>
                <w:szCs w:val="26"/>
                <w:lang w:val="lv-LV"/>
              </w:rPr>
              <w:t xml:space="preserve"> 2.2.1.1.aktivitātē</w:t>
            </w:r>
            <w:r w:rsidRPr="00540F14">
              <w:rPr>
                <w:sz w:val="26"/>
                <w:szCs w:val="26"/>
                <w:lang w:val="lv-LV"/>
              </w:rPr>
              <w:t>,</w:t>
            </w:r>
            <w:r w:rsidR="00AA07DE" w:rsidRPr="00540F14">
              <w:rPr>
                <w:sz w:val="26"/>
                <w:szCs w:val="26"/>
                <w:lang w:val="lv-LV"/>
              </w:rPr>
              <w:t xml:space="preserve"> izaugsmes kapitāla fondu palielināšanai, kā arī </w:t>
            </w:r>
            <w:proofErr w:type="spellStart"/>
            <w:r w:rsidR="00AA07DE" w:rsidRPr="00540F14">
              <w:rPr>
                <w:sz w:val="26"/>
                <w:szCs w:val="26"/>
                <w:lang w:val="lv-LV"/>
              </w:rPr>
              <w:t>Altum</w:t>
            </w:r>
            <w:proofErr w:type="spellEnd"/>
            <w:r w:rsidR="00AA07DE" w:rsidRPr="00540F14">
              <w:rPr>
                <w:sz w:val="26"/>
                <w:szCs w:val="26"/>
                <w:lang w:val="lv-LV"/>
              </w:rPr>
              <w:t xml:space="preserve"> vadības izdevumu finansēšanai par 2.2.1.1.aktivitātes administrēšanu,</w:t>
            </w:r>
            <w:r w:rsidRPr="00540F14">
              <w:rPr>
                <w:sz w:val="26"/>
                <w:szCs w:val="26"/>
                <w:lang w:val="lv-LV"/>
              </w:rPr>
              <w:t xml:space="preserve"> noteikumu projekts paredz 2.2.1.1.aktivitātes īstenošanai </w:t>
            </w:r>
            <w:r w:rsidR="00AA07DE" w:rsidRPr="00540F14">
              <w:rPr>
                <w:sz w:val="26"/>
                <w:szCs w:val="26"/>
                <w:lang w:val="lv-LV"/>
              </w:rPr>
              <w:t xml:space="preserve">papildus novirzīt publisko finansējumu 22 646 996 </w:t>
            </w:r>
            <w:proofErr w:type="spellStart"/>
            <w:r w:rsidR="00AA07DE" w:rsidRPr="00540F14">
              <w:rPr>
                <w:i/>
                <w:sz w:val="26"/>
                <w:szCs w:val="26"/>
                <w:lang w:val="lv-LV"/>
              </w:rPr>
              <w:t>euro</w:t>
            </w:r>
            <w:proofErr w:type="spellEnd"/>
            <w:r w:rsidR="00AA07DE" w:rsidRPr="00540F14">
              <w:rPr>
                <w:i/>
                <w:sz w:val="26"/>
                <w:szCs w:val="26"/>
                <w:lang w:val="lv-LV"/>
              </w:rPr>
              <w:t xml:space="preserve"> </w:t>
            </w:r>
            <w:r w:rsidR="00AA07DE" w:rsidRPr="00540F14">
              <w:rPr>
                <w:sz w:val="26"/>
                <w:szCs w:val="26"/>
                <w:lang w:val="lv-LV"/>
              </w:rPr>
              <w:t xml:space="preserve">apmērā no </w:t>
            </w:r>
            <w:r w:rsidRPr="00540F14">
              <w:rPr>
                <w:sz w:val="26"/>
                <w:szCs w:val="26"/>
                <w:lang w:val="lv-LV"/>
              </w:rPr>
              <w:t>šād</w:t>
            </w:r>
            <w:r w:rsidR="00AA07DE" w:rsidRPr="00540F14">
              <w:rPr>
                <w:sz w:val="26"/>
                <w:szCs w:val="26"/>
                <w:lang w:val="lv-LV"/>
              </w:rPr>
              <w:t>iem</w:t>
            </w:r>
            <w:r w:rsidRPr="00540F14">
              <w:rPr>
                <w:sz w:val="26"/>
                <w:szCs w:val="26"/>
                <w:lang w:val="lv-LV"/>
              </w:rPr>
              <w:t xml:space="preserve"> papildus finansējuma avot</w:t>
            </w:r>
            <w:r w:rsidR="00AA07DE" w:rsidRPr="00540F14">
              <w:rPr>
                <w:sz w:val="26"/>
                <w:szCs w:val="26"/>
                <w:lang w:val="lv-LV"/>
              </w:rPr>
              <w:t>iem</w:t>
            </w:r>
            <w:r w:rsidRPr="00540F14">
              <w:rPr>
                <w:sz w:val="26"/>
                <w:szCs w:val="26"/>
                <w:lang w:val="lv-LV"/>
              </w:rPr>
              <w:t xml:space="preserve"> – ieņēmum</w:t>
            </w:r>
            <w:r w:rsidR="00AA07DE" w:rsidRPr="00540F14">
              <w:rPr>
                <w:sz w:val="26"/>
                <w:szCs w:val="26"/>
                <w:lang w:val="lv-LV"/>
              </w:rPr>
              <w:t>iem</w:t>
            </w:r>
            <w:r w:rsidRPr="00540F14">
              <w:rPr>
                <w:sz w:val="26"/>
                <w:szCs w:val="26"/>
                <w:lang w:val="lv-LV"/>
              </w:rPr>
              <w:t xml:space="preserve"> no brīvo publisko līdzekļu noguldījumiem 2.2.1.1.aktivitātē 3 566 237 </w:t>
            </w:r>
            <w:proofErr w:type="spellStart"/>
            <w:r w:rsidRPr="00540F14">
              <w:rPr>
                <w:i/>
                <w:sz w:val="26"/>
                <w:szCs w:val="26"/>
                <w:lang w:val="lv-LV"/>
              </w:rPr>
              <w:t>euro</w:t>
            </w:r>
            <w:proofErr w:type="spellEnd"/>
            <w:r w:rsidRPr="00540F14">
              <w:rPr>
                <w:sz w:val="26"/>
                <w:szCs w:val="26"/>
                <w:lang w:val="lv-LV"/>
              </w:rPr>
              <w:t xml:space="preserve"> apmērā un atmaksāt</w:t>
            </w:r>
            <w:r w:rsidR="00426E88">
              <w:rPr>
                <w:sz w:val="26"/>
                <w:szCs w:val="26"/>
                <w:lang w:val="lv-LV"/>
              </w:rPr>
              <w:t>ā</w:t>
            </w:r>
            <w:r w:rsidRPr="00540F14">
              <w:rPr>
                <w:sz w:val="26"/>
                <w:szCs w:val="26"/>
                <w:lang w:val="lv-LV"/>
              </w:rPr>
              <w:t xml:space="preserve"> finansējum</w:t>
            </w:r>
            <w:r w:rsidR="007E75CA" w:rsidRPr="00540F14">
              <w:rPr>
                <w:sz w:val="26"/>
                <w:szCs w:val="26"/>
                <w:lang w:val="lv-LV"/>
              </w:rPr>
              <w:t>u</w:t>
            </w:r>
            <w:r w:rsidRPr="00540F14">
              <w:rPr>
                <w:sz w:val="26"/>
                <w:szCs w:val="26"/>
                <w:lang w:val="lv-LV"/>
              </w:rPr>
              <w:t xml:space="preserve"> darbības programmas „Uzņēmējdarbība un inovācijas” papildinājuma 2.2.1.3.aktivitātē „Garantijas komersantu konkurētspējas uzlabošanai” (turpmāk – 2.2.1.3.aktivitāte) </w:t>
            </w:r>
            <w:r w:rsidR="005B339A" w:rsidRPr="00540F14">
              <w:rPr>
                <w:sz w:val="26"/>
                <w:szCs w:val="26"/>
                <w:lang w:val="lv-LV"/>
              </w:rPr>
              <w:t xml:space="preserve"> 14 066 540 </w:t>
            </w:r>
            <w:proofErr w:type="spellStart"/>
            <w:r w:rsidR="005B339A" w:rsidRPr="00540F14">
              <w:rPr>
                <w:i/>
                <w:sz w:val="26"/>
                <w:szCs w:val="26"/>
                <w:lang w:val="lv-LV"/>
              </w:rPr>
              <w:t>euro</w:t>
            </w:r>
            <w:proofErr w:type="spellEnd"/>
            <w:r w:rsidR="005B339A" w:rsidRPr="00540F14">
              <w:rPr>
                <w:sz w:val="26"/>
                <w:szCs w:val="26"/>
                <w:lang w:val="lv-LV"/>
              </w:rPr>
              <w:t xml:space="preserve"> apmērā un 2.2.1.4.1.apakšaktivitātē „Atbalsts aizdevumu veidā komersantu konkurētspējas uzlabošanai” (turpmāk – 2.2.1.4.1.aktivitāte)  </w:t>
            </w:r>
            <w:r w:rsidR="00AA07DE" w:rsidRPr="00540F14">
              <w:rPr>
                <w:sz w:val="26"/>
                <w:szCs w:val="26"/>
                <w:lang w:val="lv-LV"/>
              </w:rPr>
              <w:t xml:space="preserve"> </w:t>
            </w:r>
            <w:r w:rsidR="005B339A" w:rsidRPr="00540F14">
              <w:rPr>
                <w:sz w:val="26"/>
                <w:szCs w:val="26"/>
                <w:lang w:val="lv-LV"/>
              </w:rPr>
              <w:t>5 014 219</w:t>
            </w:r>
            <w:r w:rsidRPr="00540F14">
              <w:rPr>
                <w:sz w:val="26"/>
                <w:szCs w:val="26"/>
                <w:lang w:val="lv-LV"/>
              </w:rPr>
              <w:t xml:space="preserve"> </w:t>
            </w:r>
            <w:proofErr w:type="spellStart"/>
            <w:r w:rsidRPr="00540F14">
              <w:rPr>
                <w:i/>
                <w:sz w:val="26"/>
                <w:szCs w:val="26"/>
                <w:lang w:val="lv-LV"/>
              </w:rPr>
              <w:t>euro</w:t>
            </w:r>
            <w:proofErr w:type="spellEnd"/>
            <w:r w:rsidRPr="00540F14">
              <w:rPr>
                <w:sz w:val="26"/>
                <w:szCs w:val="26"/>
                <w:lang w:val="lv-LV"/>
              </w:rPr>
              <w:t xml:space="preserve"> apmērā.</w:t>
            </w:r>
            <w:r>
              <w:rPr>
                <w:sz w:val="26"/>
                <w:szCs w:val="26"/>
                <w:lang w:val="lv-LV"/>
              </w:rPr>
              <w:t xml:space="preserve"> </w:t>
            </w:r>
          </w:p>
          <w:p w:rsidR="00651735" w:rsidRDefault="00651735" w:rsidP="00426E88">
            <w:pPr>
              <w:spacing w:after="240"/>
              <w:ind w:firstLine="708"/>
              <w:jc w:val="both"/>
              <w:rPr>
                <w:sz w:val="26"/>
                <w:szCs w:val="26"/>
                <w:lang w:val="lv-LV"/>
              </w:rPr>
            </w:pPr>
            <w:r>
              <w:rPr>
                <w:sz w:val="26"/>
                <w:szCs w:val="26"/>
                <w:lang w:val="lv-LV"/>
              </w:rPr>
              <w:t xml:space="preserve">2.2.1.3.aktivitātē </w:t>
            </w:r>
            <w:r w:rsidR="005B339A">
              <w:rPr>
                <w:sz w:val="26"/>
                <w:szCs w:val="26"/>
                <w:lang w:val="lv-LV"/>
              </w:rPr>
              <w:t xml:space="preserve">un 2.2.1.4.1.aktivitātē </w:t>
            </w:r>
            <w:r>
              <w:rPr>
                <w:sz w:val="26"/>
                <w:szCs w:val="26"/>
                <w:lang w:val="lv-LV"/>
              </w:rPr>
              <w:t xml:space="preserve">pieejamais atmaksātais </w:t>
            </w:r>
            <w:r w:rsidR="00426E88">
              <w:rPr>
                <w:sz w:val="26"/>
                <w:szCs w:val="26"/>
                <w:lang w:val="lv-LV"/>
              </w:rPr>
              <w:t xml:space="preserve">brīvais </w:t>
            </w:r>
            <w:r>
              <w:rPr>
                <w:sz w:val="26"/>
                <w:szCs w:val="26"/>
                <w:lang w:val="lv-LV"/>
              </w:rPr>
              <w:t>finansējums ir pietiekošs, lai palielinātu 2.2.1.1.aktivitātē pieej</w:t>
            </w:r>
            <w:r w:rsidR="00426E88">
              <w:rPr>
                <w:sz w:val="26"/>
                <w:szCs w:val="26"/>
                <w:lang w:val="lv-LV"/>
              </w:rPr>
              <w:t xml:space="preserve">amā publiskā finansējuma apmēru. </w:t>
            </w:r>
            <w:r w:rsidR="007E75CA">
              <w:rPr>
                <w:sz w:val="26"/>
                <w:szCs w:val="26"/>
                <w:lang w:val="lv-LV"/>
              </w:rPr>
              <w:t>L</w:t>
            </w:r>
            <w:r>
              <w:rPr>
                <w:sz w:val="26"/>
                <w:szCs w:val="26"/>
                <w:lang w:val="lv-LV"/>
              </w:rPr>
              <w:t xml:space="preserve">aika periodā uz 2015.gada 31.jūliju atmaksātais </w:t>
            </w:r>
            <w:r w:rsidR="00426E88">
              <w:rPr>
                <w:sz w:val="26"/>
                <w:szCs w:val="26"/>
                <w:lang w:val="lv-LV"/>
              </w:rPr>
              <w:t xml:space="preserve">brīvais </w:t>
            </w:r>
            <w:r>
              <w:rPr>
                <w:sz w:val="26"/>
                <w:szCs w:val="26"/>
                <w:lang w:val="lv-LV"/>
              </w:rPr>
              <w:t xml:space="preserve">publiskais finansējums 2.2.1.3.aktivitātē sastāda </w:t>
            </w:r>
            <w:r w:rsidR="005B339A">
              <w:rPr>
                <w:sz w:val="26"/>
                <w:szCs w:val="26"/>
                <w:lang w:val="lv-LV"/>
              </w:rPr>
              <w:t>14 066 540</w:t>
            </w:r>
            <w:r>
              <w:rPr>
                <w:sz w:val="26"/>
                <w:szCs w:val="26"/>
                <w:lang w:val="lv-LV"/>
              </w:rPr>
              <w:t xml:space="preserve"> </w:t>
            </w:r>
            <w:proofErr w:type="spellStart"/>
            <w:r w:rsidRPr="00063C08">
              <w:rPr>
                <w:i/>
                <w:sz w:val="26"/>
                <w:szCs w:val="26"/>
                <w:lang w:val="lv-LV"/>
              </w:rPr>
              <w:t>euro</w:t>
            </w:r>
            <w:proofErr w:type="spellEnd"/>
            <w:r w:rsidRPr="00063C08">
              <w:rPr>
                <w:i/>
                <w:sz w:val="26"/>
                <w:szCs w:val="26"/>
                <w:lang w:val="lv-LV"/>
              </w:rPr>
              <w:t xml:space="preserve"> </w:t>
            </w:r>
            <w:r>
              <w:rPr>
                <w:sz w:val="26"/>
                <w:szCs w:val="26"/>
                <w:lang w:val="lv-LV"/>
              </w:rPr>
              <w:t xml:space="preserve">no 2.2.1.3.aktivitātē apgūtā publiskā finansējuma apmēra 32 087 430 </w:t>
            </w:r>
            <w:proofErr w:type="spellStart"/>
            <w:r w:rsidRPr="00063C08">
              <w:rPr>
                <w:i/>
                <w:sz w:val="26"/>
                <w:szCs w:val="26"/>
                <w:lang w:val="lv-LV"/>
              </w:rPr>
              <w:t>euro</w:t>
            </w:r>
            <w:proofErr w:type="spellEnd"/>
            <w:r>
              <w:rPr>
                <w:i/>
                <w:sz w:val="26"/>
                <w:szCs w:val="26"/>
                <w:lang w:val="lv-LV"/>
              </w:rPr>
              <w:t>.</w:t>
            </w:r>
            <w:r>
              <w:rPr>
                <w:sz w:val="26"/>
                <w:szCs w:val="26"/>
                <w:lang w:val="lv-LV"/>
              </w:rPr>
              <w:t xml:space="preserve"> Aktīvo aizdevumu garantiju apjoms ir 45 879 637 </w:t>
            </w:r>
            <w:proofErr w:type="spellStart"/>
            <w:r w:rsidRPr="00063C08">
              <w:rPr>
                <w:i/>
                <w:sz w:val="26"/>
                <w:szCs w:val="26"/>
                <w:lang w:val="lv-LV"/>
              </w:rPr>
              <w:t>euro</w:t>
            </w:r>
            <w:proofErr w:type="spellEnd"/>
            <w:r>
              <w:rPr>
                <w:i/>
                <w:sz w:val="26"/>
                <w:szCs w:val="26"/>
                <w:lang w:val="lv-LV"/>
              </w:rPr>
              <w:t xml:space="preserve"> </w:t>
            </w:r>
            <w:r w:rsidR="00426E88" w:rsidRPr="00426E88">
              <w:rPr>
                <w:sz w:val="26"/>
                <w:szCs w:val="26"/>
                <w:lang w:val="lv-LV"/>
              </w:rPr>
              <w:t>(</w:t>
            </w:r>
            <w:r>
              <w:rPr>
                <w:sz w:val="26"/>
                <w:szCs w:val="26"/>
                <w:lang w:val="lv-LV"/>
              </w:rPr>
              <w:t>uz 2015.gada 31.jūliju</w:t>
            </w:r>
            <w:r w:rsidR="00426E88">
              <w:rPr>
                <w:sz w:val="26"/>
                <w:szCs w:val="26"/>
                <w:lang w:val="lv-LV"/>
              </w:rPr>
              <w:t>)</w:t>
            </w:r>
            <w:r>
              <w:rPr>
                <w:sz w:val="26"/>
                <w:szCs w:val="26"/>
                <w:lang w:val="lv-LV"/>
              </w:rPr>
              <w:t xml:space="preserve">, kam novirzīts rezerves kapitāls zaudējumu segšanai  11 469 909 </w:t>
            </w:r>
            <w:proofErr w:type="spellStart"/>
            <w:r w:rsidRPr="00063C08">
              <w:rPr>
                <w:i/>
                <w:sz w:val="26"/>
                <w:szCs w:val="26"/>
                <w:lang w:val="lv-LV"/>
              </w:rPr>
              <w:t>euro</w:t>
            </w:r>
            <w:proofErr w:type="spellEnd"/>
            <w:r>
              <w:rPr>
                <w:sz w:val="26"/>
                <w:szCs w:val="26"/>
                <w:lang w:val="lv-LV"/>
              </w:rPr>
              <w:t xml:space="preserve">. </w:t>
            </w:r>
            <w:r w:rsidR="005B339A">
              <w:rPr>
                <w:sz w:val="26"/>
                <w:szCs w:val="26"/>
                <w:lang w:val="lv-LV"/>
              </w:rPr>
              <w:t xml:space="preserve">Savukārt 2.2.1.4.1.aktivitātē pieejamais brīvais atmaksātais </w:t>
            </w:r>
            <w:r w:rsidR="00426E88">
              <w:rPr>
                <w:sz w:val="26"/>
                <w:szCs w:val="26"/>
                <w:lang w:val="lv-LV"/>
              </w:rPr>
              <w:t xml:space="preserve">publiskais </w:t>
            </w:r>
            <w:r w:rsidR="005B339A">
              <w:rPr>
                <w:sz w:val="26"/>
                <w:szCs w:val="26"/>
                <w:lang w:val="lv-LV"/>
              </w:rPr>
              <w:t xml:space="preserve">finansējums ir </w:t>
            </w:r>
            <w:r w:rsidR="00CA7C09">
              <w:rPr>
                <w:sz w:val="26"/>
                <w:szCs w:val="26"/>
                <w:lang w:val="lv-LV"/>
              </w:rPr>
              <w:lastRenderedPageBreak/>
              <w:t xml:space="preserve">23 074 182 </w:t>
            </w:r>
            <w:proofErr w:type="spellStart"/>
            <w:r w:rsidR="00CA7C09" w:rsidRPr="00426E88">
              <w:rPr>
                <w:i/>
                <w:sz w:val="26"/>
                <w:szCs w:val="26"/>
                <w:lang w:val="lv-LV"/>
              </w:rPr>
              <w:t>euro</w:t>
            </w:r>
            <w:proofErr w:type="spellEnd"/>
            <w:r w:rsidR="00CA7C09">
              <w:rPr>
                <w:sz w:val="26"/>
                <w:szCs w:val="26"/>
                <w:lang w:val="lv-LV"/>
              </w:rPr>
              <w:t>.</w:t>
            </w:r>
          </w:p>
          <w:p w:rsidR="00AA07DE" w:rsidRPr="00426E88" w:rsidRDefault="00AA07DE" w:rsidP="00426E88">
            <w:pPr>
              <w:spacing w:after="240"/>
              <w:ind w:firstLine="709"/>
              <w:jc w:val="both"/>
              <w:rPr>
                <w:sz w:val="26"/>
                <w:szCs w:val="26"/>
                <w:lang w:val="lv-LV"/>
              </w:rPr>
            </w:pPr>
            <w:r w:rsidRPr="00426E88">
              <w:rPr>
                <w:sz w:val="26"/>
                <w:szCs w:val="26"/>
                <w:lang w:val="lv-LV"/>
              </w:rPr>
              <w:t xml:space="preserve">Atbilstoši EM izstrādātajam un 2015.gada 30.aprīļa Uzraudzības komitejā apstiprinātajam tirgus nepilnību izvērtējumam un 2015.gada 30.jūnija Ministru kabineta sēdes </w:t>
            </w:r>
            <w:proofErr w:type="spellStart"/>
            <w:r w:rsidRPr="00426E88">
              <w:rPr>
                <w:sz w:val="26"/>
                <w:szCs w:val="26"/>
                <w:lang w:val="lv-LV"/>
              </w:rPr>
              <w:t>protokollēmuma</w:t>
            </w:r>
            <w:proofErr w:type="spellEnd"/>
            <w:r w:rsidRPr="00426E88">
              <w:rPr>
                <w:sz w:val="26"/>
                <w:szCs w:val="26"/>
                <w:lang w:val="lv-LV"/>
              </w:rPr>
              <w:t xml:space="preserve"> 72.§ 6.punktam, daļu no 2007.-2013.gada plānošanas perioda finanšu instrumentos atmaksātā publiskā finansējuma ir paredzēts izmantot, lai veiktu iemaksas Baltijas Inovāciju fondā un </w:t>
            </w:r>
            <w:r w:rsidR="00426E88">
              <w:rPr>
                <w:sz w:val="26"/>
                <w:szCs w:val="26"/>
                <w:lang w:val="lv-LV"/>
              </w:rPr>
              <w:t>līdz</w:t>
            </w:r>
            <w:r w:rsidRPr="00426E88">
              <w:rPr>
                <w:sz w:val="26"/>
                <w:szCs w:val="26"/>
                <w:lang w:val="lv-LV"/>
              </w:rPr>
              <w:t xml:space="preserve">finansētu 2014.-2020.gada plānošanas perioda finanšu instrumentus </w:t>
            </w:r>
            <w:r w:rsidR="00426E88">
              <w:rPr>
                <w:sz w:val="26"/>
                <w:szCs w:val="26"/>
                <w:lang w:val="lv-LV"/>
              </w:rPr>
              <w:t>noteiktā</w:t>
            </w:r>
            <w:r w:rsidRPr="00426E88">
              <w:rPr>
                <w:sz w:val="26"/>
                <w:szCs w:val="26"/>
                <w:lang w:val="lv-LV"/>
              </w:rPr>
              <w:t xml:space="preserve"> apmērā. Saskaņā ar 2015.gada 30.jūnijā Ministru kabineta sēdē apstiprināto informatīvo ziņojumu „Par Baltijas Inovāciju fondu un finansējuma palielinājumu” periodā līdz 2028.gadam iemaksām Baltijas Inovāciju fondā vēl ir nepieciešams novirzīt atmaksāto finansējumu 24 407 100 </w:t>
            </w:r>
            <w:proofErr w:type="spellStart"/>
            <w:r w:rsidRPr="00426E88">
              <w:rPr>
                <w:i/>
                <w:sz w:val="26"/>
                <w:szCs w:val="26"/>
                <w:lang w:val="lv-LV"/>
              </w:rPr>
              <w:t>euro</w:t>
            </w:r>
            <w:proofErr w:type="spellEnd"/>
            <w:r w:rsidRPr="00426E88">
              <w:rPr>
                <w:sz w:val="26"/>
                <w:szCs w:val="26"/>
                <w:lang w:val="lv-LV"/>
              </w:rPr>
              <w:t xml:space="preserve"> apmērā. Savukārt tirgus nepilnību izvērtējums paredz 2007.-2013.gada plānošanas perioda finanšu instrumentos at</w:t>
            </w:r>
            <w:r w:rsidR="00426E88">
              <w:rPr>
                <w:sz w:val="26"/>
                <w:szCs w:val="26"/>
                <w:lang w:val="lv-LV"/>
              </w:rPr>
              <w:t>maksā publiskā finansējuma daļu</w:t>
            </w:r>
            <w:r w:rsidRPr="00426E88">
              <w:rPr>
                <w:sz w:val="26"/>
                <w:szCs w:val="26"/>
                <w:lang w:val="lv-LV"/>
              </w:rPr>
              <w:t xml:space="preserve"> 23 000 000 </w:t>
            </w:r>
            <w:proofErr w:type="spellStart"/>
            <w:r w:rsidRPr="00426E88">
              <w:rPr>
                <w:i/>
                <w:sz w:val="26"/>
                <w:szCs w:val="26"/>
                <w:lang w:val="lv-LV"/>
              </w:rPr>
              <w:t>euro</w:t>
            </w:r>
            <w:proofErr w:type="spellEnd"/>
            <w:r w:rsidRPr="00426E88">
              <w:rPr>
                <w:sz w:val="26"/>
                <w:szCs w:val="26"/>
                <w:lang w:val="lv-LV"/>
              </w:rPr>
              <w:t xml:space="preserve"> novirzīt finanšu instrumentu finansēšanai 2014.-2020.gada plānošanas periodā. EM apliecina, ka noteikumu projekts nerada riskus iemaksu Baltijas Inovāciju fondā veikšanai līdz 2028.gadam un 2014.-2020.gada plānošanas perioda finanšu instrumentu līdzfinansēšanai minētajā apmērā.  </w:t>
            </w:r>
          </w:p>
          <w:p w:rsidR="00AA07DE" w:rsidRPr="00426E88" w:rsidRDefault="00AA07DE" w:rsidP="00426E88">
            <w:pPr>
              <w:pStyle w:val="CommentText"/>
              <w:spacing w:after="240"/>
              <w:ind w:firstLine="708"/>
              <w:jc w:val="both"/>
              <w:rPr>
                <w:sz w:val="26"/>
                <w:szCs w:val="26"/>
                <w:lang w:val="lv-LV"/>
              </w:rPr>
            </w:pPr>
            <w:r w:rsidRPr="00426E88">
              <w:rPr>
                <w:sz w:val="26"/>
                <w:szCs w:val="26"/>
                <w:lang w:val="lv-LV"/>
              </w:rPr>
              <w:t xml:space="preserve">Publiskā finansējuma piešķīrums 45 000 000 </w:t>
            </w:r>
            <w:proofErr w:type="spellStart"/>
            <w:r w:rsidRPr="00426E88">
              <w:rPr>
                <w:i/>
                <w:sz w:val="26"/>
                <w:szCs w:val="26"/>
                <w:lang w:val="lv-LV"/>
              </w:rPr>
              <w:t>euro</w:t>
            </w:r>
            <w:proofErr w:type="spellEnd"/>
            <w:r w:rsidRPr="00426E88">
              <w:rPr>
                <w:sz w:val="26"/>
                <w:szCs w:val="26"/>
                <w:lang w:val="lv-LV"/>
              </w:rPr>
              <w:t xml:space="preserve"> apmērā izaugsmes kapitāla fondiem jau sākotnēji tika noteikts iepirkuma procedūras dokumentos</w:t>
            </w:r>
            <w:r w:rsidR="005E0427" w:rsidRPr="00426E88">
              <w:rPr>
                <w:sz w:val="26"/>
                <w:szCs w:val="26"/>
                <w:lang w:val="lv-LV"/>
              </w:rPr>
              <w:t xml:space="preserve"> (</w:t>
            </w:r>
            <w:r w:rsidR="005E0427" w:rsidRPr="00426E88">
              <w:rPr>
                <w:sz w:val="26"/>
                <w:szCs w:val="26"/>
                <w:u w:val="single"/>
                <w:lang w:val="lv-LV"/>
              </w:rPr>
              <w:t>Sarunu procedūras kandidātu atlases nolikumā, Tehniskajā specifikācijā (2.pielikums) un Uzaicinājumā iesniegt piedāvājumus)</w:t>
            </w:r>
            <w:r w:rsidR="005E0427" w:rsidRPr="00426E88">
              <w:rPr>
                <w:sz w:val="26"/>
                <w:szCs w:val="26"/>
                <w:lang w:val="lv-LV"/>
              </w:rPr>
              <w:t>. N</w:t>
            </w:r>
            <w:r w:rsidRPr="00426E88">
              <w:rPr>
                <w:sz w:val="26"/>
                <w:szCs w:val="26"/>
                <w:lang w:val="lv-LV"/>
              </w:rPr>
              <w:t>oteikumu projekts neparedz ietekmi uz sākuma kapitāla un riska kapitāla fondu</w:t>
            </w:r>
            <w:r w:rsidR="005E0427" w:rsidRPr="00426E88">
              <w:rPr>
                <w:sz w:val="26"/>
                <w:szCs w:val="26"/>
                <w:lang w:val="lv-LV"/>
              </w:rPr>
              <w:t xml:space="preserve">, kas darbojas un investīcijas veic atbilstoši MK noteikumiem Nr.983, publiskā finansējuma piešķīruma apmēru. Ņemot vērā minēto, noteikumu projekts nodrošina, ka tiek ievērots </w:t>
            </w:r>
            <w:r w:rsidRPr="00426E88">
              <w:rPr>
                <w:sz w:val="26"/>
                <w:szCs w:val="26"/>
                <w:lang w:val="lv-LV"/>
              </w:rPr>
              <w:t xml:space="preserve">Komisijas 2014.gada 17.jūnija Regulas (ES) Nr. </w:t>
            </w:r>
            <w:hyperlink r:id="rId9" w:tgtFrame="_blank" w:history="1">
              <w:r w:rsidRPr="00426E88">
                <w:rPr>
                  <w:sz w:val="26"/>
                  <w:szCs w:val="26"/>
                  <w:lang w:val="lv-LV"/>
                </w:rPr>
                <w:t>651/2014</w:t>
              </w:r>
            </w:hyperlink>
            <w:r w:rsidRPr="00426E88">
              <w:rPr>
                <w:sz w:val="26"/>
                <w:szCs w:val="26"/>
                <w:lang w:val="lv-LV"/>
              </w:rPr>
              <w:t xml:space="preserve">, ar ko noteiktas atbalsta kategorijas atzīst par saderīgām ar iekšējo tirgu, piemērojot Līguma 107. un 108. pantu (turpmāk – Komisijas Regula Nr. </w:t>
            </w:r>
            <w:hyperlink r:id="rId10" w:tgtFrame="_blank" w:history="1">
              <w:r w:rsidRPr="00426E88">
                <w:rPr>
                  <w:sz w:val="26"/>
                  <w:szCs w:val="26"/>
                  <w:lang w:val="lv-LV"/>
                </w:rPr>
                <w:t>651/2014</w:t>
              </w:r>
            </w:hyperlink>
            <w:r w:rsidRPr="00426E88">
              <w:rPr>
                <w:sz w:val="26"/>
                <w:szCs w:val="26"/>
                <w:lang w:val="lv-LV"/>
              </w:rPr>
              <w:t xml:space="preserve">) (Eiropas Savienības Oficiālais Vēstnesis, 2014. gada 26. jūnijs, Nr. L 187) 58.panta 3.punktā </w:t>
            </w:r>
            <w:r w:rsidR="005E0427" w:rsidRPr="00426E88">
              <w:rPr>
                <w:sz w:val="26"/>
                <w:szCs w:val="26"/>
                <w:lang w:val="lv-LV"/>
              </w:rPr>
              <w:t>noteiktais.</w:t>
            </w:r>
          </w:p>
          <w:p w:rsidR="00651735" w:rsidRDefault="00651735" w:rsidP="00426E88">
            <w:pPr>
              <w:spacing w:after="240"/>
              <w:ind w:firstLine="708"/>
              <w:jc w:val="both"/>
              <w:rPr>
                <w:sz w:val="26"/>
                <w:szCs w:val="26"/>
                <w:lang w:val="lv-LV"/>
              </w:rPr>
            </w:pPr>
            <w:r w:rsidRPr="003A7FFD">
              <w:rPr>
                <w:sz w:val="26"/>
                <w:szCs w:val="26"/>
                <w:lang w:val="lv-LV"/>
              </w:rPr>
              <w:t xml:space="preserve">Lai </w:t>
            </w:r>
            <w:r>
              <w:rPr>
                <w:sz w:val="26"/>
                <w:szCs w:val="26"/>
                <w:lang w:val="lv-LV"/>
              </w:rPr>
              <w:t xml:space="preserve">ievērotu </w:t>
            </w:r>
            <w:r w:rsidR="00426E88">
              <w:rPr>
                <w:sz w:val="26"/>
                <w:szCs w:val="26"/>
                <w:lang w:val="lv-LV"/>
              </w:rPr>
              <w:t>Eiropas Komisijas</w:t>
            </w:r>
            <w:r w:rsidRPr="00E9367D">
              <w:rPr>
                <w:sz w:val="26"/>
                <w:szCs w:val="26"/>
                <w:lang w:val="lv-LV"/>
              </w:rPr>
              <w:t xml:space="preserve"> 2015.gada 30.aprīļa pielikum</w:t>
            </w:r>
            <w:r>
              <w:rPr>
                <w:sz w:val="26"/>
                <w:szCs w:val="26"/>
                <w:lang w:val="lv-LV"/>
              </w:rPr>
              <w:t>a</w:t>
            </w:r>
            <w:r w:rsidRPr="00E9367D">
              <w:rPr>
                <w:sz w:val="26"/>
                <w:szCs w:val="26"/>
                <w:lang w:val="lv-LV"/>
              </w:rPr>
              <w:t xml:space="preserve"> </w:t>
            </w:r>
            <w:proofErr w:type="spellStart"/>
            <w:r w:rsidRPr="00E9367D">
              <w:rPr>
                <w:sz w:val="26"/>
                <w:szCs w:val="26"/>
                <w:lang w:val="lv-LV"/>
              </w:rPr>
              <w:t>Nr.C</w:t>
            </w:r>
            <w:proofErr w:type="spellEnd"/>
            <w:r w:rsidR="007E75CA">
              <w:rPr>
                <w:sz w:val="26"/>
                <w:szCs w:val="26"/>
                <w:lang w:val="lv-LV"/>
              </w:rPr>
              <w:t xml:space="preserve"> </w:t>
            </w:r>
            <w:r w:rsidRPr="00E9367D">
              <w:rPr>
                <w:sz w:val="26"/>
                <w:szCs w:val="26"/>
                <w:lang w:val="lv-LV"/>
              </w:rPr>
              <w:t>(2015) 2771 Komisijas lēmumam</w:t>
            </w:r>
            <w:r>
              <w:rPr>
                <w:sz w:val="26"/>
                <w:szCs w:val="26"/>
                <w:lang w:val="lv-LV"/>
              </w:rPr>
              <w:t>,</w:t>
            </w:r>
            <w:r w:rsidRPr="00E9367D">
              <w:rPr>
                <w:sz w:val="26"/>
                <w:szCs w:val="26"/>
                <w:lang w:val="lv-LV"/>
              </w:rPr>
              <w:t xml:space="preserve"> ar kuru groza Lēmumu </w:t>
            </w:r>
            <w:proofErr w:type="spellStart"/>
            <w:r w:rsidRPr="00E9367D">
              <w:rPr>
                <w:sz w:val="26"/>
                <w:szCs w:val="26"/>
                <w:lang w:val="lv-LV"/>
              </w:rPr>
              <w:t>Nr.C</w:t>
            </w:r>
            <w:proofErr w:type="spellEnd"/>
            <w:r w:rsidR="007E75CA">
              <w:rPr>
                <w:sz w:val="26"/>
                <w:szCs w:val="26"/>
                <w:lang w:val="lv-LV"/>
              </w:rPr>
              <w:t xml:space="preserve"> </w:t>
            </w:r>
            <w:r w:rsidRPr="00E9367D">
              <w:rPr>
                <w:sz w:val="26"/>
                <w:szCs w:val="26"/>
                <w:lang w:val="lv-LV"/>
              </w:rPr>
              <w:t>(2013) 1573, ar ko apstiprina pamatnostādnes par to darbības programmu slēgšanu, kuras pieņemtas atbalsta saņemšanai no Eiropas Reģionālās attīstības fonda, Eiropas Sociālā fonda un Kohēzijas fonda (2007-2013)</w:t>
            </w:r>
            <w:r>
              <w:rPr>
                <w:sz w:val="26"/>
                <w:szCs w:val="26"/>
                <w:lang w:val="lv-LV"/>
              </w:rPr>
              <w:t xml:space="preserve"> 3.6</w:t>
            </w:r>
            <w:r w:rsidR="007E75CA">
              <w:rPr>
                <w:sz w:val="26"/>
                <w:szCs w:val="26"/>
                <w:lang w:val="lv-LV"/>
              </w:rPr>
              <w:t>.</w:t>
            </w:r>
            <w:r>
              <w:rPr>
                <w:sz w:val="26"/>
                <w:szCs w:val="26"/>
                <w:lang w:val="lv-LV"/>
              </w:rPr>
              <w:t xml:space="preserve">punktu un </w:t>
            </w:r>
            <w:r w:rsidRPr="003A7FFD">
              <w:rPr>
                <w:sz w:val="26"/>
                <w:szCs w:val="26"/>
                <w:lang w:val="lv-LV"/>
              </w:rPr>
              <w:t xml:space="preserve">veicinātu papildus kvalitatīvas investīcijas Latvijas ekonomikā, mazinātu 2007.-2013.gada plānošanas perioda publiskā </w:t>
            </w:r>
            <w:r w:rsidRPr="003A7FFD">
              <w:rPr>
                <w:sz w:val="26"/>
                <w:szCs w:val="26"/>
                <w:lang w:val="lv-LV"/>
              </w:rPr>
              <w:lastRenderedPageBreak/>
              <w:t xml:space="preserve">finansējuma </w:t>
            </w:r>
            <w:proofErr w:type="spellStart"/>
            <w:r w:rsidRPr="003A7FFD">
              <w:rPr>
                <w:sz w:val="26"/>
                <w:szCs w:val="26"/>
                <w:lang w:val="lv-LV"/>
              </w:rPr>
              <w:t>neapguves</w:t>
            </w:r>
            <w:proofErr w:type="spellEnd"/>
            <w:r w:rsidRPr="003A7FFD">
              <w:rPr>
                <w:sz w:val="26"/>
                <w:szCs w:val="26"/>
                <w:lang w:val="lv-LV"/>
              </w:rPr>
              <w:t xml:space="preserve"> riskus, nodrošinātu riska kapitāla investīciju pieejamīb</w:t>
            </w:r>
            <w:r>
              <w:rPr>
                <w:sz w:val="26"/>
                <w:szCs w:val="26"/>
                <w:lang w:val="lv-LV"/>
              </w:rPr>
              <w:t>u</w:t>
            </w:r>
            <w:r w:rsidRPr="003A7FFD">
              <w:rPr>
                <w:sz w:val="26"/>
                <w:szCs w:val="26"/>
                <w:lang w:val="lv-LV"/>
              </w:rPr>
              <w:t xml:space="preserve"> komersantiem līdz jaunu riska kapitāla instrumentu ieviešanai un investīciju perioda uzsākšanai 2014.-2020.gada plānoša</w:t>
            </w:r>
            <w:r w:rsidR="00426E88">
              <w:rPr>
                <w:sz w:val="26"/>
                <w:szCs w:val="26"/>
                <w:lang w:val="lv-LV"/>
              </w:rPr>
              <w:t>nas periodā, virzītie grozījumi</w:t>
            </w:r>
            <w:r w:rsidRPr="003A7FFD">
              <w:rPr>
                <w:sz w:val="26"/>
                <w:szCs w:val="26"/>
                <w:lang w:val="lv-LV"/>
              </w:rPr>
              <w:t xml:space="preserve"> MK noteikumos Nr.983 paredz pagarināt ERAF, valsts budžeta finansējuma un ieņēmumu no brīvo publisko līdzekļu noguldījumiem 2.2.1.1.aktivitātē izmantošanas termiņu, to nosakot 2016.gada 31.oktobri</w:t>
            </w:r>
            <w:r>
              <w:rPr>
                <w:sz w:val="26"/>
                <w:szCs w:val="26"/>
                <w:lang w:val="lv-LV"/>
              </w:rPr>
              <w:t>. N</w:t>
            </w:r>
            <w:r w:rsidRPr="003A7FFD">
              <w:rPr>
                <w:sz w:val="26"/>
                <w:szCs w:val="26"/>
                <w:lang w:val="lv-LV"/>
              </w:rPr>
              <w:t>oteikumu projekts paredz papildināt MK noteikumus Nr.818 ar jaunu punktu, nosakot 2.2.1.1.aktivitātes īstenošanas termiņu 2016.gada 31.oktobri</w:t>
            </w:r>
            <w:r>
              <w:rPr>
                <w:sz w:val="26"/>
                <w:szCs w:val="26"/>
                <w:lang w:val="lv-LV"/>
              </w:rPr>
              <w:t>,</w:t>
            </w:r>
            <w:r w:rsidRPr="003A7FFD">
              <w:rPr>
                <w:sz w:val="26"/>
                <w:szCs w:val="26"/>
                <w:lang w:val="lv-LV"/>
              </w:rPr>
              <w:t xml:space="preserve"> </w:t>
            </w:r>
            <w:r>
              <w:rPr>
                <w:sz w:val="26"/>
                <w:szCs w:val="26"/>
                <w:lang w:val="lv-LV"/>
              </w:rPr>
              <w:t>l</w:t>
            </w:r>
            <w:r w:rsidRPr="003A7FFD">
              <w:rPr>
                <w:sz w:val="26"/>
                <w:szCs w:val="26"/>
                <w:lang w:val="lv-LV"/>
              </w:rPr>
              <w:t>ai nodrošinātu, ka 2.2.1.1.aktivitātē no ERAF, valsts budžeta finansējuma un ieņēmumiem no brīvo publisko līdzekļu noguldījumiem var tikt finansētas attiecinā</w:t>
            </w:r>
            <w:r w:rsidR="007E75CA">
              <w:rPr>
                <w:sz w:val="26"/>
                <w:szCs w:val="26"/>
                <w:lang w:val="lv-LV"/>
              </w:rPr>
              <w:t>m</w:t>
            </w:r>
            <w:r w:rsidRPr="003A7FFD">
              <w:rPr>
                <w:sz w:val="26"/>
                <w:szCs w:val="26"/>
                <w:lang w:val="lv-LV"/>
              </w:rPr>
              <w:t>ās izmaksas, kas radušās 2.2.1.1.aktivitātē periodā līdz 2016.gada 31.oktobrim, un nodrošinātu MK noteikumu Nr.983 un MK noteikumu Nr.818 savstarpēju atbilstību</w:t>
            </w:r>
            <w:r>
              <w:rPr>
                <w:sz w:val="26"/>
                <w:szCs w:val="26"/>
                <w:lang w:val="lv-LV"/>
              </w:rPr>
              <w:t>.</w:t>
            </w:r>
            <w:r w:rsidR="00CA24A1">
              <w:rPr>
                <w:sz w:val="26"/>
                <w:szCs w:val="26"/>
                <w:lang w:val="lv-LV"/>
              </w:rPr>
              <w:t xml:space="preserve"> </w:t>
            </w:r>
            <w:r w:rsidR="00CA24A1" w:rsidRPr="00426E88">
              <w:rPr>
                <w:sz w:val="26"/>
                <w:szCs w:val="26"/>
                <w:lang w:val="lv-LV"/>
              </w:rPr>
              <w:t>Ņemot vērā noteikumu projektā paredzētā 2.2.1.1.aktivitātes īstenošanas termiņa pagarinājumu, lai nodrošinātu pietiekošu laiku Revīzijas un Sertifikācijai iestādēm</w:t>
            </w:r>
            <w:r w:rsidR="00F5032D" w:rsidRPr="00426E88">
              <w:rPr>
                <w:sz w:val="26"/>
                <w:szCs w:val="26"/>
                <w:lang w:val="lv-LV"/>
              </w:rPr>
              <w:t xml:space="preserve"> nepieciešamajām darbībām</w:t>
            </w:r>
            <w:r w:rsidR="00CA24A1" w:rsidRPr="00426E88">
              <w:rPr>
                <w:sz w:val="26"/>
                <w:szCs w:val="26"/>
                <w:lang w:val="lv-LV"/>
              </w:rPr>
              <w:t xml:space="preserve"> 2007.-2013.gada plānošanas perioda slēgšanai, EM nodrošinās savlaicīgu EM kompetencē esošo un perioda slēgšanai nepieciešamo darbību veikšanu, tostarp noslēguma pārskata apstiprināšanu</w:t>
            </w:r>
            <w:r w:rsidR="00F5032D" w:rsidRPr="00426E88">
              <w:rPr>
                <w:sz w:val="26"/>
                <w:szCs w:val="26"/>
                <w:lang w:val="lv-LV"/>
              </w:rPr>
              <w:t>,</w:t>
            </w:r>
            <w:r w:rsidR="00CA24A1" w:rsidRPr="00426E88">
              <w:rPr>
                <w:sz w:val="26"/>
                <w:szCs w:val="26"/>
                <w:lang w:val="lv-LV"/>
              </w:rPr>
              <w:t xml:space="preserve"> līdz </w:t>
            </w:r>
            <w:r w:rsidR="00CA24A1" w:rsidRPr="00426E88">
              <w:rPr>
                <w:sz w:val="26"/>
                <w:szCs w:val="26"/>
                <w:u w:val="single"/>
                <w:lang w:val="lv-LV"/>
              </w:rPr>
              <w:t>201</w:t>
            </w:r>
            <w:r w:rsidR="00426E88">
              <w:rPr>
                <w:sz w:val="26"/>
                <w:szCs w:val="26"/>
                <w:u w:val="single"/>
                <w:lang w:val="lv-LV"/>
              </w:rPr>
              <w:t>6</w:t>
            </w:r>
            <w:r w:rsidR="00CA24A1" w:rsidRPr="00426E88">
              <w:rPr>
                <w:sz w:val="26"/>
                <w:szCs w:val="26"/>
                <w:u w:val="single"/>
                <w:lang w:val="lv-LV"/>
              </w:rPr>
              <w:t>.gada 30.decembrim.</w:t>
            </w:r>
          </w:p>
          <w:p w:rsidR="00651735" w:rsidRDefault="00651735" w:rsidP="00426E88">
            <w:pPr>
              <w:spacing w:after="240"/>
              <w:ind w:firstLine="708"/>
              <w:jc w:val="both"/>
              <w:rPr>
                <w:sz w:val="26"/>
                <w:szCs w:val="26"/>
                <w:lang w:val="lv-LV"/>
              </w:rPr>
            </w:pPr>
            <w:r>
              <w:rPr>
                <w:sz w:val="26"/>
                <w:szCs w:val="26"/>
                <w:lang w:val="lv-LV"/>
              </w:rPr>
              <w:t>Izdevumi, kas 2.2.1.1.aktivitātē finansēti no 2.2.1.3.aktivitātē</w:t>
            </w:r>
            <w:r w:rsidR="00CA7C09">
              <w:rPr>
                <w:sz w:val="26"/>
                <w:szCs w:val="26"/>
                <w:lang w:val="lv-LV"/>
              </w:rPr>
              <w:t xml:space="preserve"> un 2.2.1.4.1.aktivitātē</w:t>
            </w:r>
            <w:r>
              <w:rPr>
                <w:sz w:val="26"/>
                <w:szCs w:val="26"/>
                <w:lang w:val="lv-LV"/>
              </w:rPr>
              <w:t xml:space="preserve"> atmaksātā publiskā finansējuma, netiks deklarēti Eiropas Komisijai, attiecīgi noteikumu projekts paredz papildināt MK noteikumus Nr.818 ar jaunu 16.’ punktu.</w:t>
            </w:r>
          </w:p>
          <w:p w:rsidR="007E57CB" w:rsidRPr="004F7E1F" w:rsidRDefault="007E57CB" w:rsidP="00E61A56">
            <w:pPr>
              <w:spacing w:after="240"/>
              <w:ind w:firstLine="709"/>
              <w:jc w:val="both"/>
              <w:rPr>
                <w:sz w:val="26"/>
                <w:szCs w:val="26"/>
                <w:lang w:val="lv-LV"/>
              </w:rPr>
            </w:pPr>
            <w:r w:rsidRPr="004F7E1F">
              <w:rPr>
                <w:sz w:val="26"/>
                <w:szCs w:val="26"/>
                <w:lang w:val="lv-LV"/>
              </w:rPr>
              <w:t>MK</w:t>
            </w:r>
            <w:r w:rsidR="0001461B" w:rsidRPr="004F7E1F">
              <w:rPr>
                <w:sz w:val="26"/>
                <w:szCs w:val="26"/>
                <w:lang w:val="lv-LV"/>
              </w:rPr>
              <w:t xml:space="preserve"> noteikumu Nr.818 3.</w:t>
            </w:r>
            <w:r w:rsidRPr="004F7E1F">
              <w:rPr>
                <w:sz w:val="26"/>
                <w:szCs w:val="26"/>
                <w:lang w:val="lv-LV"/>
              </w:rPr>
              <w:t xml:space="preserve"> un 4.punktā iznākuma un rezultatīv</w:t>
            </w:r>
            <w:r w:rsidR="0001461B" w:rsidRPr="004F7E1F">
              <w:rPr>
                <w:sz w:val="26"/>
                <w:szCs w:val="26"/>
                <w:lang w:val="lv-LV"/>
              </w:rPr>
              <w:t>o</w:t>
            </w:r>
            <w:r w:rsidRPr="004F7E1F">
              <w:rPr>
                <w:sz w:val="26"/>
                <w:szCs w:val="26"/>
                <w:lang w:val="lv-LV"/>
              </w:rPr>
              <w:t xml:space="preserve"> rādītāj</w:t>
            </w:r>
            <w:r w:rsidR="0001461B" w:rsidRPr="004F7E1F">
              <w:rPr>
                <w:sz w:val="26"/>
                <w:szCs w:val="26"/>
                <w:lang w:val="lv-LV"/>
              </w:rPr>
              <w:t>u sasniegšanas termiņš ir noteikts 2013.gads, ņemot vērā sākotnēji 2007.-2013.gada plānošanas perioda 2.2.1.1.aktivitātei noteikto īstenošanas termiņu. Līdzšinēji</w:t>
            </w:r>
            <w:r w:rsidR="006012DD" w:rsidRPr="004F7E1F">
              <w:rPr>
                <w:sz w:val="26"/>
                <w:szCs w:val="26"/>
                <w:lang w:val="lv-LV"/>
              </w:rPr>
              <w:t xml:space="preserve"> </w:t>
            </w:r>
            <w:r w:rsidR="004F7E1F" w:rsidRPr="004F7E1F">
              <w:rPr>
                <w:sz w:val="26"/>
                <w:szCs w:val="26"/>
                <w:lang w:val="lv-LV"/>
              </w:rPr>
              <w:t xml:space="preserve">iznākuma un rezultatīvie </w:t>
            </w:r>
            <w:r w:rsidR="0001461B" w:rsidRPr="004F7E1F">
              <w:rPr>
                <w:sz w:val="26"/>
                <w:szCs w:val="26"/>
                <w:lang w:val="lv-LV"/>
              </w:rPr>
              <w:t xml:space="preserve">rādītāji tiek uzskaitīti </w:t>
            </w:r>
            <w:r w:rsidR="006012DD" w:rsidRPr="004F7E1F">
              <w:rPr>
                <w:sz w:val="26"/>
                <w:szCs w:val="26"/>
                <w:lang w:val="lv-LV"/>
              </w:rPr>
              <w:t>2.2.1.1.aktivitātes īstenošanas periodā</w:t>
            </w:r>
            <w:r w:rsidR="004F7E1F" w:rsidRPr="004F7E1F">
              <w:rPr>
                <w:sz w:val="26"/>
                <w:szCs w:val="26"/>
                <w:lang w:val="lv-LV"/>
              </w:rPr>
              <w:t>, tajā skaitā pēc 2013.gada</w:t>
            </w:r>
            <w:r w:rsidR="006012DD" w:rsidRPr="004F7E1F">
              <w:rPr>
                <w:sz w:val="26"/>
                <w:szCs w:val="26"/>
                <w:lang w:val="lv-LV"/>
              </w:rPr>
              <w:t>.</w:t>
            </w:r>
            <w:r w:rsidRPr="004F7E1F">
              <w:rPr>
                <w:sz w:val="26"/>
                <w:szCs w:val="26"/>
                <w:lang w:val="lv-LV"/>
              </w:rPr>
              <w:t xml:space="preserve"> </w:t>
            </w:r>
            <w:r w:rsidR="004F7E1F" w:rsidRPr="004F7E1F">
              <w:rPr>
                <w:sz w:val="26"/>
                <w:szCs w:val="26"/>
                <w:lang w:val="lv-LV"/>
              </w:rPr>
              <w:t xml:space="preserve">Lai nodrošinātu, ka rādītāju uzskaite ir atbilstoša MK noteikumu Nr.818 noteiktajam 2.2.1.1.aktivitātes īstenošanas termiņam, </w:t>
            </w:r>
            <w:r w:rsidRPr="004F7E1F">
              <w:rPr>
                <w:sz w:val="26"/>
                <w:szCs w:val="26"/>
                <w:lang w:val="lv-LV"/>
              </w:rPr>
              <w:t>noteikumu pr</w:t>
            </w:r>
            <w:r w:rsidR="004F7E1F" w:rsidRPr="004F7E1F">
              <w:rPr>
                <w:sz w:val="26"/>
                <w:szCs w:val="26"/>
                <w:lang w:val="lv-LV"/>
              </w:rPr>
              <w:t>ojekt</w:t>
            </w:r>
            <w:r w:rsidRPr="004F7E1F">
              <w:rPr>
                <w:sz w:val="26"/>
                <w:szCs w:val="26"/>
                <w:lang w:val="lv-LV"/>
              </w:rPr>
              <w:t xml:space="preserve">s paredz noteikt, ka </w:t>
            </w:r>
            <w:r w:rsidR="004F7E1F" w:rsidRPr="004F7E1F">
              <w:rPr>
                <w:sz w:val="26"/>
                <w:szCs w:val="26"/>
                <w:lang w:val="lv-LV"/>
              </w:rPr>
              <w:t xml:space="preserve">definētie iznākuma un rezultatīvie rādītāji </w:t>
            </w:r>
            <w:r w:rsidRPr="004F7E1F">
              <w:rPr>
                <w:sz w:val="26"/>
                <w:szCs w:val="26"/>
                <w:lang w:val="lv-LV"/>
              </w:rPr>
              <w:t xml:space="preserve">jāsasniedz līdz </w:t>
            </w:r>
            <w:r w:rsidR="004F7E1F">
              <w:rPr>
                <w:sz w:val="26"/>
                <w:szCs w:val="26"/>
                <w:lang w:val="lv-LV"/>
              </w:rPr>
              <w:t>2.2.1.1.</w:t>
            </w:r>
            <w:r w:rsidR="004F7E1F" w:rsidRPr="004F7E1F">
              <w:rPr>
                <w:sz w:val="26"/>
                <w:szCs w:val="26"/>
                <w:lang w:val="lv-LV"/>
              </w:rPr>
              <w:t xml:space="preserve">aktivitātes īstenošanas gala termiņam - </w:t>
            </w:r>
            <w:r w:rsidRPr="004F7E1F">
              <w:rPr>
                <w:sz w:val="26"/>
                <w:szCs w:val="26"/>
                <w:lang w:val="lv-LV"/>
              </w:rPr>
              <w:t>2016.gada 31.oktobrim</w:t>
            </w:r>
            <w:r w:rsidR="004F7E1F" w:rsidRPr="004F7E1F">
              <w:rPr>
                <w:sz w:val="26"/>
                <w:szCs w:val="26"/>
                <w:lang w:val="lv-LV"/>
              </w:rPr>
              <w:t>.</w:t>
            </w:r>
          </w:p>
          <w:p w:rsidR="00672D70" w:rsidRPr="005A7B9C" w:rsidRDefault="00E143E2" w:rsidP="007E57CB">
            <w:pPr>
              <w:spacing w:after="240"/>
              <w:ind w:firstLine="709"/>
              <w:jc w:val="both"/>
              <w:rPr>
                <w:sz w:val="26"/>
                <w:szCs w:val="26"/>
                <w:lang w:val="lv-LV"/>
              </w:rPr>
            </w:pPr>
            <w:r>
              <w:rPr>
                <w:sz w:val="26"/>
                <w:szCs w:val="26"/>
                <w:lang w:val="lv-LV"/>
              </w:rPr>
              <w:t xml:space="preserve">MK noteikumu Nr.818 23.3.punkts (finanšu starpniekiem) un 23.8.1.punkts (komersantiem) nosaka dokumentu glabāšanas termiņu 2021.gada 31.decembri. Lai nodrošinātu, ka tiek ievērots </w:t>
            </w:r>
            <w:r w:rsidR="00AA106F" w:rsidRPr="00AA106F">
              <w:rPr>
                <w:sz w:val="26"/>
                <w:szCs w:val="26"/>
                <w:lang w:val="lv-LV"/>
              </w:rPr>
              <w:t xml:space="preserve">Komisijas 2013.gada 18.decembra Regulas (ES) Nr.1407/2013 </w:t>
            </w:r>
            <w:r w:rsidR="00AA106F" w:rsidRPr="00AA106F">
              <w:rPr>
                <w:sz w:val="26"/>
                <w:szCs w:val="26"/>
                <w:lang w:val="lv-LV"/>
              </w:rPr>
              <w:lastRenderedPageBreak/>
              <w:t xml:space="preserve">par Līguma par Eiropas </w:t>
            </w:r>
            <w:r w:rsidR="008743AC">
              <w:rPr>
                <w:sz w:val="26"/>
                <w:szCs w:val="26"/>
                <w:lang w:val="lv-LV"/>
              </w:rPr>
              <w:t>Savienības darbību 107. un 108.</w:t>
            </w:r>
            <w:r w:rsidR="00AA106F" w:rsidRPr="00AA106F">
              <w:rPr>
                <w:sz w:val="26"/>
                <w:szCs w:val="26"/>
                <w:lang w:val="lv-LV"/>
              </w:rPr>
              <w:t xml:space="preserve">panta piemērošanu </w:t>
            </w:r>
            <w:proofErr w:type="spellStart"/>
            <w:r w:rsidR="00AA106F" w:rsidRPr="00AA106F">
              <w:rPr>
                <w:i/>
                <w:sz w:val="26"/>
                <w:szCs w:val="26"/>
                <w:lang w:val="lv-LV"/>
              </w:rPr>
              <w:t>de</w:t>
            </w:r>
            <w:proofErr w:type="spellEnd"/>
            <w:r w:rsidR="00AA106F" w:rsidRPr="00AA106F">
              <w:rPr>
                <w:i/>
                <w:sz w:val="26"/>
                <w:szCs w:val="26"/>
                <w:lang w:val="lv-LV"/>
              </w:rPr>
              <w:t xml:space="preserve"> </w:t>
            </w:r>
            <w:proofErr w:type="spellStart"/>
            <w:r w:rsidR="00AA106F" w:rsidRPr="00AA106F">
              <w:rPr>
                <w:i/>
                <w:sz w:val="26"/>
                <w:szCs w:val="26"/>
                <w:lang w:val="lv-LV"/>
              </w:rPr>
              <w:t>minimis</w:t>
            </w:r>
            <w:proofErr w:type="spellEnd"/>
            <w:r w:rsidR="00AA106F" w:rsidRPr="00AA106F">
              <w:rPr>
                <w:sz w:val="26"/>
                <w:szCs w:val="26"/>
                <w:lang w:val="lv-LV"/>
              </w:rPr>
              <w:t xml:space="preserve"> atbalstam (turpmāk – Regula Nr.1407/2013) 6.panta 4.punkt</w:t>
            </w:r>
            <w:r w:rsidRPr="00E143E2">
              <w:rPr>
                <w:sz w:val="26"/>
                <w:szCs w:val="26"/>
                <w:lang w:val="lv-LV"/>
              </w:rPr>
              <w:t>ā noteiktais</w:t>
            </w:r>
            <w:r w:rsidR="008743AC">
              <w:rPr>
                <w:sz w:val="26"/>
                <w:szCs w:val="26"/>
                <w:lang w:val="lv-LV"/>
              </w:rPr>
              <w:t xml:space="preserve"> un Komisijas 2014. gada 17.</w:t>
            </w:r>
            <w:r w:rsidR="00AA106F" w:rsidRPr="00AA106F">
              <w:rPr>
                <w:sz w:val="26"/>
                <w:szCs w:val="26"/>
                <w:lang w:val="lv-LV"/>
              </w:rPr>
              <w:t>jūnija Regulas (ES) Nr. 651/2014, ar ko noteiktas atbalsta kategorijas atzīst par saderīgām ar iekšējo tirgu, piemērojot Līguma 107. un 108. pantu (turpmāk – Regula Nr.651/2014) 12.pant</w:t>
            </w:r>
            <w:r w:rsidRPr="00E143E2">
              <w:rPr>
                <w:sz w:val="26"/>
                <w:szCs w:val="26"/>
                <w:lang w:val="lv-LV"/>
              </w:rPr>
              <w:t>ā noteiktais attiecībā uz</w:t>
            </w:r>
            <w:r w:rsidR="00AA106F" w:rsidRPr="00AA106F">
              <w:rPr>
                <w:sz w:val="26"/>
                <w:szCs w:val="26"/>
                <w:lang w:val="lv-LV"/>
              </w:rPr>
              <w:t xml:space="preserve"> dokumentu glabāšanas termiņu</w:t>
            </w:r>
            <w:r w:rsidRPr="00E143E2">
              <w:rPr>
                <w:sz w:val="26"/>
                <w:szCs w:val="26"/>
                <w:lang w:val="lv-LV"/>
              </w:rPr>
              <w:t xml:space="preserve">, noteikumu projekts </w:t>
            </w:r>
            <w:r w:rsidR="008743AC">
              <w:rPr>
                <w:sz w:val="26"/>
                <w:szCs w:val="26"/>
                <w:lang w:val="lv-LV"/>
              </w:rPr>
              <w:t xml:space="preserve">paredz noteikt </w:t>
            </w:r>
            <w:r w:rsidRPr="00E143E2">
              <w:rPr>
                <w:sz w:val="26"/>
                <w:szCs w:val="26"/>
                <w:lang w:val="lv-LV"/>
              </w:rPr>
              <w:t xml:space="preserve">dokumentu glabāšanas termiņu 10 gadus </w:t>
            </w:r>
            <w:r w:rsidR="008743AC" w:rsidRPr="008743AC">
              <w:rPr>
                <w:sz w:val="26"/>
                <w:szCs w:val="26"/>
                <w:lang w:val="lv-LV"/>
              </w:rPr>
              <w:t>kopš dienas, kad piešķirts pēdējais atbalsts.</w:t>
            </w:r>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667456" w:rsidP="003C77AE">
            <w:pPr>
              <w:spacing w:after="240"/>
              <w:ind w:firstLine="709"/>
              <w:jc w:val="both"/>
              <w:rPr>
                <w:sz w:val="26"/>
                <w:szCs w:val="26"/>
                <w:lang w:val="lv-LV"/>
              </w:rPr>
            </w:pPr>
            <w:proofErr w:type="spellStart"/>
            <w:r>
              <w:rPr>
                <w:sz w:val="26"/>
                <w:szCs w:val="26"/>
                <w:lang w:val="lv-LV"/>
              </w:rPr>
              <w:t>Altum</w:t>
            </w:r>
            <w:proofErr w:type="spellEnd"/>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3C77AE">
            <w:pPr>
              <w:spacing w:after="240"/>
              <w:ind w:firstLine="709"/>
              <w:jc w:val="both"/>
              <w:rPr>
                <w:sz w:val="26"/>
                <w:szCs w:val="26"/>
                <w:lang w:val="lv-LV"/>
              </w:rPr>
            </w:pPr>
            <w:r w:rsidRPr="003C77AE">
              <w:rPr>
                <w:sz w:val="26"/>
                <w:szCs w:val="26"/>
                <w:lang w:val="lv-LV"/>
              </w:rPr>
              <w:t>Nav</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11"/>
          <w:footerReference w:type="default" r:id="rId12"/>
          <w:footerReference w:type="first" r:id="rId13"/>
          <w:pgSz w:w="11906" w:h="16838"/>
          <w:pgMar w:top="1418" w:right="1134" w:bottom="1134" w:left="1701" w:header="709" w:footer="709" w:gutter="0"/>
          <w:cols w:space="708"/>
          <w:titlePg/>
          <w:docGrid w:linePitch="360"/>
        </w:sectPr>
      </w:pPr>
    </w:p>
    <w:p w:rsidR="00AB4C36" w:rsidRDefault="00AB4C36" w:rsidP="00F22471">
      <w:pPr>
        <w:jc w:val="both"/>
        <w:rPr>
          <w:rFonts w:eastAsia="Times New Roman"/>
          <w:sz w:val="26"/>
          <w:szCs w:val="26"/>
          <w:lang w:val="lv-LV" w:eastAsia="lv-LV"/>
        </w:rPr>
      </w:pPr>
    </w:p>
    <w:p w:rsidR="00607DEC" w:rsidRPr="005A7B9C" w:rsidRDefault="00607DEC" w:rsidP="00F22471">
      <w:pPr>
        <w:jc w:val="both"/>
        <w:rPr>
          <w:rFonts w:eastAsia="Times New Roman"/>
          <w:sz w:val="26"/>
          <w:szCs w:val="26"/>
          <w:lang w:val="lv-LV" w:eastAsia="lv-LV"/>
        </w:rPr>
        <w:sectPr w:rsidR="00607DEC" w:rsidRPr="005A7B9C" w:rsidSect="00C97F6E">
          <w:type w:val="continuous"/>
          <w:pgSz w:w="11906" w:h="16838"/>
          <w:pgMar w:top="1418" w:right="1134" w:bottom="1134" w:left="1701" w:header="709" w:footer="709" w:gutter="0"/>
          <w:cols w:space="708"/>
          <w:titlePg/>
          <w:docGrid w:linePitch="360"/>
        </w:sect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3C77AE" w:rsidRPr="003E5A6D" w:rsidTr="003C77AE">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3C77AE">
            <w:pPr>
              <w:ind w:firstLine="720"/>
              <w:jc w:val="both"/>
              <w:rPr>
                <w:rFonts w:eastAsia="Times New Roman"/>
                <w:b/>
                <w:sz w:val="26"/>
                <w:szCs w:val="26"/>
                <w:lang w:val="lv-LV" w:eastAsia="lv-LV"/>
              </w:rPr>
            </w:pPr>
            <w:r w:rsidRPr="003C77AE">
              <w:rPr>
                <w:rFonts w:eastAsia="Times New Roman"/>
                <w:b/>
                <w:sz w:val="26"/>
                <w:szCs w:val="26"/>
                <w:lang w:val="lv-LV" w:eastAsia="lv-LV"/>
              </w:rPr>
              <w:lastRenderedPageBreak/>
              <w:t>II. Tiesību akta projekta ietekme uz sabiedrību, tautsaimniecības attīstību un administratīvo slogu</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 xml:space="preserve">Sabiedrības </w:t>
            </w:r>
            <w:proofErr w:type="spellStart"/>
            <w:r w:rsidRPr="003C77AE">
              <w:rPr>
                <w:rFonts w:eastAsia="Times New Roman"/>
                <w:sz w:val="26"/>
                <w:szCs w:val="26"/>
                <w:lang w:val="lv-LV" w:eastAsia="lv-LV"/>
              </w:rPr>
              <w:t>mērķgrupas</w:t>
            </w:r>
            <w:proofErr w:type="spellEnd"/>
            <w:r w:rsidRPr="003C77AE">
              <w:rPr>
                <w:rFonts w:eastAsia="Times New Roman"/>
                <w:sz w:val="26"/>
                <w:szCs w:val="26"/>
                <w:lang w:val="lv-LV" w:eastAsia="lv-LV"/>
              </w:rPr>
              <w:t>,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567020" w:rsidP="001A5465">
            <w:pPr>
              <w:ind w:firstLine="720"/>
              <w:jc w:val="both"/>
              <w:rPr>
                <w:rFonts w:eastAsia="Times New Roman"/>
                <w:sz w:val="26"/>
                <w:szCs w:val="26"/>
                <w:lang w:val="lv-LV" w:eastAsia="lv-LV"/>
              </w:rPr>
            </w:pPr>
            <w:proofErr w:type="spellStart"/>
            <w:r w:rsidRPr="00A752CF">
              <w:rPr>
                <w:rFonts w:eastAsia="Times New Roman"/>
                <w:sz w:val="26"/>
                <w:szCs w:val="26"/>
                <w:lang w:val="lv-LV" w:eastAsia="lv-LV"/>
              </w:rPr>
              <w:t>Altum</w:t>
            </w:r>
            <w:proofErr w:type="spellEnd"/>
            <w:r w:rsidR="003C77AE" w:rsidRPr="00A752CF">
              <w:rPr>
                <w:rFonts w:eastAsia="Times New Roman"/>
                <w:sz w:val="26"/>
                <w:szCs w:val="26"/>
                <w:lang w:val="lv-LV" w:eastAsia="lv-LV"/>
              </w:rPr>
              <w:t xml:space="preserve">, </w:t>
            </w:r>
            <w:r w:rsidR="00C47097" w:rsidRPr="00A752CF">
              <w:rPr>
                <w:rFonts w:eastAsia="Times New Roman"/>
                <w:sz w:val="26"/>
                <w:szCs w:val="26"/>
                <w:lang w:val="lv-LV" w:eastAsia="lv-LV"/>
              </w:rPr>
              <w:t xml:space="preserve"> </w:t>
            </w:r>
            <w:r w:rsidRPr="00A752CF">
              <w:rPr>
                <w:rFonts w:eastAsia="Times New Roman"/>
                <w:sz w:val="26"/>
                <w:szCs w:val="26"/>
                <w:lang w:val="lv-LV" w:eastAsia="lv-LV"/>
              </w:rPr>
              <w:t xml:space="preserve">fondu pārvaldnieki SIA „AIFP </w:t>
            </w:r>
            <w:proofErr w:type="spellStart"/>
            <w:r w:rsidRPr="00A752CF">
              <w:rPr>
                <w:rFonts w:eastAsia="Times New Roman"/>
                <w:sz w:val="26"/>
                <w:szCs w:val="26"/>
                <w:lang w:val="lv-LV" w:eastAsia="lv-LV"/>
              </w:rPr>
              <w:t>Imprimatur</w:t>
            </w:r>
            <w:proofErr w:type="spellEnd"/>
            <w:r w:rsidRPr="00A752CF">
              <w:rPr>
                <w:rFonts w:eastAsia="Times New Roman"/>
                <w:sz w:val="26"/>
                <w:szCs w:val="26"/>
                <w:lang w:val="lv-LV" w:eastAsia="lv-LV"/>
              </w:rPr>
              <w:t xml:space="preserve"> Capital </w:t>
            </w:r>
            <w:proofErr w:type="spellStart"/>
            <w:r w:rsidRPr="00A752CF">
              <w:rPr>
                <w:rFonts w:eastAsia="Times New Roman"/>
                <w:sz w:val="26"/>
                <w:szCs w:val="26"/>
                <w:lang w:val="lv-LV" w:eastAsia="lv-LV"/>
              </w:rPr>
              <w:t>Fund</w:t>
            </w:r>
            <w:proofErr w:type="spellEnd"/>
            <w:r w:rsidRPr="00A752CF">
              <w:rPr>
                <w:rFonts w:eastAsia="Times New Roman"/>
                <w:sz w:val="26"/>
                <w:szCs w:val="26"/>
                <w:lang w:val="lv-LV" w:eastAsia="lv-LV"/>
              </w:rPr>
              <w:t>”, SIA „ZGI Capital”, SIA „</w:t>
            </w:r>
            <w:proofErr w:type="spellStart"/>
            <w:r w:rsidRPr="00A752CF">
              <w:rPr>
                <w:rFonts w:eastAsia="Times New Roman"/>
                <w:sz w:val="26"/>
                <w:szCs w:val="26"/>
                <w:lang w:val="lv-LV" w:eastAsia="lv-LV"/>
              </w:rPr>
              <w:t>FlyCap</w:t>
            </w:r>
            <w:proofErr w:type="spellEnd"/>
            <w:r w:rsidRPr="00A752CF">
              <w:rPr>
                <w:rFonts w:eastAsia="Times New Roman"/>
                <w:sz w:val="26"/>
                <w:szCs w:val="26"/>
                <w:lang w:val="lv-LV" w:eastAsia="lv-LV"/>
              </w:rPr>
              <w:t xml:space="preserve"> AIFP”, SIA „</w:t>
            </w:r>
            <w:proofErr w:type="spellStart"/>
            <w:r w:rsidRPr="00A752CF">
              <w:rPr>
                <w:rFonts w:eastAsia="Times New Roman"/>
                <w:sz w:val="26"/>
                <w:szCs w:val="26"/>
                <w:lang w:val="lv-LV" w:eastAsia="lv-LV"/>
              </w:rPr>
              <w:t>Expansion</w:t>
            </w:r>
            <w:proofErr w:type="spellEnd"/>
            <w:r w:rsidRPr="00A752CF">
              <w:rPr>
                <w:rFonts w:eastAsia="Times New Roman"/>
                <w:sz w:val="26"/>
                <w:szCs w:val="26"/>
                <w:lang w:val="lv-LV" w:eastAsia="lv-LV"/>
              </w:rPr>
              <w:t xml:space="preserve"> Capital”, SIA „</w:t>
            </w:r>
            <w:proofErr w:type="spellStart"/>
            <w:r w:rsidRPr="00A752CF">
              <w:rPr>
                <w:rFonts w:eastAsia="Times New Roman"/>
                <w:sz w:val="26"/>
                <w:szCs w:val="26"/>
                <w:lang w:val="lv-LV" w:eastAsia="lv-LV"/>
              </w:rPr>
              <w:t>BaltCap</w:t>
            </w:r>
            <w:proofErr w:type="spellEnd"/>
            <w:r w:rsidRPr="00A752CF">
              <w:rPr>
                <w:rFonts w:eastAsia="Times New Roman"/>
                <w:sz w:val="26"/>
                <w:szCs w:val="26"/>
                <w:lang w:val="lv-LV" w:eastAsia="lv-LV"/>
              </w:rPr>
              <w:t xml:space="preserve"> </w:t>
            </w:r>
            <w:r w:rsidR="00A752CF" w:rsidRPr="00A752CF">
              <w:rPr>
                <w:rFonts w:eastAsia="Times New Roman"/>
                <w:sz w:val="26"/>
                <w:szCs w:val="26"/>
                <w:lang w:val="lv-LV" w:eastAsia="lv-LV"/>
              </w:rPr>
              <w:t>AIFP”</w:t>
            </w:r>
            <w:r w:rsidR="001A5465">
              <w:rPr>
                <w:rFonts w:eastAsia="Times New Roman"/>
                <w:sz w:val="26"/>
                <w:szCs w:val="26"/>
                <w:lang w:val="lv-LV" w:eastAsia="lv-LV"/>
              </w:rPr>
              <w:t>, komersanti.</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Default="00171CC6" w:rsidP="001E3522">
            <w:pPr>
              <w:pStyle w:val="BodyText"/>
              <w:ind w:right="142" w:firstLine="720"/>
              <w:rPr>
                <w:sz w:val="26"/>
                <w:szCs w:val="26"/>
              </w:rPr>
            </w:pPr>
            <w:r>
              <w:rPr>
                <w:sz w:val="26"/>
                <w:szCs w:val="26"/>
              </w:rPr>
              <w:t>Projekts neparedz ietekmi uz administratīvo slogu.</w:t>
            </w:r>
          </w:p>
          <w:p w:rsidR="00171CC6" w:rsidRPr="003C77AE" w:rsidRDefault="00171CC6" w:rsidP="00426E88">
            <w:pPr>
              <w:pStyle w:val="BodyText"/>
              <w:ind w:right="142" w:firstLine="720"/>
              <w:rPr>
                <w:sz w:val="26"/>
                <w:szCs w:val="26"/>
              </w:rPr>
            </w:pPr>
            <w:r>
              <w:rPr>
                <w:sz w:val="26"/>
                <w:szCs w:val="26"/>
              </w:rPr>
              <w:t xml:space="preserve">Noteikumu projekts paredz </w:t>
            </w:r>
            <w:r w:rsidR="00A752CF">
              <w:rPr>
                <w:sz w:val="26"/>
                <w:szCs w:val="26"/>
              </w:rPr>
              <w:t>ietekmi uz Latvijas tautsaimniecību</w:t>
            </w:r>
            <w:r w:rsidR="00791D68">
              <w:rPr>
                <w:sz w:val="26"/>
                <w:szCs w:val="26"/>
              </w:rPr>
              <w:t xml:space="preserve"> (uzņēmējdarbību)</w:t>
            </w:r>
            <w:r w:rsidR="00A752CF">
              <w:rPr>
                <w:sz w:val="26"/>
                <w:szCs w:val="26"/>
              </w:rPr>
              <w:t xml:space="preserve">, jo </w:t>
            </w:r>
            <w:r w:rsidR="00426E88">
              <w:rPr>
                <w:sz w:val="26"/>
                <w:szCs w:val="26"/>
              </w:rPr>
              <w:t xml:space="preserve">paredz pagarināt 2.2.1.1.aktivitātes ieviešanu un </w:t>
            </w:r>
            <w:r w:rsidR="00E82B53">
              <w:rPr>
                <w:sz w:val="26"/>
                <w:szCs w:val="26"/>
              </w:rPr>
              <w:t xml:space="preserve">nodrošina pieejamību </w:t>
            </w:r>
            <w:r w:rsidR="00426E88">
              <w:rPr>
                <w:sz w:val="26"/>
                <w:szCs w:val="26"/>
              </w:rPr>
              <w:t xml:space="preserve">komersantiem </w:t>
            </w:r>
            <w:r w:rsidR="00E82B53">
              <w:rPr>
                <w:sz w:val="26"/>
                <w:szCs w:val="26"/>
              </w:rPr>
              <w:t xml:space="preserve">papildus </w:t>
            </w:r>
            <w:r w:rsidR="00426E88">
              <w:rPr>
                <w:sz w:val="26"/>
                <w:szCs w:val="26"/>
              </w:rPr>
              <w:t>finansējumam izaugsmes kapitāla fondos.</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sidRPr="003E5A6D">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pStyle w:val="BodyText"/>
              <w:ind w:right="142" w:firstLine="720"/>
              <w:rPr>
                <w:sz w:val="26"/>
                <w:szCs w:val="26"/>
              </w:rPr>
            </w:pPr>
            <w:r w:rsidRPr="003C77AE">
              <w:rPr>
                <w:sz w:val="26"/>
                <w:szCs w:val="26"/>
              </w:rPr>
              <w:t>Projekts šo jomu neskar</w:t>
            </w:r>
            <w:r w:rsidR="00EF5821">
              <w:rPr>
                <w:sz w:val="26"/>
                <w:szCs w:val="26"/>
              </w:rPr>
              <w:t>.</w:t>
            </w:r>
          </w:p>
        </w:tc>
      </w:tr>
      <w:tr w:rsidR="003C77AE" w:rsidRPr="003E5A6D" w:rsidTr="001E3522">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1E3522">
            <w:pPr>
              <w:jc w:val="both"/>
              <w:rPr>
                <w:rFonts w:eastAsia="Times New Roman"/>
                <w:sz w:val="24"/>
                <w:szCs w:val="24"/>
                <w:lang w:val="lv-LV" w:eastAsia="lv-LV"/>
              </w:rPr>
            </w:pPr>
            <w:r>
              <w:rPr>
                <w:rFonts w:eastAsia="Times New Roman"/>
                <w:sz w:val="24"/>
                <w:szCs w:val="24"/>
                <w:lang w:val="lv-LV" w:eastAsia="lv-LV"/>
              </w:rPr>
              <w:t>4</w:t>
            </w:r>
            <w:r w:rsidRPr="003E5A6D">
              <w:rPr>
                <w:rFonts w:eastAsia="Times New Roman"/>
                <w:sz w:val="24"/>
                <w:szCs w:val="24"/>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1E3522">
            <w:pPr>
              <w:ind w:firstLine="720"/>
              <w:jc w:val="both"/>
              <w:rPr>
                <w:rFonts w:eastAsia="Times New Roman"/>
                <w:sz w:val="26"/>
                <w:szCs w:val="26"/>
                <w:lang w:val="lv-LV" w:eastAsia="lv-LV"/>
              </w:rPr>
            </w:pPr>
            <w:r w:rsidRPr="003C77AE">
              <w:rPr>
                <w:rFonts w:eastAsia="Times New Roman"/>
                <w:sz w:val="26"/>
                <w:szCs w:val="26"/>
                <w:lang w:val="lv-LV" w:eastAsia="lv-LV"/>
              </w:rPr>
              <w:t>Nav</w:t>
            </w:r>
          </w:p>
        </w:tc>
      </w:tr>
    </w:tbl>
    <w:p w:rsidR="00765A89" w:rsidRPr="005A7B9C"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B5151" w:rsidTr="003C77AE">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2B5151" w:rsidTr="003C77A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B13F4" w:rsidRPr="005A7B9C" w:rsidRDefault="00E86AEA" w:rsidP="00E82B53">
            <w:pPr>
              <w:pStyle w:val="BodyText"/>
              <w:ind w:right="142" w:firstLine="720"/>
              <w:rPr>
                <w:sz w:val="26"/>
                <w:szCs w:val="26"/>
              </w:rPr>
            </w:pPr>
            <w:r>
              <w:rPr>
                <w:sz w:val="26"/>
                <w:szCs w:val="26"/>
              </w:rPr>
              <w:t xml:space="preserve"> </w:t>
            </w:r>
            <w:r w:rsidR="00A752CF">
              <w:rPr>
                <w:sz w:val="26"/>
                <w:szCs w:val="26"/>
              </w:rPr>
              <w:t>Paralēli tiek virzīti grozījumi MK noteikumos Nr.</w:t>
            </w:r>
            <w:r w:rsidR="00E82B53">
              <w:rPr>
                <w:sz w:val="26"/>
                <w:szCs w:val="26"/>
              </w:rPr>
              <w:t>983.</w:t>
            </w:r>
          </w:p>
        </w:tc>
      </w:tr>
      <w:tr w:rsidR="003A7D89" w:rsidRPr="002B5151" w:rsidTr="00B552C0">
        <w:trPr>
          <w:trHeight w:val="221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lastRenderedPageBreak/>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36B" w:rsidRDefault="004671D7" w:rsidP="0049136B">
            <w:pPr>
              <w:ind w:firstLine="720"/>
              <w:contextualSpacing/>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w:t>
            </w:r>
            <w:r w:rsidR="003C77AE">
              <w:rPr>
                <w:rFonts w:eastAsia="Times New Roman"/>
                <w:sz w:val="26"/>
                <w:szCs w:val="26"/>
                <w:lang w:val="lv-LV" w:eastAsia="lv-LV"/>
              </w:rPr>
              <w:t>, kas noslēgts</w:t>
            </w:r>
            <w:r w:rsidRPr="005A7B9C">
              <w:rPr>
                <w:rFonts w:eastAsia="Times New Roman"/>
                <w:sz w:val="26"/>
                <w:szCs w:val="26"/>
                <w:lang w:val="lv-LV" w:eastAsia="lv-LV"/>
              </w:rPr>
              <w:t xml:space="preserve"> </w:t>
            </w:r>
            <w:r w:rsidR="003C77AE">
              <w:rPr>
                <w:rFonts w:eastAsia="Times New Roman"/>
                <w:sz w:val="26"/>
                <w:szCs w:val="26"/>
                <w:lang w:val="lv-LV" w:eastAsia="lv-LV"/>
              </w:rPr>
              <w:t xml:space="preserve">starp </w:t>
            </w:r>
            <w:r w:rsidR="00A752CF">
              <w:rPr>
                <w:rFonts w:eastAsia="Times New Roman"/>
                <w:sz w:val="26"/>
                <w:szCs w:val="26"/>
                <w:lang w:val="lv-LV" w:eastAsia="lv-LV"/>
              </w:rPr>
              <w:t>Altum un EM</w:t>
            </w:r>
            <w:r w:rsidR="0049136B">
              <w:rPr>
                <w:rFonts w:eastAsia="Times New Roman"/>
                <w:sz w:val="26"/>
                <w:szCs w:val="26"/>
                <w:lang w:val="lv-LV" w:eastAsia="lv-LV"/>
              </w:rPr>
              <w:t xml:space="preserve"> par 2.2.1.1.aktivitātes īstenošanu</w:t>
            </w:r>
            <w:r w:rsidR="00A752CF">
              <w:rPr>
                <w:rFonts w:eastAsia="Times New Roman"/>
                <w:sz w:val="26"/>
                <w:szCs w:val="26"/>
                <w:lang w:val="lv-LV" w:eastAsia="lv-LV"/>
              </w:rPr>
              <w:t xml:space="preserve">, </w:t>
            </w:r>
            <w:r w:rsidR="00290A40">
              <w:rPr>
                <w:rFonts w:eastAsia="Times New Roman"/>
                <w:sz w:val="26"/>
                <w:szCs w:val="26"/>
                <w:lang w:val="lv-LV" w:eastAsia="lv-LV"/>
              </w:rPr>
              <w:t xml:space="preserve">nosakot </w:t>
            </w:r>
            <w:r w:rsidR="00A752CF">
              <w:rPr>
                <w:rFonts w:eastAsia="Times New Roman"/>
                <w:sz w:val="26"/>
                <w:szCs w:val="26"/>
                <w:lang w:val="lv-LV" w:eastAsia="lv-LV"/>
              </w:rPr>
              <w:t>pieej</w:t>
            </w:r>
            <w:r w:rsidR="0049136B">
              <w:rPr>
                <w:rFonts w:eastAsia="Times New Roman"/>
                <w:sz w:val="26"/>
                <w:szCs w:val="26"/>
                <w:lang w:val="lv-LV" w:eastAsia="lv-LV"/>
              </w:rPr>
              <w:t>amā publiskā finansējuma apmēru sadalījumā pa finanšu avotiem</w:t>
            </w:r>
            <w:r w:rsidR="00CA7C09">
              <w:rPr>
                <w:rFonts w:eastAsia="Times New Roman"/>
                <w:sz w:val="26"/>
                <w:szCs w:val="26"/>
                <w:lang w:val="lv-LV" w:eastAsia="lv-LV"/>
              </w:rPr>
              <w:t xml:space="preserve"> un pagarinot 2.2.1.1.aktivitātes īstenošanas termiņu</w:t>
            </w:r>
            <w:r w:rsidR="0049136B">
              <w:rPr>
                <w:rFonts w:eastAsia="Times New Roman"/>
                <w:sz w:val="26"/>
                <w:szCs w:val="26"/>
                <w:lang w:val="lv-LV" w:eastAsia="lv-LV"/>
              </w:rPr>
              <w:t xml:space="preserve">. </w:t>
            </w:r>
          </w:p>
          <w:p w:rsidR="003A7D89" w:rsidRPr="005A7B9C" w:rsidRDefault="00A752CF" w:rsidP="00426E88">
            <w:pPr>
              <w:ind w:firstLine="720"/>
              <w:contextualSpacing/>
              <w:jc w:val="both"/>
              <w:rPr>
                <w:rFonts w:eastAsia="Times New Roman"/>
                <w:sz w:val="26"/>
                <w:szCs w:val="26"/>
                <w:lang w:val="lv-LV" w:eastAsia="lv-LV"/>
              </w:rPr>
            </w:pPr>
            <w:r>
              <w:rPr>
                <w:rFonts w:eastAsia="Times New Roman"/>
                <w:sz w:val="26"/>
                <w:szCs w:val="26"/>
                <w:lang w:val="lv-LV" w:eastAsia="lv-LV"/>
              </w:rPr>
              <w:t xml:space="preserve">Nepieciešams veikt grozījumus </w:t>
            </w:r>
            <w:r w:rsidR="0049136B">
              <w:rPr>
                <w:rFonts w:eastAsia="Times New Roman"/>
                <w:sz w:val="26"/>
                <w:szCs w:val="26"/>
                <w:lang w:val="lv-LV" w:eastAsia="lv-LV"/>
              </w:rPr>
              <w:t xml:space="preserve">attiecīgo </w:t>
            </w:r>
            <w:r>
              <w:rPr>
                <w:rFonts w:eastAsia="Times New Roman"/>
                <w:sz w:val="26"/>
                <w:szCs w:val="26"/>
                <w:lang w:val="lv-LV" w:eastAsia="lv-LV"/>
              </w:rPr>
              <w:t>līgum</w:t>
            </w:r>
            <w:r w:rsidR="0049136B">
              <w:rPr>
                <w:rFonts w:eastAsia="Times New Roman"/>
                <w:sz w:val="26"/>
                <w:szCs w:val="26"/>
                <w:lang w:val="lv-LV" w:eastAsia="lv-LV"/>
              </w:rPr>
              <w:t>u</w:t>
            </w:r>
            <w:r>
              <w:rPr>
                <w:rFonts w:eastAsia="Times New Roman"/>
                <w:sz w:val="26"/>
                <w:szCs w:val="26"/>
                <w:lang w:val="lv-LV" w:eastAsia="lv-LV"/>
              </w:rPr>
              <w:t>, kas noslēgti starp Altum un fondu pārvaldniekiem,</w:t>
            </w:r>
            <w:r w:rsidR="0049136B">
              <w:rPr>
                <w:rFonts w:eastAsia="Times New Roman"/>
                <w:sz w:val="26"/>
                <w:szCs w:val="26"/>
                <w:lang w:val="lv-LV" w:eastAsia="lv-LV"/>
              </w:rPr>
              <w:t xml:space="preserve"> ietvaros,</w:t>
            </w:r>
            <w:r>
              <w:rPr>
                <w:rFonts w:eastAsia="Times New Roman"/>
                <w:sz w:val="26"/>
                <w:szCs w:val="26"/>
                <w:lang w:val="lv-LV" w:eastAsia="lv-LV"/>
              </w:rPr>
              <w:t xml:space="preserve"> d</w:t>
            </w:r>
            <w:r w:rsidR="00426E88">
              <w:rPr>
                <w:rFonts w:eastAsia="Times New Roman"/>
                <w:sz w:val="26"/>
                <w:szCs w:val="26"/>
                <w:lang w:val="lv-LV" w:eastAsia="lv-LV"/>
              </w:rPr>
              <w:t>ažādojot</w:t>
            </w:r>
            <w:r>
              <w:rPr>
                <w:rFonts w:eastAsia="Times New Roman"/>
                <w:sz w:val="26"/>
                <w:szCs w:val="26"/>
                <w:lang w:val="lv-LV" w:eastAsia="lv-LV"/>
              </w:rPr>
              <w:t xml:space="preserve"> pieejamā </w:t>
            </w:r>
            <w:r w:rsidR="00426E88">
              <w:rPr>
                <w:rFonts w:eastAsia="Times New Roman"/>
                <w:sz w:val="26"/>
                <w:szCs w:val="26"/>
                <w:lang w:val="lv-LV" w:eastAsia="lv-LV"/>
              </w:rPr>
              <w:t xml:space="preserve">publiskā </w:t>
            </w:r>
            <w:r>
              <w:rPr>
                <w:rFonts w:eastAsia="Times New Roman"/>
                <w:sz w:val="26"/>
                <w:szCs w:val="26"/>
                <w:lang w:val="lv-LV" w:eastAsia="lv-LV"/>
              </w:rPr>
              <w:t>finansējuma avotus</w:t>
            </w:r>
            <w:r w:rsidR="00CA7C09">
              <w:rPr>
                <w:rFonts w:eastAsia="Times New Roman"/>
                <w:sz w:val="26"/>
                <w:szCs w:val="26"/>
                <w:lang w:val="lv-LV" w:eastAsia="lv-LV"/>
              </w:rPr>
              <w:t xml:space="preserve"> un nosakot ERAF, valsts budžeta un ieņēmumu no brīvo publisko līdzekļu noguldījumiem izmantošanas termiņu saskaņā ar noteikumu projektu</w:t>
            </w:r>
            <w:r w:rsidR="00E82B53">
              <w:rPr>
                <w:rFonts w:eastAsia="Times New Roman"/>
                <w:sz w:val="26"/>
                <w:szCs w:val="26"/>
                <w:lang w:val="lv-LV" w:eastAsia="lv-LV"/>
              </w:rPr>
              <w:t>.</w:t>
            </w:r>
          </w:p>
        </w:tc>
      </w:tr>
    </w:tbl>
    <w:p w:rsidR="00765A89" w:rsidRDefault="00765A89" w:rsidP="00C9779A">
      <w:pPr>
        <w:rPr>
          <w:sz w:val="26"/>
          <w:szCs w:val="26"/>
          <w:lang w:val="lv-LV"/>
        </w:rPr>
      </w:pPr>
    </w:p>
    <w:tbl>
      <w:tblPr>
        <w:tblW w:w="4881"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7"/>
        <w:gridCol w:w="1814"/>
        <w:gridCol w:w="541"/>
        <w:gridCol w:w="1263"/>
        <w:gridCol w:w="1485"/>
        <w:gridCol w:w="3609"/>
      </w:tblGrid>
      <w:tr w:rsidR="001E3522" w:rsidRPr="00C64C83" w:rsidTr="00B552C0">
        <w:trPr>
          <w:tblCellSpacing w:w="15" w:type="dxa"/>
        </w:trPr>
        <w:tc>
          <w:tcPr>
            <w:tcW w:w="4967" w:type="pct"/>
            <w:gridSpan w:val="6"/>
            <w:shd w:val="clear" w:color="auto" w:fill="auto"/>
            <w:hideMark/>
          </w:tcPr>
          <w:p w:rsidR="001E3522" w:rsidRPr="001F6D46" w:rsidRDefault="001E3522" w:rsidP="001E3522">
            <w:pPr>
              <w:jc w:val="center"/>
              <w:rPr>
                <w:rFonts w:eastAsia="Times New Roman"/>
                <w:b/>
                <w:bCs/>
                <w:sz w:val="26"/>
                <w:szCs w:val="26"/>
                <w:lang w:val="lv-LV" w:eastAsia="lv-LV"/>
              </w:rPr>
            </w:pPr>
            <w:r w:rsidRPr="001F6D46">
              <w:rPr>
                <w:rFonts w:eastAsia="Times New Roman"/>
                <w:b/>
                <w:bCs/>
                <w:sz w:val="26"/>
                <w:szCs w:val="26"/>
                <w:lang w:val="lv-LV" w:eastAsia="lv-LV"/>
              </w:rPr>
              <w:t>V. Tiesību akta projekta atbilstība Latvijas Republikas starptautiskajām saistībām</w:t>
            </w:r>
          </w:p>
        </w:tc>
      </w:tr>
      <w:tr w:rsidR="001E3522" w:rsidRPr="00C64C83" w:rsidTr="009A3A85">
        <w:trPr>
          <w:tblCellSpacing w:w="15" w:type="dxa"/>
        </w:trPr>
        <w:tc>
          <w:tcPr>
            <w:tcW w:w="183"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1.</w:t>
            </w:r>
          </w:p>
        </w:tc>
        <w:tc>
          <w:tcPr>
            <w:tcW w:w="1292"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460" w:type="pct"/>
            <w:gridSpan w:val="3"/>
            <w:shd w:val="clear" w:color="auto" w:fill="auto"/>
            <w:hideMark/>
          </w:tcPr>
          <w:p w:rsidR="001E3522" w:rsidRDefault="00290A40" w:rsidP="00290A40">
            <w:pPr>
              <w:ind w:left="336"/>
              <w:jc w:val="both"/>
              <w:rPr>
                <w:sz w:val="26"/>
                <w:szCs w:val="26"/>
                <w:lang w:val="lv-LV"/>
              </w:rPr>
            </w:pPr>
            <w:r>
              <w:rPr>
                <w:sz w:val="26"/>
                <w:szCs w:val="26"/>
                <w:lang w:val="lv-LV"/>
              </w:rPr>
              <w:t>Regula Nr.1407/2013.</w:t>
            </w:r>
          </w:p>
          <w:p w:rsidR="00290A40" w:rsidRDefault="00290A40" w:rsidP="00290A40">
            <w:pPr>
              <w:ind w:left="336"/>
              <w:jc w:val="both"/>
              <w:rPr>
                <w:sz w:val="26"/>
                <w:szCs w:val="26"/>
                <w:lang w:val="lv-LV"/>
              </w:rPr>
            </w:pPr>
            <w:r>
              <w:rPr>
                <w:sz w:val="26"/>
                <w:szCs w:val="26"/>
                <w:lang w:val="lv-LV"/>
              </w:rPr>
              <w:t>Regula Nr.651/2014.</w:t>
            </w:r>
          </w:p>
          <w:p w:rsidR="00290A40" w:rsidRPr="001F6D46" w:rsidRDefault="00290A40" w:rsidP="00D267B2">
            <w:pPr>
              <w:ind w:firstLine="364"/>
              <w:jc w:val="both"/>
              <w:rPr>
                <w:rFonts w:eastAsia="Times New Roman"/>
                <w:sz w:val="26"/>
                <w:szCs w:val="26"/>
                <w:lang w:val="lv-LV" w:eastAsia="lv-LV"/>
              </w:rPr>
            </w:pPr>
          </w:p>
        </w:tc>
      </w:tr>
      <w:tr w:rsidR="001E3522" w:rsidRPr="001F6D46" w:rsidTr="009A3A85">
        <w:trPr>
          <w:tblCellSpacing w:w="15" w:type="dxa"/>
        </w:trPr>
        <w:tc>
          <w:tcPr>
            <w:tcW w:w="183"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2.</w:t>
            </w:r>
          </w:p>
        </w:tc>
        <w:tc>
          <w:tcPr>
            <w:tcW w:w="1292"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460" w:type="pct"/>
            <w:gridSpan w:val="3"/>
            <w:shd w:val="clear" w:color="auto" w:fill="auto"/>
            <w:hideMark/>
          </w:tcPr>
          <w:p w:rsidR="001E3522" w:rsidRPr="001F6D46" w:rsidRDefault="001E3522" w:rsidP="001E3522">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1E3522" w:rsidRPr="009F052F" w:rsidTr="009A3A85">
        <w:trPr>
          <w:tblCellSpacing w:w="15" w:type="dxa"/>
        </w:trPr>
        <w:tc>
          <w:tcPr>
            <w:tcW w:w="183" w:type="pct"/>
            <w:shd w:val="clear" w:color="auto" w:fill="auto"/>
            <w:hideMark/>
          </w:tcPr>
          <w:p w:rsidR="001E3522" w:rsidRPr="001F6D46" w:rsidRDefault="001E3522" w:rsidP="001E3522">
            <w:pPr>
              <w:jc w:val="center"/>
              <w:rPr>
                <w:rFonts w:eastAsia="Times New Roman"/>
                <w:sz w:val="26"/>
                <w:szCs w:val="26"/>
                <w:lang w:val="lv-LV" w:eastAsia="lv-LV"/>
              </w:rPr>
            </w:pPr>
            <w:r w:rsidRPr="001F6D46">
              <w:rPr>
                <w:rFonts w:eastAsia="Times New Roman"/>
                <w:sz w:val="26"/>
                <w:szCs w:val="26"/>
                <w:lang w:val="lv-LV" w:eastAsia="lv-LV"/>
              </w:rPr>
              <w:t>3.</w:t>
            </w:r>
          </w:p>
        </w:tc>
        <w:tc>
          <w:tcPr>
            <w:tcW w:w="1292" w:type="pct"/>
            <w:gridSpan w:val="2"/>
            <w:shd w:val="clear" w:color="auto" w:fill="auto"/>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460" w:type="pct"/>
            <w:gridSpan w:val="3"/>
            <w:shd w:val="clear" w:color="auto" w:fill="auto"/>
            <w:hideMark/>
          </w:tcPr>
          <w:p w:rsidR="001E3522" w:rsidRPr="001F6D46" w:rsidRDefault="00290A40" w:rsidP="00A752CF">
            <w:pPr>
              <w:ind w:firstLine="341"/>
              <w:jc w:val="both"/>
              <w:rPr>
                <w:rFonts w:eastAsia="Times New Roman"/>
                <w:sz w:val="26"/>
                <w:szCs w:val="26"/>
                <w:lang w:val="lv-LV" w:eastAsia="lv-LV"/>
              </w:rPr>
            </w:pPr>
            <w:r>
              <w:rPr>
                <w:rFonts w:eastAsia="Times New Roman"/>
                <w:sz w:val="26"/>
                <w:szCs w:val="26"/>
                <w:lang w:val="lv-LV" w:eastAsia="lv-LV"/>
              </w:rPr>
              <w:t>Nav.</w:t>
            </w:r>
          </w:p>
        </w:tc>
      </w:tr>
      <w:tr w:rsidR="001E3522" w:rsidRPr="00C64C83" w:rsidTr="00B552C0">
        <w:trPr>
          <w:tblCellSpacing w:w="15" w:type="dxa"/>
        </w:trPr>
        <w:tc>
          <w:tcPr>
            <w:tcW w:w="4967" w:type="pct"/>
            <w:gridSpan w:val="6"/>
            <w:shd w:val="clear" w:color="auto" w:fill="auto"/>
            <w:vAlign w:val="center"/>
            <w:hideMark/>
          </w:tcPr>
          <w:p w:rsidR="001E3522" w:rsidRPr="001F6D46" w:rsidRDefault="001E3522" w:rsidP="001E3522">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1E3522" w:rsidRPr="002B5151" w:rsidTr="009A3A85">
        <w:trPr>
          <w:tblCellSpacing w:w="15" w:type="dxa"/>
        </w:trPr>
        <w:tc>
          <w:tcPr>
            <w:tcW w:w="1185"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765" w:type="pct"/>
            <w:gridSpan w:val="4"/>
            <w:shd w:val="clear" w:color="auto" w:fill="auto"/>
            <w:vAlign w:val="center"/>
            <w:hideMark/>
          </w:tcPr>
          <w:p w:rsidR="001E3522" w:rsidRDefault="0049136B" w:rsidP="00D267B2">
            <w:pPr>
              <w:jc w:val="both"/>
              <w:rPr>
                <w:sz w:val="26"/>
                <w:szCs w:val="26"/>
                <w:lang w:val="lv-LV"/>
              </w:rPr>
            </w:pPr>
            <w:r w:rsidRPr="0001789B">
              <w:rPr>
                <w:sz w:val="26"/>
                <w:szCs w:val="26"/>
                <w:lang w:val="lv-LV"/>
              </w:rPr>
              <w:t>Komisijas 2014.gada 17.jūnija Regul</w:t>
            </w:r>
            <w:r>
              <w:rPr>
                <w:sz w:val="26"/>
                <w:szCs w:val="26"/>
                <w:lang w:val="lv-LV"/>
              </w:rPr>
              <w:t>a</w:t>
            </w:r>
            <w:r w:rsidRPr="0001789B">
              <w:rPr>
                <w:sz w:val="26"/>
                <w:szCs w:val="26"/>
                <w:lang w:val="lv-LV"/>
              </w:rPr>
              <w:t xml:space="preserve"> (ES) Nr.651/2014, ar ko noteiktas atbalsta kategorijas atzīst par saderīgām ar iekšējo tirgu,</w:t>
            </w:r>
            <w:r w:rsidR="00B552C0">
              <w:rPr>
                <w:sz w:val="26"/>
                <w:szCs w:val="26"/>
                <w:lang w:val="lv-LV"/>
              </w:rPr>
              <w:t xml:space="preserve"> piemērojot Līguma 107. un 108.</w:t>
            </w:r>
            <w:r w:rsidRPr="0001789B">
              <w:rPr>
                <w:sz w:val="26"/>
                <w:szCs w:val="26"/>
                <w:lang w:val="lv-LV"/>
              </w:rPr>
              <w:t>pantu (Eiropas Savienī</w:t>
            </w:r>
            <w:r w:rsidR="00B552C0">
              <w:rPr>
                <w:sz w:val="26"/>
                <w:szCs w:val="26"/>
                <w:lang w:val="lv-LV"/>
              </w:rPr>
              <w:t>bas Oficiālais Vēstnesis, 2014.gada 26.</w:t>
            </w:r>
            <w:r w:rsidRPr="0001789B">
              <w:rPr>
                <w:sz w:val="26"/>
                <w:szCs w:val="26"/>
                <w:lang w:val="lv-LV"/>
              </w:rPr>
              <w:t>jūnijs, L 187)</w:t>
            </w:r>
            <w:r>
              <w:rPr>
                <w:sz w:val="26"/>
                <w:szCs w:val="26"/>
                <w:lang w:val="lv-LV"/>
              </w:rPr>
              <w:t>.</w:t>
            </w:r>
          </w:p>
          <w:p w:rsidR="00B552C0" w:rsidRDefault="00B552C0" w:rsidP="00D267B2">
            <w:pPr>
              <w:jc w:val="both"/>
              <w:rPr>
                <w:sz w:val="26"/>
                <w:szCs w:val="26"/>
                <w:lang w:val="lv-LV"/>
              </w:rPr>
            </w:pPr>
          </w:p>
          <w:p w:rsidR="00B552C0" w:rsidRPr="001F6D46" w:rsidRDefault="00B552C0" w:rsidP="00D267B2">
            <w:pPr>
              <w:jc w:val="both"/>
              <w:rPr>
                <w:sz w:val="26"/>
                <w:szCs w:val="26"/>
                <w:lang w:val="lv-LV"/>
              </w:rPr>
            </w:pPr>
            <w:r w:rsidRPr="001802AA">
              <w:rPr>
                <w:sz w:val="26"/>
                <w:szCs w:val="26"/>
                <w:lang w:val="lv-LV"/>
              </w:rPr>
              <w:t xml:space="preserve">Komisijas 2013.gada 18.decembra Regula (EK) Nr.1407/2013 par Līguma 87. un 88.panta piemērošanu </w:t>
            </w:r>
            <w:r w:rsidRPr="001802AA">
              <w:rPr>
                <w:i/>
                <w:sz w:val="26"/>
                <w:szCs w:val="26"/>
                <w:lang w:val="lv-LV"/>
              </w:rPr>
              <w:t>de minimis</w:t>
            </w:r>
            <w:r w:rsidRPr="001802AA">
              <w:rPr>
                <w:sz w:val="26"/>
                <w:szCs w:val="26"/>
                <w:lang w:val="lv-LV"/>
              </w:rPr>
              <w:t xml:space="preserve"> atbalstam (Eiropas Savienības Oficiālais Vēstnesis, 2013.gada 24.decembris, Nr. L 352/1).</w:t>
            </w:r>
          </w:p>
        </w:tc>
      </w:tr>
      <w:tr w:rsidR="001E3522" w:rsidRPr="001F6D46" w:rsidTr="009A3A85">
        <w:trPr>
          <w:tblCellSpacing w:w="15" w:type="dxa"/>
        </w:trPr>
        <w:tc>
          <w:tcPr>
            <w:tcW w:w="1185"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A</w:t>
            </w:r>
          </w:p>
        </w:tc>
        <w:tc>
          <w:tcPr>
            <w:tcW w:w="984" w:type="pct"/>
            <w:gridSpan w:val="2"/>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B</w:t>
            </w:r>
          </w:p>
        </w:tc>
        <w:tc>
          <w:tcPr>
            <w:tcW w:w="800" w:type="pct"/>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C</w:t>
            </w:r>
          </w:p>
        </w:tc>
        <w:tc>
          <w:tcPr>
            <w:tcW w:w="1948" w:type="pct"/>
            <w:shd w:val="clear" w:color="auto" w:fill="auto"/>
            <w:vAlign w:val="center"/>
            <w:hideMark/>
          </w:tcPr>
          <w:p w:rsidR="001E3522" w:rsidRPr="001F6D46" w:rsidRDefault="001E3522" w:rsidP="001E3522">
            <w:pPr>
              <w:jc w:val="both"/>
              <w:rPr>
                <w:rFonts w:eastAsia="Times New Roman"/>
                <w:sz w:val="26"/>
                <w:szCs w:val="26"/>
                <w:lang w:val="lv-LV" w:eastAsia="lv-LV"/>
              </w:rPr>
            </w:pPr>
            <w:r w:rsidRPr="001F6D46">
              <w:rPr>
                <w:rFonts w:eastAsia="Times New Roman"/>
                <w:sz w:val="26"/>
                <w:szCs w:val="26"/>
                <w:lang w:val="lv-LV" w:eastAsia="lv-LV"/>
              </w:rPr>
              <w:t>D</w:t>
            </w:r>
          </w:p>
        </w:tc>
      </w:tr>
      <w:tr w:rsidR="001E3522" w:rsidRPr="002B5151" w:rsidTr="009A3A85">
        <w:trPr>
          <w:tblCellSpacing w:w="15" w:type="dxa"/>
        </w:trPr>
        <w:tc>
          <w:tcPr>
            <w:tcW w:w="1185" w:type="pct"/>
            <w:gridSpan w:val="2"/>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984" w:type="pct"/>
            <w:gridSpan w:val="2"/>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00" w:type="pct"/>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t xml:space="preserve">Informācija par to, vai šīs tabulas A ailē minētās ES tiesību akta vienības tiek pārņemtas vai ieviestas </w:t>
            </w:r>
            <w:r w:rsidRPr="001F6D46">
              <w:rPr>
                <w:sz w:val="26"/>
                <w:szCs w:val="26"/>
              </w:rPr>
              <w:lastRenderedPageBreak/>
              <w:t>pilnībā vai daļēji.</w:t>
            </w:r>
          </w:p>
          <w:p w:rsidR="001E3522" w:rsidRPr="001F6D46" w:rsidRDefault="001E3522" w:rsidP="001E3522">
            <w:pPr>
              <w:pStyle w:val="naiskr"/>
              <w:spacing w:before="0" w:after="0"/>
              <w:jc w:val="both"/>
              <w:rPr>
                <w:sz w:val="26"/>
                <w:szCs w:val="26"/>
              </w:rPr>
            </w:pPr>
            <w:r w:rsidRPr="001F6D46">
              <w:rPr>
                <w:sz w:val="26"/>
                <w:szCs w:val="26"/>
              </w:rPr>
              <w:t>Ja attiecīgā ES tiesību akta vienība tiek pārņemta vai ieviesta daļēji, – sniedz attiecīgu skaidrojumu, kā arī precīzi norāda, kad un kādā veidā ES tiesību akta vienība tiks pārņemta vai ieviesta pilnībā.</w:t>
            </w:r>
          </w:p>
          <w:p w:rsidR="001E3522" w:rsidRPr="001F6D46" w:rsidRDefault="001E3522" w:rsidP="001E3522">
            <w:pPr>
              <w:pStyle w:val="naiskr"/>
              <w:spacing w:before="0" w:after="0"/>
              <w:jc w:val="both"/>
              <w:rPr>
                <w:sz w:val="26"/>
                <w:szCs w:val="26"/>
              </w:rPr>
            </w:pPr>
            <w:r w:rsidRPr="001F6D46">
              <w:rPr>
                <w:sz w:val="26"/>
                <w:szCs w:val="26"/>
              </w:rPr>
              <w:t>Norāda institūciju, kas ir atbildīga par šo saistību izpildi pilnībā</w:t>
            </w:r>
          </w:p>
        </w:tc>
        <w:tc>
          <w:tcPr>
            <w:tcW w:w="1948" w:type="pct"/>
            <w:shd w:val="clear" w:color="auto" w:fill="auto"/>
            <w:hideMark/>
          </w:tcPr>
          <w:p w:rsidR="001E3522" w:rsidRPr="001F6D46" w:rsidRDefault="001E3522" w:rsidP="001E3522">
            <w:pPr>
              <w:pStyle w:val="naiskr"/>
              <w:spacing w:before="0" w:after="0"/>
              <w:jc w:val="both"/>
              <w:rPr>
                <w:sz w:val="26"/>
                <w:szCs w:val="26"/>
              </w:rPr>
            </w:pPr>
            <w:r w:rsidRPr="001F6D46">
              <w:rPr>
                <w:sz w:val="26"/>
                <w:szCs w:val="26"/>
              </w:rPr>
              <w:lastRenderedPageBreak/>
              <w:t>Informācija par to, vai šīs tabulas B ailē minētās projekta vienības paredz stingrākas prasības nekā šīs tabulas A ailē minētās ES tiesību akta vienības.</w:t>
            </w:r>
          </w:p>
          <w:p w:rsidR="001E3522" w:rsidRPr="001F6D46" w:rsidRDefault="001E3522" w:rsidP="001E3522">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id" w:val="-1"/>
                <w:attr w:name="baseform" w:val="akts"/>
                <w:attr w:name="text" w:val="akts"/>
              </w:smartTagPr>
              <w:r w:rsidRPr="001F6D46">
                <w:rPr>
                  <w:sz w:val="26"/>
                  <w:szCs w:val="26"/>
                </w:rPr>
                <w:t>akts</w:t>
              </w:r>
            </w:smartTag>
            <w:r w:rsidRPr="001F6D46">
              <w:rPr>
                <w:sz w:val="26"/>
                <w:szCs w:val="26"/>
              </w:rPr>
              <w:t xml:space="preserve">, – norāda </w:t>
            </w:r>
            <w:r w:rsidRPr="001F6D46">
              <w:rPr>
                <w:sz w:val="26"/>
                <w:szCs w:val="26"/>
              </w:rPr>
              <w:lastRenderedPageBreak/>
              <w:t>pamatojumu un samērīgumu.</w:t>
            </w:r>
          </w:p>
          <w:p w:rsidR="001E3522" w:rsidRPr="001F6D46" w:rsidRDefault="001E3522" w:rsidP="001E3522">
            <w:pPr>
              <w:pStyle w:val="naiskr"/>
              <w:spacing w:before="0" w:after="0"/>
              <w:jc w:val="both"/>
              <w:rPr>
                <w:sz w:val="26"/>
                <w:szCs w:val="26"/>
              </w:rPr>
            </w:pPr>
            <w:r w:rsidRPr="001F6D46">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9A3A85" w:rsidRPr="002B5151" w:rsidTr="009A3A85">
        <w:trPr>
          <w:tblCellSpacing w:w="15" w:type="dxa"/>
        </w:trPr>
        <w:tc>
          <w:tcPr>
            <w:tcW w:w="1185" w:type="pct"/>
            <w:gridSpan w:val="2"/>
            <w:shd w:val="clear" w:color="auto" w:fill="auto"/>
          </w:tcPr>
          <w:p w:rsidR="009A3A85" w:rsidRPr="009A3A85" w:rsidRDefault="009A3A85" w:rsidP="009A3A85">
            <w:pPr>
              <w:pStyle w:val="naiskr"/>
              <w:spacing w:before="0" w:after="0"/>
              <w:jc w:val="both"/>
              <w:rPr>
                <w:sz w:val="26"/>
                <w:szCs w:val="26"/>
              </w:rPr>
            </w:pPr>
            <w:r>
              <w:rPr>
                <w:sz w:val="26"/>
                <w:szCs w:val="26"/>
              </w:rPr>
              <w:lastRenderedPageBreak/>
              <w:t>Regulas Nr.1407/2013 6.panta 4.punkts</w:t>
            </w:r>
          </w:p>
        </w:tc>
        <w:tc>
          <w:tcPr>
            <w:tcW w:w="984" w:type="pct"/>
            <w:gridSpan w:val="2"/>
            <w:shd w:val="clear" w:color="auto" w:fill="auto"/>
          </w:tcPr>
          <w:p w:rsidR="009A3A85" w:rsidRPr="001F6D46" w:rsidRDefault="009A3A85" w:rsidP="00DF0946">
            <w:pPr>
              <w:pStyle w:val="naiskr"/>
              <w:spacing w:before="0" w:after="0"/>
              <w:jc w:val="both"/>
              <w:rPr>
                <w:sz w:val="26"/>
                <w:szCs w:val="26"/>
              </w:rPr>
            </w:pPr>
            <w:r>
              <w:rPr>
                <w:sz w:val="26"/>
                <w:szCs w:val="26"/>
              </w:rPr>
              <w:t xml:space="preserve">Noteikumu projekta </w:t>
            </w:r>
            <w:r w:rsidR="00DF0946">
              <w:rPr>
                <w:sz w:val="26"/>
                <w:szCs w:val="26"/>
              </w:rPr>
              <w:t>4</w:t>
            </w:r>
            <w:r>
              <w:rPr>
                <w:sz w:val="26"/>
                <w:szCs w:val="26"/>
              </w:rPr>
              <w:t>.punkts.</w:t>
            </w:r>
          </w:p>
        </w:tc>
        <w:tc>
          <w:tcPr>
            <w:tcW w:w="800" w:type="pct"/>
            <w:shd w:val="clear" w:color="auto" w:fill="auto"/>
          </w:tcPr>
          <w:p w:rsidR="009A3A85" w:rsidRPr="001F6D46" w:rsidRDefault="009A3A85" w:rsidP="001E3522">
            <w:pPr>
              <w:pStyle w:val="naiskr"/>
              <w:spacing w:before="0" w:after="0"/>
              <w:jc w:val="both"/>
              <w:rPr>
                <w:sz w:val="26"/>
                <w:szCs w:val="26"/>
              </w:rPr>
            </w:pPr>
            <w:r>
              <w:rPr>
                <w:sz w:val="26"/>
                <w:szCs w:val="26"/>
              </w:rPr>
              <w:t>Ieviests pilnībā.</w:t>
            </w:r>
          </w:p>
        </w:tc>
        <w:tc>
          <w:tcPr>
            <w:tcW w:w="1948" w:type="pct"/>
            <w:shd w:val="clear" w:color="auto" w:fill="auto"/>
          </w:tcPr>
          <w:p w:rsidR="009A3A85" w:rsidRPr="001F6D46" w:rsidRDefault="009A3A85" w:rsidP="001E3522">
            <w:pPr>
              <w:pStyle w:val="naiskr"/>
              <w:spacing w:before="0" w:after="0"/>
              <w:jc w:val="both"/>
              <w:rPr>
                <w:sz w:val="26"/>
                <w:szCs w:val="26"/>
              </w:rPr>
            </w:pPr>
            <w:r>
              <w:rPr>
                <w:sz w:val="26"/>
                <w:szCs w:val="26"/>
              </w:rPr>
              <w:t>Neparedz stingrākas prasības.</w:t>
            </w:r>
          </w:p>
        </w:tc>
      </w:tr>
      <w:tr w:rsidR="009A3A85" w:rsidRPr="002B5151" w:rsidTr="009A3A85">
        <w:trPr>
          <w:tblCellSpacing w:w="15" w:type="dxa"/>
        </w:trPr>
        <w:tc>
          <w:tcPr>
            <w:tcW w:w="1185" w:type="pct"/>
            <w:gridSpan w:val="2"/>
            <w:shd w:val="clear" w:color="auto" w:fill="auto"/>
          </w:tcPr>
          <w:p w:rsidR="009A3A85" w:rsidRPr="001F6D46" w:rsidRDefault="009A3A85" w:rsidP="001E3522">
            <w:pPr>
              <w:pStyle w:val="naiskr"/>
              <w:spacing w:before="0" w:after="0"/>
              <w:jc w:val="both"/>
              <w:rPr>
                <w:sz w:val="26"/>
                <w:szCs w:val="26"/>
              </w:rPr>
            </w:pPr>
            <w:r>
              <w:rPr>
                <w:sz w:val="26"/>
                <w:szCs w:val="26"/>
              </w:rPr>
              <w:t>Regulas Nr.651/2014 12.pants</w:t>
            </w:r>
          </w:p>
        </w:tc>
        <w:tc>
          <w:tcPr>
            <w:tcW w:w="984" w:type="pct"/>
            <w:gridSpan w:val="2"/>
            <w:shd w:val="clear" w:color="auto" w:fill="auto"/>
          </w:tcPr>
          <w:p w:rsidR="009A3A85" w:rsidRPr="001F6D46" w:rsidRDefault="009A3A85" w:rsidP="00DF0946">
            <w:pPr>
              <w:pStyle w:val="naiskr"/>
              <w:spacing w:before="0" w:after="0"/>
              <w:jc w:val="both"/>
              <w:rPr>
                <w:sz w:val="26"/>
                <w:szCs w:val="26"/>
              </w:rPr>
            </w:pPr>
            <w:r>
              <w:rPr>
                <w:sz w:val="26"/>
                <w:szCs w:val="26"/>
              </w:rPr>
              <w:t xml:space="preserve">Noteikumu projekta </w:t>
            </w:r>
            <w:r w:rsidR="00DF0946">
              <w:rPr>
                <w:sz w:val="26"/>
                <w:szCs w:val="26"/>
              </w:rPr>
              <w:t>4</w:t>
            </w:r>
            <w:r>
              <w:rPr>
                <w:sz w:val="26"/>
                <w:szCs w:val="26"/>
              </w:rPr>
              <w:t>.punkts.</w:t>
            </w:r>
          </w:p>
        </w:tc>
        <w:tc>
          <w:tcPr>
            <w:tcW w:w="800" w:type="pct"/>
            <w:shd w:val="clear" w:color="auto" w:fill="auto"/>
          </w:tcPr>
          <w:p w:rsidR="009A3A85" w:rsidRPr="001F6D46" w:rsidRDefault="009A3A85" w:rsidP="001E3522">
            <w:pPr>
              <w:pStyle w:val="naiskr"/>
              <w:spacing w:before="0" w:after="0"/>
              <w:jc w:val="both"/>
              <w:rPr>
                <w:sz w:val="26"/>
                <w:szCs w:val="26"/>
              </w:rPr>
            </w:pPr>
            <w:r>
              <w:rPr>
                <w:sz w:val="26"/>
                <w:szCs w:val="26"/>
              </w:rPr>
              <w:t>Ieviests pilnībā.</w:t>
            </w:r>
          </w:p>
        </w:tc>
        <w:tc>
          <w:tcPr>
            <w:tcW w:w="1948" w:type="pct"/>
            <w:shd w:val="clear" w:color="auto" w:fill="auto"/>
          </w:tcPr>
          <w:p w:rsidR="009A3A85" w:rsidRPr="001F6D46" w:rsidRDefault="009A3A85" w:rsidP="001E3522">
            <w:pPr>
              <w:pStyle w:val="naiskr"/>
              <w:spacing w:before="0" w:after="0"/>
              <w:jc w:val="both"/>
              <w:rPr>
                <w:sz w:val="26"/>
                <w:szCs w:val="26"/>
              </w:rPr>
            </w:pPr>
            <w:r>
              <w:rPr>
                <w:sz w:val="26"/>
                <w:szCs w:val="26"/>
              </w:rPr>
              <w:t>Neparedz stingrākas prasības.</w:t>
            </w:r>
          </w:p>
        </w:tc>
      </w:tr>
      <w:tr w:rsidR="009A3A85" w:rsidRPr="002B5151" w:rsidTr="009A3A85">
        <w:trPr>
          <w:tblCellSpacing w:w="15" w:type="dxa"/>
        </w:trPr>
        <w:tc>
          <w:tcPr>
            <w:tcW w:w="1185" w:type="pct"/>
            <w:gridSpan w:val="2"/>
            <w:shd w:val="clear" w:color="auto" w:fill="auto"/>
            <w:vAlign w:val="center"/>
          </w:tcPr>
          <w:p w:rsidR="009A3A85" w:rsidRPr="001F6D46" w:rsidRDefault="009A3A85" w:rsidP="00357064">
            <w:pPr>
              <w:jc w:val="both"/>
              <w:rPr>
                <w:rFonts w:eastAsia="Times New Roman"/>
                <w:sz w:val="26"/>
                <w:szCs w:val="26"/>
                <w:lang w:val="lv-LV" w:eastAsia="lv-LV"/>
              </w:rPr>
            </w:pPr>
            <w:r w:rsidRPr="001F6D46">
              <w:rPr>
                <w:rFonts w:eastAsia="Times New Roman"/>
                <w:sz w:val="26"/>
                <w:szCs w:val="26"/>
                <w:lang w:val="lv-LV" w:eastAsia="lv-LV"/>
              </w:rPr>
              <w:t>Kā ir izmantota ES tiesību aktā paredzētā rīcības brīvība dalībvalstij pārņemt vai ieviest noteiktas ES tiesību akta normas.</w:t>
            </w:r>
          </w:p>
        </w:tc>
        <w:tc>
          <w:tcPr>
            <w:tcW w:w="3765" w:type="pct"/>
            <w:gridSpan w:val="4"/>
            <w:shd w:val="clear" w:color="auto" w:fill="auto"/>
          </w:tcPr>
          <w:p w:rsidR="009A3A85" w:rsidRPr="001F6D46" w:rsidRDefault="009A3A85" w:rsidP="00357064">
            <w:pPr>
              <w:autoSpaceDE w:val="0"/>
              <w:autoSpaceDN w:val="0"/>
              <w:adjustRightInd w:val="0"/>
              <w:jc w:val="both"/>
              <w:rPr>
                <w:rFonts w:ascii="EUAlbertina" w:hAnsi="EUAlbertina" w:cs="EUAlbertina"/>
                <w:sz w:val="26"/>
                <w:szCs w:val="26"/>
                <w:lang w:val="lv-LV"/>
              </w:rPr>
            </w:pPr>
            <w:r>
              <w:rPr>
                <w:rFonts w:eastAsia="Times New Roman"/>
                <w:iCs/>
                <w:sz w:val="26"/>
                <w:szCs w:val="26"/>
                <w:lang w:val="lv-LV" w:eastAsia="lv-LV"/>
              </w:rPr>
              <w:t>R</w:t>
            </w:r>
            <w:r w:rsidRPr="001802AA">
              <w:rPr>
                <w:rFonts w:eastAsia="Times New Roman"/>
                <w:iCs/>
                <w:sz w:val="26"/>
                <w:szCs w:val="26"/>
                <w:lang w:val="lv-LV" w:eastAsia="lv-LV"/>
              </w:rPr>
              <w:t>egula Nr.1407/2013</w:t>
            </w:r>
            <w:r>
              <w:rPr>
                <w:rFonts w:eastAsia="Times New Roman"/>
                <w:iCs/>
                <w:sz w:val="26"/>
                <w:szCs w:val="26"/>
                <w:lang w:val="lv-LV" w:eastAsia="lv-LV"/>
              </w:rPr>
              <w:t xml:space="preserve"> un Regula Nr.651/2014 neparedz rīcības brīvību. </w:t>
            </w:r>
          </w:p>
          <w:p w:rsidR="009A3A85" w:rsidRPr="001F6D46" w:rsidRDefault="009A3A85" w:rsidP="001E3522">
            <w:pPr>
              <w:pStyle w:val="naiskr"/>
              <w:spacing w:before="0" w:after="0"/>
              <w:jc w:val="both"/>
              <w:rPr>
                <w:sz w:val="26"/>
                <w:szCs w:val="26"/>
              </w:rPr>
            </w:pPr>
          </w:p>
        </w:tc>
      </w:tr>
      <w:tr w:rsidR="009A3A85" w:rsidRPr="00C64C83" w:rsidTr="009A3A85">
        <w:trPr>
          <w:tblCellSpacing w:w="15" w:type="dxa"/>
        </w:trPr>
        <w:tc>
          <w:tcPr>
            <w:tcW w:w="1185" w:type="pct"/>
            <w:gridSpan w:val="2"/>
            <w:shd w:val="clear" w:color="auto" w:fill="auto"/>
            <w:vAlign w:val="center"/>
            <w:hideMark/>
          </w:tcPr>
          <w:p w:rsidR="009A3A85" w:rsidRPr="001F6D46" w:rsidRDefault="009A3A85" w:rsidP="001E3522">
            <w:pPr>
              <w:jc w:val="both"/>
              <w:rPr>
                <w:rFonts w:eastAsia="Times New Roman"/>
                <w:sz w:val="26"/>
                <w:szCs w:val="26"/>
                <w:lang w:val="lv-LV" w:eastAsia="lv-LV"/>
              </w:rPr>
            </w:pPr>
            <w:r w:rsidRPr="001F6D46">
              <w:rPr>
                <w:rFonts w:eastAsia="Times New Roman"/>
                <w:sz w:val="26"/>
                <w:szCs w:val="26"/>
                <w:lang w:val="lv-LV" w:eastAsia="lv-LV"/>
              </w:rPr>
              <w:t xml:space="preserve">Saistības sniegt </w:t>
            </w:r>
            <w:r w:rsidRPr="001F6D46">
              <w:rPr>
                <w:rFonts w:eastAsia="Times New Roman"/>
                <w:sz w:val="26"/>
                <w:szCs w:val="26"/>
                <w:lang w:val="lv-LV" w:eastAsia="lv-LV"/>
              </w:rPr>
              <w:lastRenderedPageBreak/>
              <w:t>paziņojumu ES institūcijām un ES dalībvalstīm atbilstoši normatīvajiem aktiem, kas regulē informācijas sniegšanu par tehnisko noteikumu, valsts atbalsta piešķiršanas un finanšu noteikumu (attiecībā uz monetāro politiku) projektiem</w:t>
            </w:r>
          </w:p>
        </w:tc>
        <w:tc>
          <w:tcPr>
            <w:tcW w:w="3765" w:type="pct"/>
            <w:gridSpan w:val="4"/>
            <w:shd w:val="clear" w:color="auto" w:fill="auto"/>
            <w:hideMark/>
          </w:tcPr>
          <w:p w:rsidR="009A3A85" w:rsidRPr="001F6D46" w:rsidRDefault="000D6C4D" w:rsidP="001E3522">
            <w:pPr>
              <w:jc w:val="both"/>
              <w:rPr>
                <w:rFonts w:eastAsia="Times New Roman"/>
                <w:iCs/>
                <w:sz w:val="26"/>
                <w:szCs w:val="26"/>
                <w:lang w:val="lv-LV" w:eastAsia="lv-LV"/>
              </w:rPr>
            </w:pPr>
            <w:r>
              <w:rPr>
                <w:rFonts w:eastAsia="Times New Roman"/>
                <w:iCs/>
                <w:sz w:val="26"/>
                <w:szCs w:val="26"/>
                <w:lang w:val="lv-LV" w:eastAsia="lv-LV"/>
              </w:rPr>
              <w:lastRenderedPageBreak/>
              <w:t>Projekts šo jomu neskar.</w:t>
            </w:r>
          </w:p>
          <w:p w:rsidR="009A3A85" w:rsidRPr="001F6D46" w:rsidRDefault="009A3A85" w:rsidP="001E3522">
            <w:pPr>
              <w:jc w:val="both"/>
              <w:rPr>
                <w:rFonts w:eastAsia="Times New Roman"/>
                <w:sz w:val="26"/>
                <w:szCs w:val="26"/>
                <w:lang w:val="lv-LV" w:eastAsia="lv-LV"/>
              </w:rPr>
            </w:pPr>
          </w:p>
        </w:tc>
      </w:tr>
      <w:tr w:rsidR="009A3A85" w:rsidRPr="001F6D46" w:rsidTr="009A3A85">
        <w:trPr>
          <w:tblCellSpacing w:w="15" w:type="dxa"/>
        </w:trPr>
        <w:tc>
          <w:tcPr>
            <w:tcW w:w="1185" w:type="pct"/>
            <w:gridSpan w:val="2"/>
            <w:shd w:val="clear" w:color="auto" w:fill="auto"/>
            <w:hideMark/>
          </w:tcPr>
          <w:p w:rsidR="009A3A85" w:rsidRPr="001F6D46" w:rsidRDefault="009A3A85" w:rsidP="001E3522">
            <w:pPr>
              <w:jc w:val="both"/>
              <w:rPr>
                <w:rFonts w:eastAsia="Times New Roman"/>
                <w:sz w:val="26"/>
                <w:szCs w:val="26"/>
                <w:lang w:val="lv-LV" w:eastAsia="lv-LV"/>
              </w:rPr>
            </w:pPr>
            <w:r w:rsidRPr="001F6D46">
              <w:rPr>
                <w:rFonts w:eastAsia="Times New Roman"/>
                <w:sz w:val="26"/>
                <w:szCs w:val="26"/>
                <w:lang w:val="lv-LV" w:eastAsia="lv-LV"/>
              </w:rPr>
              <w:lastRenderedPageBreak/>
              <w:t>Cita informācija</w:t>
            </w:r>
          </w:p>
        </w:tc>
        <w:tc>
          <w:tcPr>
            <w:tcW w:w="3765" w:type="pct"/>
            <w:gridSpan w:val="4"/>
            <w:shd w:val="clear" w:color="auto" w:fill="auto"/>
            <w:hideMark/>
          </w:tcPr>
          <w:p w:rsidR="009A3A85" w:rsidRPr="001F6D46" w:rsidRDefault="009A3A85" w:rsidP="001E3522">
            <w:pPr>
              <w:jc w:val="both"/>
              <w:rPr>
                <w:rFonts w:eastAsia="Times New Roman"/>
                <w:sz w:val="26"/>
                <w:szCs w:val="26"/>
                <w:lang w:val="lv-LV" w:eastAsia="lv-LV"/>
              </w:rPr>
            </w:pPr>
            <w:r w:rsidRPr="001F6D46">
              <w:rPr>
                <w:rFonts w:eastAsia="Times New Roman"/>
                <w:sz w:val="26"/>
                <w:szCs w:val="26"/>
                <w:lang w:val="lv-LV" w:eastAsia="lv-LV"/>
              </w:rPr>
              <w:t>Nav</w:t>
            </w:r>
          </w:p>
        </w:tc>
      </w:tr>
    </w:tbl>
    <w:p w:rsidR="00290A40" w:rsidRDefault="00290A40" w:rsidP="00C9779A">
      <w:pPr>
        <w:rPr>
          <w:sz w:val="26"/>
          <w:szCs w:val="26"/>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6C7215" w:rsidRPr="006C7215" w:rsidTr="001E3522">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center"/>
              <w:rPr>
                <w:rFonts w:eastAsia="Times New Roman"/>
                <w:b/>
                <w:sz w:val="26"/>
                <w:szCs w:val="26"/>
                <w:lang w:val="lv-LV" w:eastAsia="lv-LV"/>
              </w:rPr>
            </w:pPr>
            <w:r w:rsidRPr="006C7215">
              <w:rPr>
                <w:b/>
                <w:bCs/>
                <w:sz w:val="26"/>
                <w:szCs w:val="26"/>
                <w:lang w:val="lv-LV"/>
              </w:rPr>
              <w:t>VI. Sabiedrības līdzdalība un komunikācijas aktivitātes</w:t>
            </w:r>
          </w:p>
        </w:tc>
      </w:tr>
      <w:tr w:rsidR="006C7215" w:rsidRPr="006C7215" w:rsidTr="001E3522">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1E3522">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6C7215">
            <w:pPr>
              <w:ind w:left="124"/>
              <w:jc w:val="both"/>
              <w:rPr>
                <w:rFonts w:eastAsia="Times New Roman"/>
                <w:iCs/>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p w:rsidR="006C7215" w:rsidRPr="006C7215" w:rsidRDefault="006C7215" w:rsidP="006C7215">
            <w:pPr>
              <w:ind w:left="124"/>
              <w:jc w:val="both"/>
              <w:rPr>
                <w:rFonts w:eastAsia="Times New Roman"/>
                <w:iCs/>
                <w:sz w:val="26"/>
                <w:szCs w:val="26"/>
                <w:lang w:val="lv-LV" w:eastAsia="lv-LV"/>
              </w:rPr>
            </w:pPr>
          </w:p>
        </w:tc>
      </w:tr>
      <w:tr w:rsidR="006C7215" w:rsidRPr="006C7215" w:rsidTr="001E3522">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b/>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1E3522">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9A3A85" w:rsidP="009A3A85">
            <w:pPr>
              <w:jc w:val="both"/>
              <w:rPr>
                <w:rFonts w:eastAsia="Times New Roman"/>
                <w:sz w:val="26"/>
                <w:szCs w:val="26"/>
                <w:lang w:val="lv-LV" w:eastAsia="lv-LV"/>
              </w:rPr>
            </w:pPr>
            <w:r>
              <w:rPr>
                <w:rFonts w:eastAsia="Times New Roman"/>
                <w:iCs/>
                <w:sz w:val="26"/>
                <w:szCs w:val="26"/>
                <w:lang w:val="lv-LV" w:eastAsia="lv-LV"/>
              </w:rPr>
              <w:t> </w:t>
            </w:r>
            <w:r w:rsidR="006C7215" w:rsidRPr="006C7215">
              <w:rPr>
                <w:rFonts w:eastAsia="Times New Roman"/>
                <w:iCs/>
                <w:sz w:val="26"/>
                <w:szCs w:val="26"/>
                <w:lang w:val="lv-LV" w:eastAsia="lv-LV"/>
              </w:rPr>
              <w:t>Nav</w:t>
            </w:r>
          </w:p>
        </w:tc>
      </w:tr>
    </w:tbl>
    <w:p w:rsidR="0085223F" w:rsidRPr="006C7215" w:rsidRDefault="0085223F" w:rsidP="006C7215">
      <w:pPr>
        <w:rPr>
          <w:sz w:val="26"/>
          <w:szCs w:val="26"/>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6C7215" w:rsidRPr="006C7215" w:rsidTr="001E3522">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ind w:firstLine="720"/>
              <w:jc w:val="both"/>
              <w:rPr>
                <w:rFonts w:eastAsia="Times New Roman"/>
                <w:b/>
                <w:sz w:val="26"/>
                <w:szCs w:val="26"/>
                <w:lang w:val="lv-LV" w:eastAsia="lv-LV"/>
              </w:rPr>
            </w:pPr>
            <w:r w:rsidRPr="006C7215">
              <w:rPr>
                <w:rFonts w:eastAsia="Times New Roman"/>
                <w:b/>
                <w:sz w:val="26"/>
                <w:szCs w:val="26"/>
                <w:lang w:val="lv-LV" w:eastAsia="lv-LV"/>
              </w:rPr>
              <w:t>VII. Tiesību akta projekta izpildes nodrošināšana un tās ietekme uz institūcijām</w:t>
            </w:r>
          </w:p>
        </w:tc>
      </w:tr>
      <w:tr w:rsidR="006C7215" w:rsidRPr="006C7215" w:rsidTr="001E3522">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375943">
            <w:pPr>
              <w:ind w:firstLine="720"/>
              <w:jc w:val="both"/>
              <w:rPr>
                <w:rFonts w:eastAsia="Times New Roman"/>
                <w:sz w:val="26"/>
                <w:szCs w:val="26"/>
                <w:lang w:val="lv-LV" w:eastAsia="lv-LV"/>
              </w:rPr>
            </w:pPr>
            <w:r w:rsidRPr="006C7215">
              <w:rPr>
                <w:rFonts w:eastAsia="Times New Roman"/>
                <w:sz w:val="26"/>
                <w:szCs w:val="26"/>
                <w:lang w:val="lv-LV" w:eastAsia="lv-LV"/>
              </w:rPr>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izpildi nodrošinās EM un </w:t>
            </w:r>
            <w:r w:rsidR="00A752CF">
              <w:rPr>
                <w:rFonts w:eastAsia="Times New Roman"/>
                <w:sz w:val="26"/>
                <w:szCs w:val="26"/>
                <w:lang w:val="lv-LV" w:eastAsia="lv-LV"/>
              </w:rPr>
              <w:t>Altum.</w:t>
            </w:r>
          </w:p>
          <w:p w:rsidR="00375943" w:rsidRPr="006C7215" w:rsidRDefault="00375943" w:rsidP="00375943">
            <w:pPr>
              <w:ind w:firstLine="720"/>
              <w:jc w:val="both"/>
              <w:rPr>
                <w:rFonts w:eastAsia="Times New Roman"/>
                <w:sz w:val="26"/>
                <w:szCs w:val="26"/>
                <w:lang w:val="lv-LV" w:eastAsia="lv-LV"/>
              </w:rPr>
            </w:pPr>
          </w:p>
        </w:tc>
      </w:tr>
      <w:tr w:rsidR="006C7215" w:rsidRPr="006C7215" w:rsidTr="001E3522">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 xml:space="preserve">Projekta izpildes ietekme uz pārvaldes funkcijām un institucionālo struktūru. Jaunu institūciju izveide, esošu institūciju likvidācija vai reorganizācija, to ietekme </w:t>
            </w:r>
            <w:r w:rsidRPr="006C7215">
              <w:rPr>
                <w:rFonts w:eastAsia="Times New Roman"/>
                <w:sz w:val="26"/>
                <w:szCs w:val="26"/>
                <w:lang w:val="lv-LV" w:eastAsia="lv-LV"/>
              </w:rPr>
              <w:lastRenderedPageBreak/>
              <w:t>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lastRenderedPageBreak/>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izpilde tiks nodrošināta EM un </w:t>
            </w:r>
            <w:r w:rsidR="00A752CF">
              <w:rPr>
                <w:rFonts w:eastAsia="Times New Roman"/>
                <w:sz w:val="26"/>
                <w:szCs w:val="26"/>
                <w:lang w:val="lv-LV" w:eastAsia="lv-LV"/>
              </w:rPr>
              <w:t>Altum</w:t>
            </w:r>
            <w:r w:rsidRPr="006C7215">
              <w:rPr>
                <w:rFonts w:eastAsia="Times New Roman"/>
                <w:sz w:val="26"/>
                <w:szCs w:val="26"/>
                <w:lang w:val="lv-LV" w:eastAsia="lv-LV"/>
              </w:rPr>
              <w:t xml:space="preserve"> esošo funkciju ietvaros.</w:t>
            </w:r>
          </w:p>
          <w:p w:rsidR="006C7215" w:rsidRPr="006C7215" w:rsidRDefault="006C7215" w:rsidP="006C7215">
            <w:pPr>
              <w:ind w:firstLine="720"/>
              <w:jc w:val="both"/>
              <w:rPr>
                <w:rFonts w:eastAsia="Times New Roman"/>
                <w:sz w:val="26"/>
                <w:szCs w:val="26"/>
                <w:lang w:val="lv-LV" w:eastAsia="lv-LV"/>
              </w:rPr>
            </w:pPr>
          </w:p>
        </w:tc>
      </w:tr>
      <w:tr w:rsidR="006C7215" w:rsidRPr="006C7215" w:rsidTr="001E3522">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lastRenderedPageBreak/>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t>Nav</w:t>
            </w:r>
          </w:p>
        </w:tc>
      </w:tr>
    </w:tbl>
    <w:p w:rsidR="009B7A7D" w:rsidRDefault="009B7A7D" w:rsidP="006C7215">
      <w:pPr>
        <w:tabs>
          <w:tab w:val="left" w:pos="7655"/>
        </w:tabs>
        <w:jc w:val="both"/>
        <w:rPr>
          <w:sz w:val="26"/>
          <w:szCs w:val="26"/>
          <w:lang w:val="lv-LV"/>
        </w:rPr>
      </w:pPr>
    </w:p>
    <w:p w:rsidR="006C7215" w:rsidRPr="006C7215" w:rsidRDefault="006C7215" w:rsidP="006C7215">
      <w:pPr>
        <w:tabs>
          <w:tab w:val="left" w:pos="7655"/>
        </w:tabs>
        <w:jc w:val="both"/>
        <w:rPr>
          <w:sz w:val="26"/>
          <w:szCs w:val="26"/>
          <w:lang w:val="lv-LV"/>
        </w:rPr>
      </w:pPr>
      <w:r w:rsidRPr="006C7215">
        <w:rPr>
          <w:sz w:val="26"/>
          <w:szCs w:val="26"/>
          <w:lang w:val="lv-LV"/>
        </w:rPr>
        <w:t>Anotācijas III</w:t>
      </w:r>
      <w:r w:rsidRPr="006C7215">
        <w:rPr>
          <w:rFonts w:ascii="Times" w:hAnsi="Times"/>
          <w:sz w:val="26"/>
          <w:szCs w:val="26"/>
          <w:lang w:val="lv-LV"/>
        </w:rPr>
        <w:t xml:space="preserve"> </w:t>
      </w:r>
      <w:r w:rsidRPr="006C7215">
        <w:rPr>
          <w:sz w:val="26"/>
          <w:szCs w:val="26"/>
          <w:lang w:val="lv-LV"/>
        </w:rPr>
        <w:t xml:space="preserve">sadaļa – noteikumu </w:t>
      </w:r>
      <w:r w:rsidRPr="006C7215">
        <w:rPr>
          <w:iCs/>
          <w:sz w:val="26"/>
          <w:szCs w:val="26"/>
          <w:lang w:val="lv-LV"/>
        </w:rPr>
        <w:t>projekts šo jomu neskar</w:t>
      </w:r>
      <w:r w:rsidRPr="006C7215">
        <w:rPr>
          <w:sz w:val="26"/>
          <w:szCs w:val="26"/>
          <w:lang w:val="lv-LV"/>
        </w:rPr>
        <w:t>.</w:t>
      </w:r>
    </w:p>
    <w:p w:rsidR="00010E93" w:rsidRDefault="00010E93" w:rsidP="00A43665">
      <w:pPr>
        <w:tabs>
          <w:tab w:val="right" w:pos="9072"/>
        </w:tabs>
        <w:rPr>
          <w:sz w:val="26"/>
          <w:szCs w:val="26"/>
          <w:lang w:val="lv-LV"/>
        </w:rPr>
      </w:pPr>
    </w:p>
    <w:p w:rsidR="004F7E1F" w:rsidRDefault="004F7E1F" w:rsidP="00A43665">
      <w:pPr>
        <w:tabs>
          <w:tab w:val="right" w:pos="9072"/>
        </w:tabs>
        <w:rPr>
          <w:sz w:val="26"/>
          <w:szCs w:val="26"/>
          <w:lang w:val="lv-LV"/>
        </w:rPr>
      </w:pPr>
    </w:p>
    <w:p w:rsidR="002D0A01" w:rsidRDefault="002D0A01" w:rsidP="00A43665">
      <w:pPr>
        <w:tabs>
          <w:tab w:val="right" w:pos="9072"/>
        </w:tabs>
        <w:rPr>
          <w:sz w:val="26"/>
          <w:szCs w:val="26"/>
          <w:lang w:val="lv-LV"/>
        </w:rPr>
      </w:pPr>
    </w:p>
    <w:p w:rsidR="002D0A01" w:rsidRDefault="002D0A01" w:rsidP="00A43665">
      <w:pPr>
        <w:tabs>
          <w:tab w:val="right" w:pos="9072"/>
        </w:tabs>
        <w:rPr>
          <w:sz w:val="26"/>
          <w:szCs w:val="26"/>
          <w:lang w:val="lv-LV"/>
        </w:rPr>
      </w:pPr>
    </w:p>
    <w:p w:rsidR="002D0A01" w:rsidRPr="005A7B9C" w:rsidRDefault="002D0A01" w:rsidP="00A43665">
      <w:pPr>
        <w:tabs>
          <w:tab w:val="right" w:pos="9072"/>
        </w:tabs>
        <w:rPr>
          <w:sz w:val="26"/>
          <w:szCs w:val="26"/>
          <w:lang w:val="lv-LV"/>
        </w:rPr>
      </w:pPr>
    </w:p>
    <w:p w:rsidR="00745E0F" w:rsidRPr="005A7B9C" w:rsidRDefault="00745E0F" w:rsidP="00745E0F">
      <w:pPr>
        <w:tabs>
          <w:tab w:val="right" w:pos="9072"/>
        </w:tabs>
        <w:rPr>
          <w:sz w:val="26"/>
          <w:szCs w:val="26"/>
          <w:lang w:val="lv-LV"/>
        </w:rPr>
      </w:pPr>
      <w:r>
        <w:rPr>
          <w:sz w:val="26"/>
          <w:szCs w:val="26"/>
          <w:lang w:val="lv-LV"/>
        </w:rPr>
        <w:t>Ekonomikas ministr</w:t>
      </w:r>
      <w:r w:rsidR="00D267B2">
        <w:rPr>
          <w:sz w:val="26"/>
          <w:szCs w:val="26"/>
          <w:lang w:val="lv-LV"/>
        </w:rPr>
        <w:t>e</w:t>
      </w:r>
      <w:r>
        <w:rPr>
          <w:sz w:val="26"/>
          <w:szCs w:val="26"/>
          <w:lang w:val="lv-LV"/>
        </w:rPr>
        <w:t xml:space="preserve"> </w:t>
      </w:r>
      <w:r>
        <w:rPr>
          <w:sz w:val="26"/>
          <w:szCs w:val="26"/>
          <w:lang w:val="lv-LV"/>
        </w:rPr>
        <w:tab/>
      </w:r>
      <w:r w:rsidR="00D267B2">
        <w:rPr>
          <w:sz w:val="26"/>
          <w:szCs w:val="26"/>
          <w:lang w:val="lv-LV"/>
        </w:rPr>
        <w:t>D.Reizniece-Ozola</w:t>
      </w:r>
    </w:p>
    <w:p w:rsidR="00522B62" w:rsidRPr="005A7B9C" w:rsidRDefault="00A43665" w:rsidP="00A43665">
      <w:pPr>
        <w:tabs>
          <w:tab w:val="right" w:pos="9072"/>
        </w:tabs>
        <w:rPr>
          <w:sz w:val="26"/>
          <w:szCs w:val="26"/>
          <w:lang w:val="lv-LV"/>
        </w:rPr>
      </w:pP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p>
    <w:p w:rsidR="00BE6E9C" w:rsidRPr="005A7B9C" w:rsidRDefault="00BE6E9C" w:rsidP="008E5F7D">
      <w:pPr>
        <w:tabs>
          <w:tab w:val="right" w:pos="9072"/>
        </w:tabs>
        <w:rPr>
          <w:sz w:val="26"/>
          <w:szCs w:val="26"/>
          <w:lang w:val="lv-LV"/>
        </w:rPr>
      </w:pPr>
    </w:p>
    <w:p w:rsidR="002D0A01" w:rsidRDefault="009B5F28" w:rsidP="00F22471">
      <w:pPr>
        <w:jc w:val="both"/>
        <w:rPr>
          <w:sz w:val="26"/>
          <w:szCs w:val="26"/>
          <w:lang w:val="lv-LV"/>
        </w:rPr>
      </w:pPr>
      <w:r w:rsidRPr="009B5F28">
        <w:rPr>
          <w:sz w:val="26"/>
          <w:szCs w:val="26"/>
          <w:lang w:val="lv-LV"/>
        </w:rPr>
        <w:t>Vīza: Valsts sekretār</w:t>
      </w:r>
      <w:r w:rsidR="00A752CF">
        <w:rPr>
          <w:sz w:val="26"/>
          <w:szCs w:val="26"/>
          <w:lang w:val="lv-LV"/>
        </w:rPr>
        <w:t>s</w:t>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r>
      <w:r w:rsidR="00A752CF">
        <w:rPr>
          <w:sz w:val="26"/>
          <w:szCs w:val="26"/>
          <w:lang w:val="lv-LV"/>
        </w:rPr>
        <w:tab/>
        <w:t xml:space="preserve">          R.Beinarovičs</w:t>
      </w:r>
      <w:r w:rsidRPr="009B5F28">
        <w:rPr>
          <w:sz w:val="26"/>
          <w:szCs w:val="26"/>
          <w:lang w:val="lv-LV"/>
        </w:rPr>
        <w:tab/>
      </w:r>
    </w:p>
    <w:p w:rsidR="002D0A01" w:rsidRDefault="002D0A01" w:rsidP="00F22471">
      <w:pPr>
        <w:jc w:val="both"/>
        <w:rPr>
          <w:sz w:val="26"/>
          <w:szCs w:val="26"/>
          <w:lang w:val="lv-LV"/>
        </w:rPr>
      </w:pPr>
    </w:p>
    <w:p w:rsidR="002D0A01" w:rsidRDefault="002D0A01" w:rsidP="00F22471">
      <w:pPr>
        <w:jc w:val="both"/>
        <w:rPr>
          <w:sz w:val="26"/>
          <w:szCs w:val="26"/>
          <w:lang w:val="lv-LV"/>
        </w:rPr>
      </w:pPr>
    </w:p>
    <w:p w:rsidR="002D0A01" w:rsidRDefault="002D0A01" w:rsidP="00F22471">
      <w:pPr>
        <w:jc w:val="both"/>
        <w:rPr>
          <w:sz w:val="26"/>
          <w:szCs w:val="26"/>
          <w:lang w:val="lv-LV"/>
        </w:rPr>
      </w:pPr>
    </w:p>
    <w:p w:rsidR="00EF5821" w:rsidRPr="004F7E1F" w:rsidRDefault="00A752CF" w:rsidP="00F22471">
      <w:pPr>
        <w:jc w:val="both"/>
        <w:rPr>
          <w:sz w:val="26"/>
          <w:szCs w:val="26"/>
          <w:lang w:val="lv-LV"/>
        </w:rPr>
      </w:pPr>
      <w:r>
        <w:rPr>
          <w:sz w:val="26"/>
          <w:szCs w:val="26"/>
          <w:lang w:val="lv-LV"/>
        </w:rPr>
        <w:tab/>
      </w:r>
      <w:r w:rsidR="004F7E1F">
        <w:rPr>
          <w:sz w:val="26"/>
          <w:szCs w:val="26"/>
          <w:lang w:val="lv-LV"/>
        </w:rPr>
        <w:tab/>
      </w:r>
      <w:r w:rsidR="004F7E1F">
        <w:rPr>
          <w:sz w:val="26"/>
          <w:szCs w:val="26"/>
          <w:lang w:val="lv-LV"/>
        </w:rPr>
        <w:tab/>
      </w:r>
      <w:r w:rsidR="004F7E1F">
        <w:rPr>
          <w:sz w:val="26"/>
          <w:szCs w:val="26"/>
          <w:lang w:val="lv-LV"/>
        </w:rPr>
        <w:tab/>
      </w:r>
      <w:r w:rsidR="004F7E1F">
        <w:rPr>
          <w:sz w:val="26"/>
          <w:szCs w:val="26"/>
          <w:lang w:val="lv-LV"/>
        </w:rPr>
        <w:tab/>
      </w:r>
      <w:r w:rsidR="004F7E1F">
        <w:rPr>
          <w:sz w:val="26"/>
          <w:szCs w:val="26"/>
          <w:lang w:val="lv-LV"/>
        </w:rPr>
        <w:tab/>
      </w:r>
      <w:r w:rsidR="004F7E1F">
        <w:rPr>
          <w:sz w:val="26"/>
          <w:szCs w:val="26"/>
          <w:lang w:val="lv-LV"/>
        </w:rPr>
        <w:tab/>
      </w:r>
      <w:r w:rsidR="004F7E1F">
        <w:rPr>
          <w:sz w:val="26"/>
          <w:szCs w:val="26"/>
          <w:lang w:val="lv-LV"/>
        </w:rPr>
        <w:tab/>
        <w:t xml:space="preserve">    </w:t>
      </w:r>
    </w:p>
    <w:p w:rsidR="00845083" w:rsidRPr="002241E3" w:rsidRDefault="002D0A01" w:rsidP="00F22471">
      <w:pPr>
        <w:jc w:val="both"/>
        <w:rPr>
          <w:lang w:val="lv-LV"/>
        </w:rPr>
      </w:pPr>
      <w:r>
        <w:rPr>
          <w:lang w:val="lv-LV"/>
        </w:rPr>
        <w:t>10</w:t>
      </w:r>
      <w:r w:rsidR="00A752CF">
        <w:rPr>
          <w:lang w:val="lv-LV"/>
        </w:rPr>
        <w:t>.</w:t>
      </w:r>
      <w:r w:rsidR="00913190">
        <w:rPr>
          <w:lang w:val="lv-LV"/>
        </w:rPr>
        <w:t>0</w:t>
      </w:r>
      <w:r w:rsidR="00CA7C09">
        <w:rPr>
          <w:lang w:val="lv-LV"/>
        </w:rPr>
        <w:t>9</w:t>
      </w:r>
      <w:r w:rsidR="00C459A0">
        <w:rPr>
          <w:lang w:val="lv-LV"/>
        </w:rPr>
        <w:t>.</w:t>
      </w:r>
      <w:r w:rsidR="006C7215" w:rsidRPr="002241E3">
        <w:rPr>
          <w:lang w:val="lv-LV"/>
        </w:rPr>
        <w:t>201</w:t>
      </w:r>
      <w:r w:rsidR="00A752CF">
        <w:rPr>
          <w:lang w:val="lv-LV"/>
        </w:rPr>
        <w:t>5.</w:t>
      </w:r>
      <w:r w:rsidR="00C77663" w:rsidRPr="002241E3">
        <w:rPr>
          <w:lang w:val="lv-LV"/>
        </w:rPr>
        <w:t xml:space="preserve"> </w:t>
      </w:r>
      <w:r>
        <w:rPr>
          <w:lang w:val="lv-LV"/>
        </w:rPr>
        <w:t>14:</w:t>
      </w:r>
      <w:r w:rsidR="00011C90">
        <w:rPr>
          <w:lang w:val="lv-LV"/>
        </w:rPr>
        <w:t>59</w:t>
      </w:r>
      <w:bookmarkStart w:id="3" w:name="_GoBack"/>
      <w:bookmarkEnd w:id="3"/>
    </w:p>
    <w:p w:rsidR="00BF2F17" w:rsidRPr="002241E3" w:rsidRDefault="002D0A01" w:rsidP="00F22471">
      <w:pPr>
        <w:jc w:val="both"/>
        <w:rPr>
          <w:lang w:val="lv-LV"/>
        </w:rPr>
      </w:pPr>
      <w:r>
        <w:t>2265</w:t>
      </w:r>
    </w:p>
    <w:p w:rsidR="00643B54" w:rsidRPr="002241E3" w:rsidRDefault="00842EE7" w:rsidP="00F22471">
      <w:pPr>
        <w:jc w:val="both"/>
        <w:rPr>
          <w:color w:val="000000"/>
          <w:lang w:val="lv-LV"/>
        </w:rPr>
      </w:pPr>
      <w:r w:rsidRPr="002241E3">
        <w:rPr>
          <w:color w:val="000000"/>
          <w:lang w:val="lv-LV"/>
        </w:rPr>
        <w:t>A.Nicmane</w:t>
      </w:r>
    </w:p>
    <w:p w:rsidR="00097583" w:rsidRPr="002241E3" w:rsidRDefault="00B74BCA" w:rsidP="00F22471">
      <w:pPr>
        <w:jc w:val="both"/>
        <w:rPr>
          <w:color w:val="000000"/>
          <w:lang w:val="lv-LV"/>
        </w:rPr>
      </w:pPr>
      <w:r w:rsidRPr="002241E3">
        <w:rPr>
          <w:lang w:val="lv-LV"/>
        </w:rPr>
        <w:t>67013</w:t>
      </w:r>
      <w:r w:rsidR="00842EE7" w:rsidRPr="002241E3">
        <w:rPr>
          <w:lang w:val="lv-LV"/>
        </w:rPr>
        <w:t>203</w:t>
      </w:r>
      <w:r w:rsidR="00386053" w:rsidRPr="002241E3">
        <w:rPr>
          <w:lang w:val="lv-LV"/>
        </w:rPr>
        <w:t>,</w:t>
      </w:r>
      <w:r w:rsidR="00B12DEF" w:rsidRPr="002241E3">
        <w:rPr>
          <w:lang w:val="lv-LV"/>
        </w:rPr>
        <w:t xml:space="preserve"> </w:t>
      </w:r>
      <w:r w:rsidR="00842EE7" w:rsidRPr="002241E3">
        <w:rPr>
          <w:lang w:val="lv-LV"/>
        </w:rPr>
        <w:t>Agita.Nicmane@em.gov.lv</w:t>
      </w:r>
    </w:p>
    <w:sectPr w:rsidR="00097583" w:rsidRPr="002241E3"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68" w:rsidRDefault="00D32668" w:rsidP="00B014C2">
      <w:r>
        <w:separator/>
      </w:r>
    </w:p>
  </w:endnote>
  <w:endnote w:type="continuationSeparator" w:id="0">
    <w:p w:rsidR="00D32668" w:rsidRDefault="00D3266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altName w:val="Century Gothic"/>
    <w:charset w:val="00"/>
    <w:family w:val="swiss"/>
    <w:pitch w:val="variable"/>
    <w:sig w:usb0="00000001" w:usb1="00000000" w:usb2="00000000" w:usb3="00000000" w:csb0="0000001B"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64" w:rsidRPr="0080150E" w:rsidRDefault="00357064" w:rsidP="0080150E">
    <w:pPr>
      <w:pStyle w:val="BodyText"/>
      <w:rPr>
        <w:sz w:val="20"/>
      </w:rPr>
    </w:pPr>
    <w:r>
      <w:rPr>
        <w:sz w:val="20"/>
      </w:rPr>
      <w:t>EMANOT_</w:t>
    </w:r>
    <w:r w:rsidR="00540F14">
      <w:rPr>
        <w:sz w:val="20"/>
      </w:rPr>
      <w:t>10</w:t>
    </w:r>
    <w:r>
      <w:rPr>
        <w:sz w:val="20"/>
      </w:rPr>
      <w:t>0</w:t>
    </w:r>
    <w:r w:rsidR="005B339A">
      <w:rPr>
        <w:sz w:val="20"/>
      </w:rPr>
      <w:t>9</w:t>
    </w:r>
    <w:r>
      <w:rPr>
        <w:sz w:val="20"/>
      </w:rPr>
      <w:t>15_GROZ818</w:t>
    </w:r>
    <w:r w:rsidRPr="005741F1">
      <w:rPr>
        <w:sz w:val="20"/>
      </w:rPr>
      <w:t xml:space="preserve">; </w:t>
    </w:r>
    <w:r w:rsidRPr="0094772F">
      <w:rPr>
        <w:sz w:val="20"/>
      </w:rPr>
      <w:t>Ministru kabineta noteikumu projekta „Grozījumi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64" w:rsidRPr="005741F1" w:rsidRDefault="00357064" w:rsidP="00D7256E">
    <w:pPr>
      <w:pStyle w:val="BodyText"/>
      <w:rPr>
        <w:sz w:val="20"/>
      </w:rPr>
    </w:pPr>
    <w:r>
      <w:rPr>
        <w:sz w:val="20"/>
      </w:rPr>
      <w:t>EMANOT_</w:t>
    </w:r>
    <w:r w:rsidR="00540F14">
      <w:rPr>
        <w:sz w:val="20"/>
      </w:rPr>
      <w:t>10</w:t>
    </w:r>
    <w:r>
      <w:rPr>
        <w:sz w:val="20"/>
      </w:rPr>
      <w:t>0</w:t>
    </w:r>
    <w:r w:rsidR="005B339A">
      <w:rPr>
        <w:sz w:val="20"/>
      </w:rPr>
      <w:t>9</w:t>
    </w:r>
    <w:r>
      <w:rPr>
        <w:sz w:val="20"/>
      </w:rPr>
      <w:t>15_GROZ818</w:t>
    </w:r>
    <w:r w:rsidRPr="005741F1">
      <w:rPr>
        <w:sz w:val="20"/>
      </w:rPr>
      <w:t xml:space="preserve">; </w:t>
    </w:r>
    <w:r w:rsidRPr="0094772F">
      <w:rPr>
        <w:sz w:val="20"/>
      </w:rPr>
      <w:t>Ministru kabineta noteikumu projekta „Grozījumi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68" w:rsidRDefault="00D32668" w:rsidP="00B014C2">
      <w:r>
        <w:separator/>
      </w:r>
    </w:p>
  </w:footnote>
  <w:footnote w:type="continuationSeparator" w:id="0">
    <w:p w:rsidR="00D32668" w:rsidRDefault="00D32668" w:rsidP="00B014C2">
      <w:r>
        <w:continuationSeparator/>
      </w:r>
    </w:p>
  </w:footnote>
  <w:footnote w:id="1">
    <w:p w:rsidR="00AA07DE" w:rsidRDefault="00AA07DE" w:rsidP="00540F14">
      <w:pPr>
        <w:pStyle w:val="FootnoteText"/>
        <w:jc w:val="both"/>
      </w:pPr>
      <w:r w:rsidRPr="00540F14">
        <w:rPr>
          <w:rStyle w:val="FootnoteReference"/>
        </w:rPr>
        <w:footnoteRef/>
      </w:r>
      <w:r w:rsidRPr="00540F14">
        <w:t xml:space="preserve"> </w:t>
      </w:r>
      <w:r w:rsidRPr="002D0A01">
        <w:rPr>
          <w:sz w:val="20"/>
          <w:szCs w:val="20"/>
        </w:rPr>
        <w:t>Aizdevuma un mikroaizdevuma portfeļa pārvaldes līgums starp SIA „Latvijas Garantiju aģentūra” (</w:t>
      </w:r>
      <w:r w:rsidR="00540F14">
        <w:rPr>
          <w:sz w:val="20"/>
          <w:szCs w:val="20"/>
        </w:rPr>
        <w:t xml:space="preserve">ar </w:t>
      </w:r>
      <w:r w:rsidRPr="002D0A01">
        <w:rPr>
          <w:sz w:val="20"/>
          <w:szCs w:val="20"/>
        </w:rPr>
        <w:t>2015.gada 15.aprī</w:t>
      </w:r>
      <w:r w:rsidR="00540F14">
        <w:rPr>
          <w:sz w:val="20"/>
          <w:szCs w:val="20"/>
        </w:rPr>
        <w:t>li</w:t>
      </w:r>
      <w:r w:rsidRPr="002D0A01">
        <w:rPr>
          <w:sz w:val="20"/>
          <w:szCs w:val="20"/>
        </w:rPr>
        <w:t xml:space="preserve"> </w:t>
      </w:r>
      <w:proofErr w:type="spellStart"/>
      <w:r w:rsidRPr="002D0A01">
        <w:rPr>
          <w:sz w:val="20"/>
          <w:szCs w:val="20"/>
        </w:rPr>
        <w:t>Altum</w:t>
      </w:r>
      <w:proofErr w:type="spellEnd"/>
      <w:r w:rsidRPr="002D0A01">
        <w:rPr>
          <w:sz w:val="20"/>
          <w:szCs w:val="20"/>
        </w:rPr>
        <w:t xml:space="preserve">) un SIA „Grand </w:t>
      </w:r>
      <w:proofErr w:type="spellStart"/>
      <w:r w:rsidRPr="002D0A01">
        <w:rPr>
          <w:sz w:val="20"/>
          <w:szCs w:val="20"/>
        </w:rPr>
        <w:t>Credit</w:t>
      </w:r>
      <w:proofErr w:type="spellEnd"/>
      <w:r w:rsidRPr="002D0A01">
        <w:rPr>
          <w:sz w:val="20"/>
          <w:szCs w:val="20"/>
        </w:rPr>
        <w:t xml:space="preserve">” noslēgts 2014.gada 7.jūlijā, un starp SIA „Latvijas Garantiju aģentūra” (ar 2015.gada 15.aprīli </w:t>
      </w:r>
      <w:proofErr w:type="spellStart"/>
      <w:r w:rsidRPr="002D0A01">
        <w:rPr>
          <w:sz w:val="20"/>
          <w:szCs w:val="20"/>
        </w:rPr>
        <w:t>Altum</w:t>
      </w:r>
      <w:proofErr w:type="spellEnd"/>
      <w:r w:rsidRPr="002D0A01">
        <w:rPr>
          <w:sz w:val="20"/>
          <w:szCs w:val="20"/>
        </w:rPr>
        <w:t>) un SIA „</w:t>
      </w:r>
      <w:proofErr w:type="spellStart"/>
      <w:r w:rsidRPr="002D0A01">
        <w:rPr>
          <w:sz w:val="20"/>
          <w:szCs w:val="20"/>
        </w:rPr>
        <w:t>Capitalia</w:t>
      </w:r>
      <w:proofErr w:type="spellEnd"/>
      <w:r w:rsidRPr="002D0A01">
        <w:rPr>
          <w:sz w:val="20"/>
          <w:szCs w:val="20"/>
        </w:rPr>
        <w:t xml:space="preserve">” - 2014.gada 7.jūlijā. Līgums starp Eiropas Investīciju fondu (SIA „Latvijas Garantiju aģentūra” (ar 2015.gada 15.aprīli </w:t>
      </w:r>
      <w:proofErr w:type="spellStart"/>
      <w:r w:rsidRPr="002D0A01">
        <w:rPr>
          <w:sz w:val="20"/>
          <w:szCs w:val="20"/>
        </w:rPr>
        <w:t>Altum</w:t>
      </w:r>
      <w:proofErr w:type="spellEnd"/>
      <w:r w:rsidRPr="002D0A01">
        <w:rPr>
          <w:sz w:val="20"/>
          <w:szCs w:val="20"/>
        </w:rPr>
        <w:t xml:space="preserve">) 2012.gada 1.janvārī pārņēma Eiropas Investīciju fonda saistības 2.2.1.1.aktivitātes ieviešanā) un SIA „AIFP </w:t>
      </w:r>
      <w:proofErr w:type="spellStart"/>
      <w:r w:rsidRPr="002D0A01">
        <w:rPr>
          <w:sz w:val="20"/>
          <w:szCs w:val="20"/>
        </w:rPr>
        <w:t>Imprimatur</w:t>
      </w:r>
      <w:proofErr w:type="spellEnd"/>
      <w:r w:rsidRPr="002D0A01">
        <w:rPr>
          <w:sz w:val="20"/>
          <w:szCs w:val="20"/>
        </w:rPr>
        <w:t xml:space="preserve"> Capital </w:t>
      </w:r>
      <w:proofErr w:type="spellStart"/>
      <w:r w:rsidRPr="002D0A01">
        <w:rPr>
          <w:sz w:val="20"/>
          <w:szCs w:val="20"/>
        </w:rPr>
        <w:t>Seed</w:t>
      </w:r>
      <w:proofErr w:type="spellEnd"/>
      <w:r w:rsidRPr="002D0A01">
        <w:rPr>
          <w:sz w:val="20"/>
          <w:szCs w:val="20"/>
        </w:rPr>
        <w:t xml:space="preserve"> </w:t>
      </w:r>
      <w:proofErr w:type="spellStart"/>
      <w:r w:rsidRPr="002D0A01">
        <w:rPr>
          <w:sz w:val="20"/>
          <w:szCs w:val="20"/>
        </w:rPr>
        <w:t>Fund</w:t>
      </w:r>
      <w:proofErr w:type="spellEnd"/>
      <w:r w:rsidRPr="002D0A01">
        <w:rPr>
          <w:sz w:val="20"/>
          <w:szCs w:val="20"/>
        </w:rPr>
        <w:t xml:space="preserve">” par sagatavošanas kapitāla fonda īstenošanu noslēgts 2010.gada 11.jūnijā, ar SIA „AIFP </w:t>
      </w:r>
      <w:proofErr w:type="spellStart"/>
      <w:r w:rsidRPr="002D0A01">
        <w:rPr>
          <w:sz w:val="20"/>
          <w:szCs w:val="20"/>
        </w:rPr>
        <w:t>Imprimatur</w:t>
      </w:r>
      <w:proofErr w:type="spellEnd"/>
      <w:r w:rsidRPr="002D0A01">
        <w:rPr>
          <w:sz w:val="20"/>
          <w:szCs w:val="20"/>
        </w:rPr>
        <w:t xml:space="preserve"> Capital </w:t>
      </w:r>
      <w:proofErr w:type="spellStart"/>
      <w:r w:rsidRPr="002D0A01">
        <w:rPr>
          <w:sz w:val="20"/>
          <w:szCs w:val="20"/>
        </w:rPr>
        <w:t>Technology</w:t>
      </w:r>
      <w:proofErr w:type="spellEnd"/>
      <w:r w:rsidRPr="002D0A01">
        <w:rPr>
          <w:sz w:val="20"/>
          <w:szCs w:val="20"/>
        </w:rPr>
        <w:t xml:space="preserve"> </w:t>
      </w:r>
      <w:proofErr w:type="spellStart"/>
      <w:r w:rsidRPr="002D0A01">
        <w:rPr>
          <w:sz w:val="20"/>
          <w:szCs w:val="20"/>
        </w:rPr>
        <w:t>Venture</w:t>
      </w:r>
      <w:proofErr w:type="spellEnd"/>
      <w:r w:rsidRPr="002D0A01">
        <w:rPr>
          <w:sz w:val="20"/>
          <w:szCs w:val="20"/>
        </w:rPr>
        <w:t xml:space="preserve"> </w:t>
      </w:r>
      <w:proofErr w:type="spellStart"/>
      <w:r w:rsidRPr="002D0A01">
        <w:rPr>
          <w:sz w:val="20"/>
          <w:szCs w:val="20"/>
        </w:rPr>
        <w:t>Fund</w:t>
      </w:r>
      <w:proofErr w:type="spellEnd"/>
      <w:r w:rsidRPr="002D0A01">
        <w:rPr>
          <w:sz w:val="20"/>
          <w:szCs w:val="20"/>
        </w:rPr>
        <w:t xml:space="preserve">” par  sākuma kapitāla fonda īstenošanu - 2010.gada 11.jūnijā un ar  SIA „AIFP </w:t>
      </w:r>
      <w:proofErr w:type="spellStart"/>
      <w:r w:rsidRPr="002D0A01">
        <w:rPr>
          <w:sz w:val="20"/>
          <w:szCs w:val="20"/>
        </w:rPr>
        <w:t>BaltCap</w:t>
      </w:r>
      <w:proofErr w:type="spellEnd"/>
      <w:r w:rsidRPr="002D0A01">
        <w:rPr>
          <w:sz w:val="20"/>
          <w:szCs w:val="20"/>
        </w:rPr>
        <w:t xml:space="preserve"> </w:t>
      </w:r>
      <w:proofErr w:type="spellStart"/>
      <w:r w:rsidRPr="002D0A01">
        <w:rPr>
          <w:sz w:val="20"/>
          <w:szCs w:val="20"/>
        </w:rPr>
        <w:t>Latvia</w:t>
      </w:r>
      <w:proofErr w:type="spellEnd"/>
      <w:r w:rsidRPr="002D0A01">
        <w:rPr>
          <w:sz w:val="20"/>
          <w:szCs w:val="20"/>
        </w:rPr>
        <w:t xml:space="preserve"> </w:t>
      </w:r>
      <w:proofErr w:type="spellStart"/>
      <w:r w:rsidRPr="002D0A01">
        <w:rPr>
          <w:sz w:val="20"/>
          <w:szCs w:val="20"/>
        </w:rPr>
        <w:t>Venture</w:t>
      </w:r>
      <w:proofErr w:type="spellEnd"/>
      <w:r w:rsidRPr="002D0A01">
        <w:rPr>
          <w:sz w:val="20"/>
          <w:szCs w:val="20"/>
        </w:rPr>
        <w:t xml:space="preserve"> Capital </w:t>
      </w:r>
      <w:proofErr w:type="spellStart"/>
      <w:r w:rsidRPr="002D0A01">
        <w:rPr>
          <w:sz w:val="20"/>
          <w:szCs w:val="20"/>
        </w:rPr>
        <w:t>Fund</w:t>
      </w:r>
      <w:proofErr w:type="spellEnd"/>
      <w:r w:rsidRPr="002D0A01">
        <w:rPr>
          <w:sz w:val="20"/>
          <w:szCs w:val="20"/>
        </w:rPr>
        <w:t xml:space="preserve">” par riska kapitāla fonda īstenošanu - 2010.gada 22.janvārī. Līgumi par izaugsmes kapitāla fonda īstenošanu starp SIA „Latvijas Garantiju aģentūra” (ar 2015.gada 15.aprīli </w:t>
      </w:r>
      <w:proofErr w:type="spellStart"/>
      <w:r w:rsidRPr="002D0A01">
        <w:rPr>
          <w:sz w:val="20"/>
          <w:szCs w:val="20"/>
        </w:rPr>
        <w:t>Altum</w:t>
      </w:r>
      <w:proofErr w:type="spellEnd"/>
      <w:r w:rsidRPr="002D0A01">
        <w:rPr>
          <w:sz w:val="20"/>
          <w:szCs w:val="20"/>
        </w:rPr>
        <w:t>) un SIA „ZGI-3 AIF”, SIA „</w:t>
      </w:r>
      <w:proofErr w:type="spellStart"/>
      <w:r w:rsidRPr="002D0A01">
        <w:rPr>
          <w:sz w:val="20"/>
          <w:szCs w:val="20"/>
        </w:rPr>
        <w:t>FlyCap</w:t>
      </w:r>
      <w:proofErr w:type="spellEnd"/>
      <w:r w:rsidRPr="002D0A01">
        <w:rPr>
          <w:sz w:val="20"/>
          <w:szCs w:val="20"/>
        </w:rPr>
        <w:t xml:space="preserve"> </w:t>
      </w:r>
      <w:proofErr w:type="spellStart"/>
      <w:r w:rsidRPr="002D0A01">
        <w:rPr>
          <w:sz w:val="20"/>
          <w:szCs w:val="20"/>
        </w:rPr>
        <w:t>Investment</w:t>
      </w:r>
      <w:proofErr w:type="spellEnd"/>
      <w:r w:rsidRPr="002D0A01">
        <w:rPr>
          <w:sz w:val="20"/>
          <w:szCs w:val="20"/>
        </w:rPr>
        <w:t xml:space="preserve"> </w:t>
      </w:r>
      <w:proofErr w:type="spellStart"/>
      <w:r w:rsidRPr="002D0A01">
        <w:rPr>
          <w:sz w:val="20"/>
          <w:szCs w:val="20"/>
        </w:rPr>
        <w:t>Fund</w:t>
      </w:r>
      <w:proofErr w:type="spellEnd"/>
      <w:r w:rsidRPr="002D0A01">
        <w:rPr>
          <w:sz w:val="20"/>
          <w:szCs w:val="20"/>
        </w:rPr>
        <w:t xml:space="preserve"> I AIF”, SIA „</w:t>
      </w:r>
      <w:proofErr w:type="spellStart"/>
      <w:r w:rsidRPr="002D0A01">
        <w:rPr>
          <w:sz w:val="20"/>
          <w:szCs w:val="20"/>
        </w:rPr>
        <w:t>Expansion</w:t>
      </w:r>
      <w:proofErr w:type="spellEnd"/>
      <w:r w:rsidRPr="002D0A01">
        <w:rPr>
          <w:sz w:val="20"/>
          <w:szCs w:val="20"/>
        </w:rPr>
        <w:t xml:space="preserve"> Capital </w:t>
      </w:r>
      <w:proofErr w:type="spellStart"/>
      <w:r w:rsidRPr="002D0A01">
        <w:rPr>
          <w:sz w:val="20"/>
          <w:szCs w:val="20"/>
        </w:rPr>
        <w:t>Fund</w:t>
      </w:r>
      <w:proofErr w:type="spellEnd"/>
      <w:r w:rsidRPr="002D0A01">
        <w:rPr>
          <w:sz w:val="20"/>
          <w:szCs w:val="20"/>
        </w:rPr>
        <w:t xml:space="preserve"> AIF” noslēgti 2013.gada 6.augustā. Līgumi starp Eiropas Investīciju fondu (tiesību un saistību pārņēmējs SIA „Latvijas Garantiju aģentūra” (ar 2015.gada 15.aprīli </w:t>
      </w:r>
      <w:proofErr w:type="spellStart"/>
      <w:r w:rsidRPr="002D0A01">
        <w:rPr>
          <w:sz w:val="20"/>
          <w:szCs w:val="20"/>
        </w:rPr>
        <w:t>Altum</w:t>
      </w:r>
      <w:proofErr w:type="spellEnd"/>
      <w:r w:rsidRPr="002D0A01">
        <w:rPr>
          <w:sz w:val="20"/>
          <w:szCs w:val="20"/>
        </w:rPr>
        <w:t>)</w:t>
      </w:r>
      <w:r w:rsidR="00540F14">
        <w:rPr>
          <w:sz w:val="20"/>
          <w:szCs w:val="20"/>
        </w:rPr>
        <w:t>)</w:t>
      </w:r>
      <w:r w:rsidRPr="002D0A01">
        <w:rPr>
          <w:sz w:val="20"/>
          <w:szCs w:val="20"/>
        </w:rPr>
        <w:t xml:space="preserve"> un SEB banka un SWED banka par dalītā riska aizdevuma instrumenta ieviešanu noslēgti 2010.gada 26.martā</w:t>
      </w:r>
      <w:r w:rsidRPr="00540F14">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57064" w:rsidRPr="00B014C2" w:rsidRDefault="0035706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011C90">
          <w:rPr>
            <w:noProof/>
            <w:sz w:val="24"/>
            <w:szCs w:val="24"/>
          </w:rPr>
          <w:t>10</w:t>
        </w:r>
        <w:r w:rsidRPr="00B014C2">
          <w:rPr>
            <w:sz w:val="24"/>
            <w:szCs w:val="24"/>
          </w:rPr>
          <w:fldChar w:fldCharType="end"/>
        </w:r>
      </w:p>
    </w:sdtContent>
  </w:sdt>
  <w:p w:rsidR="00357064" w:rsidRDefault="00357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Futura Lt BT" w:hAnsi="Futura Lt BT" w:cs="Times New Roman"/>
        <w:lang w:val="en-GB"/>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466020"/>
    <w:multiLevelType w:val="hybridMultilevel"/>
    <w:tmpl w:val="6DF6D3A6"/>
    <w:lvl w:ilvl="0" w:tplc="52840AB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9022AB"/>
    <w:multiLevelType w:val="hybridMultilevel"/>
    <w:tmpl w:val="6ACA6642"/>
    <w:lvl w:ilvl="0" w:tplc="8CA28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A2E0797"/>
    <w:multiLevelType w:val="hybridMultilevel"/>
    <w:tmpl w:val="0B143A64"/>
    <w:lvl w:ilvl="0" w:tplc="BEB6C7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22509D1"/>
    <w:multiLevelType w:val="hybridMultilevel"/>
    <w:tmpl w:val="9B9EA9D0"/>
    <w:lvl w:ilvl="0" w:tplc="FEB85C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D1E0A74"/>
    <w:multiLevelType w:val="hybridMultilevel"/>
    <w:tmpl w:val="9FD09BBC"/>
    <w:lvl w:ilvl="0" w:tplc="5B32F0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8A67A1D"/>
    <w:multiLevelType w:val="hybridMultilevel"/>
    <w:tmpl w:val="01BE248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8">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9">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7"/>
  </w:num>
  <w:num w:numId="3">
    <w:abstractNumId w:val="14"/>
  </w:num>
  <w:num w:numId="4">
    <w:abstractNumId w:val="3"/>
  </w:num>
  <w:num w:numId="5">
    <w:abstractNumId w:val="2"/>
  </w:num>
  <w:num w:numId="6">
    <w:abstractNumId w:val="9"/>
  </w:num>
  <w:num w:numId="7">
    <w:abstractNumId w:val="19"/>
  </w:num>
  <w:num w:numId="8">
    <w:abstractNumId w:val="6"/>
  </w:num>
  <w:num w:numId="9">
    <w:abstractNumId w:val="11"/>
  </w:num>
  <w:num w:numId="10">
    <w:abstractNumId w:val="16"/>
  </w:num>
  <w:num w:numId="11">
    <w:abstractNumId w:val="4"/>
  </w:num>
  <w:num w:numId="12">
    <w:abstractNumId w:val="8"/>
  </w:num>
  <w:num w:numId="13">
    <w:abstractNumId w:val="18"/>
  </w:num>
  <w:num w:numId="14">
    <w:abstractNumId w:val="1"/>
  </w:num>
  <w:num w:numId="15">
    <w:abstractNumId w:val="12"/>
  </w:num>
  <w:num w:numId="16">
    <w:abstractNumId w:val="10"/>
  </w:num>
  <w:num w:numId="17">
    <w:abstractNumId w:val="5"/>
  </w:num>
  <w:num w:numId="18">
    <w:abstractNumId w:val="13"/>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revisionView w:markup="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2EA0"/>
    <w:rsid w:val="00004C45"/>
    <w:rsid w:val="000058B8"/>
    <w:rsid w:val="00005AF2"/>
    <w:rsid w:val="00010308"/>
    <w:rsid w:val="00010E93"/>
    <w:rsid w:val="0001186C"/>
    <w:rsid w:val="00011C90"/>
    <w:rsid w:val="000120A0"/>
    <w:rsid w:val="000126C7"/>
    <w:rsid w:val="00012AA4"/>
    <w:rsid w:val="00014006"/>
    <w:rsid w:val="0001461B"/>
    <w:rsid w:val="0001626D"/>
    <w:rsid w:val="000163DA"/>
    <w:rsid w:val="0001764D"/>
    <w:rsid w:val="0001789B"/>
    <w:rsid w:val="00020A02"/>
    <w:rsid w:val="000214DF"/>
    <w:rsid w:val="0002637E"/>
    <w:rsid w:val="00026BA7"/>
    <w:rsid w:val="00026C03"/>
    <w:rsid w:val="0002762A"/>
    <w:rsid w:val="00031099"/>
    <w:rsid w:val="000320DD"/>
    <w:rsid w:val="000364B2"/>
    <w:rsid w:val="0003693D"/>
    <w:rsid w:val="00036E03"/>
    <w:rsid w:val="0004167C"/>
    <w:rsid w:val="00043EE5"/>
    <w:rsid w:val="000445F3"/>
    <w:rsid w:val="00047EF5"/>
    <w:rsid w:val="00050184"/>
    <w:rsid w:val="00050EA4"/>
    <w:rsid w:val="00052380"/>
    <w:rsid w:val="00054112"/>
    <w:rsid w:val="000564DA"/>
    <w:rsid w:val="00060D39"/>
    <w:rsid w:val="000643D5"/>
    <w:rsid w:val="00064EDB"/>
    <w:rsid w:val="000677F1"/>
    <w:rsid w:val="00071114"/>
    <w:rsid w:val="000729ED"/>
    <w:rsid w:val="00072ECD"/>
    <w:rsid w:val="00080F3F"/>
    <w:rsid w:val="00081C1D"/>
    <w:rsid w:val="00081F44"/>
    <w:rsid w:val="00083704"/>
    <w:rsid w:val="000847AE"/>
    <w:rsid w:val="0008486C"/>
    <w:rsid w:val="00086412"/>
    <w:rsid w:val="00087524"/>
    <w:rsid w:val="00091581"/>
    <w:rsid w:val="00091DBA"/>
    <w:rsid w:val="00094929"/>
    <w:rsid w:val="00096F08"/>
    <w:rsid w:val="00097583"/>
    <w:rsid w:val="000A03ED"/>
    <w:rsid w:val="000A0E56"/>
    <w:rsid w:val="000A164A"/>
    <w:rsid w:val="000A1B49"/>
    <w:rsid w:val="000A402E"/>
    <w:rsid w:val="000A4AED"/>
    <w:rsid w:val="000A5FB9"/>
    <w:rsid w:val="000B0719"/>
    <w:rsid w:val="000B2AE3"/>
    <w:rsid w:val="000C5A8D"/>
    <w:rsid w:val="000D0388"/>
    <w:rsid w:val="000D0B62"/>
    <w:rsid w:val="000D19C8"/>
    <w:rsid w:val="000D2F05"/>
    <w:rsid w:val="000D4DC9"/>
    <w:rsid w:val="000D6996"/>
    <w:rsid w:val="000D6C4D"/>
    <w:rsid w:val="000D6DF2"/>
    <w:rsid w:val="000E2F17"/>
    <w:rsid w:val="000E3A55"/>
    <w:rsid w:val="000E409F"/>
    <w:rsid w:val="000E4277"/>
    <w:rsid w:val="000F0232"/>
    <w:rsid w:val="000F19C5"/>
    <w:rsid w:val="000F63A5"/>
    <w:rsid w:val="000F6C72"/>
    <w:rsid w:val="000F6E9E"/>
    <w:rsid w:val="001000B5"/>
    <w:rsid w:val="001002E4"/>
    <w:rsid w:val="0010079A"/>
    <w:rsid w:val="0010208E"/>
    <w:rsid w:val="0010385C"/>
    <w:rsid w:val="00103FE1"/>
    <w:rsid w:val="0010410B"/>
    <w:rsid w:val="001047E8"/>
    <w:rsid w:val="001068F9"/>
    <w:rsid w:val="00106923"/>
    <w:rsid w:val="001104BA"/>
    <w:rsid w:val="0011218B"/>
    <w:rsid w:val="00115E25"/>
    <w:rsid w:val="001162BB"/>
    <w:rsid w:val="00116B3E"/>
    <w:rsid w:val="00120651"/>
    <w:rsid w:val="0012067B"/>
    <w:rsid w:val="00123047"/>
    <w:rsid w:val="001232D1"/>
    <w:rsid w:val="001254CC"/>
    <w:rsid w:val="001267F1"/>
    <w:rsid w:val="00127586"/>
    <w:rsid w:val="001275E7"/>
    <w:rsid w:val="001305B3"/>
    <w:rsid w:val="00130D33"/>
    <w:rsid w:val="00131980"/>
    <w:rsid w:val="00131C62"/>
    <w:rsid w:val="00131DC9"/>
    <w:rsid w:val="00132FBB"/>
    <w:rsid w:val="00134E0F"/>
    <w:rsid w:val="00136A66"/>
    <w:rsid w:val="0014176D"/>
    <w:rsid w:val="001428EB"/>
    <w:rsid w:val="00142A69"/>
    <w:rsid w:val="00142AC2"/>
    <w:rsid w:val="00142AD7"/>
    <w:rsid w:val="00142CBB"/>
    <w:rsid w:val="00144D39"/>
    <w:rsid w:val="00153C1A"/>
    <w:rsid w:val="00153FB0"/>
    <w:rsid w:val="001574C6"/>
    <w:rsid w:val="001611D0"/>
    <w:rsid w:val="0016652F"/>
    <w:rsid w:val="00170091"/>
    <w:rsid w:val="00171CC6"/>
    <w:rsid w:val="0017312C"/>
    <w:rsid w:val="001733BE"/>
    <w:rsid w:val="0017472D"/>
    <w:rsid w:val="001764E7"/>
    <w:rsid w:val="0018240D"/>
    <w:rsid w:val="00182537"/>
    <w:rsid w:val="00182CC4"/>
    <w:rsid w:val="001831F7"/>
    <w:rsid w:val="00184308"/>
    <w:rsid w:val="00184C02"/>
    <w:rsid w:val="00184E37"/>
    <w:rsid w:val="00186003"/>
    <w:rsid w:val="00186895"/>
    <w:rsid w:val="001871BB"/>
    <w:rsid w:val="00190498"/>
    <w:rsid w:val="00191102"/>
    <w:rsid w:val="00191B2C"/>
    <w:rsid w:val="00192AFB"/>
    <w:rsid w:val="001940CC"/>
    <w:rsid w:val="00194800"/>
    <w:rsid w:val="00196D43"/>
    <w:rsid w:val="001971A4"/>
    <w:rsid w:val="001973A7"/>
    <w:rsid w:val="001A082F"/>
    <w:rsid w:val="001A15ED"/>
    <w:rsid w:val="001A2ABA"/>
    <w:rsid w:val="001A3B25"/>
    <w:rsid w:val="001A3C19"/>
    <w:rsid w:val="001A5465"/>
    <w:rsid w:val="001B0C97"/>
    <w:rsid w:val="001B262F"/>
    <w:rsid w:val="001B290C"/>
    <w:rsid w:val="001B3236"/>
    <w:rsid w:val="001B4EB9"/>
    <w:rsid w:val="001B5566"/>
    <w:rsid w:val="001B5F59"/>
    <w:rsid w:val="001B6C79"/>
    <w:rsid w:val="001B6F62"/>
    <w:rsid w:val="001B73F9"/>
    <w:rsid w:val="001B7875"/>
    <w:rsid w:val="001C1BFF"/>
    <w:rsid w:val="001C1C5C"/>
    <w:rsid w:val="001C2D96"/>
    <w:rsid w:val="001C3985"/>
    <w:rsid w:val="001C534B"/>
    <w:rsid w:val="001C5831"/>
    <w:rsid w:val="001C60B5"/>
    <w:rsid w:val="001C6A1F"/>
    <w:rsid w:val="001C7464"/>
    <w:rsid w:val="001D02A2"/>
    <w:rsid w:val="001D2EDB"/>
    <w:rsid w:val="001D39D9"/>
    <w:rsid w:val="001D416F"/>
    <w:rsid w:val="001D46D6"/>
    <w:rsid w:val="001D4E7C"/>
    <w:rsid w:val="001D5E9C"/>
    <w:rsid w:val="001D76FC"/>
    <w:rsid w:val="001E2682"/>
    <w:rsid w:val="001E344F"/>
    <w:rsid w:val="001E3522"/>
    <w:rsid w:val="001E3BD0"/>
    <w:rsid w:val="001E497E"/>
    <w:rsid w:val="001E5031"/>
    <w:rsid w:val="001E511B"/>
    <w:rsid w:val="001E7BB7"/>
    <w:rsid w:val="001F02C1"/>
    <w:rsid w:val="001F6151"/>
    <w:rsid w:val="001F7527"/>
    <w:rsid w:val="00200045"/>
    <w:rsid w:val="00200612"/>
    <w:rsid w:val="002011C0"/>
    <w:rsid w:val="00205FEE"/>
    <w:rsid w:val="0021241F"/>
    <w:rsid w:val="00213D6A"/>
    <w:rsid w:val="002149CB"/>
    <w:rsid w:val="00216B96"/>
    <w:rsid w:val="00221058"/>
    <w:rsid w:val="00221205"/>
    <w:rsid w:val="00221561"/>
    <w:rsid w:val="00221CAE"/>
    <w:rsid w:val="00223D5D"/>
    <w:rsid w:val="002241E3"/>
    <w:rsid w:val="002244A1"/>
    <w:rsid w:val="00224C7C"/>
    <w:rsid w:val="00230280"/>
    <w:rsid w:val="0023085A"/>
    <w:rsid w:val="00230FB6"/>
    <w:rsid w:val="00231EB0"/>
    <w:rsid w:val="00233657"/>
    <w:rsid w:val="00233F7A"/>
    <w:rsid w:val="0023462C"/>
    <w:rsid w:val="00234C58"/>
    <w:rsid w:val="00234DDC"/>
    <w:rsid w:val="00234E98"/>
    <w:rsid w:val="00243E4C"/>
    <w:rsid w:val="00245D09"/>
    <w:rsid w:val="00247529"/>
    <w:rsid w:val="00247BBC"/>
    <w:rsid w:val="002507A0"/>
    <w:rsid w:val="00250BFF"/>
    <w:rsid w:val="002529E1"/>
    <w:rsid w:val="002543B5"/>
    <w:rsid w:val="0025484B"/>
    <w:rsid w:val="00255C0A"/>
    <w:rsid w:val="00257056"/>
    <w:rsid w:val="00257EAE"/>
    <w:rsid w:val="002600E1"/>
    <w:rsid w:val="002610D7"/>
    <w:rsid w:val="00261B9F"/>
    <w:rsid w:val="00262D47"/>
    <w:rsid w:val="0026446F"/>
    <w:rsid w:val="00265168"/>
    <w:rsid w:val="00265C1B"/>
    <w:rsid w:val="002701D0"/>
    <w:rsid w:val="002702EB"/>
    <w:rsid w:val="0027099D"/>
    <w:rsid w:val="00271EC3"/>
    <w:rsid w:val="0027585B"/>
    <w:rsid w:val="00280A6B"/>
    <w:rsid w:val="00280F05"/>
    <w:rsid w:val="0028172B"/>
    <w:rsid w:val="00283FFE"/>
    <w:rsid w:val="00284232"/>
    <w:rsid w:val="00285613"/>
    <w:rsid w:val="00285CAB"/>
    <w:rsid w:val="002866E9"/>
    <w:rsid w:val="0028698C"/>
    <w:rsid w:val="00287254"/>
    <w:rsid w:val="00290331"/>
    <w:rsid w:val="00290A40"/>
    <w:rsid w:val="0029297C"/>
    <w:rsid w:val="0029306A"/>
    <w:rsid w:val="00294F6D"/>
    <w:rsid w:val="0029526C"/>
    <w:rsid w:val="002954D4"/>
    <w:rsid w:val="00295C0F"/>
    <w:rsid w:val="00297E4A"/>
    <w:rsid w:val="002A0052"/>
    <w:rsid w:val="002A0CEE"/>
    <w:rsid w:val="002A4317"/>
    <w:rsid w:val="002B199D"/>
    <w:rsid w:val="002B30A6"/>
    <w:rsid w:val="002B34B0"/>
    <w:rsid w:val="002B4D01"/>
    <w:rsid w:val="002B5151"/>
    <w:rsid w:val="002B667D"/>
    <w:rsid w:val="002B768A"/>
    <w:rsid w:val="002C0E0E"/>
    <w:rsid w:val="002C20C8"/>
    <w:rsid w:val="002C28F0"/>
    <w:rsid w:val="002C4039"/>
    <w:rsid w:val="002C4BB9"/>
    <w:rsid w:val="002C4BD1"/>
    <w:rsid w:val="002C586C"/>
    <w:rsid w:val="002D07BB"/>
    <w:rsid w:val="002D0A01"/>
    <w:rsid w:val="002D259E"/>
    <w:rsid w:val="002D2623"/>
    <w:rsid w:val="002D3E95"/>
    <w:rsid w:val="002D43D4"/>
    <w:rsid w:val="002D5DAC"/>
    <w:rsid w:val="002D69AE"/>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108DC"/>
    <w:rsid w:val="003124BE"/>
    <w:rsid w:val="00314594"/>
    <w:rsid w:val="00315A1C"/>
    <w:rsid w:val="00317EE5"/>
    <w:rsid w:val="00320EB0"/>
    <w:rsid w:val="00321E80"/>
    <w:rsid w:val="003221A6"/>
    <w:rsid w:val="00322A15"/>
    <w:rsid w:val="00324F11"/>
    <w:rsid w:val="00330AF0"/>
    <w:rsid w:val="00335837"/>
    <w:rsid w:val="003365BB"/>
    <w:rsid w:val="003372CD"/>
    <w:rsid w:val="00341D01"/>
    <w:rsid w:val="0034284E"/>
    <w:rsid w:val="00344B27"/>
    <w:rsid w:val="0034724B"/>
    <w:rsid w:val="003478F4"/>
    <w:rsid w:val="0034794E"/>
    <w:rsid w:val="003479DF"/>
    <w:rsid w:val="00350098"/>
    <w:rsid w:val="00350745"/>
    <w:rsid w:val="00352945"/>
    <w:rsid w:val="0035647E"/>
    <w:rsid w:val="00356CDF"/>
    <w:rsid w:val="00357064"/>
    <w:rsid w:val="00357B86"/>
    <w:rsid w:val="00360437"/>
    <w:rsid w:val="003606AD"/>
    <w:rsid w:val="00360962"/>
    <w:rsid w:val="003611ED"/>
    <w:rsid w:val="00361DA6"/>
    <w:rsid w:val="00362D30"/>
    <w:rsid w:val="00366D77"/>
    <w:rsid w:val="00367319"/>
    <w:rsid w:val="0037018D"/>
    <w:rsid w:val="003707C8"/>
    <w:rsid w:val="00371112"/>
    <w:rsid w:val="0037256E"/>
    <w:rsid w:val="0037466C"/>
    <w:rsid w:val="003750E4"/>
    <w:rsid w:val="00375943"/>
    <w:rsid w:val="00383500"/>
    <w:rsid w:val="00384799"/>
    <w:rsid w:val="00385DB0"/>
    <w:rsid w:val="00385FA1"/>
    <w:rsid w:val="00386053"/>
    <w:rsid w:val="00387757"/>
    <w:rsid w:val="00391942"/>
    <w:rsid w:val="00396D2E"/>
    <w:rsid w:val="003A498E"/>
    <w:rsid w:val="003A4F1F"/>
    <w:rsid w:val="003A5545"/>
    <w:rsid w:val="003A56E6"/>
    <w:rsid w:val="003A5F98"/>
    <w:rsid w:val="003A5FBC"/>
    <w:rsid w:val="003A7D40"/>
    <w:rsid w:val="003A7D89"/>
    <w:rsid w:val="003A7FFD"/>
    <w:rsid w:val="003B04FD"/>
    <w:rsid w:val="003B060D"/>
    <w:rsid w:val="003B2464"/>
    <w:rsid w:val="003B3003"/>
    <w:rsid w:val="003B3450"/>
    <w:rsid w:val="003B4994"/>
    <w:rsid w:val="003B5399"/>
    <w:rsid w:val="003B590B"/>
    <w:rsid w:val="003C0F56"/>
    <w:rsid w:val="003C1C94"/>
    <w:rsid w:val="003C406A"/>
    <w:rsid w:val="003C5329"/>
    <w:rsid w:val="003C6688"/>
    <w:rsid w:val="003C6BB0"/>
    <w:rsid w:val="003C77AE"/>
    <w:rsid w:val="003D058E"/>
    <w:rsid w:val="003D072B"/>
    <w:rsid w:val="003D342E"/>
    <w:rsid w:val="003D3608"/>
    <w:rsid w:val="003D3A14"/>
    <w:rsid w:val="003D4A34"/>
    <w:rsid w:val="003D5516"/>
    <w:rsid w:val="003E0167"/>
    <w:rsid w:val="003E0BD3"/>
    <w:rsid w:val="003E284A"/>
    <w:rsid w:val="003E2968"/>
    <w:rsid w:val="003E2DC8"/>
    <w:rsid w:val="003E3604"/>
    <w:rsid w:val="003E6CB3"/>
    <w:rsid w:val="003F0C4F"/>
    <w:rsid w:val="003F17ED"/>
    <w:rsid w:val="003F2B82"/>
    <w:rsid w:val="003F3349"/>
    <w:rsid w:val="003F4E09"/>
    <w:rsid w:val="00401C5F"/>
    <w:rsid w:val="00402B2B"/>
    <w:rsid w:val="00404C0D"/>
    <w:rsid w:val="00404C10"/>
    <w:rsid w:val="00404D4B"/>
    <w:rsid w:val="0040578F"/>
    <w:rsid w:val="00406C83"/>
    <w:rsid w:val="004074FD"/>
    <w:rsid w:val="00407E6B"/>
    <w:rsid w:val="00410FEE"/>
    <w:rsid w:val="004120A0"/>
    <w:rsid w:val="00414834"/>
    <w:rsid w:val="00414A49"/>
    <w:rsid w:val="00414CC7"/>
    <w:rsid w:val="00415C03"/>
    <w:rsid w:val="00415D84"/>
    <w:rsid w:val="00415F3F"/>
    <w:rsid w:val="00416C3A"/>
    <w:rsid w:val="00416C50"/>
    <w:rsid w:val="00416EAC"/>
    <w:rsid w:val="00420FC8"/>
    <w:rsid w:val="0042129F"/>
    <w:rsid w:val="004232D7"/>
    <w:rsid w:val="0042395B"/>
    <w:rsid w:val="00424413"/>
    <w:rsid w:val="0042472B"/>
    <w:rsid w:val="0042479F"/>
    <w:rsid w:val="00424D8F"/>
    <w:rsid w:val="00426E88"/>
    <w:rsid w:val="004300B0"/>
    <w:rsid w:val="00431CB5"/>
    <w:rsid w:val="00434ACC"/>
    <w:rsid w:val="00435CDA"/>
    <w:rsid w:val="00436784"/>
    <w:rsid w:val="004367AD"/>
    <w:rsid w:val="00436E46"/>
    <w:rsid w:val="00436E6A"/>
    <w:rsid w:val="00436F9E"/>
    <w:rsid w:val="004413C4"/>
    <w:rsid w:val="00441B69"/>
    <w:rsid w:val="004426FC"/>
    <w:rsid w:val="00442884"/>
    <w:rsid w:val="00442C46"/>
    <w:rsid w:val="00443B04"/>
    <w:rsid w:val="00444A49"/>
    <w:rsid w:val="0044567A"/>
    <w:rsid w:val="004465FC"/>
    <w:rsid w:val="00451D23"/>
    <w:rsid w:val="004522D7"/>
    <w:rsid w:val="004527EA"/>
    <w:rsid w:val="0045318E"/>
    <w:rsid w:val="0045349B"/>
    <w:rsid w:val="00454295"/>
    <w:rsid w:val="00457B62"/>
    <w:rsid w:val="004608D8"/>
    <w:rsid w:val="00460A29"/>
    <w:rsid w:val="00464C58"/>
    <w:rsid w:val="004671D7"/>
    <w:rsid w:val="004674ED"/>
    <w:rsid w:val="00472EF3"/>
    <w:rsid w:val="00474493"/>
    <w:rsid w:val="00475A76"/>
    <w:rsid w:val="00475C4B"/>
    <w:rsid w:val="004775F4"/>
    <w:rsid w:val="004778D0"/>
    <w:rsid w:val="004804E9"/>
    <w:rsid w:val="004806F2"/>
    <w:rsid w:val="00482C73"/>
    <w:rsid w:val="00484656"/>
    <w:rsid w:val="00484C10"/>
    <w:rsid w:val="00485E0B"/>
    <w:rsid w:val="00486BD6"/>
    <w:rsid w:val="00487044"/>
    <w:rsid w:val="00487753"/>
    <w:rsid w:val="0049013B"/>
    <w:rsid w:val="0049136B"/>
    <w:rsid w:val="004916DD"/>
    <w:rsid w:val="00491F0A"/>
    <w:rsid w:val="004960FB"/>
    <w:rsid w:val="00497086"/>
    <w:rsid w:val="004A20DB"/>
    <w:rsid w:val="004A22E5"/>
    <w:rsid w:val="004A554F"/>
    <w:rsid w:val="004B18A4"/>
    <w:rsid w:val="004B1FE7"/>
    <w:rsid w:val="004B6258"/>
    <w:rsid w:val="004B77C0"/>
    <w:rsid w:val="004C1463"/>
    <w:rsid w:val="004C5FE2"/>
    <w:rsid w:val="004D083A"/>
    <w:rsid w:val="004D3E72"/>
    <w:rsid w:val="004D45ED"/>
    <w:rsid w:val="004D4997"/>
    <w:rsid w:val="004D54CD"/>
    <w:rsid w:val="004D6AF5"/>
    <w:rsid w:val="004D6C66"/>
    <w:rsid w:val="004D6EF0"/>
    <w:rsid w:val="004D790D"/>
    <w:rsid w:val="004E01F5"/>
    <w:rsid w:val="004E1757"/>
    <w:rsid w:val="004E3075"/>
    <w:rsid w:val="004E5CA1"/>
    <w:rsid w:val="004E688E"/>
    <w:rsid w:val="004E7B96"/>
    <w:rsid w:val="004F0E94"/>
    <w:rsid w:val="004F178A"/>
    <w:rsid w:val="004F2331"/>
    <w:rsid w:val="004F2B79"/>
    <w:rsid w:val="004F4EB9"/>
    <w:rsid w:val="004F7E1F"/>
    <w:rsid w:val="0050058D"/>
    <w:rsid w:val="00501F08"/>
    <w:rsid w:val="00502247"/>
    <w:rsid w:val="00503D5C"/>
    <w:rsid w:val="0050440A"/>
    <w:rsid w:val="00505A0D"/>
    <w:rsid w:val="00505B7D"/>
    <w:rsid w:val="00506DDA"/>
    <w:rsid w:val="00510235"/>
    <w:rsid w:val="00510C9E"/>
    <w:rsid w:val="00511ADB"/>
    <w:rsid w:val="0051346C"/>
    <w:rsid w:val="0051358D"/>
    <w:rsid w:val="00513AF6"/>
    <w:rsid w:val="00516B5B"/>
    <w:rsid w:val="00517993"/>
    <w:rsid w:val="00517C20"/>
    <w:rsid w:val="0052062B"/>
    <w:rsid w:val="005210AF"/>
    <w:rsid w:val="00521880"/>
    <w:rsid w:val="00522270"/>
    <w:rsid w:val="00522B62"/>
    <w:rsid w:val="00524D01"/>
    <w:rsid w:val="005254AB"/>
    <w:rsid w:val="00530C47"/>
    <w:rsid w:val="00531687"/>
    <w:rsid w:val="00532532"/>
    <w:rsid w:val="00532EE4"/>
    <w:rsid w:val="00532FEB"/>
    <w:rsid w:val="0053606B"/>
    <w:rsid w:val="00537A29"/>
    <w:rsid w:val="00540F14"/>
    <w:rsid w:val="005422C3"/>
    <w:rsid w:val="00542739"/>
    <w:rsid w:val="00542F49"/>
    <w:rsid w:val="00543052"/>
    <w:rsid w:val="00546599"/>
    <w:rsid w:val="00546E77"/>
    <w:rsid w:val="00546EE7"/>
    <w:rsid w:val="00554958"/>
    <w:rsid w:val="00554A7A"/>
    <w:rsid w:val="00560A74"/>
    <w:rsid w:val="005628D2"/>
    <w:rsid w:val="005631C8"/>
    <w:rsid w:val="0056506A"/>
    <w:rsid w:val="005663B6"/>
    <w:rsid w:val="00567020"/>
    <w:rsid w:val="0056795E"/>
    <w:rsid w:val="00570B3E"/>
    <w:rsid w:val="00572300"/>
    <w:rsid w:val="005741F1"/>
    <w:rsid w:val="005747E7"/>
    <w:rsid w:val="0057501D"/>
    <w:rsid w:val="005765EB"/>
    <w:rsid w:val="00576AB8"/>
    <w:rsid w:val="00576AEE"/>
    <w:rsid w:val="00576D8A"/>
    <w:rsid w:val="00580317"/>
    <w:rsid w:val="0058086F"/>
    <w:rsid w:val="0058249F"/>
    <w:rsid w:val="0058679B"/>
    <w:rsid w:val="005877DA"/>
    <w:rsid w:val="00587AF7"/>
    <w:rsid w:val="00593CA6"/>
    <w:rsid w:val="00595203"/>
    <w:rsid w:val="005956D1"/>
    <w:rsid w:val="0059700D"/>
    <w:rsid w:val="00597137"/>
    <w:rsid w:val="00597231"/>
    <w:rsid w:val="005A1736"/>
    <w:rsid w:val="005A1D6F"/>
    <w:rsid w:val="005A2A2D"/>
    <w:rsid w:val="005A37FF"/>
    <w:rsid w:val="005A6E2E"/>
    <w:rsid w:val="005A7B9C"/>
    <w:rsid w:val="005B115B"/>
    <w:rsid w:val="005B29DE"/>
    <w:rsid w:val="005B339A"/>
    <w:rsid w:val="005B4307"/>
    <w:rsid w:val="005B4563"/>
    <w:rsid w:val="005C251D"/>
    <w:rsid w:val="005C6DDB"/>
    <w:rsid w:val="005C6EFF"/>
    <w:rsid w:val="005C777C"/>
    <w:rsid w:val="005D1220"/>
    <w:rsid w:val="005D2ECD"/>
    <w:rsid w:val="005D3658"/>
    <w:rsid w:val="005D4522"/>
    <w:rsid w:val="005D4F1D"/>
    <w:rsid w:val="005D6171"/>
    <w:rsid w:val="005E0427"/>
    <w:rsid w:val="005E4730"/>
    <w:rsid w:val="005E713D"/>
    <w:rsid w:val="005F09EC"/>
    <w:rsid w:val="005F3958"/>
    <w:rsid w:val="005F4AAA"/>
    <w:rsid w:val="006012DD"/>
    <w:rsid w:val="00602450"/>
    <w:rsid w:val="006035B6"/>
    <w:rsid w:val="006049D1"/>
    <w:rsid w:val="00606880"/>
    <w:rsid w:val="00607722"/>
    <w:rsid w:val="00607DEC"/>
    <w:rsid w:val="00610DDF"/>
    <w:rsid w:val="00614602"/>
    <w:rsid w:val="00614723"/>
    <w:rsid w:val="006218A6"/>
    <w:rsid w:val="00621B53"/>
    <w:rsid w:val="00624FCB"/>
    <w:rsid w:val="00625D54"/>
    <w:rsid w:val="00626F78"/>
    <w:rsid w:val="006273FD"/>
    <w:rsid w:val="00627F60"/>
    <w:rsid w:val="00630367"/>
    <w:rsid w:val="006309F5"/>
    <w:rsid w:val="00630BAA"/>
    <w:rsid w:val="00631039"/>
    <w:rsid w:val="00634095"/>
    <w:rsid w:val="00634F75"/>
    <w:rsid w:val="00635D2B"/>
    <w:rsid w:val="00636440"/>
    <w:rsid w:val="00641379"/>
    <w:rsid w:val="00641E66"/>
    <w:rsid w:val="00643B54"/>
    <w:rsid w:val="00644112"/>
    <w:rsid w:val="006456BB"/>
    <w:rsid w:val="00647402"/>
    <w:rsid w:val="00650716"/>
    <w:rsid w:val="006512F4"/>
    <w:rsid w:val="00651669"/>
    <w:rsid w:val="00651735"/>
    <w:rsid w:val="00652EC6"/>
    <w:rsid w:val="00653B39"/>
    <w:rsid w:val="006543B3"/>
    <w:rsid w:val="0065460F"/>
    <w:rsid w:val="00654C63"/>
    <w:rsid w:val="00663763"/>
    <w:rsid w:val="00664C33"/>
    <w:rsid w:val="00665020"/>
    <w:rsid w:val="00667456"/>
    <w:rsid w:val="00667BAB"/>
    <w:rsid w:val="006711E1"/>
    <w:rsid w:val="006722B5"/>
    <w:rsid w:val="00672A2F"/>
    <w:rsid w:val="00672D70"/>
    <w:rsid w:val="00673175"/>
    <w:rsid w:val="00674BA7"/>
    <w:rsid w:val="00676770"/>
    <w:rsid w:val="0068051B"/>
    <w:rsid w:val="0068053F"/>
    <w:rsid w:val="00681496"/>
    <w:rsid w:val="00682B64"/>
    <w:rsid w:val="0068409B"/>
    <w:rsid w:val="00684EA2"/>
    <w:rsid w:val="0068609A"/>
    <w:rsid w:val="006910BE"/>
    <w:rsid w:val="0069218E"/>
    <w:rsid w:val="006A2662"/>
    <w:rsid w:val="006A3A28"/>
    <w:rsid w:val="006A3A2B"/>
    <w:rsid w:val="006A514F"/>
    <w:rsid w:val="006A668E"/>
    <w:rsid w:val="006A6AD4"/>
    <w:rsid w:val="006A7488"/>
    <w:rsid w:val="006A7638"/>
    <w:rsid w:val="006B0E03"/>
    <w:rsid w:val="006B74C2"/>
    <w:rsid w:val="006B7B22"/>
    <w:rsid w:val="006C114F"/>
    <w:rsid w:val="006C135F"/>
    <w:rsid w:val="006C15FA"/>
    <w:rsid w:val="006C3168"/>
    <w:rsid w:val="006C7215"/>
    <w:rsid w:val="006C79C3"/>
    <w:rsid w:val="006D004E"/>
    <w:rsid w:val="006D0B9B"/>
    <w:rsid w:val="006D1E45"/>
    <w:rsid w:val="006D1F62"/>
    <w:rsid w:val="006D2681"/>
    <w:rsid w:val="006D2FD8"/>
    <w:rsid w:val="006D30BF"/>
    <w:rsid w:val="006D5EFB"/>
    <w:rsid w:val="006D662F"/>
    <w:rsid w:val="006D69A4"/>
    <w:rsid w:val="006D76D6"/>
    <w:rsid w:val="006E07AC"/>
    <w:rsid w:val="006E09B6"/>
    <w:rsid w:val="006E0ECB"/>
    <w:rsid w:val="006E1F97"/>
    <w:rsid w:val="006E3949"/>
    <w:rsid w:val="006F02CA"/>
    <w:rsid w:val="006F0C19"/>
    <w:rsid w:val="006F133A"/>
    <w:rsid w:val="006F24A8"/>
    <w:rsid w:val="006F56C1"/>
    <w:rsid w:val="006F58E5"/>
    <w:rsid w:val="0070010E"/>
    <w:rsid w:val="007058E9"/>
    <w:rsid w:val="0070678E"/>
    <w:rsid w:val="00706EC2"/>
    <w:rsid w:val="00707470"/>
    <w:rsid w:val="007074EF"/>
    <w:rsid w:val="00710120"/>
    <w:rsid w:val="0071297D"/>
    <w:rsid w:val="00713EEF"/>
    <w:rsid w:val="0072022C"/>
    <w:rsid w:val="00720EE5"/>
    <w:rsid w:val="007217E4"/>
    <w:rsid w:val="00721D6C"/>
    <w:rsid w:val="00721E50"/>
    <w:rsid w:val="00725107"/>
    <w:rsid w:val="00725B16"/>
    <w:rsid w:val="00726A2A"/>
    <w:rsid w:val="00727251"/>
    <w:rsid w:val="00727847"/>
    <w:rsid w:val="007278CF"/>
    <w:rsid w:val="00732F77"/>
    <w:rsid w:val="007363F2"/>
    <w:rsid w:val="00737AB8"/>
    <w:rsid w:val="00737B40"/>
    <w:rsid w:val="0074010C"/>
    <w:rsid w:val="007408B7"/>
    <w:rsid w:val="00743E33"/>
    <w:rsid w:val="00744513"/>
    <w:rsid w:val="00745E0F"/>
    <w:rsid w:val="0074734C"/>
    <w:rsid w:val="00747779"/>
    <w:rsid w:val="00754F4B"/>
    <w:rsid w:val="0075600E"/>
    <w:rsid w:val="0075648C"/>
    <w:rsid w:val="00763C5D"/>
    <w:rsid w:val="0076497D"/>
    <w:rsid w:val="00765A89"/>
    <w:rsid w:val="0076705D"/>
    <w:rsid w:val="00767185"/>
    <w:rsid w:val="0076739A"/>
    <w:rsid w:val="00767E0F"/>
    <w:rsid w:val="007715A2"/>
    <w:rsid w:val="00771E40"/>
    <w:rsid w:val="0077435A"/>
    <w:rsid w:val="00776F83"/>
    <w:rsid w:val="00777959"/>
    <w:rsid w:val="00781405"/>
    <w:rsid w:val="00781C31"/>
    <w:rsid w:val="00785154"/>
    <w:rsid w:val="007861AD"/>
    <w:rsid w:val="007878ED"/>
    <w:rsid w:val="00790E90"/>
    <w:rsid w:val="00791433"/>
    <w:rsid w:val="00791D68"/>
    <w:rsid w:val="00793496"/>
    <w:rsid w:val="00793A6B"/>
    <w:rsid w:val="00794B98"/>
    <w:rsid w:val="007968F8"/>
    <w:rsid w:val="00797D6F"/>
    <w:rsid w:val="007A0D95"/>
    <w:rsid w:val="007A14D0"/>
    <w:rsid w:val="007A2498"/>
    <w:rsid w:val="007B0767"/>
    <w:rsid w:val="007B11DF"/>
    <w:rsid w:val="007B21D1"/>
    <w:rsid w:val="007B24C9"/>
    <w:rsid w:val="007B461A"/>
    <w:rsid w:val="007B47A1"/>
    <w:rsid w:val="007C0831"/>
    <w:rsid w:val="007C1582"/>
    <w:rsid w:val="007C2960"/>
    <w:rsid w:val="007C2992"/>
    <w:rsid w:val="007C62F5"/>
    <w:rsid w:val="007C7300"/>
    <w:rsid w:val="007C7357"/>
    <w:rsid w:val="007C7B92"/>
    <w:rsid w:val="007D054D"/>
    <w:rsid w:val="007D1488"/>
    <w:rsid w:val="007D14B7"/>
    <w:rsid w:val="007D45FD"/>
    <w:rsid w:val="007D5784"/>
    <w:rsid w:val="007D6721"/>
    <w:rsid w:val="007D6900"/>
    <w:rsid w:val="007D7A8A"/>
    <w:rsid w:val="007E0403"/>
    <w:rsid w:val="007E0A01"/>
    <w:rsid w:val="007E0C74"/>
    <w:rsid w:val="007E1DC0"/>
    <w:rsid w:val="007E57CB"/>
    <w:rsid w:val="007E63F8"/>
    <w:rsid w:val="007E75CA"/>
    <w:rsid w:val="007E7623"/>
    <w:rsid w:val="007F0242"/>
    <w:rsid w:val="007F0C15"/>
    <w:rsid w:val="007F2796"/>
    <w:rsid w:val="007F668E"/>
    <w:rsid w:val="0080150E"/>
    <w:rsid w:val="00810BB4"/>
    <w:rsid w:val="00812294"/>
    <w:rsid w:val="008123BA"/>
    <w:rsid w:val="00812990"/>
    <w:rsid w:val="008148B2"/>
    <w:rsid w:val="00814B24"/>
    <w:rsid w:val="00815CC0"/>
    <w:rsid w:val="008173C3"/>
    <w:rsid w:val="00817839"/>
    <w:rsid w:val="00823419"/>
    <w:rsid w:val="00823C4F"/>
    <w:rsid w:val="0082492B"/>
    <w:rsid w:val="008253A7"/>
    <w:rsid w:val="008265EF"/>
    <w:rsid w:val="00827407"/>
    <w:rsid w:val="00833F20"/>
    <w:rsid w:val="00836318"/>
    <w:rsid w:val="00837E38"/>
    <w:rsid w:val="00840961"/>
    <w:rsid w:val="00840BE1"/>
    <w:rsid w:val="00842EE7"/>
    <w:rsid w:val="008444BD"/>
    <w:rsid w:val="00844DC6"/>
    <w:rsid w:val="00845083"/>
    <w:rsid w:val="00851D2A"/>
    <w:rsid w:val="0085223F"/>
    <w:rsid w:val="008535B7"/>
    <w:rsid w:val="00855B83"/>
    <w:rsid w:val="00860387"/>
    <w:rsid w:val="00861930"/>
    <w:rsid w:val="00861F33"/>
    <w:rsid w:val="008620C5"/>
    <w:rsid w:val="008641F7"/>
    <w:rsid w:val="00864EFE"/>
    <w:rsid w:val="008657D2"/>
    <w:rsid w:val="00866076"/>
    <w:rsid w:val="00873F9B"/>
    <w:rsid w:val="008743AC"/>
    <w:rsid w:val="00874C25"/>
    <w:rsid w:val="0087682B"/>
    <w:rsid w:val="00877FED"/>
    <w:rsid w:val="00880F80"/>
    <w:rsid w:val="008822A5"/>
    <w:rsid w:val="008833AC"/>
    <w:rsid w:val="0088512F"/>
    <w:rsid w:val="00885C85"/>
    <w:rsid w:val="00890CFA"/>
    <w:rsid w:val="00891DAA"/>
    <w:rsid w:val="00891EFC"/>
    <w:rsid w:val="00892C9E"/>
    <w:rsid w:val="0089429A"/>
    <w:rsid w:val="0089513D"/>
    <w:rsid w:val="0089622A"/>
    <w:rsid w:val="00896FBF"/>
    <w:rsid w:val="00897C16"/>
    <w:rsid w:val="008A1348"/>
    <w:rsid w:val="008A4831"/>
    <w:rsid w:val="008A492C"/>
    <w:rsid w:val="008A4C41"/>
    <w:rsid w:val="008A515D"/>
    <w:rsid w:val="008A615D"/>
    <w:rsid w:val="008A6659"/>
    <w:rsid w:val="008A6918"/>
    <w:rsid w:val="008A69DC"/>
    <w:rsid w:val="008A6F61"/>
    <w:rsid w:val="008B4856"/>
    <w:rsid w:val="008B7C3D"/>
    <w:rsid w:val="008C24D3"/>
    <w:rsid w:val="008C2886"/>
    <w:rsid w:val="008D022F"/>
    <w:rsid w:val="008D1537"/>
    <w:rsid w:val="008D17DF"/>
    <w:rsid w:val="008D17E5"/>
    <w:rsid w:val="008D6725"/>
    <w:rsid w:val="008D78FF"/>
    <w:rsid w:val="008E2F81"/>
    <w:rsid w:val="008E2FDD"/>
    <w:rsid w:val="008E3E12"/>
    <w:rsid w:val="008E476F"/>
    <w:rsid w:val="008E59B3"/>
    <w:rsid w:val="008E5F7D"/>
    <w:rsid w:val="008E6217"/>
    <w:rsid w:val="008E7722"/>
    <w:rsid w:val="008F1DE4"/>
    <w:rsid w:val="008F230C"/>
    <w:rsid w:val="008F48C1"/>
    <w:rsid w:val="008F4C9D"/>
    <w:rsid w:val="008F50AD"/>
    <w:rsid w:val="008F538E"/>
    <w:rsid w:val="008F5394"/>
    <w:rsid w:val="008F5EEF"/>
    <w:rsid w:val="008F636C"/>
    <w:rsid w:val="008F6397"/>
    <w:rsid w:val="0090048A"/>
    <w:rsid w:val="009026A1"/>
    <w:rsid w:val="00903566"/>
    <w:rsid w:val="009041C1"/>
    <w:rsid w:val="0090449A"/>
    <w:rsid w:val="00904A06"/>
    <w:rsid w:val="00904E04"/>
    <w:rsid w:val="0090536A"/>
    <w:rsid w:val="00911D0C"/>
    <w:rsid w:val="00913190"/>
    <w:rsid w:val="00914CB3"/>
    <w:rsid w:val="00916328"/>
    <w:rsid w:val="00917258"/>
    <w:rsid w:val="00917324"/>
    <w:rsid w:val="00920CC5"/>
    <w:rsid w:val="00921FB1"/>
    <w:rsid w:val="009223CF"/>
    <w:rsid w:val="009223E3"/>
    <w:rsid w:val="00922926"/>
    <w:rsid w:val="00922939"/>
    <w:rsid w:val="00923795"/>
    <w:rsid w:val="0092468A"/>
    <w:rsid w:val="009260C5"/>
    <w:rsid w:val="00930CFF"/>
    <w:rsid w:val="00932AF7"/>
    <w:rsid w:val="00932B78"/>
    <w:rsid w:val="00933744"/>
    <w:rsid w:val="00935185"/>
    <w:rsid w:val="0094012A"/>
    <w:rsid w:val="00940388"/>
    <w:rsid w:val="00940A70"/>
    <w:rsid w:val="009429B7"/>
    <w:rsid w:val="00944903"/>
    <w:rsid w:val="00944C30"/>
    <w:rsid w:val="009450CF"/>
    <w:rsid w:val="0094550C"/>
    <w:rsid w:val="00945AEE"/>
    <w:rsid w:val="0094732D"/>
    <w:rsid w:val="0094772F"/>
    <w:rsid w:val="00947CF8"/>
    <w:rsid w:val="009519D4"/>
    <w:rsid w:val="009520C3"/>
    <w:rsid w:val="0095680E"/>
    <w:rsid w:val="0095696B"/>
    <w:rsid w:val="009572FD"/>
    <w:rsid w:val="00962693"/>
    <w:rsid w:val="00962CEA"/>
    <w:rsid w:val="0096587B"/>
    <w:rsid w:val="00965CA4"/>
    <w:rsid w:val="00970EF3"/>
    <w:rsid w:val="00971B45"/>
    <w:rsid w:val="00972275"/>
    <w:rsid w:val="00973969"/>
    <w:rsid w:val="00976028"/>
    <w:rsid w:val="00977A1D"/>
    <w:rsid w:val="00981105"/>
    <w:rsid w:val="0098472B"/>
    <w:rsid w:val="009871A8"/>
    <w:rsid w:val="00987A1C"/>
    <w:rsid w:val="00990476"/>
    <w:rsid w:val="009913D0"/>
    <w:rsid w:val="009921E9"/>
    <w:rsid w:val="009929A0"/>
    <w:rsid w:val="00993442"/>
    <w:rsid w:val="0099344A"/>
    <w:rsid w:val="00994A10"/>
    <w:rsid w:val="00995388"/>
    <w:rsid w:val="00996D7F"/>
    <w:rsid w:val="009A164D"/>
    <w:rsid w:val="009A19C7"/>
    <w:rsid w:val="009A1BFD"/>
    <w:rsid w:val="009A1F40"/>
    <w:rsid w:val="009A2DC3"/>
    <w:rsid w:val="009A38AD"/>
    <w:rsid w:val="009A3939"/>
    <w:rsid w:val="009A3A85"/>
    <w:rsid w:val="009A4558"/>
    <w:rsid w:val="009A6C4D"/>
    <w:rsid w:val="009A712C"/>
    <w:rsid w:val="009A7A14"/>
    <w:rsid w:val="009B09F2"/>
    <w:rsid w:val="009B0DB2"/>
    <w:rsid w:val="009B2F66"/>
    <w:rsid w:val="009B3671"/>
    <w:rsid w:val="009B3B5A"/>
    <w:rsid w:val="009B5F28"/>
    <w:rsid w:val="009B7A7D"/>
    <w:rsid w:val="009B7D5B"/>
    <w:rsid w:val="009C1ADF"/>
    <w:rsid w:val="009C2725"/>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4DF3"/>
    <w:rsid w:val="009E532D"/>
    <w:rsid w:val="009E5351"/>
    <w:rsid w:val="009E604D"/>
    <w:rsid w:val="009E6869"/>
    <w:rsid w:val="009F1B35"/>
    <w:rsid w:val="009F21E2"/>
    <w:rsid w:val="009F235D"/>
    <w:rsid w:val="009F2686"/>
    <w:rsid w:val="009F37B4"/>
    <w:rsid w:val="009F3B93"/>
    <w:rsid w:val="009F4D79"/>
    <w:rsid w:val="00A00AB4"/>
    <w:rsid w:val="00A01864"/>
    <w:rsid w:val="00A045ED"/>
    <w:rsid w:val="00A14437"/>
    <w:rsid w:val="00A14502"/>
    <w:rsid w:val="00A15971"/>
    <w:rsid w:val="00A246DC"/>
    <w:rsid w:val="00A271B4"/>
    <w:rsid w:val="00A27C38"/>
    <w:rsid w:val="00A30576"/>
    <w:rsid w:val="00A30F97"/>
    <w:rsid w:val="00A31FDC"/>
    <w:rsid w:val="00A32343"/>
    <w:rsid w:val="00A326B1"/>
    <w:rsid w:val="00A3336D"/>
    <w:rsid w:val="00A34AC6"/>
    <w:rsid w:val="00A34F24"/>
    <w:rsid w:val="00A37DC3"/>
    <w:rsid w:val="00A425FC"/>
    <w:rsid w:val="00A42E43"/>
    <w:rsid w:val="00A43021"/>
    <w:rsid w:val="00A43634"/>
    <w:rsid w:val="00A43665"/>
    <w:rsid w:val="00A441B5"/>
    <w:rsid w:val="00A44F8C"/>
    <w:rsid w:val="00A454E0"/>
    <w:rsid w:val="00A45E4B"/>
    <w:rsid w:val="00A46462"/>
    <w:rsid w:val="00A47339"/>
    <w:rsid w:val="00A47536"/>
    <w:rsid w:val="00A51399"/>
    <w:rsid w:val="00A520CC"/>
    <w:rsid w:val="00A52BA6"/>
    <w:rsid w:val="00A5445A"/>
    <w:rsid w:val="00A552DA"/>
    <w:rsid w:val="00A57193"/>
    <w:rsid w:val="00A6113D"/>
    <w:rsid w:val="00A6164F"/>
    <w:rsid w:val="00A6235A"/>
    <w:rsid w:val="00A62805"/>
    <w:rsid w:val="00A6716E"/>
    <w:rsid w:val="00A700D6"/>
    <w:rsid w:val="00A752CF"/>
    <w:rsid w:val="00A76001"/>
    <w:rsid w:val="00A805C2"/>
    <w:rsid w:val="00A806F1"/>
    <w:rsid w:val="00A87BE9"/>
    <w:rsid w:val="00A9241A"/>
    <w:rsid w:val="00A92571"/>
    <w:rsid w:val="00A9439F"/>
    <w:rsid w:val="00A95893"/>
    <w:rsid w:val="00A963C3"/>
    <w:rsid w:val="00A96F94"/>
    <w:rsid w:val="00A9704D"/>
    <w:rsid w:val="00AA07DE"/>
    <w:rsid w:val="00AA106F"/>
    <w:rsid w:val="00AA127F"/>
    <w:rsid w:val="00AA230A"/>
    <w:rsid w:val="00AA5C4F"/>
    <w:rsid w:val="00AA712A"/>
    <w:rsid w:val="00AA78CB"/>
    <w:rsid w:val="00AA7E8A"/>
    <w:rsid w:val="00AB1A94"/>
    <w:rsid w:val="00AB248D"/>
    <w:rsid w:val="00AB2915"/>
    <w:rsid w:val="00AB2B24"/>
    <w:rsid w:val="00AB488D"/>
    <w:rsid w:val="00AB4C36"/>
    <w:rsid w:val="00AB4F39"/>
    <w:rsid w:val="00AB51E0"/>
    <w:rsid w:val="00AB5B30"/>
    <w:rsid w:val="00AB5FC3"/>
    <w:rsid w:val="00AB6101"/>
    <w:rsid w:val="00AB7A8F"/>
    <w:rsid w:val="00AC0231"/>
    <w:rsid w:val="00AC0411"/>
    <w:rsid w:val="00AC07D2"/>
    <w:rsid w:val="00AC5654"/>
    <w:rsid w:val="00AC6009"/>
    <w:rsid w:val="00AC66B3"/>
    <w:rsid w:val="00AD0DF6"/>
    <w:rsid w:val="00AD2826"/>
    <w:rsid w:val="00AD2957"/>
    <w:rsid w:val="00AD4944"/>
    <w:rsid w:val="00AD5849"/>
    <w:rsid w:val="00AD7578"/>
    <w:rsid w:val="00AD7B0F"/>
    <w:rsid w:val="00AD7CF0"/>
    <w:rsid w:val="00AE05F1"/>
    <w:rsid w:val="00AE1659"/>
    <w:rsid w:val="00AE41A6"/>
    <w:rsid w:val="00AE43E5"/>
    <w:rsid w:val="00AE4EB6"/>
    <w:rsid w:val="00AE51EC"/>
    <w:rsid w:val="00AE6E0C"/>
    <w:rsid w:val="00AF1E99"/>
    <w:rsid w:val="00AF78EE"/>
    <w:rsid w:val="00B014C2"/>
    <w:rsid w:val="00B033B8"/>
    <w:rsid w:val="00B0347F"/>
    <w:rsid w:val="00B04FAA"/>
    <w:rsid w:val="00B11F68"/>
    <w:rsid w:val="00B121E8"/>
    <w:rsid w:val="00B12DEF"/>
    <w:rsid w:val="00B13499"/>
    <w:rsid w:val="00B1662F"/>
    <w:rsid w:val="00B20342"/>
    <w:rsid w:val="00B20D39"/>
    <w:rsid w:val="00B221CA"/>
    <w:rsid w:val="00B22419"/>
    <w:rsid w:val="00B234FF"/>
    <w:rsid w:val="00B25497"/>
    <w:rsid w:val="00B274BB"/>
    <w:rsid w:val="00B30133"/>
    <w:rsid w:val="00B30C2D"/>
    <w:rsid w:val="00B37577"/>
    <w:rsid w:val="00B419B7"/>
    <w:rsid w:val="00B45711"/>
    <w:rsid w:val="00B4616D"/>
    <w:rsid w:val="00B46B34"/>
    <w:rsid w:val="00B46CDA"/>
    <w:rsid w:val="00B4700F"/>
    <w:rsid w:val="00B5099C"/>
    <w:rsid w:val="00B552C0"/>
    <w:rsid w:val="00B5655C"/>
    <w:rsid w:val="00B56EB8"/>
    <w:rsid w:val="00B57637"/>
    <w:rsid w:val="00B60083"/>
    <w:rsid w:val="00B60EEC"/>
    <w:rsid w:val="00B6151B"/>
    <w:rsid w:val="00B6163A"/>
    <w:rsid w:val="00B62197"/>
    <w:rsid w:val="00B63BE0"/>
    <w:rsid w:val="00B63BEB"/>
    <w:rsid w:val="00B6474E"/>
    <w:rsid w:val="00B65CFA"/>
    <w:rsid w:val="00B66159"/>
    <w:rsid w:val="00B703E4"/>
    <w:rsid w:val="00B70F42"/>
    <w:rsid w:val="00B74BCA"/>
    <w:rsid w:val="00B756EA"/>
    <w:rsid w:val="00B75B65"/>
    <w:rsid w:val="00B7774A"/>
    <w:rsid w:val="00B77D78"/>
    <w:rsid w:val="00B81E82"/>
    <w:rsid w:val="00B82499"/>
    <w:rsid w:val="00B8596D"/>
    <w:rsid w:val="00B85C22"/>
    <w:rsid w:val="00B866E5"/>
    <w:rsid w:val="00B90780"/>
    <w:rsid w:val="00B91EA5"/>
    <w:rsid w:val="00B931D1"/>
    <w:rsid w:val="00B943B1"/>
    <w:rsid w:val="00B96973"/>
    <w:rsid w:val="00BA0556"/>
    <w:rsid w:val="00BA0A22"/>
    <w:rsid w:val="00BA14F4"/>
    <w:rsid w:val="00BA2E9B"/>
    <w:rsid w:val="00BA5804"/>
    <w:rsid w:val="00BA7189"/>
    <w:rsid w:val="00BA74D6"/>
    <w:rsid w:val="00BB09C5"/>
    <w:rsid w:val="00BB13F4"/>
    <w:rsid w:val="00BB1C9B"/>
    <w:rsid w:val="00BB2189"/>
    <w:rsid w:val="00BB2330"/>
    <w:rsid w:val="00BB23DD"/>
    <w:rsid w:val="00BB4180"/>
    <w:rsid w:val="00BB5062"/>
    <w:rsid w:val="00BB66F6"/>
    <w:rsid w:val="00BB6E67"/>
    <w:rsid w:val="00BB7960"/>
    <w:rsid w:val="00BC06E8"/>
    <w:rsid w:val="00BC4144"/>
    <w:rsid w:val="00BC4472"/>
    <w:rsid w:val="00BC51A3"/>
    <w:rsid w:val="00BC63A1"/>
    <w:rsid w:val="00BC66EB"/>
    <w:rsid w:val="00BD1934"/>
    <w:rsid w:val="00BD1A48"/>
    <w:rsid w:val="00BD44CD"/>
    <w:rsid w:val="00BD4752"/>
    <w:rsid w:val="00BD63E9"/>
    <w:rsid w:val="00BD6D92"/>
    <w:rsid w:val="00BE0EC8"/>
    <w:rsid w:val="00BE3B21"/>
    <w:rsid w:val="00BE4892"/>
    <w:rsid w:val="00BE649D"/>
    <w:rsid w:val="00BE6E9C"/>
    <w:rsid w:val="00BF13E2"/>
    <w:rsid w:val="00BF249C"/>
    <w:rsid w:val="00BF2F17"/>
    <w:rsid w:val="00BF4361"/>
    <w:rsid w:val="00BF6568"/>
    <w:rsid w:val="00BF774E"/>
    <w:rsid w:val="00C02217"/>
    <w:rsid w:val="00C044F2"/>
    <w:rsid w:val="00C04559"/>
    <w:rsid w:val="00C11C6A"/>
    <w:rsid w:val="00C16A63"/>
    <w:rsid w:val="00C16F7D"/>
    <w:rsid w:val="00C1739F"/>
    <w:rsid w:val="00C20A0F"/>
    <w:rsid w:val="00C20EF9"/>
    <w:rsid w:val="00C2173A"/>
    <w:rsid w:val="00C21A1E"/>
    <w:rsid w:val="00C24F0A"/>
    <w:rsid w:val="00C25337"/>
    <w:rsid w:val="00C307D2"/>
    <w:rsid w:val="00C31A26"/>
    <w:rsid w:val="00C327A5"/>
    <w:rsid w:val="00C3286F"/>
    <w:rsid w:val="00C32F05"/>
    <w:rsid w:val="00C33121"/>
    <w:rsid w:val="00C33F2C"/>
    <w:rsid w:val="00C34377"/>
    <w:rsid w:val="00C34941"/>
    <w:rsid w:val="00C37958"/>
    <w:rsid w:val="00C37B14"/>
    <w:rsid w:val="00C40FDA"/>
    <w:rsid w:val="00C44943"/>
    <w:rsid w:val="00C44C95"/>
    <w:rsid w:val="00C452A1"/>
    <w:rsid w:val="00C4549D"/>
    <w:rsid w:val="00C459A0"/>
    <w:rsid w:val="00C45AB4"/>
    <w:rsid w:val="00C47097"/>
    <w:rsid w:val="00C5082A"/>
    <w:rsid w:val="00C52714"/>
    <w:rsid w:val="00C52C5E"/>
    <w:rsid w:val="00C5549D"/>
    <w:rsid w:val="00C61BDC"/>
    <w:rsid w:val="00C61FF9"/>
    <w:rsid w:val="00C627A2"/>
    <w:rsid w:val="00C62B98"/>
    <w:rsid w:val="00C64C83"/>
    <w:rsid w:val="00C65525"/>
    <w:rsid w:val="00C6637E"/>
    <w:rsid w:val="00C67234"/>
    <w:rsid w:val="00C7152A"/>
    <w:rsid w:val="00C728A7"/>
    <w:rsid w:val="00C7500F"/>
    <w:rsid w:val="00C751EA"/>
    <w:rsid w:val="00C75A4F"/>
    <w:rsid w:val="00C772EA"/>
    <w:rsid w:val="00C77663"/>
    <w:rsid w:val="00C80BDA"/>
    <w:rsid w:val="00C8212B"/>
    <w:rsid w:val="00C83591"/>
    <w:rsid w:val="00C83878"/>
    <w:rsid w:val="00C84027"/>
    <w:rsid w:val="00C85068"/>
    <w:rsid w:val="00C86127"/>
    <w:rsid w:val="00C87B1B"/>
    <w:rsid w:val="00C92F44"/>
    <w:rsid w:val="00C93C55"/>
    <w:rsid w:val="00C95CFC"/>
    <w:rsid w:val="00C96450"/>
    <w:rsid w:val="00C9779A"/>
    <w:rsid w:val="00C97C3E"/>
    <w:rsid w:val="00C97F6E"/>
    <w:rsid w:val="00CA0169"/>
    <w:rsid w:val="00CA0B16"/>
    <w:rsid w:val="00CA0E9F"/>
    <w:rsid w:val="00CA181C"/>
    <w:rsid w:val="00CA24A1"/>
    <w:rsid w:val="00CA25AB"/>
    <w:rsid w:val="00CA34C6"/>
    <w:rsid w:val="00CA4214"/>
    <w:rsid w:val="00CA4ADF"/>
    <w:rsid w:val="00CA6526"/>
    <w:rsid w:val="00CA7C09"/>
    <w:rsid w:val="00CA7E59"/>
    <w:rsid w:val="00CB1829"/>
    <w:rsid w:val="00CB189E"/>
    <w:rsid w:val="00CB19CB"/>
    <w:rsid w:val="00CB204F"/>
    <w:rsid w:val="00CB2B16"/>
    <w:rsid w:val="00CB45B6"/>
    <w:rsid w:val="00CB5D7B"/>
    <w:rsid w:val="00CB6882"/>
    <w:rsid w:val="00CB7A76"/>
    <w:rsid w:val="00CC04C6"/>
    <w:rsid w:val="00CC226E"/>
    <w:rsid w:val="00CC2408"/>
    <w:rsid w:val="00CC39E5"/>
    <w:rsid w:val="00CC422C"/>
    <w:rsid w:val="00CC6358"/>
    <w:rsid w:val="00CC67C1"/>
    <w:rsid w:val="00CC76C2"/>
    <w:rsid w:val="00CD0346"/>
    <w:rsid w:val="00CD291B"/>
    <w:rsid w:val="00CD40FD"/>
    <w:rsid w:val="00CD4E1C"/>
    <w:rsid w:val="00CE09F6"/>
    <w:rsid w:val="00CE128B"/>
    <w:rsid w:val="00CE46A5"/>
    <w:rsid w:val="00CE5A83"/>
    <w:rsid w:val="00CE6894"/>
    <w:rsid w:val="00CF0131"/>
    <w:rsid w:val="00CF05DA"/>
    <w:rsid w:val="00CF370C"/>
    <w:rsid w:val="00CF4D9E"/>
    <w:rsid w:val="00CF50F6"/>
    <w:rsid w:val="00CF5C7C"/>
    <w:rsid w:val="00D0079F"/>
    <w:rsid w:val="00D03BE9"/>
    <w:rsid w:val="00D0470C"/>
    <w:rsid w:val="00D06428"/>
    <w:rsid w:val="00D06854"/>
    <w:rsid w:val="00D110BF"/>
    <w:rsid w:val="00D11E93"/>
    <w:rsid w:val="00D12D69"/>
    <w:rsid w:val="00D12F6E"/>
    <w:rsid w:val="00D16DD1"/>
    <w:rsid w:val="00D215C9"/>
    <w:rsid w:val="00D23D51"/>
    <w:rsid w:val="00D23E53"/>
    <w:rsid w:val="00D246F5"/>
    <w:rsid w:val="00D24EDC"/>
    <w:rsid w:val="00D267B2"/>
    <w:rsid w:val="00D27671"/>
    <w:rsid w:val="00D277E5"/>
    <w:rsid w:val="00D315BC"/>
    <w:rsid w:val="00D31657"/>
    <w:rsid w:val="00D318C7"/>
    <w:rsid w:val="00D31FAE"/>
    <w:rsid w:val="00D32668"/>
    <w:rsid w:val="00D359D7"/>
    <w:rsid w:val="00D37FA8"/>
    <w:rsid w:val="00D419F1"/>
    <w:rsid w:val="00D42604"/>
    <w:rsid w:val="00D44D2D"/>
    <w:rsid w:val="00D4717B"/>
    <w:rsid w:val="00D478F2"/>
    <w:rsid w:val="00D50452"/>
    <w:rsid w:val="00D56DA8"/>
    <w:rsid w:val="00D577E0"/>
    <w:rsid w:val="00D6027A"/>
    <w:rsid w:val="00D6035D"/>
    <w:rsid w:val="00D6091D"/>
    <w:rsid w:val="00D60A62"/>
    <w:rsid w:val="00D62CCB"/>
    <w:rsid w:val="00D71175"/>
    <w:rsid w:val="00D7155A"/>
    <w:rsid w:val="00D71706"/>
    <w:rsid w:val="00D717A0"/>
    <w:rsid w:val="00D7256E"/>
    <w:rsid w:val="00D72F3D"/>
    <w:rsid w:val="00D74282"/>
    <w:rsid w:val="00D745E4"/>
    <w:rsid w:val="00D76F8F"/>
    <w:rsid w:val="00D8286C"/>
    <w:rsid w:val="00D82938"/>
    <w:rsid w:val="00D83021"/>
    <w:rsid w:val="00D9046D"/>
    <w:rsid w:val="00D9203E"/>
    <w:rsid w:val="00D9405A"/>
    <w:rsid w:val="00D94F4A"/>
    <w:rsid w:val="00DA0A55"/>
    <w:rsid w:val="00DA2CED"/>
    <w:rsid w:val="00DA33A5"/>
    <w:rsid w:val="00DA3D82"/>
    <w:rsid w:val="00DA4F89"/>
    <w:rsid w:val="00DA58BE"/>
    <w:rsid w:val="00DA61A3"/>
    <w:rsid w:val="00DA6973"/>
    <w:rsid w:val="00DA775F"/>
    <w:rsid w:val="00DA7FAD"/>
    <w:rsid w:val="00DB0477"/>
    <w:rsid w:val="00DB1642"/>
    <w:rsid w:val="00DB28DC"/>
    <w:rsid w:val="00DB2ACC"/>
    <w:rsid w:val="00DB35ED"/>
    <w:rsid w:val="00DB7168"/>
    <w:rsid w:val="00DB7AF5"/>
    <w:rsid w:val="00DC00DC"/>
    <w:rsid w:val="00DC0A98"/>
    <w:rsid w:val="00DC1068"/>
    <w:rsid w:val="00DC1FD6"/>
    <w:rsid w:val="00DC2009"/>
    <w:rsid w:val="00DC27BB"/>
    <w:rsid w:val="00DC2AFF"/>
    <w:rsid w:val="00DC614F"/>
    <w:rsid w:val="00DC7ACA"/>
    <w:rsid w:val="00DD0266"/>
    <w:rsid w:val="00DD0FE9"/>
    <w:rsid w:val="00DD21C0"/>
    <w:rsid w:val="00DD42C2"/>
    <w:rsid w:val="00DD5665"/>
    <w:rsid w:val="00DD770F"/>
    <w:rsid w:val="00DE01CE"/>
    <w:rsid w:val="00DE0762"/>
    <w:rsid w:val="00DE1643"/>
    <w:rsid w:val="00DE67FC"/>
    <w:rsid w:val="00DF00C1"/>
    <w:rsid w:val="00DF0637"/>
    <w:rsid w:val="00DF0946"/>
    <w:rsid w:val="00DF0A7E"/>
    <w:rsid w:val="00DF4399"/>
    <w:rsid w:val="00DF4BCE"/>
    <w:rsid w:val="00E009B6"/>
    <w:rsid w:val="00E03A78"/>
    <w:rsid w:val="00E042D4"/>
    <w:rsid w:val="00E05D8F"/>
    <w:rsid w:val="00E072E2"/>
    <w:rsid w:val="00E07DF2"/>
    <w:rsid w:val="00E143E2"/>
    <w:rsid w:val="00E1460E"/>
    <w:rsid w:val="00E147E0"/>
    <w:rsid w:val="00E22252"/>
    <w:rsid w:val="00E22906"/>
    <w:rsid w:val="00E22D5A"/>
    <w:rsid w:val="00E22EBE"/>
    <w:rsid w:val="00E25884"/>
    <w:rsid w:val="00E26AAA"/>
    <w:rsid w:val="00E3385D"/>
    <w:rsid w:val="00E3486C"/>
    <w:rsid w:val="00E360B7"/>
    <w:rsid w:val="00E40B36"/>
    <w:rsid w:val="00E43842"/>
    <w:rsid w:val="00E44062"/>
    <w:rsid w:val="00E4416C"/>
    <w:rsid w:val="00E47CB5"/>
    <w:rsid w:val="00E51BA8"/>
    <w:rsid w:val="00E51BE9"/>
    <w:rsid w:val="00E528FE"/>
    <w:rsid w:val="00E52FCD"/>
    <w:rsid w:val="00E53705"/>
    <w:rsid w:val="00E54741"/>
    <w:rsid w:val="00E553C0"/>
    <w:rsid w:val="00E56A1F"/>
    <w:rsid w:val="00E5743D"/>
    <w:rsid w:val="00E578F4"/>
    <w:rsid w:val="00E61A56"/>
    <w:rsid w:val="00E61D5C"/>
    <w:rsid w:val="00E62150"/>
    <w:rsid w:val="00E6447F"/>
    <w:rsid w:val="00E64B23"/>
    <w:rsid w:val="00E65E04"/>
    <w:rsid w:val="00E65F36"/>
    <w:rsid w:val="00E65F64"/>
    <w:rsid w:val="00E671E2"/>
    <w:rsid w:val="00E70B81"/>
    <w:rsid w:val="00E71375"/>
    <w:rsid w:val="00E73425"/>
    <w:rsid w:val="00E73C02"/>
    <w:rsid w:val="00E75496"/>
    <w:rsid w:val="00E75BE5"/>
    <w:rsid w:val="00E7628E"/>
    <w:rsid w:val="00E77577"/>
    <w:rsid w:val="00E8006C"/>
    <w:rsid w:val="00E8125D"/>
    <w:rsid w:val="00E82B53"/>
    <w:rsid w:val="00E862B4"/>
    <w:rsid w:val="00E86AEA"/>
    <w:rsid w:val="00E90C7E"/>
    <w:rsid w:val="00E921F7"/>
    <w:rsid w:val="00E9274F"/>
    <w:rsid w:val="00E9367D"/>
    <w:rsid w:val="00EA1872"/>
    <w:rsid w:val="00EA2572"/>
    <w:rsid w:val="00EA2820"/>
    <w:rsid w:val="00EA6137"/>
    <w:rsid w:val="00EB03F5"/>
    <w:rsid w:val="00EB263C"/>
    <w:rsid w:val="00EB4862"/>
    <w:rsid w:val="00EB7505"/>
    <w:rsid w:val="00EC09FD"/>
    <w:rsid w:val="00EC1386"/>
    <w:rsid w:val="00EC1C10"/>
    <w:rsid w:val="00EC1CD1"/>
    <w:rsid w:val="00EC4103"/>
    <w:rsid w:val="00ED175B"/>
    <w:rsid w:val="00ED22CA"/>
    <w:rsid w:val="00ED29AD"/>
    <w:rsid w:val="00ED377B"/>
    <w:rsid w:val="00ED49F3"/>
    <w:rsid w:val="00ED6207"/>
    <w:rsid w:val="00ED7A03"/>
    <w:rsid w:val="00EE35DE"/>
    <w:rsid w:val="00EE4E64"/>
    <w:rsid w:val="00EE4FC3"/>
    <w:rsid w:val="00EE50D2"/>
    <w:rsid w:val="00EF0E88"/>
    <w:rsid w:val="00EF1E56"/>
    <w:rsid w:val="00EF26A5"/>
    <w:rsid w:val="00EF335B"/>
    <w:rsid w:val="00EF4B50"/>
    <w:rsid w:val="00EF5821"/>
    <w:rsid w:val="00EF5FA2"/>
    <w:rsid w:val="00EF662A"/>
    <w:rsid w:val="00EF6CB9"/>
    <w:rsid w:val="00EF6E5B"/>
    <w:rsid w:val="00EF7435"/>
    <w:rsid w:val="00EF7544"/>
    <w:rsid w:val="00EF7A99"/>
    <w:rsid w:val="00F00C6E"/>
    <w:rsid w:val="00F017F1"/>
    <w:rsid w:val="00F02F53"/>
    <w:rsid w:val="00F07039"/>
    <w:rsid w:val="00F10EB1"/>
    <w:rsid w:val="00F12786"/>
    <w:rsid w:val="00F14553"/>
    <w:rsid w:val="00F154DF"/>
    <w:rsid w:val="00F15735"/>
    <w:rsid w:val="00F15932"/>
    <w:rsid w:val="00F15ADB"/>
    <w:rsid w:val="00F17FB6"/>
    <w:rsid w:val="00F20A3B"/>
    <w:rsid w:val="00F210C4"/>
    <w:rsid w:val="00F213B5"/>
    <w:rsid w:val="00F21E70"/>
    <w:rsid w:val="00F2244C"/>
    <w:rsid w:val="00F22471"/>
    <w:rsid w:val="00F23AB0"/>
    <w:rsid w:val="00F24053"/>
    <w:rsid w:val="00F2448E"/>
    <w:rsid w:val="00F25271"/>
    <w:rsid w:val="00F25DD3"/>
    <w:rsid w:val="00F26527"/>
    <w:rsid w:val="00F26A10"/>
    <w:rsid w:val="00F27161"/>
    <w:rsid w:val="00F33C48"/>
    <w:rsid w:val="00F33E2D"/>
    <w:rsid w:val="00F343FE"/>
    <w:rsid w:val="00F37534"/>
    <w:rsid w:val="00F3776D"/>
    <w:rsid w:val="00F41AD2"/>
    <w:rsid w:val="00F4308E"/>
    <w:rsid w:val="00F4518B"/>
    <w:rsid w:val="00F45FC6"/>
    <w:rsid w:val="00F465FD"/>
    <w:rsid w:val="00F5032D"/>
    <w:rsid w:val="00F520CA"/>
    <w:rsid w:val="00F543D6"/>
    <w:rsid w:val="00F56864"/>
    <w:rsid w:val="00F573E5"/>
    <w:rsid w:val="00F602B2"/>
    <w:rsid w:val="00F61450"/>
    <w:rsid w:val="00F64547"/>
    <w:rsid w:val="00F654FD"/>
    <w:rsid w:val="00F65DC0"/>
    <w:rsid w:val="00F65EC5"/>
    <w:rsid w:val="00F660D7"/>
    <w:rsid w:val="00F67545"/>
    <w:rsid w:val="00F7355C"/>
    <w:rsid w:val="00F73E4D"/>
    <w:rsid w:val="00F73FBF"/>
    <w:rsid w:val="00F768B2"/>
    <w:rsid w:val="00F76E12"/>
    <w:rsid w:val="00F80221"/>
    <w:rsid w:val="00F81BA5"/>
    <w:rsid w:val="00F82D25"/>
    <w:rsid w:val="00F8562F"/>
    <w:rsid w:val="00F86F4B"/>
    <w:rsid w:val="00F90216"/>
    <w:rsid w:val="00F90307"/>
    <w:rsid w:val="00F9294A"/>
    <w:rsid w:val="00F92A3D"/>
    <w:rsid w:val="00F967F9"/>
    <w:rsid w:val="00F97A74"/>
    <w:rsid w:val="00FA2DB4"/>
    <w:rsid w:val="00FA371D"/>
    <w:rsid w:val="00FA6053"/>
    <w:rsid w:val="00FA631A"/>
    <w:rsid w:val="00FA6507"/>
    <w:rsid w:val="00FA6DB0"/>
    <w:rsid w:val="00FB0E25"/>
    <w:rsid w:val="00FB2FE8"/>
    <w:rsid w:val="00FB4555"/>
    <w:rsid w:val="00FB4F40"/>
    <w:rsid w:val="00FC02DA"/>
    <w:rsid w:val="00FC054C"/>
    <w:rsid w:val="00FC3369"/>
    <w:rsid w:val="00FC4CC7"/>
    <w:rsid w:val="00FD2606"/>
    <w:rsid w:val="00FD2CCC"/>
    <w:rsid w:val="00FD3BBA"/>
    <w:rsid w:val="00FD4326"/>
    <w:rsid w:val="00FD7D7A"/>
    <w:rsid w:val="00FE2734"/>
    <w:rsid w:val="00FE4A0B"/>
    <w:rsid w:val="00FE5ACA"/>
    <w:rsid w:val="00FF1D9A"/>
    <w:rsid w:val="00FF301B"/>
    <w:rsid w:val="00FF39F2"/>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 w:type="character" w:customStyle="1" w:styleId="hps">
    <w:name w:val="hps"/>
    <w:basedOn w:val="DefaultParagraphFont"/>
    <w:rsid w:val="0065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 w:type="character" w:customStyle="1" w:styleId="hps">
    <w:name w:val="hps"/>
    <w:basedOn w:val="DefaultParagraphFont"/>
    <w:rsid w:val="0065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6452016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2090241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737750140">
      <w:bodyDiv w:val="1"/>
      <w:marLeft w:val="0"/>
      <w:marRight w:val="0"/>
      <w:marTop w:val="0"/>
      <w:marBottom w:val="0"/>
      <w:divBdr>
        <w:top w:val="none" w:sz="0" w:space="0" w:color="auto"/>
        <w:left w:val="none" w:sz="0" w:space="0" w:color="auto"/>
        <w:bottom w:val="none" w:sz="0" w:space="0" w:color="auto"/>
        <w:right w:val="none" w:sz="0" w:space="0" w:color="auto"/>
      </w:divBdr>
    </w:div>
    <w:div w:id="1056775682">
      <w:bodyDiv w:val="1"/>
      <w:marLeft w:val="0"/>
      <w:marRight w:val="0"/>
      <w:marTop w:val="0"/>
      <w:marBottom w:val="0"/>
      <w:divBdr>
        <w:top w:val="none" w:sz="0" w:space="0" w:color="auto"/>
        <w:left w:val="none" w:sz="0" w:space="0" w:color="auto"/>
        <w:bottom w:val="none" w:sz="0" w:space="0" w:color="auto"/>
        <w:right w:val="none" w:sz="0" w:space="0" w:color="auto"/>
      </w:divBdr>
    </w:div>
    <w:div w:id="1121995710">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91086724">
      <w:bodyDiv w:val="1"/>
      <w:marLeft w:val="0"/>
      <w:marRight w:val="0"/>
      <w:marTop w:val="0"/>
      <w:marBottom w:val="0"/>
      <w:divBdr>
        <w:top w:val="none" w:sz="0" w:space="0" w:color="auto"/>
        <w:left w:val="none" w:sz="0" w:space="0" w:color="auto"/>
        <w:bottom w:val="none" w:sz="0" w:space="0" w:color="auto"/>
        <w:right w:val="none" w:sz="0" w:space="0" w:color="auto"/>
      </w:divBdr>
    </w:div>
    <w:div w:id="1405832350">
      <w:bodyDiv w:val="1"/>
      <w:marLeft w:val="0"/>
      <w:marRight w:val="0"/>
      <w:marTop w:val="0"/>
      <w:marBottom w:val="0"/>
      <w:divBdr>
        <w:top w:val="none" w:sz="0" w:space="0" w:color="auto"/>
        <w:left w:val="none" w:sz="0" w:space="0" w:color="auto"/>
        <w:bottom w:val="none" w:sz="0" w:space="0" w:color="auto"/>
        <w:right w:val="none" w:sz="0" w:space="0" w:color="auto"/>
      </w:divBdr>
      <w:divsChild>
        <w:div w:id="1237741715">
          <w:marLeft w:val="0"/>
          <w:marRight w:val="0"/>
          <w:marTop w:val="0"/>
          <w:marBottom w:val="0"/>
          <w:divBdr>
            <w:top w:val="none" w:sz="0" w:space="0" w:color="auto"/>
            <w:left w:val="none" w:sz="0" w:space="0" w:color="auto"/>
            <w:bottom w:val="none" w:sz="0" w:space="0" w:color="auto"/>
            <w:right w:val="none" w:sz="0" w:space="0" w:color="auto"/>
          </w:divBdr>
          <w:divsChild>
            <w:div w:id="1085491210">
              <w:marLeft w:val="0"/>
              <w:marRight w:val="0"/>
              <w:marTop w:val="0"/>
              <w:marBottom w:val="0"/>
              <w:divBdr>
                <w:top w:val="none" w:sz="0" w:space="0" w:color="auto"/>
                <w:left w:val="none" w:sz="0" w:space="0" w:color="auto"/>
                <w:bottom w:val="none" w:sz="0" w:space="0" w:color="auto"/>
                <w:right w:val="none" w:sz="0" w:space="0" w:color="auto"/>
              </w:divBdr>
              <w:divsChild>
                <w:div w:id="1619023569">
                  <w:marLeft w:val="0"/>
                  <w:marRight w:val="0"/>
                  <w:marTop w:val="0"/>
                  <w:marBottom w:val="0"/>
                  <w:divBdr>
                    <w:top w:val="none" w:sz="0" w:space="0" w:color="auto"/>
                    <w:left w:val="none" w:sz="0" w:space="0" w:color="auto"/>
                    <w:bottom w:val="none" w:sz="0" w:space="0" w:color="auto"/>
                    <w:right w:val="none" w:sz="0" w:space="0" w:color="auto"/>
                  </w:divBdr>
                  <w:divsChild>
                    <w:div w:id="2119179679">
                      <w:marLeft w:val="0"/>
                      <w:marRight w:val="0"/>
                      <w:marTop w:val="0"/>
                      <w:marBottom w:val="0"/>
                      <w:divBdr>
                        <w:top w:val="none" w:sz="0" w:space="0" w:color="auto"/>
                        <w:left w:val="none" w:sz="0" w:space="0" w:color="auto"/>
                        <w:bottom w:val="none" w:sz="0" w:space="0" w:color="auto"/>
                        <w:right w:val="none" w:sz="0" w:space="0" w:color="auto"/>
                      </w:divBdr>
                      <w:divsChild>
                        <w:div w:id="1702854508">
                          <w:marLeft w:val="0"/>
                          <w:marRight w:val="0"/>
                          <w:marTop w:val="335"/>
                          <w:marBottom w:val="0"/>
                          <w:divBdr>
                            <w:top w:val="none" w:sz="0" w:space="0" w:color="auto"/>
                            <w:left w:val="none" w:sz="0" w:space="0" w:color="auto"/>
                            <w:bottom w:val="none" w:sz="0" w:space="0" w:color="auto"/>
                            <w:right w:val="none" w:sz="0" w:space="0" w:color="auto"/>
                          </w:divBdr>
                          <w:divsChild>
                            <w:div w:id="866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89287">
      <w:bodyDiv w:val="1"/>
      <w:marLeft w:val="0"/>
      <w:marRight w:val="0"/>
      <w:marTop w:val="0"/>
      <w:marBottom w:val="0"/>
      <w:divBdr>
        <w:top w:val="none" w:sz="0" w:space="0" w:color="auto"/>
        <w:left w:val="none" w:sz="0" w:space="0" w:color="auto"/>
        <w:bottom w:val="none" w:sz="0" w:space="0" w:color="auto"/>
        <w:right w:val="none" w:sz="0" w:space="0" w:color="auto"/>
      </w:divBdr>
    </w:div>
    <w:div w:id="1467815820">
      <w:bodyDiv w:val="1"/>
      <w:marLeft w:val="0"/>
      <w:marRight w:val="0"/>
      <w:marTop w:val="0"/>
      <w:marBottom w:val="0"/>
      <w:divBdr>
        <w:top w:val="none" w:sz="0" w:space="0" w:color="auto"/>
        <w:left w:val="none" w:sz="0" w:space="0" w:color="auto"/>
        <w:bottom w:val="none" w:sz="0" w:space="0" w:color="auto"/>
        <w:right w:val="none" w:sz="0" w:space="0" w:color="auto"/>
      </w:divBdr>
      <w:divsChild>
        <w:div w:id="560561029">
          <w:marLeft w:val="0"/>
          <w:marRight w:val="0"/>
          <w:marTop w:val="0"/>
          <w:marBottom w:val="0"/>
          <w:divBdr>
            <w:top w:val="none" w:sz="0" w:space="0" w:color="auto"/>
            <w:left w:val="none" w:sz="0" w:space="0" w:color="auto"/>
            <w:bottom w:val="none" w:sz="0" w:space="0" w:color="auto"/>
            <w:right w:val="none" w:sz="0" w:space="0" w:color="auto"/>
          </w:divBdr>
          <w:divsChild>
            <w:div w:id="106318387">
              <w:marLeft w:val="0"/>
              <w:marRight w:val="0"/>
              <w:marTop w:val="0"/>
              <w:marBottom w:val="0"/>
              <w:divBdr>
                <w:top w:val="none" w:sz="0" w:space="0" w:color="auto"/>
                <w:left w:val="none" w:sz="0" w:space="0" w:color="auto"/>
                <w:bottom w:val="none" w:sz="0" w:space="0" w:color="auto"/>
                <w:right w:val="none" w:sz="0" w:space="0" w:color="auto"/>
              </w:divBdr>
              <w:divsChild>
                <w:div w:id="1904559349">
                  <w:marLeft w:val="0"/>
                  <w:marRight w:val="0"/>
                  <w:marTop w:val="0"/>
                  <w:marBottom w:val="0"/>
                  <w:divBdr>
                    <w:top w:val="none" w:sz="0" w:space="0" w:color="auto"/>
                    <w:left w:val="none" w:sz="0" w:space="0" w:color="auto"/>
                    <w:bottom w:val="none" w:sz="0" w:space="0" w:color="auto"/>
                    <w:right w:val="none" w:sz="0" w:space="0" w:color="auto"/>
                  </w:divBdr>
                  <w:divsChild>
                    <w:div w:id="2004620542">
                      <w:marLeft w:val="0"/>
                      <w:marRight w:val="0"/>
                      <w:marTop w:val="0"/>
                      <w:marBottom w:val="0"/>
                      <w:divBdr>
                        <w:top w:val="none" w:sz="0" w:space="0" w:color="auto"/>
                        <w:left w:val="none" w:sz="0" w:space="0" w:color="auto"/>
                        <w:bottom w:val="none" w:sz="0" w:space="0" w:color="auto"/>
                        <w:right w:val="none" w:sz="0" w:space="0" w:color="auto"/>
                      </w:divBdr>
                      <w:divsChild>
                        <w:div w:id="1535772722">
                          <w:marLeft w:val="0"/>
                          <w:marRight w:val="0"/>
                          <w:marTop w:val="335"/>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66008829">
      <w:bodyDiv w:val="1"/>
      <w:marLeft w:val="0"/>
      <w:marRight w:val="0"/>
      <w:marTop w:val="0"/>
      <w:marBottom w:val="0"/>
      <w:divBdr>
        <w:top w:val="none" w:sz="0" w:space="0" w:color="auto"/>
        <w:left w:val="none" w:sz="0" w:space="0" w:color="auto"/>
        <w:bottom w:val="none" w:sz="0" w:space="0" w:color="auto"/>
        <w:right w:val="none" w:sz="0" w:space="0" w:color="auto"/>
      </w:divBdr>
    </w:div>
    <w:div w:id="1682197250">
      <w:bodyDiv w:val="1"/>
      <w:marLeft w:val="0"/>
      <w:marRight w:val="0"/>
      <w:marTop w:val="0"/>
      <w:marBottom w:val="0"/>
      <w:divBdr>
        <w:top w:val="none" w:sz="0" w:space="0" w:color="auto"/>
        <w:left w:val="none" w:sz="0" w:space="0" w:color="auto"/>
        <w:bottom w:val="none" w:sz="0" w:space="0" w:color="auto"/>
        <w:right w:val="none" w:sz="0" w:space="0" w:color="auto"/>
      </w:divBdr>
    </w:div>
    <w:div w:id="1908107876">
      <w:bodyDiv w:val="1"/>
      <w:marLeft w:val="0"/>
      <w:marRight w:val="0"/>
      <w:marTop w:val="0"/>
      <w:marBottom w:val="0"/>
      <w:divBdr>
        <w:top w:val="none" w:sz="0" w:space="0" w:color="auto"/>
        <w:left w:val="none" w:sz="0" w:space="0" w:color="auto"/>
        <w:bottom w:val="none" w:sz="0" w:space="0" w:color="auto"/>
        <w:right w:val="none" w:sz="0" w:space="0" w:color="auto"/>
      </w:divBdr>
    </w:div>
    <w:div w:id="2040428800">
      <w:bodyDiv w:val="1"/>
      <w:marLeft w:val="0"/>
      <w:marRight w:val="0"/>
      <w:marTop w:val="0"/>
      <w:marBottom w:val="0"/>
      <w:divBdr>
        <w:top w:val="none" w:sz="0" w:space="0" w:color="auto"/>
        <w:left w:val="none" w:sz="0" w:space="0" w:color="auto"/>
        <w:bottom w:val="none" w:sz="0" w:space="0" w:color="auto"/>
        <w:right w:val="none" w:sz="0" w:space="0" w:color="auto"/>
      </w:divBdr>
    </w:div>
    <w:div w:id="2124808193">
      <w:bodyDiv w:val="1"/>
      <w:marLeft w:val="0"/>
      <w:marRight w:val="0"/>
      <w:marTop w:val="0"/>
      <w:marBottom w:val="0"/>
      <w:divBdr>
        <w:top w:val="none" w:sz="0" w:space="0" w:color="auto"/>
        <w:left w:val="none" w:sz="0" w:space="0" w:color="auto"/>
        <w:bottom w:val="none" w:sz="0" w:space="0" w:color="auto"/>
        <w:right w:val="none" w:sz="0" w:space="0" w:color="auto"/>
      </w:divBdr>
    </w:div>
    <w:div w:id="21329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eli/reg/2014/651?locale=LV" TargetMode="Externa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945C-1C0E-41A5-ACDA-DD3BF011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11210</Words>
  <Characters>6391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Nr.818 „Noteikumi par darbības programmas „Uzņēmējdarbība un inovācijas” papildinājuma 2.2.1.1.aktivitāti „Ieguldījumu fonds investīcijām garantijās, paaugst</vt:lpstr>
    </vt:vector>
  </TitlesOfParts>
  <Company>LR Ekonomikas ministrija</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dc:title>
  <dc:subject>Anotācija</dc:subject>
  <dc:creator>Agita Nicmane</dc:creator>
  <dc:description>67013203, Agita.Nicmane@em.gov.lv</dc:description>
  <cp:lastModifiedBy>Agita Nicmane</cp:lastModifiedBy>
  <cp:revision>4</cp:revision>
  <cp:lastPrinted>2015-08-26T13:09:00Z</cp:lastPrinted>
  <dcterms:created xsi:type="dcterms:W3CDTF">2015-09-10T11:43:00Z</dcterms:created>
  <dcterms:modified xsi:type="dcterms:W3CDTF">2015-09-10T11:59:00Z</dcterms:modified>
</cp:coreProperties>
</file>