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15A9F" w14:textId="77777777" w:rsidR="003D5C72" w:rsidRPr="007D14C7" w:rsidRDefault="003D5C72" w:rsidP="003D5C72">
      <w:pPr>
        <w:jc w:val="center"/>
        <w:rPr>
          <w:sz w:val="26"/>
          <w:szCs w:val="26"/>
        </w:rPr>
      </w:pPr>
      <w:r w:rsidRPr="007D14C7">
        <w:rPr>
          <w:b/>
          <w:sz w:val="26"/>
          <w:szCs w:val="26"/>
        </w:rPr>
        <w:t>Ministru kabineta noteikumu projekta</w:t>
      </w:r>
      <w:bookmarkStart w:id="0" w:name="OLE_LINK3"/>
      <w:bookmarkStart w:id="1" w:name="OLE_LINK4"/>
      <w:r w:rsidR="00CD6599" w:rsidRPr="007D14C7">
        <w:rPr>
          <w:b/>
          <w:sz w:val="26"/>
          <w:szCs w:val="26"/>
        </w:rPr>
        <w:t xml:space="preserve"> </w:t>
      </w:r>
      <w:r w:rsidR="00CD6599" w:rsidRPr="007D14C7">
        <w:rPr>
          <w:rFonts w:ascii="Cambria" w:hAnsi="Cambria"/>
          <w:b/>
          <w:sz w:val="26"/>
          <w:szCs w:val="26"/>
        </w:rPr>
        <w:t>"</w:t>
      </w:r>
      <w:r w:rsidRPr="007D14C7">
        <w:rPr>
          <w:b/>
          <w:sz w:val="26"/>
          <w:szCs w:val="26"/>
        </w:rPr>
        <w:t>Grozījumi Ministru kabineta 2013.g</w:t>
      </w:r>
      <w:r w:rsidR="00B1476A" w:rsidRPr="007D14C7">
        <w:rPr>
          <w:b/>
          <w:sz w:val="26"/>
          <w:szCs w:val="26"/>
        </w:rPr>
        <w:t xml:space="preserve">ada 2.aprīļa noteikumos Nr.181 </w:t>
      </w:r>
      <w:r w:rsidR="00CD6599" w:rsidRPr="007D14C7">
        <w:rPr>
          <w:rFonts w:ascii="Cambria" w:hAnsi="Cambria"/>
          <w:b/>
          <w:sz w:val="26"/>
          <w:szCs w:val="26"/>
        </w:rPr>
        <w:t>"</w:t>
      </w:r>
      <w:r w:rsidRPr="007D14C7">
        <w:rPr>
          <w:b/>
          <w:sz w:val="26"/>
          <w:szCs w:val="26"/>
        </w:rPr>
        <w:t>Norvēģijas finanšu instrumenta 2009</w:t>
      </w:r>
      <w:r w:rsidR="00CD6599" w:rsidRPr="007D14C7">
        <w:rPr>
          <w:b/>
          <w:sz w:val="26"/>
          <w:szCs w:val="26"/>
        </w:rPr>
        <w:t xml:space="preserve">.–2014.gada perioda programmas </w:t>
      </w:r>
      <w:r w:rsidR="00CD6599" w:rsidRPr="007D14C7">
        <w:rPr>
          <w:rFonts w:ascii="Cambria" w:hAnsi="Cambria"/>
          <w:b/>
          <w:sz w:val="26"/>
          <w:szCs w:val="26"/>
        </w:rPr>
        <w:t>"</w:t>
      </w:r>
      <w:r w:rsidR="00CD6599" w:rsidRPr="007D14C7">
        <w:rPr>
          <w:b/>
          <w:sz w:val="26"/>
          <w:szCs w:val="26"/>
        </w:rPr>
        <w:t xml:space="preserve">Inovācijas </w:t>
      </w:r>
      <w:r w:rsidR="00CD6599" w:rsidRPr="007D14C7">
        <w:rPr>
          <w:rFonts w:ascii="Cambria" w:hAnsi="Cambria"/>
          <w:b/>
          <w:sz w:val="26"/>
          <w:szCs w:val="26"/>
        </w:rPr>
        <w:t>"</w:t>
      </w:r>
      <w:r w:rsidR="00CD6599" w:rsidRPr="007D14C7">
        <w:rPr>
          <w:b/>
          <w:sz w:val="26"/>
          <w:szCs w:val="26"/>
        </w:rPr>
        <w:t>zaļās</w:t>
      </w:r>
      <w:r w:rsidR="00CD6599" w:rsidRPr="007D14C7">
        <w:rPr>
          <w:rFonts w:ascii="Cambria" w:hAnsi="Cambria"/>
          <w:b/>
          <w:sz w:val="26"/>
          <w:szCs w:val="26"/>
        </w:rPr>
        <w:t>"</w:t>
      </w:r>
      <w:r w:rsidR="00CD6599" w:rsidRPr="007D14C7">
        <w:rPr>
          <w:b/>
          <w:sz w:val="26"/>
          <w:szCs w:val="26"/>
        </w:rPr>
        <w:t xml:space="preserve"> ražošanas jomā</w:t>
      </w:r>
      <w:r w:rsidR="00CD6599" w:rsidRPr="007D14C7">
        <w:rPr>
          <w:rFonts w:ascii="Cambria" w:hAnsi="Cambria"/>
          <w:b/>
          <w:sz w:val="26"/>
          <w:szCs w:val="26"/>
        </w:rPr>
        <w:t>"</w:t>
      </w:r>
      <w:r w:rsidRPr="007D14C7">
        <w:rPr>
          <w:b/>
          <w:sz w:val="26"/>
          <w:szCs w:val="26"/>
        </w:rPr>
        <w:t xml:space="preserve"> īstenošanas kārtība</w:t>
      </w:r>
      <w:bookmarkStart w:id="2" w:name="OLE_LINK5"/>
      <w:bookmarkStart w:id="3" w:name="OLE_LINK6"/>
      <w:bookmarkEnd w:id="0"/>
      <w:bookmarkEnd w:id="1"/>
      <w:r w:rsidR="00CD6599" w:rsidRPr="007D14C7">
        <w:rPr>
          <w:rFonts w:ascii="Cambria" w:hAnsi="Cambria"/>
          <w:b/>
          <w:sz w:val="26"/>
          <w:szCs w:val="26"/>
        </w:rPr>
        <w:t>"</w:t>
      </w:r>
      <w:r w:rsidRPr="007D14C7">
        <w:rPr>
          <w:sz w:val="26"/>
          <w:szCs w:val="26"/>
        </w:rPr>
        <w:t xml:space="preserve"> </w:t>
      </w:r>
      <w:r w:rsidRPr="007D14C7">
        <w:rPr>
          <w:b/>
          <w:sz w:val="26"/>
          <w:szCs w:val="26"/>
        </w:rPr>
        <w:t>sākotnējās ietekmes novērtējuma ziņojums (anotācija)</w:t>
      </w:r>
      <w:bookmarkEnd w:id="2"/>
      <w:bookmarkEnd w:id="3"/>
    </w:p>
    <w:p w14:paraId="1D3E4EBF" w14:textId="77777777" w:rsidR="003D5C72" w:rsidRPr="007D14C7" w:rsidRDefault="003D5C72" w:rsidP="003D5C72">
      <w:pPr>
        <w:shd w:val="clear" w:color="auto" w:fill="FFFFFF"/>
        <w:spacing w:before="45" w:line="248" w:lineRule="atLeast"/>
        <w:ind w:firstLine="300"/>
        <w:jc w:val="center"/>
        <w:rPr>
          <w:rFonts w:ascii="Arial" w:eastAsia="Times New Roman" w:hAnsi="Arial" w:cs="Arial"/>
          <w:i/>
          <w:iCs/>
          <w:color w:val="414142"/>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2"/>
        <w:gridCol w:w="6511"/>
      </w:tblGrid>
      <w:tr w:rsidR="003D5C72" w:rsidRPr="007D14C7" w14:paraId="42653D64" w14:textId="77777777" w:rsidTr="002D6D8A">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5FA5B6" w14:textId="77777777" w:rsidR="003D5C72" w:rsidRPr="007D14C7" w:rsidRDefault="003D5C72"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I. Tiesību akta projekta izstrādes nepieciešamība</w:t>
            </w:r>
          </w:p>
        </w:tc>
      </w:tr>
      <w:tr w:rsidR="003D5C72" w:rsidRPr="007D14C7" w14:paraId="5A1945A7" w14:textId="77777777" w:rsidTr="00D87D08">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0F0EBFC"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1.</w:t>
            </w:r>
          </w:p>
        </w:tc>
        <w:tc>
          <w:tcPr>
            <w:tcW w:w="1155" w:type="pct"/>
            <w:tcBorders>
              <w:top w:val="outset" w:sz="6" w:space="0" w:color="414142"/>
              <w:left w:val="outset" w:sz="6" w:space="0" w:color="414142"/>
              <w:bottom w:val="outset" w:sz="6" w:space="0" w:color="414142"/>
              <w:right w:val="outset" w:sz="6" w:space="0" w:color="414142"/>
            </w:tcBorders>
            <w:hideMark/>
          </w:tcPr>
          <w:p w14:paraId="759A0766"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Pamatojums</w:t>
            </w:r>
          </w:p>
        </w:tc>
        <w:tc>
          <w:tcPr>
            <w:tcW w:w="3595" w:type="pct"/>
            <w:tcBorders>
              <w:top w:val="outset" w:sz="6" w:space="0" w:color="414142"/>
              <w:left w:val="outset" w:sz="6" w:space="0" w:color="414142"/>
              <w:bottom w:val="outset" w:sz="6" w:space="0" w:color="414142"/>
              <w:right w:val="outset" w:sz="6" w:space="0" w:color="414142"/>
            </w:tcBorders>
          </w:tcPr>
          <w:p w14:paraId="311AC0A1" w14:textId="77777777" w:rsidR="00CD210F" w:rsidRPr="007D14C7" w:rsidRDefault="00000184" w:rsidP="00CD210F">
            <w:pPr>
              <w:pStyle w:val="BodyText"/>
              <w:tabs>
                <w:tab w:val="left" w:pos="814"/>
                <w:tab w:val="left" w:pos="1129"/>
              </w:tabs>
              <w:rPr>
                <w:sz w:val="26"/>
                <w:szCs w:val="26"/>
              </w:rPr>
            </w:pPr>
            <w:r w:rsidRPr="007D14C7">
              <w:rPr>
                <w:bCs/>
                <w:sz w:val="26"/>
                <w:szCs w:val="26"/>
              </w:rPr>
              <w:t>Ministru kabineta noteikumu projekts</w:t>
            </w:r>
            <w:r w:rsidR="00B1476A" w:rsidRPr="007D14C7">
              <w:rPr>
                <w:sz w:val="26"/>
                <w:szCs w:val="26"/>
              </w:rPr>
              <w:t xml:space="preserve"> </w:t>
            </w:r>
            <w:r w:rsidR="0024680E" w:rsidRPr="007D14C7">
              <w:rPr>
                <w:rFonts w:ascii="Cambria" w:hAnsi="Cambria"/>
                <w:sz w:val="26"/>
                <w:szCs w:val="26"/>
              </w:rPr>
              <w:t>"</w:t>
            </w:r>
            <w:r w:rsidRPr="007D14C7">
              <w:rPr>
                <w:sz w:val="26"/>
                <w:szCs w:val="26"/>
              </w:rPr>
              <w:t>Grozījumi Ministru kabineta 2013.g</w:t>
            </w:r>
            <w:r w:rsidR="00CD6599" w:rsidRPr="007D14C7">
              <w:rPr>
                <w:sz w:val="26"/>
                <w:szCs w:val="26"/>
              </w:rPr>
              <w:t xml:space="preserve">ada 2.aprīļa noteikumos Nr.181 </w:t>
            </w:r>
            <w:r w:rsidR="00CD6599" w:rsidRPr="007D14C7">
              <w:rPr>
                <w:rFonts w:ascii="Cambria" w:hAnsi="Cambria"/>
                <w:sz w:val="26"/>
                <w:szCs w:val="26"/>
              </w:rPr>
              <w:t>"</w:t>
            </w:r>
            <w:r w:rsidRPr="007D14C7">
              <w:rPr>
                <w:sz w:val="26"/>
                <w:szCs w:val="26"/>
              </w:rPr>
              <w:t>Norvēģijas finanšu instrumenta 2009.-2014.gada period</w:t>
            </w:r>
            <w:r w:rsidR="00CD6599" w:rsidRPr="007D14C7">
              <w:rPr>
                <w:sz w:val="26"/>
                <w:szCs w:val="26"/>
              </w:rPr>
              <w:t xml:space="preserve">a programmas </w:t>
            </w:r>
            <w:r w:rsidR="00CD6599" w:rsidRPr="007D14C7">
              <w:rPr>
                <w:rFonts w:ascii="Cambria" w:hAnsi="Cambria"/>
                <w:sz w:val="26"/>
                <w:szCs w:val="26"/>
              </w:rPr>
              <w:t>"</w:t>
            </w:r>
            <w:r w:rsidR="00CD6599" w:rsidRPr="007D14C7">
              <w:rPr>
                <w:sz w:val="26"/>
                <w:szCs w:val="26"/>
              </w:rPr>
              <w:t xml:space="preserve">Inovācijas </w:t>
            </w:r>
            <w:r w:rsidR="00CD6599" w:rsidRPr="007D14C7">
              <w:rPr>
                <w:rFonts w:ascii="Cambria" w:hAnsi="Cambria"/>
                <w:sz w:val="26"/>
                <w:szCs w:val="26"/>
              </w:rPr>
              <w:t>"</w:t>
            </w:r>
            <w:r w:rsidR="00CD6599" w:rsidRPr="007D14C7">
              <w:rPr>
                <w:sz w:val="26"/>
                <w:szCs w:val="26"/>
              </w:rPr>
              <w:t>zaļās</w:t>
            </w:r>
            <w:r w:rsidR="00CD6599" w:rsidRPr="007D14C7">
              <w:rPr>
                <w:rFonts w:ascii="Cambria" w:hAnsi="Cambria"/>
                <w:sz w:val="26"/>
                <w:szCs w:val="26"/>
              </w:rPr>
              <w:t>"</w:t>
            </w:r>
            <w:r w:rsidR="00CD6599" w:rsidRPr="007D14C7">
              <w:rPr>
                <w:sz w:val="26"/>
                <w:szCs w:val="26"/>
              </w:rPr>
              <w:t xml:space="preserve"> ražošanas jomā</w:t>
            </w:r>
            <w:r w:rsidR="00CD6599" w:rsidRPr="007D14C7">
              <w:rPr>
                <w:rFonts w:ascii="Cambria" w:hAnsi="Cambria"/>
                <w:sz w:val="26"/>
                <w:szCs w:val="26"/>
              </w:rPr>
              <w:t>"</w:t>
            </w:r>
            <w:r w:rsidR="00CD6599" w:rsidRPr="007D14C7">
              <w:rPr>
                <w:sz w:val="26"/>
                <w:szCs w:val="26"/>
              </w:rPr>
              <w:t xml:space="preserve"> īstenošanas kārtība</w:t>
            </w:r>
            <w:r w:rsidR="00CD6599" w:rsidRPr="007D14C7">
              <w:rPr>
                <w:rFonts w:ascii="Cambria" w:hAnsi="Cambria"/>
                <w:sz w:val="26"/>
                <w:szCs w:val="26"/>
              </w:rPr>
              <w:t>"</w:t>
            </w:r>
            <w:r w:rsidRPr="007D14C7">
              <w:rPr>
                <w:sz w:val="26"/>
                <w:szCs w:val="26"/>
              </w:rPr>
              <w:t xml:space="preserve"> (turpmāk – </w:t>
            </w:r>
            <w:r w:rsidR="00A24E1E" w:rsidRPr="007D14C7">
              <w:rPr>
                <w:sz w:val="26"/>
                <w:szCs w:val="26"/>
              </w:rPr>
              <w:t>noteikumu</w:t>
            </w:r>
            <w:r w:rsidRPr="007D14C7">
              <w:rPr>
                <w:sz w:val="26"/>
                <w:szCs w:val="26"/>
              </w:rPr>
              <w:t xml:space="preserve"> projekts) izstrādāts, ievērojot Norvēģijas finanšu instrumenta 2009.-2014.gad</w:t>
            </w:r>
            <w:r w:rsidR="00A24E1E" w:rsidRPr="007D14C7">
              <w:rPr>
                <w:sz w:val="26"/>
                <w:szCs w:val="26"/>
              </w:rPr>
              <w:t>a</w:t>
            </w:r>
            <w:r w:rsidRPr="007D14C7">
              <w:rPr>
                <w:sz w:val="26"/>
                <w:szCs w:val="26"/>
              </w:rPr>
              <w:t xml:space="preserve"> perioda programmas </w:t>
            </w:r>
            <w:r w:rsidR="00370B10" w:rsidRPr="007D14C7">
              <w:rPr>
                <w:sz w:val="26"/>
                <w:szCs w:val="26"/>
              </w:rPr>
              <w:t>Noteikumu</w:t>
            </w:r>
            <w:r w:rsidRPr="007D14C7">
              <w:rPr>
                <w:sz w:val="26"/>
                <w:szCs w:val="26"/>
              </w:rPr>
              <w:t xml:space="preserve"> par Norvēģijas finanšu instrumenta </w:t>
            </w:r>
            <w:r w:rsidR="00370B10" w:rsidRPr="007D14C7">
              <w:rPr>
                <w:sz w:val="26"/>
                <w:szCs w:val="26"/>
              </w:rPr>
              <w:t xml:space="preserve">ieviešanu </w:t>
            </w:r>
            <w:r w:rsidRPr="007D14C7">
              <w:rPr>
                <w:sz w:val="26"/>
                <w:szCs w:val="26"/>
              </w:rPr>
              <w:t>2009.-2014.gad</w:t>
            </w:r>
            <w:r w:rsidR="00370B10" w:rsidRPr="007D14C7">
              <w:rPr>
                <w:sz w:val="26"/>
                <w:szCs w:val="26"/>
              </w:rPr>
              <w:t>ā 5.6., 5.8., 5.9.</w:t>
            </w:r>
            <w:r w:rsidR="00011994" w:rsidRPr="007D14C7">
              <w:rPr>
                <w:sz w:val="26"/>
                <w:szCs w:val="26"/>
              </w:rPr>
              <w:t>,</w:t>
            </w:r>
            <w:r w:rsidR="00370B10" w:rsidRPr="007D14C7">
              <w:rPr>
                <w:sz w:val="26"/>
                <w:szCs w:val="26"/>
              </w:rPr>
              <w:t xml:space="preserve"> 6.9.</w:t>
            </w:r>
            <w:r w:rsidR="00011994" w:rsidRPr="007D14C7">
              <w:rPr>
                <w:sz w:val="26"/>
                <w:szCs w:val="26"/>
              </w:rPr>
              <w:t xml:space="preserve"> un 7.14.</w:t>
            </w:r>
            <w:r w:rsidR="00370B10" w:rsidRPr="007D14C7">
              <w:rPr>
                <w:sz w:val="26"/>
                <w:szCs w:val="26"/>
              </w:rPr>
              <w:t>pantu un 2013.gada 21.februārī noslēgto Norvēģijas finanšu instrumenta 20</w:t>
            </w:r>
            <w:r w:rsidR="00B1476A" w:rsidRPr="007D14C7">
              <w:rPr>
                <w:sz w:val="26"/>
                <w:szCs w:val="26"/>
              </w:rPr>
              <w:t>09.-2014.gadam programmas līguma</w:t>
            </w:r>
            <w:r w:rsidR="00370B10" w:rsidRPr="007D14C7">
              <w:rPr>
                <w:sz w:val="26"/>
                <w:szCs w:val="26"/>
              </w:rPr>
              <w:t xml:space="preserve"> starp Norvēģijas Ārlietu ministriju un Latvijas Republikas Finanšu ministriju (ar 2014.gada 17.februāra grozījumiem) </w:t>
            </w:r>
            <w:r w:rsidR="00A24E1E" w:rsidRPr="007D14C7">
              <w:rPr>
                <w:sz w:val="26"/>
                <w:szCs w:val="26"/>
              </w:rPr>
              <w:t xml:space="preserve">(turpmāk – Programmas līgums) </w:t>
            </w:r>
            <w:r w:rsidR="00370B10" w:rsidRPr="007D14C7">
              <w:rPr>
                <w:sz w:val="26"/>
                <w:szCs w:val="26"/>
              </w:rPr>
              <w:t>2.9.punktu</w:t>
            </w:r>
            <w:r w:rsidR="00B61236" w:rsidRPr="007D14C7">
              <w:rPr>
                <w:sz w:val="26"/>
                <w:szCs w:val="26"/>
              </w:rPr>
              <w:t xml:space="preserve"> un Programmas līguma pielikuma Nr. 2 3.2.apakšpunktu</w:t>
            </w:r>
            <w:r w:rsidR="00B1476A" w:rsidRPr="007D14C7">
              <w:rPr>
                <w:sz w:val="26"/>
                <w:szCs w:val="26"/>
              </w:rPr>
              <w:t>, tostarp ievērojot</w:t>
            </w:r>
            <w:r w:rsidR="00A24E1E" w:rsidRPr="007D14C7">
              <w:rPr>
                <w:sz w:val="26"/>
                <w:szCs w:val="26"/>
              </w:rPr>
              <w:t xml:space="preserve"> </w:t>
            </w:r>
            <w:proofErr w:type="spellStart"/>
            <w:r w:rsidR="00A24E1E" w:rsidRPr="007D14C7">
              <w:rPr>
                <w:sz w:val="26"/>
                <w:szCs w:val="26"/>
              </w:rPr>
              <w:t>Donorvalsts</w:t>
            </w:r>
            <w:proofErr w:type="spellEnd"/>
            <w:r w:rsidR="00A24E1E" w:rsidRPr="007D14C7">
              <w:rPr>
                <w:sz w:val="26"/>
                <w:szCs w:val="26"/>
              </w:rPr>
              <w:t xml:space="preserve"> 2015.gada 26.maijā sniegtos norādījumus</w:t>
            </w:r>
            <w:r w:rsidR="00370B10" w:rsidRPr="007D14C7">
              <w:rPr>
                <w:sz w:val="26"/>
                <w:szCs w:val="26"/>
              </w:rPr>
              <w:t>.</w:t>
            </w:r>
          </w:p>
          <w:p w14:paraId="6A5C9B9B" w14:textId="77777777" w:rsidR="006C7524" w:rsidRPr="007D14C7" w:rsidRDefault="00000184" w:rsidP="00CD210F">
            <w:pPr>
              <w:pStyle w:val="BodyText"/>
              <w:tabs>
                <w:tab w:val="left" w:pos="814"/>
                <w:tab w:val="left" w:pos="1129"/>
              </w:tabs>
              <w:rPr>
                <w:sz w:val="26"/>
                <w:szCs w:val="26"/>
              </w:rPr>
            </w:pPr>
            <w:r w:rsidRPr="007D14C7">
              <w:rPr>
                <w:sz w:val="26"/>
                <w:szCs w:val="26"/>
              </w:rPr>
              <w:t xml:space="preserve">Tiesību akta izdošanas tiesiskais pamats ir Eiropas Ekonomikas zonas finanšu instrumenta un Norvēģijas finanšu instrumenta 2009.-2014.gadam perioda vadības likuma (2012.gada 26.janvāra redakcijā) </w:t>
            </w:r>
            <w:r w:rsidR="001D18DC" w:rsidRPr="007D14C7">
              <w:rPr>
                <w:sz w:val="26"/>
                <w:szCs w:val="26"/>
              </w:rPr>
              <w:t>8</w:t>
            </w:r>
            <w:r w:rsidR="002B565D" w:rsidRPr="007D14C7">
              <w:rPr>
                <w:sz w:val="26"/>
                <w:szCs w:val="26"/>
              </w:rPr>
              <w:t>.panta pirmā</w:t>
            </w:r>
            <w:r w:rsidR="000D5234" w:rsidRPr="007D14C7">
              <w:rPr>
                <w:sz w:val="26"/>
                <w:szCs w:val="26"/>
              </w:rPr>
              <w:t>s</w:t>
            </w:r>
            <w:r w:rsidR="002B565D" w:rsidRPr="007D14C7">
              <w:rPr>
                <w:sz w:val="26"/>
                <w:szCs w:val="26"/>
              </w:rPr>
              <w:t xml:space="preserve"> daļas 10.punkts.</w:t>
            </w:r>
          </w:p>
          <w:p w14:paraId="7DCA6F35" w14:textId="2560D510" w:rsidR="00A37CB6" w:rsidRPr="007D14C7" w:rsidRDefault="00A37CB6" w:rsidP="00A37CB6">
            <w:pPr>
              <w:pStyle w:val="BodyText"/>
              <w:tabs>
                <w:tab w:val="left" w:pos="814"/>
                <w:tab w:val="left" w:pos="1129"/>
              </w:tabs>
              <w:rPr>
                <w:sz w:val="26"/>
                <w:szCs w:val="26"/>
              </w:rPr>
            </w:pPr>
            <w:r w:rsidRPr="007D14C7">
              <w:rPr>
                <w:sz w:val="26"/>
                <w:szCs w:val="26"/>
              </w:rPr>
              <w:t xml:space="preserve">Kā arī, lai nodrošinātu Eiropas Komisijas 2013.gada 18.decembra Regulai (ES) Nr.1407/2013 par Līguma par Eiropas Savienības darbību 107. un 108.panta piemērošanu </w:t>
            </w:r>
            <w:proofErr w:type="spellStart"/>
            <w:r w:rsidRPr="007D14C7">
              <w:rPr>
                <w:i/>
                <w:sz w:val="26"/>
                <w:szCs w:val="26"/>
              </w:rPr>
              <w:t>de</w:t>
            </w:r>
            <w:proofErr w:type="spellEnd"/>
            <w:r w:rsidRPr="007D14C7">
              <w:rPr>
                <w:i/>
                <w:sz w:val="26"/>
                <w:szCs w:val="26"/>
              </w:rPr>
              <w:t xml:space="preserve"> </w:t>
            </w:r>
            <w:proofErr w:type="spellStart"/>
            <w:r w:rsidRPr="007D14C7">
              <w:rPr>
                <w:i/>
                <w:sz w:val="26"/>
                <w:szCs w:val="26"/>
              </w:rPr>
              <w:t>minim</w:t>
            </w:r>
            <w:r w:rsidR="00D54EDC">
              <w:rPr>
                <w:i/>
                <w:sz w:val="26"/>
                <w:szCs w:val="26"/>
              </w:rPr>
              <w:t>i</w:t>
            </w:r>
            <w:bookmarkStart w:id="4" w:name="_GoBack"/>
            <w:bookmarkEnd w:id="4"/>
            <w:r w:rsidRPr="007D14C7">
              <w:rPr>
                <w:i/>
                <w:sz w:val="26"/>
                <w:szCs w:val="26"/>
              </w:rPr>
              <w:t>s</w:t>
            </w:r>
            <w:proofErr w:type="spellEnd"/>
            <w:r w:rsidRPr="007D14C7">
              <w:rPr>
                <w:sz w:val="26"/>
                <w:szCs w:val="26"/>
              </w:rPr>
              <w:t xml:space="preserve"> atbalstam (Eiropas Savienības oficiālais Vēstnesis, 2013.gada 24.decembris, </w:t>
            </w:r>
            <w:proofErr w:type="spellStart"/>
            <w:r w:rsidRPr="007D14C7">
              <w:rPr>
                <w:sz w:val="26"/>
                <w:szCs w:val="26"/>
              </w:rPr>
              <w:t>Nr.L</w:t>
            </w:r>
            <w:proofErr w:type="spellEnd"/>
            <w:r w:rsidRPr="007D14C7">
              <w:rPr>
                <w:sz w:val="26"/>
                <w:szCs w:val="26"/>
              </w:rPr>
              <w:t xml:space="preserve"> 352 (turpmāk Komisijas regula Nr1407/2013) noteikto prasību ievērošanu, kas saist</w:t>
            </w:r>
            <w:r w:rsidR="00A17D47" w:rsidRPr="007D14C7">
              <w:rPr>
                <w:sz w:val="26"/>
                <w:szCs w:val="26"/>
              </w:rPr>
              <w:t>īta</w:t>
            </w:r>
            <w:r w:rsidRPr="007D14C7">
              <w:rPr>
                <w:sz w:val="26"/>
                <w:szCs w:val="26"/>
              </w:rPr>
              <w:t xml:space="preserve"> ar </w:t>
            </w:r>
            <w:proofErr w:type="spellStart"/>
            <w:r w:rsidRPr="007D14C7">
              <w:rPr>
                <w:i/>
                <w:sz w:val="26"/>
                <w:szCs w:val="26"/>
              </w:rPr>
              <w:t>de</w:t>
            </w:r>
            <w:proofErr w:type="spellEnd"/>
            <w:r w:rsidRPr="007D14C7">
              <w:rPr>
                <w:i/>
                <w:sz w:val="26"/>
                <w:szCs w:val="26"/>
              </w:rPr>
              <w:t xml:space="preserve"> </w:t>
            </w:r>
            <w:proofErr w:type="spellStart"/>
            <w:r w:rsidRPr="007D14C7">
              <w:rPr>
                <w:i/>
                <w:sz w:val="26"/>
                <w:szCs w:val="26"/>
              </w:rPr>
              <w:t>minimis</w:t>
            </w:r>
            <w:proofErr w:type="spellEnd"/>
            <w:r w:rsidRPr="007D14C7">
              <w:rPr>
                <w:sz w:val="26"/>
                <w:szCs w:val="26"/>
              </w:rPr>
              <w:t xml:space="preserve"> atbalsta sniegšanu un ar to saistītās informācijas uzglabāšanu.</w:t>
            </w:r>
          </w:p>
        </w:tc>
      </w:tr>
      <w:tr w:rsidR="003D5C72" w:rsidRPr="007D14C7" w14:paraId="1087A8F6" w14:textId="77777777" w:rsidTr="00D87D0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6920C2F"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2.</w:t>
            </w:r>
          </w:p>
        </w:tc>
        <w:tc>
          <w:tcPr>
            <w:tcW w:w="1155" w:type="pct"/>
            <w:tcBorders>
              <w:top w:val="outset" w:sz="6" w:space="0" w:color="414142"/>
              <w:left w:val="outset" w:sz="6" w:space="0" w:color="414142"/>
              <w:bottom w:val="outset" w:sz="6" w:space="0" w:color="414142"/>
              <w:right w:val="outset" w:sz="6" w:space="0" w:color="414142"/>
            </w:tcBorders>
            <w:hideMark/>
          </w:tcPr>
          <w:p w14:paraId="7BEA2BDB"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14:paraId="61A16705" w14:textId="77777777" w:rsidR="00C9466F" w:rsidRPr="007D14C7" w:rsidRDefault="00E55578" w:rsidP="00E55578">
            <w:pPr>
              <w:tabs>
                <w:tab w:val="left" w:pos="814"/>
                <w:tab w:val="left" w:pos="1129"/>
              </w:tabs>
              <w:jc w:val="both"/>
              <w:rPr>
                <w:sz w:val="26"/>
                <w:szCs w:val="26"/>
              </w:rPr>
            </w:pPr>
            <w:r w:rsidRPr="007D14C7">
              <w:rPr>
                <w:sz w:val="26"/>
                <w:szCs w:val="26"/>
              </w:rPr>
              <w:t>Norvēģijas finanšu instrumenta 2009</w:t>
            </w:r>
            <w:r w:rsidR="00CD6599" w:rsidRPr="007D14C7">
              <w:rPr>
                <w:sz w:val="26"/>
                <w:szCs w:val="26"/>
              </w:rPr>
              <w:t xml:space="preserve">.-2014.gada perioda programmas </w:t>
            </w:r>
            <w:r w:rsidR="00CD6599" w:rsidRPr="007D14C7">
              <w:rPr>
                <w:rFonts w:ascii="Cambria" w:hAnsi="Cambria"/>
                <w:sz w:val="26"/>
                <w:szCs w:val="26"/>
              </w:rPr>
              <w:t>"</w:t>
            </w:r>
            <w:r w:rsidR="00CD6599" w:rsidRPr="007D14C7">
              <w:rPr>
                <w:sz w:val="26"/>
                <w:szCs w:val="26"/>
              </w:rPr>
              <w:t xml:space="preserve">Inovācijas </w:t>
            </w:r>
            <w:r w:rsidR="00CD6599" w:rsidRPr="007D14C7">
              <w:rPr>
                <w:rFonts w:ascii="Cambria" w:hAnsi="Cambria"/>
                <w:sz w:val="26"/>
                <w:szCs w:val="26"/>
              </w:rPr>
              <w:t>"</w:t>
            </w:r>
            <w:r w:rsidR="00CD6599" w:rsidRPr="007D14C7">
              <w:rPr>
                <w:sz w:val="26"/>
                <w:szCs w:val="26"/>
              </w:rPr>
              <w:t>zaļās</w:t>
            </w:r>
            <w:r w:rsidR="00CD6599" w:rsidRPr="007D14C7">
              <w:rPr>
                <w:rFonts w:ascii="Cambria" w:hAnsi="Cambria"/>
                <w:sz w:val="26"/>
                <w:szCs w:val="26"/>
              </w:rPr>
              <w:t>"</w:t>
            </w:r>
            <w:r w:rsidR="00CD6599" w:rsidRPr="007D14C7">
              <w:rPr>
                <w:sz w:val="26"/>
                <w:szCs w:val="26"/>
              </w:rPr>
              <w:t xml:space="preserve"> ražošanas jomā</w:t>
            </w:r>
            <w:r w:rsidR="00CD6599" w:rsidRPr="007D14C7">
              <w:rPr>
                <w:rFonts w:ascii="Cambria" w:hAnsi="Cambria"/>
                <w:sz w:val="26"/>
                <w:szCs w:val="26"/>
              </w:rPr>
              <w:t>"</w:t>
            </w:r>
            <w:r w:rsidRPr="007D14C7">
              <w:rPr>
                <w:sz w:val="26"/>
                <w:szCs w:val="26"/>
              </w:rPr>
              <w:t xml:space="preserve"> (turpmāk – Programma)</w:t>
            </w:r>
            <w:r w:rsidR="00B1476A" w:rsidRPr="007D14C7">
              <w:rPr>
                <w:sz w:val="26"/>
                <w:szCs w:val="26"/>
              </w:rPr>
              <w:t xml:space="preserve"> ietvaros</w:t>
            </w:r>
            <w:r w:rsidRPr="007D14C7">
              <w:rPr>
                <w:sz w:val="26"/>
                <w:szCs w:val="26"/>
              </w:rPr>
              <w:t xml:space="preserve"> </w:t>
            </w:r>
            <w:r w:rsidR="00C9466F" w:rsidRPr="007D14C7">
              <w:rPr>
                <w:sz w:val="26"/>
                <w:szCs w:val="26"/>
              </w:rPr>
              <w:t xml:space="preserve">tika rīkotas divas atklāta projektu konkursa kārtas jaunu produktu, pakalpojumu un </w:t>
            </w:r>
            <w:r w:rsidR="00B1476A" w:rsidRPr="007D14C7">
              <w:rPr>
                <w:sz w:val="26"/>
                <w:szCs w:val="26"/>
              </w:rPr>
              <w:t>tehnoloģiju ieviešanai ražošanā</w:t>
            </w:r>
            <w:r w:rsidR="00C9466F" w:rsidRPr="007D14C7">
              <w:rPr>
                <w:sz w:val="26"/>
                <w:szCs w:val="26"/>
              </w:rPr>
              <w:t xml:space="preserve"> </w:t>
            </w:r>
            <w:r w:rsidR="00B1476A" w:rsidRPr="007D14C7">
              <w:rPr>
                <w:sz w:val="26"/>
                <w:szCs w:val="26"/>
              </w:rPr>
              <w:t>p</w:t>
            </w:r>
            <w:r w:rsidR="00C9466F" w:rsidRPr="007D14C7">
              <w:rPr>
                <w:sz w:val="26"/>
                <w:szCs w:val="26"/>
              </w:rPr>
              <w:t xml:space="preserve">ar kopējo pieejamo finansējumu 7 769 107 </w:t>
            </w:r>
            <w:proofErr w:type="spellStart"/>
            <w:r w:rsidR="00C9466F" w:rsidRPr="007D14C7">
              <w:rPr>
                <w:i/>
                <w:sz w:val="26"/>
                <w:szCs w:val="26"/>
              </w:rPr>
              <w:t>euro</w:t>
            </w:r>
            <w:proofErr w:type="spellEnd"/>
            <w:r w:rsidR="00C9466F" w:rsidRPr="007D14C7">
              <w:rPr>
                <w:sz w:val="26"/>
                <w:szCs w:val="26"/>
              </w:rPr>
              <w:t>. Pirmajā k</w:t>
            </w:r>
            <w:r w:rsidR="00B1476A" w:rsidRPr="007D14C7">
              <w:rPr>
                <w:sz w:val="26"/>
                <w:szCs w:val="26"/>
              </w:rPr>
              <w:t xml:space="preserve">ārtā tika atbalstīti 3 projekti </w:t>
            </w:r>
            <w:r w:rsidR="00C9466F" w:rsidRPr="007D14C7">
              <w:rPr>
                <w:sz w:val="26"/>
                <w:szCs w:val="26"/>
              </w:rPr>
              <w:t xml:space="preserve"> </w:t>
            </w:r>
            <w:r w:rsidR="00B1476A" w:rsidRPr="007D14C7">
              <w:rPr>
                <w:sz w:val="26"/>
                <w:szCs w:val="26"/>
              </w:rPr>
              <w:t>p</w:t>
            </w:r>
            <w:r w:rsidR="00C9466F" w:rsidRPr="007D14C7">
              <w:rPr>
                <w:sz w:val="26"/>
                <w:szCs w:val="26"/>
              </w:rPr>
              <w:t xml:space="preserve">ar kopējo summu 1,50 miljoni </w:t>
            </w:r>
            <w:proofErr w:type="spellStart"/>
            <w:r w:rsidR="00C9466F" w:rsidRPr="007D14C7">
              <w:rPr>
                <w:i/>
                <w:sz w:val="26"/>
                <w:szCs w:val="26"/>
              </w:rPr>
              <w:t>euro</w:t>
            </w:r>
            <w:proofErr w:type="spellEnd"/>
            <w:r w:rsidR="00C9466F" w:rsidRPr="007D14C7">
              <w:rPr>
                <w:sz w:val="26"/>
                <w:szCs w:val="26"/>
              </w:rPr>
              <w:t xml:space="preserve">, savukārt otrajā kārtā apstiprināti ir 15 projekti un šobrīd tiek noslēgti līgumi par projektu īstenošanu </w:t>
            </w:r>
            <w:r w:rsidR="00B1476A" w:rsidRPr="007D14C7">
              <w:rPr>
                <w:sz w:val="26"/>
                <w:szCs w:val="26"/>
              </w:rPr>
              <w:t>p</w:t>
            </w:r>
            <w:r w:rsidR="00C9466F" w:rsidRPr="007D14C7">
              <w:rPr>
                <w:sz w:val="26"/>
                <w:szCs w:val="26"/>
              </w:rPr>
              <w:t xml:space="preserve">ar kopējo summu 5,78 miljoni </w:t>
            </w:r>
            <w:proofErr w:type="spellStart"/>
            <w:r w:rsidR="00C9466F" w:rsidRPr="007D14C7">
              <w:rPr>
                <w:i/>
                <w:sz w:val="26"/>
                <w:szCs w:val="26"/>
              </w:rPr>
              <w:t>euro</w:t>
            </w:r>
            <w:proofErr w:type="spellEnd"/>
            <w:r w:rsidR="00C9466F" w:rsidRPr="007D14C7">
              <w:rPr>
                <w:sz w:val="26"/>
                <w:szCs w:val="26"/>
              </w:rPr>
              <w:t xml:space="preserve">. Atbilstoši Programmas līgumam atklāta konkursa </w:t>
            </w:r>
            <w:r w:rsidR="00B1476A" w:rsidRPr="007D14C7">
              <w:rPr>
                <w:sz w:val="26"/>
                <w:szCs w:val="26"/>
              </w:rPr>
              <w:t xml:space="preserve">trešā </w:t>
            </w:r>
            <w:r w:rsidR="00C9466F" w:rsidRPr="007D14C7">
              <w:rPr>
                <w:sz w:val="26"/>
                <w:szCs w:val="26"/>
              </w:rPr>
              <w:t xml:space="preserve">kārta nav paredzēta, tāpēc atlikumu no atklāta konkursa ir paredzēts </w:t>
            </w:r>
            <w:r w:rsidR="00C9466F" w:rsidRPr="007D14C7">
              <w:rPr>
                <w:sz w:val="26"/>
                <w:szCs w:val="26"/>
              </w:rPr>
              <w:lastRenderedPageBreak/>
              <w:t xml:space="preserve">pārdalīt uz Programmas neliela apjoma </w:t>
            </w:r>
            <w:proofErr w:type="spellStart"/>
            <w:r w:rsidR="00C9466F" w:rsidRPr="007D14C7">
              <w:rPr>
                <w:sz w:val="26"/>
                <w:szCs w:val="26"/>
              </w:rPr>
              <w:t>grantu</w:t>
            </w:r>
            <w:proofErr w:type="spellEnd"/>
            <w:r w:rsidR="00C9466F" w:rsidRPr="007D14C7">
              <w:rPr>
                <w:sz w:val="26"/>
                <w:szCs w:val="26"/>
              </w:rPr>
              <w:t xml:space="preserve"> shēmas (turpmāk – NAGS) projektu atbalstīšan</w:t>
            </w:r>
            <w:r w:rsidR="00B1476A" w:rsidRPr="007D14C7">
              <w:rPr>
                <w:sz w:val="26"/>
                <w:szCs w:val="26"/>
              </w:rPr>
              <w:t>ai</w:t>
            </w:r>
            <w:r w:rsidR="00C9466F" w:rsidRPr="007D14C7">
              <w:rPr>
                <w:sz w:val="26"/>
                <w:szCs w:val="26"/>
              </w:rPr>
              <w:t>.</w:t>
            </w:r>
            <w:r w:rsidR="00653B45" w:rsidRPr="007D14C7">
              <w:rPr>
                <w:sz w:val="26"/>
                <w:szCs w:val="26"/>
              </w:rPr>
              <w:t xml:space="preserve"> Atbilstoši normatīvajiem aktiem, 2015.gada </w:t>
            </w:r>
            <w:r w:rsidR="00B61236" w:rsidRPr="007D14C7">
              <w:rPr>
                <w:sz w:val="26"/>
                <w:szCs w:val="26"/>
              </w:rPr>
              <w:t>10.jūlijā un 20.jūlijā stājās spēkā Programmas līguma grozījumi par finansējuma pārdali starp Programmas aktivitātēm.</w:t>
            </w:r>
          </w:p>
          <w:p w14:paraId="07FA0B67" w14:textId="77777777" w:rsidR="00CC3B92" w:rsidRPr="007D14C7" w:rsidRDefault="00FB6D43" w:rsidP="00E55578">
            <w:pPr>
              <w:tabs>
                <w:tab w:val="left" w:pos="814"/>
                <w:tab w:val="left" w:pos="1129"/>
              </w:tabs>
              <w:jc w:val="both"/>
              <w:rPr>
                <w:rFonts w:eastAsia="Times New Roman" w:cs="Times New Roman"/>
                <w:sz w:val="26"/>
                <w:szCs w:val="26"/>
              </w:rPr>
            </w:pPr>
            <w:r w:rsidRPr="007D14C7">
              <w:rPr>
                <w:sz w:val="26"/>
                <w:szCs w:val="26"/>
              </w:rPr>
              <w:t xml:space="preserve">Līdz 2015.gada 1.jūnijam </w:t>
            </w:r>
            <w:r w:rsidR="0045622D" w:rsidRPr="007D14C7">
              <w:rPr>
                <w:sz w:val="26"/>
                <w:szCs w:val="26"/>
              </w:rPr>
              <w:t xml:space="preserve"> Latvijas Investīciju un attīstības aģentūrā </w:t>
            </w:r>
            <w:r w:rsidR="00B1476A" w:rsidRPr="007D14C7">
              <w:rPr>
                <w:sz w:val="26"/>
                <w:szCs w:val="26"/>
              </w:rPr>
              <w:t xml:space="preserve">(turpmāk – LIAA) </w:t>
            </w:r>
            <w:r w:rsidRPr="007D14C7">
              <w:rPr>
                <w:sz w:val="26"/>
                <w:szCs w:val="26"/>
              </w:rPr>
              <w:t xml:space="preserve">tika pieņemti NAGS 3.kārtas projektu iesniegumi un šobrīd tie </w:t>
            </w:r>
            <w:r w:rsidR="00E55578" w:rsidRPr="007D14C7">
              <w:rPr>
                <w:sz w:val="26"/>
                <w:szCs w:val="26"/>
              </w:rPr>
              <w:t>tiek izvērtēti</w:t>
            </w:r>
            <w:r w:rsidR="00930EDD" w:rsidRPr="007D14C7">
              <w:rPr>
                <w:sz w:val="26"/>
                <w:szCs w:val="26"/>
              </w:rPr>
              <w:t>.</w:t>
            </w:r>
            <w:r w:rsidR="00165562" w:rsidRPr="007D14C7">
              <w:rPr>
                <w:sz w:val="26"/>
                <w:szCs w:val="26"/>
              </w:rPr>
              <w:t xml:space="preserve"> Lai iesniegtu projekta iesniegumu LIAA, pirms tam projekta iesniedzējam tas līdz 2015</w:t>
            </w:r>
            <w:r w:rsidR="00DF1121" w:rsidRPr="007D14C7">
              <w:rPr>
                <w:sz w:val="26"/>
                <w:szCs w:val="26"/>
              </w:rPr>
              <w:t xml:space="preserve">.gada 1.maijam bija jāiesniedz </w:t>
            </w:r>
            <w:r w:rsidR="00DF1121" w:rsidRPr="007D14C7">
              <w:rPr>
                <w:rFonts w:ascii="Cambria" w:hAnsi="Cambria"/>
                <w:sz w:val="26"/>
                <w:szCs w:val="26"/>
              </w:rPr>
              <w:t>"</w:t>
            </w:r>
            <w:r w:rsidR="00DF1121" w:rsidRPr="007D14C7">
              <w:rPr>
                <w:sz w:val="26"/>
                <w:szCs w:val="26"/>
              </w:rPr>
              <w:t>Zaļo</w:t>
            </w:r>
            <w:r w:rsidR="00DF1121" w:rsidRPr="007D14C7">
              <w:rPr>
                <w:rFonts w:ascii="Cambria" w:hAnsi="Cambria"/>
                <w:sz w:val="26"/>
                <w:szCs w:val="26"/>
              </w:rPr>
              <w:t>"</w:t>
            </w:r>
            <w:r w:rsidR="00165562" w:rsidRPr="007D14C7">
              <w:rPr>
                <w:sz w:val="26"/>
                <w:szCs w:val="26"/>
              </w:rPr>
              <w:t xml:space="preserve"> tehnoloģiju inkubatorā atzinuma saņemšanai. </w:t>
            </w:r>
            <w:r w:rsidR="00DF1121" w:rsidRPr="007D14C7">
              <w:rPr>
                <w:rFonts w:ascii="Cambria" w:hAnsi="Cambria"/>
                <w:sz w:val="26"/>
                <w:szCs w:val="26"/>
              </w:rPr>
              <w:t>"</w:t>
            </w:r>
            <w:r w:rsidR="00165562" w:rsidRPr="007D14C7">
              <w:rPr>
                <w:sz w:val="26"/>
                <w:szCs w:val="26"/>
              </w:rPr>
              <w:t>Zaļo</w:t>
            </w:r>
            <w:r w:rsidR="00DF1121" w:rsidRPr="007D14C7">
              <w:rPr>
                <w:rFonts w:ascii="Cambria" w:hAnsi="Cambria"/>
                <w:sz w:val="26"/>
                <w:szCs w:val="26"/>
              </w:rPr>
              <w:t>"</w:t>
            </w:r>
            <w:r w:rsidR="00165562" w:rsidRPr="007D14C7">
              <w:rPr>
                <w:sz w:val="26"/>
                <w:szCs w:val="26"/>
              </w:rPr>
              <w:t xml:space="preserve"> tehnoloģiju inkubators atzinumu sniedz atbilstoši Ministru kabineta 2013.g</w:t>
            </w:r>
            <w:r w:rsidR="00DF1121" w:rsidRPr="007D14C7">
              <w:rPr>
                <w:sz w:val="26"/>
                <w:szCs w:val="26"/>
              </w:rPr>
              <w:t xml:space="preserve">ada 2.aprīļa noteikumu Nr. 181 </w:t>
            </w:r>
            <w:r w:rsidR="00DF1121" w:rsidRPr="007D14C7">
              <w:rPr>
                <w:rFonts w:ascii="Cambria" w:hAnsi="Cambria"/>
                <w:sz w:val="26"/>
                <w:szCs w:val="26"/>
              </w:rPr>
              <w:t>"</w:t>
            </w:r>
            <w:r w:rsidR="00165562" w:rsidRPr="007D14C7">
              <w:rPr>
                <w:sz w:val="26"/>
                <w:szCs w:val="26"/>
              </w:rPr>
              <w:t>Norvēģijas finanšu instrumenta 2009</w:t>
            </w:r>
            <w:r w:rsidR="00DF1121" w:rsidRPr="007D14C7">
              <w:rPr>
                <w:sz w:val="26"/>
                <w:szCs w:val="26"/>
              </w:rPr>
              <w:t xml:space="preserve">.-2014.gada perioda programmas </w:t>
            </w:r>
            <w:r w:rsidR="00DF1121" w:rsidRPr="007D14C7">
              <w:rPr>
                <w:rFonts w:ascii="Cambria" w:hAnsi="Cambria"/>
                <w:sz w:val="26"/>
                <w:szCs w:val="26"/>
              </w:rPr>
              <w:t>"</w:t>
            </w:r>
            <w:r w:rsidR="00DF1121" w:rsidRPr="007D14C7">
              <w:rPr>
                <w:sz w:val="26"/>
                <w:szCs w:val="26"/>
              </w:rPr>
              <w:t xml:space="preserve">Inovācijas </w:t>
            </w:r>
            <w:r w:rsidR="00DF1121" w:rsidRPr="007D14C7">
              <w:rPr>
                <w:rFonts w:ascii="Cambria" w:hAnsi="Cambria"/>
                <w:sz w:val="26"/>
                <w:szCs w:val="26"/>
              </w:rPr>
              <w:t>"</w:t>
            </w:r>
            <w:r w:rsidR="00DF1121" w:rsidRPr="007D14C7">
              <w:rPr>
                <w:sz w:val="26"/>
                <w:szCs w:val="26"/>
              </w:rPr>
              <w:t>zaļās</w:t>
            </w:r>
            <w:r w:rsidR="00DF1121" w:rsidRPr="007D14C7">
              <w:rPr>
                <w:rFonts w:ascii="Cambria" w:hAnsi="Cambria"/>
                <w:sz w:val="26"/>
                <w:szCs w:val="26"/>
              </w:rPr>
              <w:t>"</w:t>
            </w:r>
            <w:r w:rsidR="00DF1121" w:rsidRPr="007D14C7">
              <w:rPr>
                <w:sz w:val="26"/>
                <w:szCs w:val="26"/>
              </w:rPr>
              <w:t xml:space="preserve"> ražošanas jomā</w:t>
            </w:r>
            <w:r w:rsidR="00DF1121" w:rsidRPr="007D14C7">
              <w:rPr>
                <w:rFonts w:ascii="Cambria" w:hAnsi="Cambria"/>
                <w:sz w:val="26"/>
                <w:szCs w:val="26"/>
              </w:rPr>
              <w:t>"</w:t>
            </w:r>
            <w:r w:rsidR="00DF1121" w:rsidRPr="007D14C7">
              <w:rPr>
                <w:sz w:val="26"/>
                <w:szCs w:val="26"/>
              </w:rPr>
              <w:t xml:space="preserve"> īstenošanas kārtība</w:t>
            </w:r>
            <w:r w:rsidR="00DF1121" w:rsidRPr="007D14C7">
              <w:rPr>
                <w:rFonts w:ascii="Cambria" w:hAnsi="Cambria"/>
                <w:sz w:val="26"/>
                <w:szCs w:val="26"/>
              </w:rPr>
              <w:t>"</w:t>
            </w:r>
            <w:r w:rsidR="00CC3B92" w:rsidRPr="007D14C7">
              <w:rPr>
                <w:sz w:val="26"/>
                <w:szCs w:val="26"/>
              </w:rPr>
              <w:t xml:space="preserve"> piešķirtajām tiesībām. Par termiņu, līdz kuram var iesniegt projekta iesniegumus atzinuma saņemšanai</w:t>
            </w:r>
            <w:r w:rsidR="00DF1121" w:rsidRPr="007D14C7">
              <w:rPr>
                <w:sz w:val="26"/>
                <w:szCs w:val="26"/>
              </w:rPr>
              <w:t>, projekta iesniedzējs bija inf</w:t>
            </w:r>
            <w:r w:rsidR="00CC3B92" w:rsidRPr="007D14C7">
              <w:rPr>
                <w:sz w:val="26"/>
                <w:szCs w:val="26"/>
              </w:rPr>
              <w:t>o</w:t>
            </w:r>
            <w:r w:rsidR="00DF1121" w:rsidRPr="007D14C7">
              <w:rPr>
                <w:sz w:val="26"/>
                <w:szCs w:val="26"/>
              </w:rPr>
              <w:t>r</w:t>
            </w:r>
            <w:r w:rsidR="00CC3B92" w:rsidRPr="007D14C7">
              <w:rPr>
                <w:sz w:val="26"/>
                <w:szCs w:val="26"/>
              </w:rPr>
              <w:t xml:space="preserve">mēts </w:t>
            </w:r>
            <w:r w:rsidR="00CC3B92" w:rsidRPr="007D14C7">
              <w:rPr>
                <w:rFonts w:eastAsia="Times New Roman" w:cs="Times New Roman"/>
                <w:sz w:val="26"/>
                <w:szCs w:val="26"/>
              </w:rPr>
              <w:t xml:space="preserve">Latvijas Investīciju un attīstības aģentūras tīmekļa vietnē:  </w:t>
            </w:r>
            <w:hyperlink r:id="rId8" w:history="1">
              <w:r w:rsidR="00CC3B92" w:rsidRPr="007D14C7">
                <w:rPr>
                  <w:rStyle w:val="Hyperlink"/>
                  <w:rFonts w:eastAsia="Times New Roman" w:cs="Times New Roman"/>
                  <w:sz w:val="26"/>
                  <w:szCs w:val="26"/>
                </w:rPr>
                <w:t>http://www.liaa.gov.lv/lv/fondi/norvegijas-finansu-instruments/neliela-apjoma-grantu-shema</w:t>
              </w:r>
            </w:hyperlink>
            <w:r w:rsidR="00CC3B92" w:rsidRPr="007D14C7">
              <w:rPr>
                <w:rStyle w:val="Hyperlink"/>
                <w:rFonts w:eastAsia="Times New Roman" w:cs="Times New Roman"/>
                <w:sz w:val="26"/>
                <w:szCs w:val="26"/>
              </w:rPr>
              <w:t xml:space="preserve">, </w:t>
            </w:r>
            <w:r w:rsidR="00CC3B92" w:rsidRPr="007D14C7">
              <w:rPr>
                <w:rFonts w:eastAsia="Times New Roman" w:cs="Times New Roman"/>
                <w:sz w:val="26"/>
                <w:szCs w:val="26"/>
              </w:rPr>
              <w:t xml:space="preserve"> tāpat arī Zaļo Tehnoloģiju inkubatora tīmekļa vietnē: </w:t>
            </w:r>
            <w:hyperlink r:id="rId9" w:history="1">
              <w:r w:rsidR="00CC3B92" w:rsidRPr="007D14C7">
                <w:rPr>
                  <w:rStyle w:val="Hyperlink"/>
                  <w:rFonts w:eastAsia="Times New Roman" w:cs="Times New Roman"/>
                  <w:sz w:val="26"/>
                  <w:szCs w:val="26"/>
                </w:rPr>
                <w:t>http://giic.lv/notikumi/230-neliela-apjoma-grantu-shemas-projektu-iesniegumu-atlases-tresas-karta</w:t>
              </w:r>
            </w:hyperlink>
            <w:r w:rsidR="00CC3B92" w:rsidRPr="007D14C7">
              <w:rPr>
                <w:rStyle w:val="Hyperlink"/>
                <w:rFonts w:eastAsia="Times New Roman" w:cs="Times New Roman"/>
                <w:sz w:val="26"/>
                <w:szCs w:val="26"/>
              </w:rPr>
              <w:t>.</w:t>
            </w:r>
          </w:p>
          <w:p w14:paraId="1E942711" w14:textId="77777777" w:rsidR="00E55578" w:rsidRPr="007D14C7" w:rsidRDefault="00CC3B92" w:rsidP="00E55578">
            <w:pPr>
              <w:tabs>
                <w:tab w:val="left" w:pos="814"/>
                <w:tab w:val="left" w:pos="1129"/>
              </w:tabs>
              <w:jc w:val="both"/>
              <w:rPr>
                <w:sz w:val="26"/>
                <w:szCs w:val="26"/>
              </w:rPr>
            </w:pPr>
            <w:r w:rsidRPr="007D14C7">
              <w:rPr>
                <w:sz w:val="26"/>
                <w:szCs w:val="26"/>
              </w:rPr>
              <w:t>LIAA</w:t>
            </w:r>
            <w:r w:rsidR="004C45C1" w:rsidRPr="007D14C7">
              <w:rPr>
                <w:sz w:val="26"/>
                <w:szCs w:val="26"/>
              </w:rPr>
              <w:t xml:space="preserve"> </w:t>
            </w:r>
            <w:r w:rsidRPr="007D14C7">
              <w:rPr>
                <w:sz w:val="26"/>
                <w:szCs w:val="26"/>
              </w:rPr>
              <w:t>i</w:t>
            </w:r>
            <w:r w:rsidR="00930EDD" w:rsidRPr="007D14C7">
              <w:rPr>
                <w:sz w:val="26"/>
                <w:szCs w:val="26"/>
              </w:rPr>
              <w:t xml:space="preserve">r iesniegti </w:t>
            </w:r>
            <w:r w:rsidR="00E55578" w:rsidRPr="007D14C7">
              <w:rPr>
                <w:sz w:val="26"/>
                <w:szCs w:val="26"/>
              </w:rPr>
              <w:t xml:space="preserve"> </w:t>
            </w:r>
            <w:r w:rsidR="00B1476A" w:rsidRPr="007D14C7">
              <w:rPr>
                <w:sz w:val="26"/>
                <w:szCs w:val="26"/>
              </w:rPr>
              <w:t xml:space="preserve">NAGS </w:t>
            </w:r>
            <w:r w:rsidR="00E55578" w:rsidRPr="007D14C7">
              <w:rPr>
                <w:sz w:val="26"/>
                <w:szCs w:val="26"/>
              </w:rPr>
              <w:t xml:space="preserve">3.kārtas projektu </w:t>
            </w:r>
            <w:r w:rsidR="00B1476A" w:rsidRPr="007D14C7">
              <w:rPr>
                <w:sz w:val="26"/>
                <w:szCs w:val="26"/>
              </w:rPr>
              <w:t>pieteikumi ar</w:t>
            </w:r>
            <w:r w:rsidR="00E55578" w:rsidRPr="007D14C7">
              <w:rPr>
                <w:sz w:val="26"/>
                <w:szCs w:val="26"/>
              </w:rPr>
              <w:t xml:space="preserve"> kopēj</w:t>
            </w:r>
            <w:r w:rsidR="00B1476A" w:rsidRPr="007D14C7">
              <w:rPr>
                <w:sz w:val="26"/>
                <w:szCs w:val="26"/>
              </w:rPr>
              <w:t>o</w:t>
            </w:r>
            <w:r w:rsidR="00E55578" w:rsidRPr="007D14C7">
              <w:rPr>
                <w:sz w:val="26"/>
                <w:szCs w:val="26"/>
              </w:rPr>
              <w:t xml:space="preserve"> pieprasīt</w:t>
            </w:r>
            <w:r w:rsidR="00B1476A" w:rsidRPr="007D14C7">
              <w:rPr>
                <w:sz w:val="26"/>
                <w:szCs w:val="26"/>
              </w:rPr>
              <w:t>o finansējuma apjomu</w:t>
            </w:r>
            <w:r w:rsidR="00E55578" w:rsidRPr="007D14C7">
              <w:rPr>
                <w:sz w:val="26"/>
                <w:szCs w:val="26"/>
              </w:rPr>
              <w:t xml:space="preserve"> 3,96 miljoni </w:t>
            </w:r>
            <w:proofErr w:type="spellStart"/>
            <w:r w:rsidR="00E55578" w:rsidRPr="007D14C7">
              <w:rPr>
                <w:i/>
                <w:sz w:val="26"/>
                <w:szCs w:val="26"/>
              </w:rPr>
              <w:t>euro</w:t>
            </w:r>
            <w:proofErr w:type="spellEnd"/>
            <w:r w:rsidR="00B1476A" w:rsidRPr="007D14C7">
              <w:rPr>
                <w:sz w:val="26"/>
                <w:szCs w:val="26"/>
              </w:rPr>
              <w:t xml:space="preserve">. Vienlaikus </w:t>
            </w:r>
            <w:r w:rsidR="00E55578" w:rsidRPr="007D14C7">
              <w:rPr>
                <w:sz w:val="26"/>
                <w:szCs w:val="26"/>
              </w:rPr>
              <w:t xml:space="preserve">kopējais pieejamais </w:t>
            </w:r>
            <w:r w:rsidR="00B1476A" w:rsidRPr="007D14C7">
              <w:rPr>
                <w:sz w:val="26"/>
                <w:szCs w:val="26"/>
              </w:rPr>
              <w:t>finansējuma apjoms NAGS 3.kārtā</w:t>
            </w:r>
            <w:r w:rsidR="00E55578" w:rsidRPr="007D14C7">
              <w:rPr>
                <w:sz w:val="26"/>
                <w:szCs w:val="26"/>
              </w:rPr>
              <w:t xml:space="preserve"> ir </w:t>
            </w:r>
            <w:r w:rsidR="00150797" w:rsidRPr="007D14C7">
              <w:rPr>
                <w:sz w:val="26"/>
                <w:szCs w:val="26"/>
              </w:rPr>
              <w:t xml:space="preserve">tikai </w:t>
            </w:r>
            <w:r w:rsidR="00E55578" w:rsidRPr="007D14C7">
              <w:rPr>
                <w:sz w:val="26"/>
                <w:szCs w:val="26"/>
              </w:rPr>
              <w:t xml:space="preserve">0,55 miljoni </w:t>
            </w:r>
            <w:proofErr w:type="spellStart"/>
            <w:r w:rsidR="00E55578" w:rsidRPr="007D14C7">
              <w:rPr>
                <w:i/>
                <w:sz w:val="26"/>
                <w:szCs w:val="26"/>
              </w:rPr>
              <w:t>euro</w:t>
            </w:r>
            <w:proofErr w:type="spellEnd"/>
            <w:r w:rsidR="00E55578" w:rsidRPr="007D14C7">
              <w:rPr>
                <w:sz w:val="26"/>
                <w:szCs w:val="26"/>
              </w:rPr>
              <w:t xml:space="preserve">. </w:t>
            </w:r>
          </w:p>
          <w:p w14:paraId="34AB76F1" w14:textId="192B8F34" w:rsidR="00C9466F" w:rsidRPr="007D14C7" w:rsidRDefault="001D629B" w:rsidP="00E55578">
            <w:pPr>
              <w:jc w:val="both"/>
              <w:rPr>
                <w:sz w:val="26"/>
                <w:szCs w:val="26"/>
              </w:rPr>
            </w:pPr>
            <w:r w:rsidRPr="007D14C7">
              <w:rPr>
                <w:sz w:val="26"/>
                <w:szCs w:val="26"/>
              </w:rPr>
              <w:t xml:space="preserve">Līdz 2015.gada </w:t>
            </w:r>
            <w:r w:rsidR="00E55578" w:rsidRPr="007D14C7">
              <w:rPr>
                <w:sz w:val="26"/>
                <w:szCs w:val="26"/>
              </w:rPr>
              <w:t xml:space="preserve">augustam </w:t>
            </w:r>
            <w:r w:rsidR="00A17D47" w:rsidRPr="007D14C7">
              <w:rPr>
                <w:sz w:val="26"/>
                <w:szCs w:val="26"/>
              </w:rPr>
              <w:t xml:space="preserve">(ieskaitot) </w:t>
            </w:r>
            <w:r w:rsidR="00E55578" w:rsidRPr="007D14C7">
              <w:rPr>
                <w:sz w:val="26"/>
                <w:szCs w:val="26"/>
              </w:rPr>
              <w:t xml:space="preserve">visi NAGS projektu iesniegumi tiks izvērtēti un pieņemti lēmumi par </w:t>
            </w:r>
            <w:r w:rsidR="00B1476A" w:rsidRPr="007D14C7">
              <w:rPr>
                <w:sz w:val="26"/>
                <w:szCs w:val="26"/>
              </w:rPr>
              <w:t xml:space="preserve">to </w:t>
            </w:r>
            <w:r w:rsidR="00E55578" w:rsidRPr="007D14C7">
              <w:rPr>
                <w:sz w:val="26"/>
                <w:szCs w:val="26"/>
              </w:rPr>
              <w:t>apstiprināšanu</w:t>
            </w:r>
            <w:r w:rsidR="00B1476A" w:rsidRPr="007D14C7">
              <w:rPr>
                <w:sz w:val="26"/>
                <w:szCs w:val="26"/>
              </w:rPr>
              <w:t>, apstiprināšanu ar nosacījumu</w:t>
            </w:r>
            <w:r w:rsidR="00930EDD" w:rsidRPr="007D14C7">
              <w:rPr>
                <w:sz w:val="26"/>
                <w:szCs w:val="26"/>
              </w:rPr>
              <w:t>, lai nodrošinātu projekta iesniedzējiem nepieciešamo laiku nosacījumu izpildei pirms līguma noslēgšanas</w:t>
            </w:r>
            <w:r w:rsidR="00B1476A" w:rsidRPr="007D14C7">
              <w:rPr>
                <w:sz w:val="26"/>
                <w:szCs w:val="26"/>
              </w:rPr>
              <w:t>.</w:t>
            </w:r>
          </w:p>
          <w:p w14:paraId="30FEC522" w14:textId="77777777" w:rsidR="00FB6D43" w:rsidRPr="007D14C7" w:rsidRDefault="00C9466F" w:rsidP="00C9466F">
            <w:pPr>
              <w:jc w:val="both"/>
              <w:rPr>
                <w:rFonts w:cs="Times New Roman"/>
                <w:sz w:val="26"/>
                <w:szCs w:val="26"/>
              </w:rPr>
            </w:pPr>
            <w:r w:rsidRPr="007D14C7">
              <w:rPr>
                <w:sz w:val="26"/>
                <w:szCs w:val="26"/>
              </w:rPr>
              <w:t xml:space="preserve">Programmas Finanšu instrumenta birojs 2015.gada 26.maijā informēja Programmas vadošo iestādi (Finanšu ministriju) par iespēju pagarināt Programmas projektu īstenošanas termiņu tiem Programmas līgumiem par projektu īstenošanu, kas noslēgti un par kuriem </w:t>
            </w:r>
            <w:r w:rsidR="00B1476A" w:rsidRPr="007D14C7">
              <w:rPr>
                <w:sz w:val="26"/>
                <w:szCs w:val="26"/>
              </w:rPr>
              <w:t xml:space="preserve">līdz </w:t>
            </w:r>
            <w:r w:rsidR="00B1476A" w:rsidRPr="007D14C7">
              <w:rPr>
                <w:rFonts w:cs="Times New Roman"/>
                <w:sz w:val="26"/>
                <w:szCs w:val="26"/>
              </w:rPr>
              <w:t xml:space="preserve">2015.gada 15.septembrim ir </w:t>
            </w:r>
            <w:r w:rsidRPr="007D14C7">
              <w:rPr>
                <w:rFonts w:cs="Times New Roman"/>
                <w:sz w:val="26"/>
                <w:szCs w:val="26"/>
              </w:rPr>
              <w:t>ie</w:t>
            </w:r>
            <w:r w:rsidR="00B1476A" w:rsidRPr="007D14C7">
              <w:rPr>
                <w:rFonts w:cs="Times New Roman"/>
                <w:sz w:val="26"/>
                <w:szCs w:val="26"/>
              </w:rPr>
              <w:t xml:space="preserve">sniegta informācija </w:t>
            </w:r>
            <w:proofErr w:type="spellStart"/>
            <w:r w:rsidR="00B1476A" w:rsidRPr="007D14C7">
              <w:rPr>
                <w:rFonts w:cs="Times New Roman"/>
                <w:sz w:val="26"/>
                <w:szCs w:val="26"/>
              </w:rPr>
              <w:t>donorvalsts</w:t>
            </w:r>
            <w:proofErr w:type="spellEnd"/>
            <w:r w:rsidRPr="007D14C7">
              <w:rPr>
                <w:rFonts w:cs="Times New Roman"/>
                <w:sz w:val="26"/>
                <w:szCs w:val="26"/>
              </w:rPr>
              <w:t xml:space="preserve"> informācijas sistēmā (turpmāk </w:t>
            </w:r>
            <w:r w:rsidR="00B1476A" w:rsidRPr="007D14C7">
              <w:rPr>
                <w:rFonts w:cs="Times New Roman"/>
                <w:sz w:val="26"/>
                <w:szCs w:val="26"/>
              </w:rPr>
              <w:t xml:space="preserve">– </w:t>
            </w:r>
            <w:proofErr w:type="spellStart"/>
            <w:r w:rsidRPr="007D14C7">
              <w:rPr>
                <w:rFonts w:cs="Times New Roman"/>
                <w:sz w:val="26"/>
                <w:szCs w:val="26"/>
              </w:rPr>
              <w:t>DoRIS</w:t>
            </w:r>
            <w:proofErr w:type="spellEnd"/>
            <w:r w:rsidRPr="007D14C7">
              <w:rPr>
                <w:rFonts w:cs="Times New Roman"/>
                <w:sz w:val="26"/>
                <w:szCs w:val="26"/>
              </w:rPr>
              <w:t>).</w:t>
            </w:r>
          </w:p>
          <w:p w14:paraId="38DD6B10" w14:textId="77777777" w:rsidR="00C9466F" w:rsidRPr="007D14C7" w:rsidRDefault="00150797" w:rsidP="00C9466F">
            <w:pPr>
              <w:jc w:val="both"/>
              <w:rPr>
                <w:rFonts w:cs="Times New Roman"/>
                <w:sz w:val="26"/>
                <w:szCs w:val="26"/>
              </w:rPr>
            </w:pPr>
            <w:r w:rsidRPr="007D14C7">
              <w:rPr>
                <w:rFonts w:cs="Times New Roman"/>
                <w:sz w:val="26"/>
                <w:szCs w:val="26"/>
              </w:rPr>
              <w:t>Lai nodrošinātu, ka tiek atbalstīti vairāki komersanti un apgūts programmas finansējums</w:t>
            </w:r>
            <w:r w:rsidR="00FB6D43" w:rsidRPr="007D14C7">
              <w:rPr>
                <w:rFonts w:cs="Times New Roman"/>
                <w:sz w:val="26"/>
                <w:szCs w:val="26"/>
              </w:rPr>
              <w:t xml:space="preserve">, tai skaitā ievērojot Programmas līguma pielikuma Nr.2 3.2.apakšpunktā noteikto, ka NAGS 3.kārta tiek rīkota par atlikušo kopējo programmas aktivitātēm pieejamo finansējumu, ievērojot Noteikumu par Norvēģijas finanšu instrumenta ieviešanu 2009.-2014.gadā 5.6.pantā noteikto  nosacījumu, ka kombinētais piešķīrums NAGS  nevar </w:t>
            </w:r>
            <w:r w:rsidR="00FB6D43" w:rsidRPr="007D14C7">
              <w:rPr>
                <w:rFonts w:cs="Times New Roman"/>
                <w:sz w:val="26"/>
                <w:szCs w:val="26"/>
              </w:rPr>
              <w:lastRenderedPageBreak/>
              <w:t>būt lielāks par 20% no programmas attiecināmajām izmaksām,</w:t>
            </w:r>
            <w:r w:rsidR="00E21176" w:rsidRPr="007D14C7">
              <w:rPr>
                <w:rFonts w:cs="Times New Roman"/>
                <w:sz w:val="26"/>
                <w:szCs w:val="26"/>
              </w:rPr>
              <w:t xml:space="preserve"> </w:t>
            </w:r>
            <w:r w:rsidRPr="007D14C7">
              <w:rPr>
                <w:rFonts w:cs="Times New Roman"/>
                <w:sz w:val="26"/>
                <w:szCs w:val="26"/>
              </w:rPr>
              <w:t xml:space="preserve">steidzami nepieciešams veikt </w:t>
            </w:r>
            <w:r w:rsidR="00B1476A" w:rsidRPr="007D14C7">
              <w:rPr>
                <w:rFonts w:cs="Times New Roman"/>
                <w:sz w:val="26"/>
                <w:szCs w:val="26"/>
              </w:rPr>
              <w:t>sekojošus</w:t>
            </w:r>
            <w:r w:rsidRPr="007D14C7">
              <w:rPr>
                <w:rFonts w:cs="Times New Roman"/>
                <w:sz w:val="26"/>
                <w:szCs w:val="26"/>
              </w:rPr>
              <w:t xml:space="preserve"> grozījumus:</w:t>
            </w:r>
          </w:p>
          <w:p w14:paraId="21612A1E" w14:textId="159E8F9C" w:rsidR="00E55578" w:rsidRPr="007D14C7" w:rsidRDefault="00B1476A" w:rsidP="00B1476A">
            <w:pPr>
              <w:pStyle w:val="ListParagraph"/>
              <w:numPr>
                <w:ilvl w:val="0"/>
                <w:numId w:val="10"/>
              </w:numPr>
              <w:ind w:left="246" w:hanging="246"/>
              <w:jc w:val="both"/>
              <w:rPr>
                <w:rFonts w:cs="Times New Roman"/>
                <w:sz w:val="26"/>
                <w:szCs w:val="26"/>
              </w:rPr>
            </w:pPr>
            <w:r w:rsidRPr="007D14C7">
              <w:rPr>
                <w:rFonts w:cs="Times New Roman"/>
                <w:sz w:val="26"/>
                <w:szCs w:val="26"/>
              </w:rPr>
              <w:t xml:space="preserve">Lai sniegtu atbalstu jaunas </w:t>
            </w:r>
            <w:r w:rsidR="007C7503" w:rsidRPr="007D14C7">
              <w:rPr>
                <w:rFonts w:cs="Times New Roman"/>
                <w:sz w:val="26"/>
                <w:szCs w:val="26"/>
              </w:rPr>
              <w:t>"</w:t>
            </w:r>
            <w:r w:rsidRPr="007D14C7">
              <w:rPr>
                <w:rFonts w:cs="Times New Roman"/>
                <w:sz w:val="26"/>
                <w:szCs w:val="26"/>
              </w:rPr>
              <w:t>zaļās</w:t>
            </w:r>
            <w:r w:rsidR="007C7503" w:rsidRPr="007D14C7">
              <w:rPr>
                <w:rFonts w:cs="Times New Roman"/>
                <w:sz w:val="26"/>
                <w:szCs w:val="26"/>
              </w:rPr>
              <w:t>"</w:t>
            </w:r>
            <w:r w:rsidRPr="007D14C7">
              <w:rPr>
                <w:rFonts w:cs="Times New Roman"/>
                <w:sz w:val="26"/>
                <w:szCs w:val="26"/>
              </w:rPr>
              <w:t xml:space="preserve"> komercdarbības</w:t>
            </w:r>
            <w:r w:rsidR="00E55578" w:rsidRPr="007D14C7">
              <w:rPr>
                <w:rFonts w:cs="Times New Roman"/>
                <w:sz w:val="26"/>
                <w:szCs w:val="26"/>
              </w:rPr>
              <w:t xml:space="preserve"> uzsākšanai un veicinātu kvalitatīvu projektu īstenošanu, </w:t>
            </w:r>
            <w:r w:rsidRPr="007D14C7">
              <w:rPr>
                <w:rFonts w:cs="Times New Roman"/>
                <w:sz w:val="26"/>
                <w:szCs w:val="26"/>
              </w:rPr>
              <w:t>t.sk.</w:t>
            </w:r>
            <w:r w:rsidR="00E55578" w:rsidRPr="007D14C7">
              <w:rPr>
                <w:rFonts w:cs="Times New Roman"/>
                <w:sz w:val="26"/>
                <w:szCs w:val="26"/>
              </w:rPr>
              <w:t xml:space="preserve"> nodrošinātu Programmas līdzekļu apguvi, steidzami </w:t>
            </w:r>
            <w:r w:rsidR="00011994" w:rsidRPr="007D14C7">
              <w:rPr>
                <w:rFonts w:cs="Times New Roman"/>
                <w:sz w:val="26"/>
                <w:szCs w:val="26"/>
              </w:rPr>
              <w:t xml:space="preserve">ir </w:t>
            </w:r>
            <w:r w:rsidR="00E55578" w:rsidRPr="007D14C7">
              <w:rPr>
                <w:rFonts w:cs="Times New Roman"/>
                <w:sz w:val="26"/>
                <w:szCs w:val="26"/>
              </w:rPr>
              <w:t>nepieciešams veikt grozījumus šajos noteikumos, palielinot pieejamo budžetu NAGS atbalstam</w:t>
            </w:r>
            <w:r w:rsidR="00C87E3C" w:rsidRPr="007D14C7">
              <w:rPr>
                <w:rFonts w:cs="Times New Roman"/>
                <w:sz w:val="26"/>
                <w:szCs w:val="26"/>
              </w:rPr>
              <w:t>. (Noteikumu projekta 1.un 2.punkts);</w:t>
            </w:r>
          </w:p>
          <w:p w14:paraId="34637B6E" w14:textId="40A0D407" w:rsidR="00CA4E3C" w:rsidRPr="007D14C7" w:rsidRDefault="008A4C82" w:rsidP="001A57AB">
            <w:pPr>
              <w:pStyle w:val="ListParagraph"/>
              <w:numPr>
                <w:ilvl w:val="0"/>
                <w:numId w:val="10"/>
              </w:numPr>
              <w:ind w:left="246" w:hanging="246"/>
              <w:jc w:val="both"/>
              <w:rPr>
                <w:rFonts w:cs="Times New Roman"/>
                <w:sz w:val="26"/>
                <w:szCs w:val="26"/>
              </w:rPr>
            </w:pPr>
            <w:r w:rsidRPr="007D14C7">
              <w:rPr>
                <w:rFonts w:cs="Times New Roman"/>
                <w:sz w:val="26"/>
                <w:szCs w:val="26"/>
              </w:rPr>
              <w:t>Ņemot vērā, ka</w:t>
            </w:r>
            <w:r w:rsidR="00150797" w:rsidRPr="007D14C7">
              <w:rPr>
                <w:rFonts w:cs="Times New Roman"/>
                <w:sz w:val="26"/>
                <w:szCs w:val="26"/>
              </w:rPr>
              <w:t xml:space="preserve"> programmas iet</w:t>
            </w:r>
            <w:r w:rsidR="00B1476A" w:rsidRPr="007D14C7">
              <w:rPr>
                <w:rFonts w:cs="Times New Roman"/>
                <w:sz w:val="26"/>
                <w:szCs w:val="26"/>
              </w:rPr>
              <w:t>varos ir paredzēts rīkot tikai trīs</w:t>
            </w:r>
            <w:r w:rsidRPr="007D14C7">
              <w:rPr>
                <w:rFonts w:cs="Times New Roman"/>
                <w:sz w:val="26"/>
                <w:szCs w:val="26"/>
              </w:rPr>
              <w:t xml:space="preserve"> NAGS atklāta konkursa </w:t>
            </w:r>
            <w:r w:rsidR="00150797" w:rsidRPr="007D14C7">
              <w:rPr>
                <w:rFonts w:cs="Times New Roman"/>
                <w:sz w:val="26"/>
                <w:szCs w:val="26"/>
              </w:rPr>
              <w:t xml:space="preserve">kārtas </w:t>
            </w:r>
            <w:r w:rsidR="00CF5BAD" w:rsidRPr="007D14C7">
              <w:rPr>
                <w:rFonts w:cs="Times New Roman"/>
                <w:sz w:val="26"/>
                <w:szCs w:val="26"/>
              </w:rPr>
              <w:t>un</w:t>
            </w:r>
            <w:r w:rsidR="00B1476A" w:rsidRPr="007D14C7">
              <w:rPr>
                <w:rFonts w:cs="Times New Roman"/>
                <w:sz w:val="26"/>
                <w:szCs w:val="26"/>
              </w:rPr>
              <w:t>,</w:t>
            </w:r>
            <w:r w:rsidR="00CF5BAD" w:rsidRPr="007D14C7">
              <w:rPr>
                <w:rFonts w:cs="Times New Roman"/>
                <w:sz w:val="26"/>
                <w:szCs w:val="26"/>
              </w:rPr>
              <w:t xml:space="preserve"> atbilstoši iepriekš noteiktā projekta īsten</w:t>
            </w:r>
            <w:r w:rsidR="00B1476A" w:rsidRPr="007D14C7">
              <w:rPr>
                <w:rFonts w:cs="Times New Roman"/>
                <w:sz w:val="26"/>
                <w:szCs w:val="26"/>
              </w:rPr>
              <w:t>otājam pieejamajam</w:t>
            </w:r>
            <w:r w:rsidR="00150797" w:rsidRPr="007D14C7">
              <w:rPr>
                <w:rFonts w:cs="Times New Roman"/>
                <w:sz w:val="26"/>
                <w:szCs w:val="26"/>
              </w:rPr>
              <w:t xml:space="preserve"> finansējuma</w:t>
            </w:r>
            <w:r w:rsidR="00B1476A" w:rsidRPr="007D14C7">
              <w:rPr>
                <w:rFonts w:cs="Times New Roman"/>
                <w:sz w:val="26"/>
                <w:szCs w:val="26"/>
              </w:rPr>
              <w:t>m</w:t>
            </w:r>
            <w:r w:rsidR="00150797" w:rsidRPr="007D14C7">
              <w:rPr>
                <w:rFonts w:cs="Times New Roman"/>
                <w:sz w:val="26"/>
                <w:szCs w:val="26"/>
              </w:rPr>
              <w:t>, tiks</w:t>
            </w:r>
            <w:r w:rsidR="00CF5BAD" w:rsidRPr="007D14C7">
              <w:rPr>
                <w:rFonts w:cs="Times New Roman"/>
                <w:sz w:val="26"/>
                <w:szCs w:val="26"/>
              </w:rPr>
              <w:t xml:space="preserve"> rīko</w:t>
            </w:r>
            <w:r w:rsidR="00150797" w:rsidRPr="007D14C7">
              <w:rPr>
                <w:rFonts w:cs="Times New Roman"/>
                <w:sz w:val="26"/>
                <w:szCs w:val="26"/>
              </w:rPr>
              <w:t>ti papildu uzsaukumi</w:t>
            </w:r>
            <w:r w:rsidR="00CF5BAD" w:rsidRPr="007D14C7">
              <w:rPr>
                <w:rFonts w:cs="Times New Roman"/>
                <w:sz w:val="26"/>
                <w:szCs w:val="26"/>
              </w:rPr>
              <w:t xml:space="preserve"> </w:t>
            </w:r>
            <w:proofErr w:type="spellStart"/>
            <w:r w:rsidR="00CF5BAD" w:rsidRPr="007D14C7">
              <w:rPr>
                <w:rFonts w:cs="Times New Roman"/>
                <w:sz w:val="26"/>
                <w:szCs w:val="26"/>
              </w:rPr>
              <w:t>pirmsinkubācijas</w:t>
            </w:r>
            <w:proofErr w:type="spellEnd"/>
            <w:r w:rsidR="00CF5BAD" w:rsidRPr="007D14C7">
              <w:rPr>
                <w:rFonts w:cs="Times New Roman"/>
                <w:sz w:val="26"/>
                <w:szCs w:val="26"/>
              </w:rPr>
              <w:t xml:space="preserve"> pakalpojumu saņemšan</w:t>
            </w:r>
            <w:r w:rsidR="00150797" w:rsidRPr="007D14C7">
              <w:rPr>
                <w:rFonts w:cs="Times New Roman"/>
                <w:sz w:val="26"/>
                <w:szCs w:val="26"/>
              </w:rPr>
              <w:t>ai</w:t>
            </w:r>
            <w:r w:rsidR="00CF5BAD" w:rsidRPr="007D14C7">
              <w:rPr>
                <w:rFonts w:cs="Times New Roman"/>
                <w:sz w:val="26"/>
                <w:szCs w:val="26"/>
              </w:rPr>
              <w:t>,</w:t>
            </w:r>
            <w:r w:rsidR="00B1476A" w:rsidRPr="007D14C7">
              <w:rPr>
                <w:rFonts w:cs="Times New Roman"/>
                <w:sz w:val="26"/>
                <w:szCs w:val="26"/>
              </w:rPr>
              <w:t xml:space="preserve"> </w:t>
            </w:r>
            <w:r w:rsidR="00150797" w:rsidRPr="007D14C7">
              <w:rPr>
                <w:rFonts w:cs="Times New Roman"/>
                <w:sz w:val="26"/>
                <w:szCs w:val="26"/>
              </w:rPr>
              <w:t>kuru</w:t>
            </w:r>
            <w:r w:rsidR="00B1476A" w:rsidRPr="007D14C7">
              <w:rPr>
                <w:rFonts w:cs="Times New Roman"/>
                <w:sz w:val="26"/>
                <w:szCs w:val="26"/>
              </w:rPr>
              <w:t xml:space="preserve"> ietvaros</w:t>
            </w:r>
            <w:r w:rsidR="00150797" w:rsidRPr="007D14C7">
              <w:rPr>
                <w:rFonts w:cs="Times New Roman"/>
                <w:sz w:val="26"/>
                <w:szCs w:val="26"/>
              </w:rPr>
              <w:t xml:space="preserve"> pieteikties varēs jebkurš biznesa idejas autors, kurš atbilst Ministru kabineta 2013.g</w:t>
            </w:r>
            <w:r w:rsidR="006223C3" w:rsidRPr="007D14C7">
              <w:rPr>
                <w:rFonts w:cs="Times New Roman"/>
                <w:sz w:val="26"/>
                <w:szCs w:val="26"/>
              </w:rPr>
              <w:t>ada 2.aprīļa noteikumu Nr. 181 "</w:t>
            </w:r>
            <w:r w:rsidR="00150797" w:rsidRPr="007D14C7">
              <w:rPr>
                <w:rFonts w:cs="Times New Roman"/>
                <w:sz w:val="26"/>
                <w:szCs w:val="26"/>
              </w:rPr>
              <w:t>Norvēģijas finanšu instrumenta 2009</w:t>
            </w:r>
            <w:r w:rsidR="00E21176" w:rsidRPr="007D14C7">
              <w:rPr>
                <w:rFonts w:cs="Times New Roman"/>
                <w:sz w:val="26"/>
                <w:szCs w:val="26"/>
              </w:rPr>
              <w:t>.-2014.gada perioda programmas "Inovācijas "zaļās"</w:t>
            </w:r>
            <w:r w:rsidR="00150797" w:rsidRPr="007D14C7">
              <w:rPr>
                <w:rFonts w:cs="Times New Roman"/>
                <w:sz w:val="26"/>
                <w:szCs w:val="26"/>
              </w:rPr>
              <w:t xml:space="preserve"> ražošanas jomā</w:t>
            </w:r>
            <w:r w:rsidR="00E21176" w:rsidRPr="007D14C7">
              <w:rPr>
                <w:rFonts w:cs="Times New Roman"/>
                <w:sz w:val="26"/>
                <w:szCs w:val="26"/>
              </w:rPr>
              <w:t>"</w:t>
            </w:r>
            <w:r w:rsidR="00B1476A" w:rsidRPr="007D14C7">
              <w:rPr>
                <w:rFonts w:cs="Times New Roman"/>
                <w:sz w:val="26"/>
                <w:szCs w:val="26"/>
              </w:rPr>
              <w:t xml:space="preserve"> īstenošanas kārtība</w:t>
            </w:r>
            <w:r w:rsidR="006223C3" w:rsidRPr="007D14C7">
              <w:rPr>
                <w:rFonts w:cs="Times New Roman"/>
                <w:sz w:val="26"/>
                <w:szCs w:val="26"/>
              </w:rPr>
              <w:t>"</w:t>
            </w:r>
            <w:r w:rsidR="00B1476A" w:rsidRPr="007D14C7">
              <w:rPr>
                <w:rFonts w:cs="Times New Roman"/>
                <w:sz w:val="26"/>
                <w:szCs w:val="26"/>
              </w:rPr>
              <w:t xml:space="preserve"> noteiktajām prasībām</w:t>
            </w:r>
            <w:r w:rsidR="00C87E3C" w:rsidRPr="007D14C7">
              <w:rPr>
                <w:rFonts w:cs="Times New Roman"/>
                <w:sz w:val="26"/>
                <w:szCs w:val="26"/>
              </w:rPr>
              <w:t xml:space="preserve"> (Noteikumu projekta </w:t>
            </w:r>
            <w:r w:rsidR="00A17D47" w:rsidRPr="007D14C7">
              <w:rPr>
                <w:rFonts w:cs="Times New Roman"/>
                <w:sz w:val="26"/>
                <w:szCs w:val="26"/>
              </w:rPr>
              <w:t>5</w:t>
            </w:r>
            <w:r w:rsidR="00C87E3C" w:rsidRPr="007D14C7">
              <w:rPr>
                <w:rFonts w:cs="Times New Roman"/>
                <w:sz w:val="26"/>
                <w:szCs w:val="26"/>
              </w:rPr>
              <w:t>.punkts)</w:t>
            </w:r>
            <w:r w:rsidR="00CF5BAD" w:rsidRPr="007D14C7">
              <w:rPr>
                <w:rFonts w:cs="Times New Roman"/>
                <w:sz w:val="26"/>
                <w:szCs w:val="26"/>
              </w:rPr>
              <w:t>.</w:t>
            </w:r>
          </w:p>
          <w:p w14:paraId="26124200" w14:textId="397E233E" w:rsidR="00CA4E3C" w:rsidRPr="007D14C7" w:rsidRDefault="00A37CB6" w:rsidP="00CA4E3C">
            <w:pPr>
              <w:pStyle w:val="ListParagraph"/>
              <w:numPr>
                <w:ilvl w:val="0"/>
                <w:numId w:val="10"/>
              </w:numPr>
              <w:ind w:left="246" w:hanging="246"/>
              <w:jc w:val="both"/>
              <w:rPr>
                <w:rFonts w:cs="Times New Roman"/>
                <w:sz w:val="26"/>
                <w:szCs w:val="26"/>
              </w:rPr>
            </w:pPr>
            <w:r w:rsidRPr="007D14C7">
              <w:rPr>
                <w:rFonts w:cs="Times New Roman"/>
                <w:sz w:val="26"/>
                <w:szCs w:val="26"/>
              </w:rPr>
              <w:t xml:space="preserve">Lai nodrošinātu noteikumos ietverto normu atbilstību  </w:t>
            </w:r>
            <w:r w:rsidRPr="007D14C7">
              <w:rPr>
                <w:rFonts w:cs="Times New Roman"/>
                <w:bCs/>
                <w:sz w:val="26"/>
                <w:szCs w:val="26"/>
                <w:shd w:val="clear" w:color="auto" w:fill="FEFEFE"/>
              </w:rPr>
              <w:t xml:space="preserve">Komisijas regula Nr.1407/2013 nosacījumiem ir papildināti noteikumi ar Komisijas regulas 17.un 18.punktā noteikto prasību, uzglabāt 10 gadus visu ar </w:t>
            </w:r>
            <w:proofErr w:type="spellStart"/>
            <w:r w:rsidRPr="007D14C7">
              <w:rPr>
                <w:rFonts w:cs="Times New Roman"/>
                <w:bCs/>
                <w:i/>
                <w:sz w:val="26"/>
                <w:szCs w:val="26"/>
                <w:shd w:val="clear" w:color="auto" w:fill="FEFEFE"/>
              </w:rPr>
              <w:t>de</w:t>
            </w:r>
            <w:proofErr w:type="spellEnd"/>
            <w:r w:rsidRPr="007D14C7">
              <w:rPr>
                <w:rFonts w:cs="Times New Roman"/>
                <w:bCs/>
                <w:i/>
                <w:sz w:val="26"/>
                <w:szCs w:val="26"/>
                <w:shd w:val="clear" w:color="auto" w:fill="FEFEFE"/>
              </w:rPr>
              <w:t xml:space="preserve"> </w:t>
            </w:r>
            <w:proofErr w:type="spellStart"/>
            <w:r w:rsidRPr="007D14C7">
              <w:rPr>
                <w:rFonts w:cs="Times New Roman"/>
                <w:bCs/>
                <w:i/>
                <w:sz w:val="26"/>
                <w:szCs w:val="26"/>
                <w:shd w:val="clear" w:color="auto" w:fill="FEFEFE"/>
              </w:rPr>
              <w:t>minimis</w:t>
            </w:r>
            <w:proofErr w:type="spellEnd"/>
            <w:r w:rsidRPr="007D14C7">
              <w:rPr>
                <w:rFonts w:cs="Times New Roman"/>
                <w:bCs/>
                <w:i/>
                <w:sz w:val="26"/>
                <w:szCs w:val="26"/>
                <w:shd w:val="clear" w:color="auto" w:fill="FEFEFE"/>
              </w:rPr>
              <w:t xml:space="preserve"> </w:t>
            </w:r>
            <w:r w:rsidRPr="007D14C7">
              <w:rPr>
                <w:rFonts w:cs="Times New Roman"/>
                <w:bCs/>
                <w:sz w:val="26"/>
                <w:szCs w:val="26"/>
                <w:shd w:val="clear" w:color="auto" w:fill="FEFEFE"/>
              </w:rPr>
              <w:t xml:space="preserve">atbalsta </w:t>
            </w:r>
            <w:r w:rsidR="00BB2F56" w:rsidRPr="007D14C7">
              <w:rPr>
                <w:rFonts w:cs="Times New Roman"/>
                <w:bCs/>
                <w:sz w:val="26"/>
                <w:szCs w:val="26"/>
                <w:shd w:val="clear" w:color="auto" w:fill="FEFEFE"/>
              </w:rPr>
              <w:t>sniegšanu saistīto  informāciju</w:t>
            </w:r>
            <w:r w:rsidRPr="007D14C7">
              <w:rPr>
                <w:rFonts w:cs="Times New Roman"/>
                <w:bCs/>
                <w:sz w:val="26"/>
                <w:szCs w:val="26"/>
                <w:shd w:val="clear" w:color="auto" w:fill="FEFEFE"/>
              </w:rPr>
              <w:t xml:space="preserve">. </w:t>
            </w:r>
            <w:r w:rsidRPr="007D14C7">
              <w:rPr>
                <w:rFonts w:eastAsia="Times New Roman" w:cs="Times New Roman"/>
                <w:sz w:val="26"/>
                <w:szCs w:val="26"/>
                <w:lang w:eastAsia="lv-LV"/>
              </w:rPr>
              <w:t>(Noteikumu projekta 3.punkts).</w:t>
            </w:r>
          </w:p>
          <w:p w14:paraId="3A743D7F" w14:textId="3C9773DE" w:rsidR="003F2516" w:rsidRPr="007D14C7" w:rsidRDefault="00C87E3C" w:rsidP="00D55670">
            <w:pPr>
              <w:pStyle w:val="ListParagraph"/>
              <w:numPr>
                <w:ilvl w:val="0"/>
                <w:numId w:val="10"/>
              </w:numPr>
              <w:ind w:left="246" w:hanging="246"/>
              <w:jc w:val="both"/>
              <w:rPr>
                <w:rFonts w:cs="Times New Roman"/>
                <w:sz w:val="26"/>
                <w:szCs w:val="26"/>
              </w:rPr>
            </w:pPr>
            <w:r w:rsidRPr="007D14C7">
              <w:rPr>
                <w:rFonts w:cs="Times New Roman"/>
                <w:sz w:val="26"/>
                <w:szCs w:val="26"/>
              </w:rPr>
              <w:t>Ņemot vērā Noteikumu</w:t>
            </w:r>
            <w:r w:rsidR="00CF5BAD" w:rsidRPr="007D14C7">
              <w:rPr>
                <w:rFonts w:cs="Times New Roman"/>
                <w:sz w:val="26"/>
                <w:szCs w:val="26"/>
              </w:rPr>
              <w:t xml:space="preserve"> par Norvēģijas finanšu instrumenta ieviešanu 2009.-2014.gadā 7.14.panta 3</w:t>
            </w:r>
            <w:r w:rsidR="00544CBC" w:rsidRPr="007D14C7">
              <w:rPr>
                <w:rFonts w:cs="Times New Roman"/>
                <w:sz w:val="26"/>
                <w:szCs w:val="26"/>
              </w:rPr>
              <w:t>.</w:t>
            </w:r>
            <w:r w:rsidR="00CF5BAD" w:rsidRPr="007D14C7">
              <w:rPr>
                <w:rFonts w:cs="Times New Roman"/>
                <w:sz w:val="26"/>
                <w:szCs w:val="26"/>
              </w:rPr>
              <w:t xml:space="preserve">punktu un to, ka NAGS projektu īstenošanas termiņš </w:t>
            </w:r>
            <w:r w:rsidR="00544CBC" w:rsidRPr="007D14C7">
              <w:rPr>
                <w:rFonts w:cs="Times New Roman"/>
                <w:sz w:val="26"/>
                <w:szCs w:val="26"/>
              </w:rPr>
              <w:t>projektu iesniedzējiem (atkarībā no</w:t>
            </w:r>
            <w:r w:rsidR="00B1476A" w:rsidRPr="007D14C7">
              <w:rPr>
                <w:rFonts w:cs="Times New Roman"/>
                <w:sz w:val="26"/>
                <w:szCs w:val="26"/>
              </w:rPr>
              <w:t xml:space="preserve"> projekta sarežģītības pakāpes)</w:t>
            </w:r>
            <w:r w:rsidR="00544CBC" w:rsidRPr="007D14C7">
              <w:rPr>
                <w:rFonts w:cs="Times New Roman"/>
                <w:sz w:val="26"/>
                <w:szCs w:val="26"/>
              </w:rPr>
              <w:t xml:space="preserve"> varētu būt nepietiekams, ir nepieciešams pagarināt NAGS projektu īstenošanas termiņu, kā arī inkubācijas pakalpojumu saņemšanas termiņu</w:t>
            </w:r>
            <w:r w:rsidR="00262AB2" w:rsidRPr="007D14C7">
              <w:rPr>
                <w:rFonts w:cs="Times New Roman"/>
                <w:sz w:val="26"/>
                <w:szCs w:val="26"/>
              </w:rPr>
              <w:t xml:space="preserve"> līdz 2016.gada 30.aprīlim</w:t>
            </w:r>
            <w:r w:rsidR="00544CBC" w:rsidRPr="007D14C7">
              <w:rPr>
                <w:rFonts w:cs="Times New Roman"/>
                <w:sz w:val="26"/>
                <w:szCs w:val="26"/>
              </w:rPr>
              <w:t>, jo</w:t>
            </w:r>
            <w:r w:rsidR="00B1476A" w:rsidRPr="007D14C7">
              <w:rPr>
                <w:rFonts w:cs="Times New Roman"/>
                <w:sz w:val="26"/>
                <w:szCs w:val="26"/>
              </w:rPr>
              <w:t>,</w:t>
            </w:r>
            <w:r w:rsidR="00544CBC" w:rsidRPr="007D14C7">
              <w:rPr>
                <w:rFonts w:cs="Times New Roman"/>
                <w:sz w:val="26"/>
                <w:szCs w:val="26"/>
              </w:rPr>
              <w:t xml:space="preserve"> atbilstoši</w:t>
            </w:r>
            <w:r w:rsidRPr="007D14C7">
              <w:rPr>
                <w:rFonts w:cs="Times New Roman"/>
                <w:sz w:val="26"/>
                <w:szCs w:val="26"/>
              </w:rPr>
              <w:t xml:space="preserve"> Ministru kabineta 2013.g</w:t>
            </w:r>
            <w:r w:rsidR="00E21176" w:rsidRPr="007D14C7">
              <w:rPr>
                <w:rFonts w:cs="Times New Roman"/>
                <w:sz w:val="26"/>
                <w:szCs w:val="26"/>
              </w:rPr>
              <w:t>ada 2.aprīļa noteikumu Nr. 181 "</w:t>
            </w:r>
            <w:r w:rsidRPr="007D14C7">
              <w:rPr>
                <w:rFonts w:cs="Times New Roman"/>
                <w:sz w:val="26"/>
                <w:szCs w:val="26"/>
              </w:rPr>
              <w:t>Norvēģijas finanšu instr</w:t>
            </w:r>
            <w:r w:rsidR="00E21176" w:rsidRPr="007D14C7">
              <w:rPr>
                <w:rFonts w:cs="Times New Roman"/>
                <w:sz w:val="26"/>
                <w:szCs w:val="26"/>
              </w:rPr>
              <w:t>umenta 2009.-2014.gada perioda "Programmas "Inovācijas "zaļās" ražošanas jomā"</w:t>
            </w:r>
            <w:r w:rsidRPr="007D14C7">
              <w:rPr>
                <w:rFonts w:cs="Times New Roman"/>
                <w:sz w:val="26"/>
                <w:szCs w:val="26"/>
              </w:rPr>
              <w:t xml:space="preserve"> īstenošanas kārtība</w:t>
            </w:r>
            <w:r w:rsidR="00E21176" w:rsidRPr="007D14C7">
              <w:rPr>
                <w:rFonts w:cs="Times New Roman"/>
                <w:sz w:val="26"/>
                <w:szCs w:val="26"/>
              </w:rPr>
              <w:t>"</w:t>
            </w:r>
            <w:r w:rsidRPr="007D14C7">
              <w:rPr>
                <w:rFonts w:cs="Times New Roman"/>
                <w:sz w:val="26"/>
                <w:szCs w:val="26"/>
              </w:rPr>
              <w:t xml:space="preserve"> (turpmāk </w:t>
            </w:r>
            <w:r w:rsidR="00B1476A" w:rsidRPr="007D14C7">
              <w:rPr>
                <w:rFonts w:cs="Times New Roman"/>
                <w:sz w:val="26"/>
                <w:szCs w:val="26"/>
              </w:rPr>
              <w:t>–</w:t>
            </w:r>
            <w:r w:rsidRPr="007D14C7">
              <w:rPr>
                <w:rFonts w:cs="Times New Roman"/>
                <w:sz w:val="26"/>
                <w:szCs w:val="26"/>
              </w:rPr>
              <w:t xml:space="preserve"> MK noteikumi)</w:t>
            </w:r>
            <w:r w:rsidR="00544CBC" w:rsidRPr="007D14C7">
              <w:rPr>
                <w:rFonts w:cs="Times New Roman"/>
                <w:sz w:val="26"/>
                <w:szCs w:val="26"/>
              </w:rPr>
              <w:t xml:space="preserve"> 112.</w:t>
            </w:r>
            <w:r w:rsidR="00544CBC" w:rsidRPr="007D14C7">
              <w:rPr>
                <w:rFonts w:cs="Times New Roman"/>
                <w:sz w:val="26"/>
                <w:szCs w:val="26"/>
                <w:vertAlign w:val="superscript"/>
              </w:rPr>
              <w:t>2</w:t>
            </w:r>
            <w:r w:rsidRPr="007D14C7">
              <w:rPr>
                <w:rFonts w:cs="Times New Roman"/>
                <w:sz w:val="26"/>
                <w:szCs w:val="26"/>
              </w:rPr>
              <w:t xml:space="preserve"> punktam</w:t>
            </w:r>
            <w:r w:rsidR="00544CBC" w:rsidRPr="007D14C7">
              <w:rPr>
                <w:rFonts w:cs="Times New Roman"/>
                <w:sz w:val="26"/>
                <w:szCs w:val="26"/>
              </w:rPr>
              <w:t>, Inkubācijas pakalpojuma saņēmējs ir NAGS līdzfinansējuma saņēmējs</w:t>
            </w:r>
            <w:r w:rsidR="00A37CB6" w:rsidRPr="007D14C7">
              <w:rPr>
                <w:rFonts w:cs="Times New Roman"/>
                <w:sz w:val="26"/>
                <w:szCs w:val="26"/>
              </w:rPr>
              <w:t>. Papildu tam ti</w:t>
            </w:r>
            <w:r w:rsidR="00D55670" w:rsidRPr="007D14C7">
              <w:rPr>
                <w:rFonts w:cs="Times New Roman"/>
                <w:sz w:val="26"/>
                <w:szCs w:val="26"/>
              </w:rPr>
              <w:t>ek atsevišķi noteikts, ka apsti</w:t>
            </w:r>
            <w:r w:rsidR="00A37CB6" w:rsidRPr="007D14C7">
              <w:rPr>
                <w:rFonts w:cs="Times New Roman"/>
                <w:sz w:val="26"/>
                <w:szCs w:val="26"/>
              </w:rPr>
              <w:t>p</w:t>
            </w:r>
            <w:r w:rsidR="00D55670" w:rsidRPr="007D14C7">
              <w:rPr>
                <w:rFonts w:cs="Times New Roman"/>
                <w:sz w:val="26"/>
                <w:szCs w:val="26"/>
              </w:rPr>
              <w:t>r</w:t>
            </w:r>
            <w:r w:rsidR="00A37CB6" w:rsidRPr="007D14C7">
              <w:rPr>
                <w:rFonts w:cs="Times New Roman"/>
                <w:sz w:val="26"/>
                <w:szCs w:val="26"/>
              </w:rPr>
              <w:t xml:space="preserve">inātās projektu vadības atlīdzības izmaksas var tikt pagarinātas </w:t>
            </w:r>
            <w:r w:rsidR="00E21FFD" w:rsidRPr="007D14C7">
              <w:rPr>
                <w:rFonts w:cs="Times New Roman"/>
                <w:sz w:val="26"/>
                <w:szCs w:val="26"/>
              </w:rPr>
              <w:t xml:space="preserve">(Noteikumu projekta </w:t>
            </w:r>
            <w:r w:rsidR="00A37CB6" w:rsidRPr="007D14C7">
              <w:rPr>
                <w:rFonts w:cs="Times New Roman"/>
                <w:sz w:val="26"/>
                <w:szCs w:val="26"/>
              </w:rPr>
              <w:t>4</w:t>
            </w:r>
            <w:r w:rsidRPr="007D14C7">
              <w:rPr>
                <w:rFonts w:cs="Times New Roman"/>
                <w:sz w:val="26"/>
                <w:szCs w:val="26"/>
              </w:rPr>
              <w:t xml:space="preserve">., </w:t>
            </w:r>
            <w:r w:rsidR="00A37CB6" w:rsidRPr="007D14C7">
              <w:rPr>
                <w:rFonts w:cs="Times New Roman"/>
                <w:sz w:val="26"/>
                <w:szCs w:val="26"/>
              </w:rPr>
              <w:t>6</w:t>
            </w:r>
            <w:r w:rsidRPr="007D14C7">
              <w:rPr>
                <w:rFonts w:cs="Times New Roman"/>
                <w:sz w:val="26"/>
                <w:szCs w:val="26"/>
              </w:rPr>
              <w:t xml:space="preserve">., </w:t>
            </w:r>
            <w:r w:rsidR="00440825" w:rsidRPr="007D14C7">
              <w:rPr>
                <w:rFonts w:cs="Times New Roman"/>
                <w:sz w:val="26"/>
                <w:szCs w:val="26"/>
              </w:rPr>
              <w:t>7., 8</w:t>
            </w:r>
            <w:r w:rsidR="0038101E" w:rsidRPr="007D14C7">
              <w:rPr>
                <w:rFonts w:cs="Times New Roman"/>
                <w:sz w:val="26"/>
                <w:szCs w:val="26"/>
              </w:rPr>
              <w:t>.</w:t>
            </w:r>
            <w:r w:rsidRPr="007D14C7">
              <w:rPr>
                <w:rFonts w:cs="Times New Roman"/>
                <w:sz w:val="26"/>
                <w:szCs w:val="26"/>
              </w:rPr>
              <w:t>,</w:t>
            </w:r>
            <w:r w:rsidR="00B1476A" w:rsidRPr="007D14C7">
              <w:rPr>
                <w:rFonts w:cs="Times New Roman"/>
                <w:sz w:val="26"/>
                <w:szCs w:val="26"/>
              </w:rPr>
              <w:t xml:space="preserve"> </w:t>
            </w:r>
            <w:r w:rsidR="00A37CB6" w:rsidRPr="007D14C7">
              <w:rPr>
                <w:rFonts w:cs="Times New Roman"/>
                <w:sz w:val="26"/>
                <w:szCs w:val="26"/>
              </w:rPr>
              <w:t>9</w:t>
            </w:r>
            <w:r w:rsidRPr="007D14C7">
              <w:rPr>
                <w:rFonts w:cs="Times New Roman"/>
                <w:sz w:val="26"/>
                <w:szCs w:val="26"/>
              </w:rPr>
              <w:t>.punkts)</w:t>
            </w:r>
            <w:r w:rsidR="00544CBC" w:rsidRPr="007D14C7">
              <w:rPr>
                <w:rFonts w:cs="Times New Roman"/>
                <w:sz w:val="26"/>
                <w:szCs w:val="26"/>
              </w:rPr>
              <w:t>.</w:t>
            </w:r>
            <w:r w:rsidR="00B17095" w:rsidRPr="007D14C7">
              <w:rPr>
                <w:rFonts w:eastAsia="Calibri" w:cs="Times New Roman"/>
                <w:sz w:val="26"/>
                <w:szCs w:val="26"/>
              </w:rPr>
              <w:t>L</w:t>
            </w:r>
            <w:r w:rsidR="00373B4F" w:rsidRPr="007D14C7">
              <w:rPr>
                <w:rFonts w:eastAsia="Calibri" w:cs="Times New Roman"/>
                <w:sz w:val="26"/>
                <w:szCs w:val="26"/>
              </w:rPr>
              <w:t xml:space="preserve">ēmumi par projektu iesniegumu apstiprināšanu, apstiprināšanu ar </w:t>
            </w:r>
            <w:proofErr w:type="spellStart"/>
            <w:r w:rsidR="00373B4F" w:rsidRPr="007D14C7">
              <w:rPr>
                <w:rFonts w:eastAsia="Calibri" w:cs="Times New Roman"/>
                <w:sz w:val="26"/>
                <w:szCs w:val="26"/>
              </w:rPr>
              <w:t>nosacījmu</w:t>
            </w:r>
            <w:proofErr w:type="spellEnd"/>
            <w:r w:rsidR="00373B4F" w:rsidRPr="007D14C7">
              <w:rPr>
                <w:rFonts w:eastAsia="Calibri" w:cs="Times New Roman"/>
                <w:sz w:val="26"/>
                <w:szCs w:val="26"/>
              </w:rPr>
              <w:t xml:space="preserve"> vai noraidīšanu no rezerves saraksta tiek parakstīti ne vēlāk kā līdz 2015.gada 30.septembrim, tādējādi paredzot, ka līgumiem, kas noslēgti līdz 2015.gada 15.septembrim ir iespēja saņemt termiņa pagarinājumu, tomēr neizslēdzot iespēju projektu īstenotājiem no rezerves saraksta īstenot projektu līdz </w:t>
            </w:r>
            <w:r w:rsidR="00373B4F" w:rsidRPr="007D14C7">
              <w:rPr>
                <w:rFonts w:eastAsia="Calibri" w:cs="Times New Roman"/>
                <w:sz w:val="26"/>
                <w:szCs w:val="26"/>
              </w:rPr>
              <w:lastRenderedPageBreak/>
              <w:t xml:space="preserve">2016.gada 30.aprīlim, ja līgumi parakstīti pēc 2015.gada 15.septembra. </w:t>
            </w:r>
            <w:r w:rsidRPr="007D14C7">
              <w:rPr>
                <w:rFonts w:cs="Times New Roman"/>
                <w:sz w:val="26"/>
                <w:szCs w:val="26"/>
              </w:rPr>
              <w:t xml:space="preserve">(Noteikumu projekta </w:t>
            </w:r>
            <w:r w:rsidR="00440825" w:rsidRPr="007D14C7">
              <w:rPr>
                <w:rFonts w:cs="Times New Roman"/>
                <w:sz w:val="26"/>
                <w:szCs w:val="26"/>
              </w:rPr>
              <w:t>11</w:t>
            </w:r>
            <w:r w:rsidRPr="007D14C7">
              <w:rPr>
                <w:rFonts w:cs="Times New Roman"/>
                <w:sz w:val="26"/>
                <w:szCs w:val="26"/>
              </w:rPr>
              <w:t>.punkts).</w:t>
            </w:r>
          </w:p>
          <w:p w14:paraId="1867F64C" w14:textId="77777777" w:rsidR="003F2516" w:rsidRPr="007D14C7" w:rsidRDefault="003F2516" w:rsidP="00CA4E3C">
            <w:pPr>
              <w:pStyle w:val="ListParagraph"/>
              <w:numPr>
                <w:ilvl w:val="0"/>
                <w:numId w:val="10"/>
              </w:numPr>
              <w:ind w:left="246" w:hanging="246"/>
              <w:jc w:val="both"/>
              <w:rPr>
                <w:rFonts w:cs="Times New Roman"/>
                <w:sz w:val="26"/>
                <w:szCs w:val="26"/>
              </w:rPr>
            </w:pPr>
            <w:r w:rsidRPr="007D14C7">
              <w:rPr>
                <w:rFonts w:eastAsia="Calibri" w:cs="Times New Roman"/>
                <w:sz w:val="26"/>
                <w:szCs w:val="26"/>
              </w:rPr>
              <w:t xml:space="preserve">Lai nodrošinātu, ka līdz 2015.gada 15.septembrim LIAA: </w:t>
            </w:r>
          </w:p>
          <w:p w14:paraId="67608E2F" w14:textId="3CD299C0" w:rsidR="003F2516" w:rsidRPr="007D14C7" w:rsidRDefault="00FB1D23" w:rsidP="003F2516">
            <w:pPr>
              <w:pStyle w:val="ListParagraph"/>
              <w:jc w:val="both"/>
              <w:rPr>
                <w:rFonts w:eastAsia="Calibri" w:cs="Times New Roman"/>
                <w:sz w:val="26"/>
                <w:szCs w:val="26"/>
              </w:rPr>
            </w:pPr>
            <w:r w:rsidRPr="007D14C7">
              <w:rPr>
                <w:rFonts w:eastAsia="Calibri" w:cs="Times New Roman"/>
                <w:sz w:val="26"/>
                <w:szCs w:val="26"/>
              </w:rPr>
              <w:t>5</w:t>
            </w:r>
            <w:r w:rsidR="003F2516" w:rsidRPr="007D14C7">
              <w:rPr>
                <w:rFonts w:eastAsia="Calibri" w:cs="Times New Roman"/>
                <w:sz w:val="26"/>
                <w:szCs w:val="26"/>
              </w:rPr>
              <w:t xml:space="preserve">.1.) paraksta līgumus par NAGS 3.kārtas projektu īstenošanu, kuriem būs nepieciešams īstenošanas termiņa pagarinājums pēc 2016.gada 30.aprīļa; </w:t>
            </w:r>
          </w:p>
          <w:p w14:paraId="683B99EE" w14:textId="0E7331F7" w:rsidR="00FC3BD0" w:rsidRPr="007D14C7" w:rsidRDefault="00FB1D23" w:rsidP="00E12500">
            <w:pPr>
              <w:pStyle w:val="NormalWeb"/>
              <w:ind w:left="671"/>
              <w:jc w:val="both"/>
              <w:rPr>
                <w:rFonts w:eastAsia="Calibri"/>
                <w:sz w:val="26"/>
                <w:szCs w:val="26"/>
              </w:rPr>
            </w:pPr>
            <w:r w:rsidRPr="007D14C7">
              <w:rPr>
                <w:rFonts w:eastAsia="Calibri"/>
                <w:sz w:val="26"/>
                <w:szCs w:val="26"/>
              </w:rPr>
              <w:t>5</w:t>
            </w:r>
            <w:r w:rsidR="006754A8" w:rsidRPr="007D14C7">
              <w:rPr>
                <w:rFonts w:eastAsia="Calibri"/>
                <w:sz w:val="26"/>
                <w:szCs w:val="26"/>
              </w:rPr>
              <w:t>.2</w:t>
            </w:r>
            <w:r w:rsidR="003F2516" w:rsidRPr="007D14C7">
              <w:rPr>
                <w:rFonts w:eastAsia="Calibri"/>
                <w:sz w:val="26"/>
                <w:szCs w:val="26"/>
              </w:rPr>
              <w:t>.)</w:t>
            </w:r>
            <w:r w:rsidR="00FC3BD0" w:rsidRPr="007D14C7">
              <w:rPr>
                <w:rFonts w:eastAsia="Calibri"/>
                <w:sz w:val="26"/>
                <w:szCs w:val="26"/>
              </w:rPr>
              <w:t xml:space="preserve"> </w:t>
            </w:r>
            <w:r w:rsidR="003F2516" w:rsidRPr="007D14C7">
              <w:rPr>
                <w:rFonts w:eastAsia="Calibri"/>
                <w:sz w:val="26"/>
                <w:szCs w:val="26"/>
              </w:rPr>
              <w:t xml:space="preserve">ievieto  informāciju </w:t>
            </w:r>
            <w:proofErr w:type="spellStart"/>
            <w:r w:rsidR="003F2516" w:rsidRPr="007D14C7">
              <w:rPr>
                <w:rFonts w:eastAsia="Calibri"/>
                <w:sz w:val="26"/>
                <w:szCs w:val="26"/>
              </w:rPr>
              <w:t>DoRIS</w:t>
            </w:r>
            <w:proofErr w:type="spellEnd"/>
            <w:r w:rsidR="003F2516" w:rsidRPr="007D14C7">
              <w:rPr>
                <w:rFonts w:eastAsia="Calibri"/>
                <w:sz w:val="26"/>
                <w:szCs w:val="26"/>
              </w:rPr>
              <w:t xml:space="preserve"> (Not</w:t>
            </w:r>
            <w:r w:rsidR="009B62A4" w:rsidRPr="007D14C7">
              <w:rPr>
                <w:rFonts w:eastAsia="Calibri"/>
                <w:sz w:val="26"/>
                <w:szCs w:val="26"/>
              </w:rPr>
              <w:t xml:space="preserve">eikumu projekta </w:t>
            </w:r>
            <w:r w:rsidR="00A37CB6" w:rsidRPr="007D14C7">
              <w:rPr>
                <w:rFonts w:eastAsia="Calibri"/>
                <w:sz w:val="26"/>
                <w:szCs w:val="26"/>
              </w:rPr>
              <w:t>8</w:t>
            </w:r>
            <w:r w:rsidR="009B62A4" w:rsidRPr="007D14C7">
              <w:rPr>
                <w:rFonts w:eastAsia="Calibri"/>
                <w:sz w:val="26"/>
                <w:szCs w:val="26"/>
              </w:rPr>
              <w:t>.punkts).</w:t>
            </w:r>
          </w:p>
          <w:p w14:paraId="4E904A85" w14:textId="5CB6A485" w:rsidR="00A37CB6" w:rsidRPr="007D14C7" w:rsidRDefault="00D55670" w:rsidP="00D862A1">
            <w:pPr>
              <w:pStyle w:val="NormalWeb"/>
              <w:ind w:left="388" w:hanging="284"/>
              <w:jc w:val="both"/>
              <w:rPr>
                <w:color w:val="000000"/>
                <w:sz w:val="26"/>
                <w:szCs w:val="26"/>
              </w:rPr>
            </w:pPr>
            <w:r w:rsidRPr="007D14C7">
              <w:rPr>
                <w:rFonts w:eastAsia="Calibri"/>
                <w:sz w:val="26"/>
                <w:szCs w:val="26"/>
              </w:rPr>
              <w:t>6</w:t>
            </w:r>
            <w:r w:rsidR="00440825" w:rsidRPr="007D14C7">
              <w:rPr>
                <w:rFonts w:eastAsia="Calibri"/>
                <w:sz w:val="26"/>
                <w:szCs w:val="26"/>
              </w:rPr>
              <w:t>) L</w:t>
            </w:r>
            <w:r w:rsidR="006A2683" w:rsidRPr="007D14C7">
              <w:rPr>
                <w:rFonts w:eastAsia="Calibri"/>
                <w:sz w:val="26"/>
                <w:szCs w:val="26"/>
              </w:rPr>
              <w:t>ai nodrošinātu, ka nepārklājas noteikumu projekta Nr.8 punktā noteiktais maksimālais NAGS projekta īstenošanas termiņš ar Noteikumu 173.punktā minēto, tiek svītrots 173.punkts.</w:t>
            </w:r>
            <w:r w:rsidR="006A2683" w:rsidRPr="007D14C7">
              <w:rPr>
                <w:color w:val="000000"/>
                <w:sz w:val="26"/>
                <w:szCs w:val="26"/>
              </w:rPr>
              <w:t xml:space="preserve"> </w:t>
            </w:r>
            <w:r w:rsidR="00A37CB6" w:rsidRPr="007D14C7">
              <w:rPr>
                <w:color w:val="000000"/>
                <w:sz w:val="26"/>
                <w:szCs w:val="26"/>
              </w:rPr>
              <w:t>(Noteikumu projekta 10.punkts)</w:t>
            </w:r>
          </w:p>
        </w:tc>
      </w:tr>
      <w:tr w:rsidR="003D5C72" w:rsidRPr="007D14C7" w14:paraId="637EDB73" w14:textId="77777777" w:rsidTr="00D87D0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F699446"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lastRenderedPageBreak/>
              <w:t>3.</w:t>
            </w:r>
          </w:p>
        </w:tc>
        <w:tc>
          <w:tcPr>
            <w:tcW w:w="1155" w:type="pct"/>
            <w:tcBorders>
              <w:top w:val="outset" w:sz="6" w:space="0" w:color="414142"/>
              <w:left w:val="outset" w:sz="6" w:space="0" w:color="414142"/>
              <w:bottom w:val="outset" w:sz="6" w:space="0" w:color="414142"/>
              <w:right w:val="outset" w:sz="6" w:space="0" w:color="414142"/>
            </w:tcBorders>
            <w:hideMark/>
          </w:tcPr>
          <w:p w14:paraId="506A1007"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Projekta izstrādē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14:paraId="0FF5CB24" w14:textId="77777777" w:rsidR="003D5C72" w:rsidRPr="007D14C7" w:rsidRDefault="003D5C72" w:rsidP="00B1476A">
            <w:pPr>
              <w:jc w:val="both"/>
              <w:rPr>
                <w:rFonts w:eastAsia="Times New Roman" w:cs="Times New Roman"/>
                <w:sz w:val="26"/>
                <w:szCs w:val="26"/>
              </w:rPr>
            </w:pPr>
            <w:r w:rsidRPr="007D14C7">
              <w:rPr>
                <w:rFonts w:eastAsia="Times New Roman" w:cs="Times New Roman"/>
                <w:sz w:val="26"/>
                <w:szCs w:val="26"/>
              </w:rPr>
              <w:t xml:space="preserve">Noteikumu projekts ir izstrādāts sadarbojoties ar Programmas </w:t>
            </w:r>
            <w:proofErr w:type="spellStart"/>
            <w:r w:rsidRPr="007D14C7">
              <w:rPr>
                <w:rFonts w:eastAsia="Times New Roman" w:cs="Times New Roman"/>
                <w:sz w:val="26"/>
                <w:szCs w:val="26"/>
              </w:rPr>
              <w:t>donorvalsts</w:t>
            </w:r>
            <w:proofErr w:type="spellEnd"/>
            <w:r w:rsidRPr="007D14C7">
              <w:rPr>
                <w:rFonts w:eastAsia="Times New Roman" w:cs="Times New Roman"/>
                <w:sz w:val="26"/>
                <w:szCs w:val="26"/>
              </w:rPr>
              <w:t xml:space="preserve"> partneri Norvēģijas Karalistes val</w:t>
            </w:r>
            <w:r w:rsidR="00E21176" w:rsidRPr="007D14C7">
              <w:rPr>
                <w:rFonts w:eastAsia="Times New Roman" w:cs="Times New Roman"/>
                <w:sz w:val="26"/>
                <w:szCs w:val="26"/>
              </w:rPr>
              <w:t xml:space="preserve">sts uzņēmumu </w:t>
            </w:r>
            <w:r w:rsidR="00E21176" w:rsidRPr="007D14C7">
              <w:rPr>
                <w:rFonts w:ascii="Cambria" w:eastAsia="Times New Roman" w:hAnsi="Cambria" w:cs="Times New Roman"/>
                <w:sz w:val="26"/>
                <w:szCs w:val="26"/>
              </w:rPr>
              <w:t>"</w:t>
            </w:r>
            <w:proofErr w:type="spellStart"/>
            <w:r w:rsidR="00B1476A" w:rsidRPr="007D14C7">
              <w:rPr>
                <w:rFonts w:eastAsia="Times New Roman" w:cs="Times New Roman"/>
                <w:sz w:val="26"/>
                <w:szCs w:val="26"/>
              </w:rPr>
              <w:t>Innovation</w:t>
            </w:r>
            <w:proofErr w:type="spellEnd"/>
            <w:r w:rsidR="00B1476A" w:rsidRPr="007D14C7">
              <w:rPr>
                <w:rFonts w:eastAsia="Times New Roman" w:cs="Times New Roman"/>
                <w:sz w:val="26"/>
                <w:szCs w:val="26"/>
              </w:rPr>
              <w:t xml:space="preserve"> </w:t>
            </w:r>
            <w:proofErr w:type="spellStart"/>
            <w:r w:rsidR="00B1476A" w:rsidRPr="007D14C7">
              <w:rPr>
                <w:rFonts w:eastAsia="Times New Roman" w:cs="Times New Roman"/>
                <w:sz w:val="26"/>
                <w:szCs w:val="26"/>
              </w:rPr>
              <w:t>Norway</w:t>
            </w:r>
            <w:proofErr w:type="spellEnd"/>
            <w:r w:rsidR="00E21176" w:rsidRPr="007D14C7">
              <w:rPr>
                <w:rFonts w:ascii="Cambria" w:eastAsia="Times New Roman" w:hAnsi="Cambria" w:cs="Times New Roman"/>
                <w:sz w:val="26"/>
                <w:szCs w:val="26"/>
              </w:rPr>
              <w:t>"</w:t>
            </w:r>
            <w:r w:rsidRPr="007D14C7">
              <w:rPr>
                <w:rFonts w:eastAsia="Times New Roman" w:cs="Times New Roman"/>
                <w:sz w:val="26"/>
                <w:szCs w:val="26"/>
              </w:rPr>
              <w:t xml:space="preserve">, kā arī </w:t>
            </w:r>
            <w:r w:rsidR="00B1476A" w:rsidRPr="007D14C7">
              <w:rPr>
                <w:rFonts w:eastAsia="Times New Roman" w:cs="Times New Roman"/>
                <w:sz w:val="26"/>
                <w:szCs w:val="26"/>
              </w:rPr>
              <w:t>LIAA.</w:t>
            </w:r>
          </w:p>
        </w:tc>
      </w:tr>
      <w:tr w:rsidR="003D5C72" w:rsidRPr="007D14C7" w14:paraId="45082AD1" w14:textId="77777777" w:rsidTr="00D87D08">
        <w:tc>
          <w:tcPr>
            <w:tcW w:w="250" w:type="pct"/>
            <w:tcBorders>
              <w:top w:val="outset" w:sz="6" w:space="0" w:color="414142"/>
              <w:left w:val="outset" w:sz="6" w:space="0" w:color="414142"/>
              <w:bottom w:val="outset" w:sz="6" w:space="0" w:color="414142"/>
              <w:right w:val="outset" w:sz="6" w:space="0" w:color="414142"/>
            </w:tcBorders>
            <w:hideMark/>
          </w:tcPr>
          <w:p w14:paraId="14B5AD89"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4.</w:t>
            </w:r>
          </w:p>
        </w:tc>
        <w:tc>
          <w:tcPr>
            <w:tcW w:w="1155" w:type="pct"/>
            <w:tcBorders>
              <w:top w:val="outset" w:sz="6" w:space="0" w:color="414142"/>
              <w:left w:val="outset" w:sz="6" w:space="0" w:color="414142"/>
              <w:bottom w:val="outset" w:sz="6" w:space="0" w:color="414142"/>
              <w:right w:val="outset" w:sz="6" w:space="0" w:color="414142"/>
            </w:tcBorders>
            <w:hideMark/>
          </w:tcPr>
          <w:p w14:paraId="18CF23AF"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5D98ABEA" w14:textId="77777777" w:rsidR="003D5C72" w:rsidRPr="007D14C7" w:rsidRDefault="003D5C72"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Nav</w:t>
            </w:r>
          </w:p>
        </w:tc>
      </w:tr>
    </w:tbl>
    <w:p w14:paraId="655F6299" w14:textId="77777777" w:rsidR="003D5C72" w:rsidRPr="007D14C7" w:rsidRDefault="003D5C72" w:rsidP="003D5C72">
      <w:pPr>
        <w:shd w:val="clear" w:color="auto" w:fill="FFFFFF"/>
        <w:spacing w:before="100" w:beforeAutospacing="1" w:after="100" w:afterAutospacing="1" w:line="293" w:lineRule="atLeast"/>
        <w:ind w:firstLine="300"/>
        <w:rPr>
          <w:rFonts w:ascii="Arial" w:eastAsia="Times New Roman" w:hAnsi="Arial" w:cs="Arial"/>
          <w:color w:val="414142"/>
          <w:sz w:val="26"/>
          <w:szCs w:val="26"/>
        </w:rPr>
      </w:pPr>
      <w:r w:rsidRPr="007D14C7">
        <w:rPr>
          <w:rFonts w:ascii="Arial" w:eastAsia="Times New Roman" w:hAnsi="Arial" w:cs="Arial"/>
          <w:color w:val="414142"/>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2"/>
        <w:gridCol w:w="6511"/>
      </w:tblGrid>
      <w:tr w:rsidR="003D5C72" w:rsidRPr="007D14C7" w14:paraId="6C0BCE0E" w14:textId="77777777" w:rsidTr="002D6D8A">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567D26" w14:textId="77777777" w:rsidR="003D5C72" w:rsidRPr="007D14C7" w:rsidRDefault="003D5C72"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II. Tiesību akta projekta ietekme uz sabiedrību, tautsaimniecības attīstību un administratīvo slogu</w:t>
            </w:r>
          </w:p>
        </w:tc>
      </w:tr>
      <w:tr w:rsidR="003D5C72" w:rsidRPr="007D14C7" w14:paraId="6CF6D525" w14:textId="77777777" w:rsidTr="00D87D0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BECD238"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1.</w:t>
            </w:r>
          </w:p>
        </w:tc>
        <w:tc>
          <w:tcPr>
            <w:tcW w:w="1155" w:type="pct"/>
            <w:tcBorders>
              <w:top w:val="outset" w:sz="6" w:space="0" w:color="414142"/>
              <w:left w:val="outset" w:sz="6" w:space="0" w:color="414142"/>
              <w:bottom w:val="outset" w:sz="6" w:space="0" w:color="414142"/>
              <w:right w:val="outset" w:sz="6" w:space="0" w:color="414142"/>
            </w:tcBorders>
            <w:hideMark/>
          </w:tcPr>
          <w:p w14:paraId="67496DCE"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 xml:space="preserve">Sabiedrības </w:t>
            </w:r>
            <w:proofErr w:type="spellStart"/>
            <w:r w:rsidRPr="007D14C7">
              <w:rPr>
                <w:rFonts w:eastAsia="Times New Roman" w:cs="Times New Roman"/>
                <w:sz w:val="26"/>
                <w:szCs w:val="26"/>
              </w:rPr>
              <w:t>mērķgrupas</w:t>
            </w:r>
            <w:proofErr w:type="spellEnd"/>
            <w:r w:rsidRPr="007D14C7">
              <w:rPr>
                <w:rFonts w:eastAsia="Times New Roman" w:cs="Times New Roman"/>
                <w:sz w:val="26"/>
                <w:szCs w:val="26"/>
              </w:rPr>
              <w:t>, kuras tiesiskais regulējums ietekmē vai varētu ietekmēt</w:t>
            </w:r>
          </w:p>
        </w:tc>
        <w:tc>
          <w:tcPr>
            <w:tcW w:w="3595" w:type="pct"/>
            <w:tcBorders>
              <w:top w:val="outset" w:sz="6" w:space="0" w:color="414142"/>
              <w:left w:val="outset" w:sz="6" w:space="0" w:color="414142"/>
              <w:bottom w:val="outset" w:sz="6" w:space="0" w:color="414142"/>
              <w:right w:val="outset" w:sz="6" w:space="0" w:color="414142"/>
            </w:tcBorders>
            <w:hideMark/>
          </w:tcPr>
          <w:p w14:paraId="07067246" w14:textId="77777777" w:rsidR="00CC3B92" w:rsidRPr="007D14C7" w:rsidRDefault="003D5C72" w:rsidP="00CC3B92">
            <w:pPr>
              <w:jc w:val="both"/>
              <w:rPr>
                <w:rFonts w:eastAsia="Times New Roman" w:cs="Times New Roman"/>
                <w:sz w:val="26"/>
                <w:szCs w:val="26"/>
              </w:rPr>
            </w:pPr>
            <w:r w:rsidRPr="007D14C7">
              <w:rPr>
                <w:rFonts w:eastAsia="Times New Roman" w:cs="Times New Roman"/>
                <w:sz w:val="26"/>
                <w:szCs w:val="26"/>
              </w:rPr>
              <w:t>Komersanti</w:t>
            </w:r>
            <w:r w:rsidR="00A44E66" w:rsidRPr="007D14C7">
              <w:rPr>
                <w:rFonts w:eastAsia="Times New Roman" w:cs="Times New Roman"/>
                <w:sz w:val="26"/>
                <w:szCs w:val="26"/>
              </w:rPr>
              <w:t xml:space="preserve"> – projektu īstenotāji</w:t>
            </w:r>
            <w:r w:rsidR="005F501E" w:rsidRPr="007D14C7">
              <w:rPr>
                <w:rFonts w:eastAsia="Times New Roman" w:cs="Times New Roman"/>
                <w:sz w:val="26"/>
                <w:szCs w:val="26"/>
              </w:rPr>
              <w:t>, ar kuriem noslēgti līgumi par programmas atbalstīto projekt</w:t>
            </w:r>
            <w:r w:rsidR="00A44E66" w:rsidRPr="007D14C7">
              <w:rPr>
                <w:rFonts w:eastAsia="Times New Roman" w:cs="Times New Roman"/>
                <w:sz w:val="26"/>
                <w:szCs w:val="26"/>
              </w:rPr>
              <w:t>u</w:t>
            </w:r>
            <w:r w:rsidR="005F501E" w:rsidRPr="007D14C7">
              <w:rPr>
                <w:rFonts w:eastAsia="Times New Roman" w:cs="Times New Roman"/>
                <w:sz w:val="26"/>
                <w:szCs w:val="26"/>
              </w:rPr>
              <w:t xml:space="preserve"> īstenošanu u</w:t>
            </w:r>
            <w:r w:rsidR="00A44E66" w:rsidRPr="007D14C7">
              <w:rPr>
                <w:rFonts w:eastAsia="Times New Roman" w:cs="Times New Roman"/>
                <w:sz w:val="26"/>
                <w:szCs w:val="26"/>
              </w:rPr>
              <w:t>n NAGS 3.kārtas projektu iesniedzēji</w:t>
            </w:r>
            <w:r w:rsidR="00D908FA" w:rsidRPr="007D14C7">
              <w:rPr>
                <w:rFonts w:eastAsia="Times New Roman" w:cs="Times New Roman"/>
                <w:sz w:val="26"/>
                <w:szCs w:val="26"/>
              </w:rPr>
              <w:t>.</w:t>
            </w:r>
          </w:p>
          <w:p w14:paraId="1D5A9344" w14:textId="77777777" w:rsidR="00801D3C" w:rsidRPr="007D14C7" w:rsidRDefault="00CC3B92" w:rsidP="00CC3B92">
            <w:pPr>
              <w:jc w:val="both"/>
              <w:rPr>
                <w:rFonts w:eastAsia="Times New Roman" w:cs="Times New Roman"/>
                <w:color w:val="000000"/>
                <w:sz w:val="26"/>
                <w:szCs w:val="26"/>
                <w:lang w:eastAsia="lv-LV"/>
              </w:rPr>
            </w:pPr>
            <w:r w:rsidRPr="007D14C7">
              <w:rPr>
                <w:rFonts w:eastAsia="Times New Roman" w:cs="Times New Roman"/>
                <w:sz w:val="26"/>
                <w:szCs w:val="26"/>
              </w:rPr>
              <w:t xml:space="preserve">Atbilstoši </w:t>
            </w:r>
            <w:r w:rsidRPr="007D14C7">
              <w:rPr>
                <w:rFonts w:eastAsia="Times New Roman" w:cs="Times New Roman"/>
                <w:color w:val="000000"/>
                <w:sz w:val="26"/>
                <w:szCs w:val="26"/>
                <w:lang w:eastAsia="lv-LV"/>
              </w:rPr>
              <w:t>tiesiskās noteiktības principa uzliktajam pienākumam valstij nodrošināt tiesisko attiecību noteiktību un stabilitāti, kā arī ievēr</w:t>
            </w:r>
            <w:r w:rsidR="00275967" w:rsidRPr="007D14C7">
              <w:rPr>
                <w:rFonts w:eastAsia="Times New Roman" w:cs="Times New Roman"/>
                <w:color w:val="000000"/>
                <w:sz w:val="26"/>
                <w:szCs w:val="26"/>
                <w:lang w:eastAsia="lv-LV"/>
              </w:rPr>
              <w:t>ot tiesiskās paļāvības principu un</w:t>
            </w:r>
            <w:r w:rsidRPr="007D14C7">
              <w:rPr>
                <w:rFonts w:eastAsia="Times New Roman" w:cs="Times New Roman"/>
                <w:color w:val="000000"/>
                <w:sz w:val="26"/>
                <w:szCs w:val="26"/>
                <w:lang w:eastAsia="lv-LV"/>
              </w:rPr>
              <w:t xml:space="preserve"> lai veicinātu indivīda uzticību valstij un likumam, programmas </w:t>
            </w:r>
            <w:proofErr w:type="spellStart"/>
            <w:r w:rsidRPr="007D14C7">
              <w:rPr>
                <w:rFonts w:eastAsia="Times New Roman" w:cs="Times New Roman"/>
                <w:color w:val="000000"/>
                <w:sz w:val="26"/>
                <w:szCs w:val="26"/>
                <w:lang w:eastAsia="lv-LV"/>
              </w:rPr>
              <w:t>apsaimniekotājs</w:t>
            </w:r>
            <w:proofErr w:type="spellEnd"/>
            <w:r w:rsidRPr="007D14C7">
              <w:rPr>
                <w:rFonts w:eastAsia="Times New Roman" w:cs="Times New Roman"/>
                <w:color w:val="000000"/>
                <w:sz w:val="26"/>
                <w:szCs w:val="26"/>
                <w:lang w:eastAsia="lv-LV"/>
              </w:rPr>
              <w:t>, uzzinot par iespējamajiem labvēlīgajiem nosacījumiem tiem projektu īstenotājiem</w:t>
            </w:r>
            <w:r w:rsidR="00A44E66" w:rsidRPr="007D14C7">
              <w:rPr>
                <w:rFonts w:eastAsia="Times New Roman" w:cs="Times New Roman"/>
                <w:color w:val="000000"/>
                <w:sz w:val="26"/>
                <w:szCs w:val="26"/>
                <w:lang w:eastAsia="lv-LV"/>
              </w:rPr>
              <w:t>, ar kuriem noslēgti līgumi par projektu īstenošanu</w:t>
            </w:r>
            <w:r w:rsidRPr="007D14C7">
              <w:rPr>
                <w:rFonts w:eastAsia="Times New Roman" w:cs="Times New Roman"/>
                <w:color w:val="000000"/>
                <w:sz w:val="26"/>
                <w:szCs w:val="26"/>
                <w:lang w:eastAsia="lv-LV"/>
              </w:rPr>
              <w:t xml:space="preserve"> un </w:t>
            </w:r>
            <w:r w:rsidR="00275967" w:rsidRPr="007D14C7">
              <w:rPr>
                <w:rFonts w:eastAsia="Times New Roman" w:cs="Times New Roman"/>
                <w:color w:val="000000"/>
                <w:sz w:val="26"/>
                <w:szCs w:val="26"/>
                <w:lang w:eastAsia="lv-LV"/>
              </w:rPr>
              <w:t>kuru projektu iesniegumi tiks apstiprināti</w:t>
            </w:r>
            <w:r w:rsidR="00A44E66" w:rsidRPr="007D14C7">
              <w:rPr>
                <w:rFonts w:eastAsia="Times New Roman" w:cs="Times New Roman"/>
                <w:color w:val="000000"/>
                <w:sz w:val="26"/>
                <w:szCs w:val="26"/>
                <w:lang w:eastAsia="lv-LV"/>
              </w:rPr>
              <w:t xml:space="preserve"> NAGS 3.kārtas </w:t>
            </w:r>
            <w:r w:rsidR="00275967" w:rsidRPr="007D14C7">
              <w:rPr>
                <w:rFonts w:eastAsia="Times New Roman" w:cs="Times New Roman"/>
                <w:color w:val="000000"/>
                <w:sz w:val="26"/>
                <w:szCs w:val="26"/>
                <w:lang w:eastAsia="lv-LV"/>
              </w:rPr>
              <w:t>ietvaros,</w:t>
            </w:r>
            <w:r w:rsidR="00801D3C" w:rsidRPr="007D14C7">
              <w:rPr>
                <w:rFonts w:eastAsia="Times New Roman" w:cs="Times New Roman"/>
                <w:color w:val="000000"/>
                <w:sz w:val="26"/>
                <w:szCs w:val="26"/>
                <w:lang w:eastAsia="lv-LV"/>
              </w:rPr>
              <w:t xml:space="preserve"> veicināja grozījumu izdarīšanu Programmas līgumā, lai atbalstīt</w:t>
            </w:r>
            <w:r w:rsidR="00275967" w:rsidRPr="007D14C7">
              <w:rPr>
                <w:rFonts w:eastAsia="Times New Roman" w:cs="Times New Roman"/>
                <w:color w:val="000000"/>
                <w:sz w:val="26"/>
                <w:szCs w:val="26"/>
                <w:lang w:eastAsia="lv-LV"/>
              </w:rPr>
              <w:t>u</w:t>
            </w:r>
            <w:r w:rsidR="00801D3C" w:rsidRPr="007D14C7">
              <w:rPr>
                <w:rFonts w:eastAsia="Times New Roman" w:cs="Times New Roman"/>
                <w:color w:val="000000"/>
                <w:sz w:val="26"/>
                <w:szCs w:val="26"/>
                <w:lang w:eastAsia="lv-LV"/>
              </w:rPr>
              <w:t xml:space="preserve"> vairākus NAGS projektu iesniegumus un veicinā</w:t>
            </w:r>
            <w:r w:rsidR="00275967" w:rsidRPr="007D14C7">
              <w:rPr>
                <w:rFonts w:eastAsia="Times New Roman" w:cs="Times New Roman"/>
                <w:color w:val="000000"/>
                <w:sz w:val="26"/>
                <w:szCs w:val="26"/>
                <w:lang w:eastAsia="lv-LV"/>
              </w:rPr>
              <w:t>tu</w:t>
            </w:r>
            <w:r w:rsidR="00801D3C" w:rsidRPr="007D14C7">
              <w:rPr>
                <w:rFonts w:eastAsia="Times New Roman" w:cs="Times New Roman"/>
                <w:color w:val="000000"/>
                <w:sz w:val="26"/>
                <w:szCs w:val="26"/>
                <w:lang w:eastAsia="lv-LV"/>
              </w:rPr>
              <w:t xml:space="preserve"> iespēju pagari</w:t>
            </w:r>
            <w:r w:rsidR="00275967" w:rsidRPr="007D14C7">
              <w:rPr>
                <w:rFonts w:eastAsia="Times New Roman" w:cs="Times New Roman"/>
                <w:color w:val="000000"/>
                <w:sz w:val="26"/>
                <w:szCs w:val="26"/>
                <w:lang w:eastAsia="lv-LV"/>
              </w:rPr>
              <w:t>nāt projektu īstenošanas termiņus</w:t>
            </w:r>
            <w:r w:rsidR="00801D3C" w:rsidRPr="007D14C7">
              <w:rPr>
                <w:rFonts w:eastAsia="Times New Roman" w:cs="Times New Roman"/>
                <w:color w:val="000000"/>
                <w:sz w:val="26"/>
                <w:szCs w:val="26"/>
                <w:lang w:eastAsia="lv-LV"/>
              </w:rPr>
              <w:t xml:space="preserve">. </w:t>
            </w:r>
          </w:p>
          <w:p w14:paraId="36D05525" w14:textId="77777777" w:rsidR="00E401AB" w:rsidRPr="007D14C7" w:rsidRDefault="000038D2" w:rsidP="00CC3B92">
            <w:pPr>
              <w:jc w:val="both"/>
              <w:rPr>
                <w:rFonts w:eastAsia="Times New Roman" w:cs="Times New Roman"/>
                <w:color w:val="000000"/>
                <w:sz w:val="26"/>
                <w:szCs w:val="26"/>
                <w:lang w:eastAsia="lv-LV"/>
              </w:rPr>
            </w:pPr>
            <w:r w:rsidRPr="007D14C7">
              <w:rPr>
                <w:rFonts w:eastAsia="Times New Roman" w:cs="Times New Roman"/>
                <w:color w:val="000000"/>
                <w:sz w:val="26"/>
                <w:szCs w:val="26"/>
                <w:lang w:eastAsia="lv-LV"/>
              </w:rPr>
              <w:t>Norvēģijas Ārlietu ministrijas 2011.gada 11.februāra Noteikumiem par Norvēģijas finanšu instrumenta ieviešanu 2009.-2014.gadā 7.14.panta 4.punktā</w:t>
            </w:r>
            <w:r w:rsidRPr="007D14C7">
              <w:rPr>
                <w:color w:val="000000"/>
                <w:sz w:val="26"/>
                <w:szCs w:val="26"/>
              </w:rPr>
              <w:t xml:space="preserve"> ir noteikta</w:t>
            </w:r>
            <w:r w:rsidRPr="007D14C7">
              <w:rPr>
                <w:rFonts w:eastAsia="Times New Roman" w:cs="Times New Roman"/>
                <w:color w:val="000000"/>
                <w:sz w:val="26"/>
                <w:szCs w:val="26"/>
                <w:lang w:eastAsia="lv-LV"/>
              </w:rPr>
              <w:t xml:space="preserve"> izņ</w:t>
            </w:r>
            <w:r w:rsidRPr="007D14C7">
              <w:rPr>
                <w:color w:val="000000"/>
                <w:sz w:val="26"/>
                <w:szCs w:val="26"/>
              </w:rPr>
              <w:t>ēmuma</w:t>
            </w:r>
            <w:r w:rsidRPr="007D14C7">
              <w:rPr>
                <w:rFonts w:eastAsia="Times New Roman" w:cs="Times New Roman"/>
                <w:color w:val="000000"/>
                <w:sz w:val="26"/>
                <w:szCs w:val="26"/>
                <w:lang w:eastAsia="lv-LV"/>
              </w:rPr>
              <w:t xml:space="preserve"> tiesīb</w:t>
            </w:r>
            <w:r w:rsidRPr="007D14C7">
              <w:rPr>
                <w:color w:val="000000"/>
                <w:sz w:val="26"/>
                <w:szCs w:val="26"/>
              </w:rPr>
              <w:t>a</w:t>
            </w:r>
            <w:r w:rsidRPr="007D14C7">
              <w:rPr>
                <w:rFonts w:eastAsia="Times New Roman" w:cs="Times New Roman"/>
                <w:color w:val="000000"/>
                <w:sz w:val="26"/>
                <w:szCs w:val="26"/>
                <w:lang w:eastAsia="lv-LV"/>
              </w:rPr>
              <w:t xml:space="preserve"> </w:t>
            </w:r>
            <w:proofErr w:type="spellStart"/>
            <w:r w:rsidRPr="007D14C7">
              <w:rPr>
                <w:rFonts w:eastAsia="Times New Roman" w:cs="Times New Roman"/>
                <w:color w:val="000000"/>
                <w:sz w:val="26"/>
                <w:szCs w:val="26"/>
                <w:lang w:eastAsia="lv-LV"/>
              </w:rPr>
              <w:t>Donorvalstij</w:t>
            </w:r>
            <w:proofErr w:type="spellEnd"/>
            <w:r w:rsidRPr="007D14C7">
              <w:rPr>
                <w:rFonts w:eastAsia="Times New Roman" w:cs="Times New Roman"/>
                <w:color w:val="000000"/>
                <w:sz w:val="26"/>
                <w:szCs w:val="26"/>
                <w:lang w:eastAsia="lv-LV"/>
              </w:rPr>
              <w:t xml:space="preserve"> pagarināt </w:t>
            </w:r>
            <w:proofErr w:type="spellStart"/>
            <w:r w:rsidRPr="007D14C7">
              <w:rPr>
                <w:rFonts w:eastAsia="Times New Roman" w:cs="Times New Roman"/>
                <w:color w:val="000000"/>
                <w:sz w:val="26"/>
                <w:szCs w:val="26"/>
                <w:lang w:eastAsia="lv-LV"/>
              </w:rPr>
              <w:t>attiecināmības</w:t>
            </w:r>
            <w:proofErr w:type="spellEnd"/>
            <w:r w:rsidRPr="007D14C7">
              <w:rPr>
                <w:rFonts w:eastAsia="Times New Roman" w:cs="Times New Roman"/>
                <w:color w:val="000000"/>
                <w:sz w:val="26"/>
                <w:szCs w:val="26"/>
                <w:lang w:eastAsia="lv-LV"/>
              </w:rPr>
              <w:t xml:space="preserve"> termiņu līdz 2017.gada 30.aprīlim</w:t>
            </w:r>
            <w:r w:rsidRPr="007D14C7">
              <w:rPr>
                <w:color w:val="000000"/>
                <w:sz w:val="26"/>
                <w:szCs w:val="26"/>
              </w:rPr>
              <w:t>,</w:t>
            </w:r>
            <w:r w:rsidRPr="007D14C7">
              <w:rPr>
                <w:rFonts w:eastAsia="Times New Roman" w:cs="Times New Roman"/>
                <w:color w:val="000000"/>
                <w:sz w:val="26"/>
                <w:szCs w:val="26"/>
                <w:lang w:eastAsia="lv-LV"/>
              </w:rPr>
              <w:t xml:space="preserve"> līdz ar to tiesība pagarināt projektu līgumu termiņa ir </w:t>
            </w:r>
            <w:r w:rsidRPr="007D14C7">
              <w:rPr>
                <w:color w:val="000000"/>
                <w:sz w:val="26"/>
                <w:szCs w:val="26"/>
              </w:rPr>
              <w:t>noteikt</w:t>
            </w:r>
            <w:r w:rsidRPr="007D14C7">
              <w:rPr>
                <w:rFonts w:eastAsia="Times New Roman" w:cs="Times New Roman"/>
                <w:color w:val="000000"/>
                <w:sz w:val="26"/>
                <w:szCs w:val="26"/>
                <w:lang w:eastAsia="lv-LV"/>
              </w:rPr>
              <w:t xml:space="preserve">a pirms Programmas aktivitāšu īstenošanas uzsākšanas. </w:t>
            </w:r>
            <w:proofErr w:type="spellStart"/>
            <w:r w:rsidR="00E401AB" w:rsidRPr="007D14C7">
              <w:rPr>
                <w:rFonts w:eastAsia="Times New Roman" w:cs="Times New Roman"/>
                <w:color w:val="000000"/>
                <w:sz w:val="26"/>
                <w:szCs w:val="26"/>
                <w:lang w:eastAsia="lv-LV"/>
              </w:rPr>
              <w:t>D</w:t>
            </w:r>
            <w:r w:rsidR="00801D3C" w:rsidRPr="007D14C7">
              <w:rPr>
                <w:rFonts w:eastAsia="Times New Roman" w:cs="Times New Roman"/>
                <w:color w:val="000000"/>
                <w:sz w:val="26"/>
                <w:szCs w:val="26"/>
                <w:lang w:eastAsia="lv-LV"/>
              </w:rPr>
              <w:t>onorvalsts</w:t>
            </w:r>
            <w:proofErr w:type="spellEnd"/>
            <w:r w:rsidR="00801D3C" w:rsidRPr="007D14C7">
              <w:rPr>
                <w:rFonts w:eastAsia="Times New Roman" w:cs="Times New Roman"/>
                <w:color w:val="000000"/>
                <w:sz w:val="26"/>
                <w:szCs w:val="26"/>
                <w:lang w:eastAsia="lv-LV"/>
              </w:rPr>
              <w:t xml:space="preserve"> lēmums par iespēju pagarināt projektu īstenošanas termiņu tika pieņemts pēc tam, kad</w:t>
            </w:r>
            <w:r w:rsidR="00A44E66" w:rsidRPr="007D14C7">
              <w:rPr>
                <w:rFonts w:eastAsia="Times New Roman" w:cs="Times New Roman"/>
                <w:color w:val="000000"/>
                <w:sz w:val="26"/>
                <w:szCs w:val="26"/>
                <w:lang w:eastAsia="lv-LV"/>
              </w:rPr>
              <w:t xml:space="preserve"> NAGS 3.kārtas</w:t>
            </w:r>
            <w:r w:rsidR="00801D3C" w:rsidRPr="007D14C7">
              <w:rPr>
                <w:rFonts w:eastAsia="Times New Roman" w:cs="Times New Roman"/>
                <w:color w:val="000000"/>
                <w:sz w:val="26"/>
                <w:szCs w:val="26"/>
                <w:lang w:eastAsia="lv-LV"/>
              </w:rPr>
              <w:t xml:space="preserve"> projekta iesniedzēji jau bija iesnieguši projekta </w:t>
            </w:r>
            <w:r w:rsidR="00CF443A" w:rsidRPr="007D14C7">
              <w:rPr>
                <w:rFonts w:eastAsia="Times New Roman" w:cs="Times New Roman"/>
                <w:color w:val="000000"/>
                <w:sz w:val="26"/>
                <w:szCs w:val="26"/>
                <w:lang w:eastAsia="lv-LV"/>
              </w:rPr>
              <w:t>iesniegumus atzinuma saņemšanai, tad</w:t>
            </w:r>
            <w:r w:rsidR="00E401AB" w:rsidRPr="007D14C7">
              <w:rPr>
                <w:rFonts w:eastAsia="Times New Roman" w:cs="Times New Roman"/>
                <w:color w:val="000000"/>
                <w:sz w:val="26"/>
                <w:szCs w:val="26"/>
                <w:lang w:eastAsia="lv-LV"/>
              </w:rPr>
              <w:t xml:space="preserve"> </w:t>
            </w:r>
            <w:r w:rsidR="00801D3C" w:rsidRPr="007D14C7">
              <w:rPr>
                <w:rFonts w:eastAsia="Times New Roman" w:cs="Times New Roman"/>
                <w:color w:val="000000"/>
                <w:sz w:val="26"/>
                <w:szCs w:val="26"/>
                <w:lang w:eastAsia="lv-LV"/>
              </w:rPr>
              <w:t xml:space="preserve">ar Noteikumu </w:t>
            </w:r>
            <w:r w:rsidR="00801D3C" w:rsidRPr="007D14C7">
              <w:rPr>
                <w:rFonts w:eastAsia="Times New Roman" w:cs="Times New Roman"/>
                <w:color w:val="000000"/>
                <w:sz w:val="26"/>
                <w:szCs w:val="26"/>
                <w:lang w:eastAsia="lv-LV"/>
              </w:rPr>
              <w:lastRenderedPageBreak/>
              <w:t>projektu citām privātperson</w:t>
            </w:r>
            <w:r w:rsidR="00A44E66" w:rsidRPr="007D14C7">
              <w:rPr>
                <w:rFonts w:eastAsia="Times New Roman" w:cs="Times New Roman"/>
                <w:color w:val="000000"/>
                <w:sz w:val="26"/>
                <w:szCs w:val="26"/>
                <w:lang w:eastAsia="lv-LV"/>
              </w:rPr>
              <w:t>ām netika un netiek</w:t>
            </w:r>
            <w:r w:rsidR="00801D3C" w:rsidRPr="007D14C7">
              <w:rPr>
                <w:rFonts w:eastAsia="Times New Roman" w:cs="Times New Roman"/>
                <w:color w:val="000000"/>
                <w:sz w:val="26"/>
                <w:szCs w:val="26"/>
                <w:lang w:eastAsia="lv-LV"/>
              </w:rPr>
              <w:t xml:space="preserve"> radīti nelabvēlīgāki apstākļi</w:t>
            </w:r>
            <w:r w:rsidR="00A44E66" w:rsidRPr="007D14C7">
              <w:rPr>
                <w:rFonts w:eastAsia="Times New Roman" w:cs="Times New Roman"/>
                <w:color w:val="000000"/>
                <w:sz w:val="26"/>
                <w:szCs w:val="26"/>
                <w:lang w:eastAsia="lv-LV"/>
              </w:rPr>
              <w:t>, kā arī attiecībā uz tām</w:t>
            </w:r>
            <w:r w:rsidR="00155FE8" w:rsidRPr="007D14C7">
              <w:rPr>
                <w:rFonts w:eastAsia="Times New Roman" w:cs="Times New Roman"/>
                <w:color w:val="000000"/>
                <w:sz w:val="26"/>
                <w:szCs w:val="26"/>
                <w:lang w:eastAsia="lv-LV"/>
              </w:rPr>
              <w:t xml:space="preserve"> netiek pārkāpts tiesiskās paļāvības princips</w:t>
            </w:r>
            <w:r w:rsidR="00801D3C" w:rsidRPr="007D14C7">
              <w:rPr>
                <w:rFonts w:eastAsia="Times New Roman" w:cs="Times New Roman"/>
                <w:color w:val="000000"/>
                <w:sz w:val="26"/>
                <w:szCs w:val="26"/>
                <w:lang w:eastAsia="lv-LV"/>
              </w:rPr>
              <w:t>, jo tās savu izvēli ie</w:t>
            </w:r>
            <w:r w:rsidR="00F93344" w:rsidRPr="007D14C7">
              <w:rPr>
                <w:rFonts w:eastAsia="Times New Roman" w:cs="Times New Roman"/>
                <w:color w:val="000000"/>
                <w:sz w:val="26"/>
                <w:szCs w:val="26"/>
                <w:lang w:eastAsia="lv-LV"/>
              </w:rPr>
              <w:t>s</w:t>
            </w:r>
            <w:r w:rsidR="00801D3C" w:rsidRPr="007D14C7">
              <w:rPr>
                <w:rFonts w:eastAsia="Times New Roman" w:cs="Times New Roman"/>
                <w:color w:val="000000"/>
                <w:sz w:val="26"/>
                <w:szCs w:val="26"/>
                <w:lang w:eastAsia="lv-LV"/>
              </w:rPr>
              <w:t>niegt/neiesniegt projekta iesniegumu NAGS 3.kārtas projektu atklātam konkursam izdarīja pirms 2015.gada 11.maija, kad bija noteikts termiņš projekta iesnieguma iesniegšanai atzinuma saņemšanai</w:t>
            </w:r>
            <w:r w:rsidR="00F93344" w:rsidRPr="007D14C7">
              <w:rPr>
                <w:rFonts w:eastAsia="Times New Roman" w:cs="Times New Roman"/>
                <w:color w:val="000000"/>
                <w:sz w:val="26"/>
                <w:szCs w:val="26"/>
                <w:lang w:eastAsia="lv-LV"/>
              </w:rPr>
              <w:t xml:space="preserve">. Arī </w:t>
            </w:r>
            <w:r w:rsidR="00155FE8" w:rsidRPr="007D14C7">
              <w:rPr>
                <w:rFonts w:eastAsia="Times New Roman" w:cs="Times New Roman"/>
                <w:color w:val="000000"/>
                <w:sz w:val="26"/>
                <w:szCs w:val="26"/>
                <w:lang w:eastAsia="lv-LV"/>
              </w:rPr>
              <w:t xml:space="preserve">tie projektu iesniedzēji, kas iesniedza projekta iesniegumus atzinuma saņemšanai un pēc tam iesniedza tos LIAA vērtēšanai un lēmuma pieņemšanai, nezināja par šādu </w:t>
            </w:r>
            <w:proofErr w:type="spellStart"/>
            <w:r w:rsidR="00155FE8" w:rsidRPr="007D14C7">
              <w:rPr>
                <w:rFonts w:eastAsia="Times New Roman" w:cs="Times New Roman"/>
                <w:color w:val="000000"/>
                <w:sz w:val="26"/>
                <w:szCs w:val="26"/>
                <w:lang w:eastAsia="lv-LV"/>
              </w:rPr>
              <w:t>donorvalsts</w:t>
            </w:r>
            <w:proofErr w:type="spellEnd"/>
            <w:r w:rsidR="00155FE8" w:rsidRPr="007D14C7">
              <w:rPr>
                <w:rFonts w:eastAsia="Times New Roman" w:cs="Times New Roman"/>
                <w:color w:val="000000"/>
                <w:sz w:val="26"/>
                <w:szCs w:val="26"/>
                <w:lang w:eastAsia="lv-LV"/>
              </w:rPr>
              <w:t xml:space="preserve"> lēmumu, līdz ar to ar </w:t>
            </w:r>
            <w:r w:rsidR="00801D3C" w:rsidRPr="007D14C7">
              <w:rPr>
                <w:rFonts w:eastAsia="Times New Roman" w:cs="Times New Roman"/>
                <w:color w:val="000000"/>
                <w:sz w:val="26"/>
                <w:szCs w:val="26"/>
                <w:lang w:eastAsia="lv-LV"/>
              </w:rPr>
              <w:t>Noteikumu projekt</w:t>
            </w:r>
            <w:r w:rsidR="00155FE8" w:rsidRPr="007D14C7">
              <w:rPr>
                <w:rFonts w:eastAsia="Times New Roman" w:cs="Times New Roman"/>
                <w:color w:val="000000"/>
                <w:sz w:val="26"/>
                <w:szCs w:val="26"/>
                <w:lang w:eastAsia="lv-LV"/>
              </w:rPr>
              <w:t>u to</w:t>
            </w:r>
            <w:r w:rsidR="00801D3C" w:rsidRPr="007D14C7">
              <w:rPr>
                <w:rFonts w:eastAsia="Times New Roman" w:cs="Times New Roman"/>
                <w:color w:val="000000"/>
                <w:sz w:val="26"/>
                <w:szCs w:val="26"/>
                <w:lang w:eastAsia="lv-LV"/>
              </w:rPr>
              <w:t xml:space="preserve"> privātperson</w:t>
            </w:r>
            <w:r w:rsidR="00155FE8" w:rsidRPr="007D14C7">
              <w:rPr>
                <w:rFonts w:eastAsia="Times New Roman" w:cs="Times New Roman"/>
                <w:color w:val="000000"/>
                <w:sz w:val="26"/>
                <w:szCs w:val="26"/>
                <w:lang w:eastAsia="lv-LV"/>
              </w:rPr>
              <w:t>u</w:t>
            </w:r>
            <w:r w:rsidR="00801D3C" w:rsidRPr="007D14C7">
              <w:rPr>
                <w:rFonts w:eastAsia="Times New Roman" w:cs="Times New Roman"/>
                <w:color w:val="000000"/>
                <w:sz w:val="26"/>
                <w:szCs w:val="26"/>
                <w:lang w:eastAsia="lv-LV"/>
              </w:rPr>
              <w:t xml:space="preserve">, kas projektu iesniegumus </w:t>
            </w:r>
            <w:r w:rsidR="00F93344" w:rsidRPr="007D14C7">
              <w:rPr>
                <w:rFonts w:eastAsia="Times New Roman" w:cs="Times New Roman"/>
                <w:color w:val="000000"/>
                <w:sz w:val="26"/>
                <w:szCs w:val="26"/>
                <w:lang w:eastAsia="lv-LV"/>
              </w:rPr>
              <w:t xml:space="preserve">uz NAGS 3.kārtas atklāto </w:t>
            </w:r>
            <w:proofErr w:type="spellStart"/>
            <w:r w:rsidR="00F93344" w:rsidRPr="007D14C7">
              <w:rPr>
                <w:rFonts w:eastAsia="Times New Roman" w:cs="Times New Roman"/>
                <w:color w:val="000000"/>
                <w:sz w:val="26"/>
                <w:szCs w:val="26"/>
                <w:lang w:eastAsia="lv-LV"/>
              </w:rPr>
              <w:t>konkurus</w:t>
            </w:r>
            <w:proofErr w:type="spellEnd"/>
            <w:r w:rsidR="00F93344" w:rsidRPr="007D14C7">
              <w:rPr>
                <w:rFonts w:eastAsia="Times New Roman" w:cs="Times New Roman"/>
                <w:color w:val="000000"/>
                <w:sz w:val="26"/>
                <w:szCs w:val="26"/>
                <w:lang w:eastAsia="lv-LV"/>
              </w:rPr>
              <w:t xml:space="preserve"> </w:t>
            </w:r>
            <w:r w:rsidR="00801D3C" w:rsidRPr="007D14C7">
              <w:rPr>
                <w:rFonts w:eastAsia="Times New Roman" w:cs="Times New Roman"/>
                <w:color w:val="000000"/>
                <w:sz w:val="26"/>
                <w:szCs w:val="26"/>
                <w:lang w:eastAsia="lv-LV"/>
              </w:rPr>
              <w:t xml:space="preserve">neiesniedza, </w:t>
            </w:r>
            <w:r w:rsidR="00155FE8" w:rsidRPr="007D14C7">
              <w:rPr>
                <w:rFonts w:eastAsia="Times New Roman" w:cs="Times New Roman"/>
                <w:color w:val="000000"/>
                <w:sz w:val="26"/>
                <w:szCs w:val="26"/>
                <w:lang w:eastAsia="lv-LV"/>
              </w:rPr>
              <w:t>tiesiskās intereses netiek aizskartas.</w:t>
            </w:r>
            <w:r w:rsidR="00E401AB" w:rsidRPr="007D14C7">
              <w:rPr>
                <w:rFonts w:eastAsia="Times New Roman" w:cs="Times New Roman"/>
                <w:color w:val="000000"/>
                <w:sz w:val="26"/>
                <w:szCs w:val="26"/>
                <w:lang w:eastAsia="lv-LV"/>
              </w:rPr>
              <w:t xml:space="preserve"> </w:t>
            </w:r>
          </w:p>
          <w:p w14:paraId="715F442E" w14:textId="77777777" w:rsidR="00E401AB" w:rsidRPr="007D14C7" w:rsidRDefault="00E401AB" w:rsidP="00CC3B92">
            <w:pPr>
              <w:jc w:val="both"/>
              <w:rPr>
                <w:rFonts w:eastAsia="Times New Roman" w:cs="Times New Roman"/>
                <w:color w:val="000000"/>
                <w:sz w:val="26"/>
                <w:szCs w:val="26"/>
                <w:lang w:eastAsia="lv-LV"/>
              </w:rPr>
            </w:pPr>
          </w:p>
          <w:p w14:paraId="6EC78D72" w14:textId="77777777" w:rsidR="00D908FA" w:rsidRPr="007D14C7" w:rsidRDefault="00E401AB" w:rsidP="00E401AB">
            <w:pPr>
              <w:jc w:val="both"/>
              <w:rPr>
                <w:rFonts w:eastAsia="Times New Roman" w:cs="Times New Roman"/>
                <w:color w:val="000000"/>
                <w:sz w:val="26"/>
                <w:szCs w:val="26"/>
                <w:lang w:eastAsia="lv-LV"/>
              </w:rPr>
            </w:pPr>
            <w:r w:rsidRPr="007D14C7">
              <w:rPr>
                <w:rFonts w:eastAsia="Times New Roman" w:cs="Times New Roman"/>
                <w:color w:val="000000"/>
                <w:sz w:val="26"/>
                <w:szCs w:val="26"/>
                <w:lang w:eastAsia="lv-LV"/>
              </w:rPr>
              <w:t>Līdz projektu iesniegumu iesniegšanai un arī pēc tam visiem projektu iesniedzējiem tika nodrošinātas vienādas tiesības, tādējādi neradot vienlīdzības un tiesiskās noteiktības principa pārkāpumu.</w:t>
            </w:r>
          </w:p>
          <w:p w14:paraId="788A4E9D" w14:textId="77777777" w:rsidR="008F7CDA" w:rsidRPr="007D14C7" w:rsidRDefault="008F7CDA" w:rsidP="008F7CDA">
            <w:pPr>
              <w:jc w:val="both"/>
              <w:rPr>
                <w:rFonts w:eastAsia="Times New Roman" w:cs="Times New Roman"/>
                <w:color w:val="000000"/>
                <w:sz w:val="26"/>
                <w:szCs w:val="26"/>
                <w:lang w:eastAsia="lv-LV"/>
              </w:rPr>
            </w:pPr>
            <w:r w:rsidRPr="007D14C7">
              <w:rPr>
                <w:rFonts w:eastAsia="Times New Roman" w:cs="Times New Roman"/>
                <w:color w:val="000000"/>
                <w:sz w:val="26"/>
                <w:szCs w:val="26"/>
                <w:lang w:eastAsia="lv-LV"/>
              </w:rPr>
              <w:t xml:space="preserve">Papildu tam, ar Noteikumu projektu, tiks organizēti papildu uzsaukumi ideju iesniegšanai </w:t>
            </w:r>
            <w:proofErr w:type="spellStart"/>
            <w:r w:rsidRPr="007D14C7">
              <w:rPr>
                <w:rFonts w:eastAsia="Times New Roman" w:cs="Times New Roman"/>
                <w:color w:val="000000"/>
                <w:sz w:val="26"/>
                <w:szCs w:val="26"/>
                <w:lang w:eastAsia="lv-LV"/>
              </w:rPr>
              <w:t>pirmsinkubācijas</w:t>
            </w:r>
            <w:proofErr w:type="spellEnd"/>
            <w:r w:rsidRPr="007D14C7">
              <w:rPr>
                <w:rFonts w:eastAsia="Times New Roman" w:cs="Times New Roman"/>
                <w:color w:val="000000"/>
                <w:sz w:val="26"/>
                <w:szCs w:val="26"/>
                <w:lang w:eastAsia="lv-LV"/>
              </w:rPr>
              <w:t xml:space="preserve"> pakalpojumu saņemšanai.</w:t>
            </w:r>
          </w:p>
        </w:tc>
      </w:tr>
      <w:tr w:rsidR="003D5C72" w:rsidRPr="007D14C7" w14:paraId="52A73CCC" w14:textId="77777777" w:rsidTr="00D87D0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45BCCE0"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lastRenderedPageBreak/>
              <w:t>2.</w:t>
            </w:r>
          </w:p>
        </w:tc>
        <w:tc>
          <w:tcPr>
            <w:tcW w:w="1155" w:type="pct"/>
            <w:tcBorders>
              <w:top w:val="outset" w:sz="6" w:space="0" w:color="414142"/>
              <w:left w:val="outset" w:sz="6" w:space="0" w:color="414142"/>
              <w:bottom w:val="outset" w:sz="6" w:space="0" w:color="414142"/>
              <w:right w:val="outset" w:sz="6" w:space="0" w:color="414142"/>
            </w:tcBorders>
            <w:hideMark/>
          </w:tcPr>
          <w:p w14:paraId="60CF7E85" w14:textId="77777777" w:rsidR="003D5C72" w:rsidRPr="007D14C7" w:rsidRDefault="003D5C72" w:rsidP="002D6D8A">
            <w:pPr>
              <w:jc w:val="both"/>
              <w:rPr>
                <w:rFonts w:eastAsia="Times New Roman" w:cs="Times New Roman"/>
                <w:sz w:val="26"/>
                <w:szCs w:val="26"/>
              </w:rPr>
            </w:pPr>
            <w:r w:rsidRPr="007D14C7">
              <w:rPr>
                <w:rFonts w:eastAsia="Times New Roman" w:cs="Times New Roman"/>
                <w:sz w:val="26"/>
                <w:szCs w:val="26"/>
              </w:rPr>
              <w:t>Tiesiskā regulējuma ietekme uz tautsaimniecību un administratīvo slogu</w:t>
            </w:r>
          </w:p>
        </w:tc>
        <w:tc>
          <w:tcPr>
            <w:tcW w:w="3595" w:type="pct"/>
            <w:tcBorders>
              <w:top w:val="outset" w:sz="6" w:space="0" w:color="414142"/>
              <w:left w:val="outset" w:sz="6" w:space="0" w:color="414142"/>
              <w:bottom w:val="outset" w:sz="6" w:space="0" w:color="414142"/>
              <w:right w:val="outset" w:sz="6" w:space="0" w:color="414142"/>
            </w:tcBorders>
            <w:hideMark/>
          </w:tcPr>
          <w:p w14:paraId="1335A9A8" w14:textId="77777777" w:rsidR="00E82CAE" w:rsidRPr="007D14C7" w:rsidRDefault="00E82CAE" w:rsidP="002D6D8A">
            <w:pPr>
              <w:jc w:val="both"/>
              <w:rPr>
                <w:sz w:val="26"/>
                <w:szCs w:val="26"/>
              </w:rPr>
            </w:pPr>
            <w:r w:rsidRPr="007D14C7">
              <w:rPr>
                <w:sz w:val="26"/>
                <w:szCs w:val="26"/>
              </w:rPr>
              <w:t xml:space="preserve">Noteikumu projekts </w:t>
            </w:r>
            <w:r w:rsidR="003D5C72" w:rsidRPr="007D14C7">
              <w:rPr>
                <w:sz w:val="26"/>
                <w:szCs w:val="26"/>
              </w:rPr>
              <w:t xml:space="preserve">paredz </w:t>
            </w:r>
            <w:r w:rsidR="00E21FFD" w:rsidRPr="007D14C7">
              <w:rPr>
                <w:sz w:val="26"/>
                <w:szCs w:val="26"/>
              </w:rPr>
              <w:t>palielināt</w:t>
            </w:r>
            <w:r w:rsidR="003D5C72" w:rsidRPr="007D14C7">
              <w:rPr>
                <w:sz w:val="26"/>
                <w:szCs w:val="26"/>
              </w:rPr>
              <w:t xml:space="preserve"> Ministru kabineta 2013.gada </w:t>
            </w:r>
            <w:r w:rsidR="002517CB" w:rsidRPr="007D14C7">
              <w:rPr>
                <w:sz w:val="26"/>
                <w:szCs w:val="26"/>
              </w:rPr>
              <w:t>2</w:t>
            </w:r>
            <w:r w:rsidR="003D5C72" w:rsidRPr="007D14C7">
              <w:rPr>
                <w:sz w:val="26"/>
                <w:szCs w:val="26"/>
              </w:rPr>
              <w:t>.</w:t>
            </w:r>
            <w:r w:rsidR="002517CB" w:rsidRPr="007D14C7">
              <w:rPr>
                <w:sz w:val="26"/>
                <w:szCs w:val="26"/>
              </w:rPr>
              <w:t>aprīļa</w:t>
            </w:r>
            <w:r w:rsidR="003D5C72" w:rsidRPr="007D14C7">
              <w:rPr>
                <w:sz w:val="26"/>
                <w:szCs w:val="26"/>
              </w:rPr>
              <w:t xml:space="preserve"> noteikumu Nr.</w:t>
            </w:r>
            <w:r w:rsidR="002517CB" w:rsidRPr="007D14C7">
              <w:rPr>
                <w:sz w:val="26"/>
                <w:szCs w:val="26"/>
              </w:rPr>
              <w:t>181</w:t>
            </w:r>
            <w:r w:rsidR="00E21176" w:rsidRPr="007D14C7">
              <w:rPr>
                <w:sz w:val="26"/>
                <w:szCs w:val="26"/>
              </w:rPr>
              <w:t xml:space="preserve"> </w:t>
            </w:r>
            <w:r w:rsidR="00E21176" w:rsidRPr="007D14C7">
              <w:rPr>
                <w:rFonts w:ascii="Cambria" w:hAnsi="Cambria"/>
                <w:sz w:val="26"/>
                <w:szCs w:val="26"/>
              </w:rPr>
              <w:t>"</w:t>
            </w:r>
            <w:r w:rsidR="003D5C72" w:rsidRPr="007D14C7">
              <w:rPr>
                <w:sz w:val="26"/>
                <w:szCs w:val="26"/>
              </w:rPr>
              <w:t>Norvēģijas finanšu instrumenta 2009</w:t>
            </w:r>
            <w:r w:rsidR="00E21176" w:rsidRPr="007D14C7">
              <w:rPr>
                <w:sz w:val="26"/>
                <w:szCs w:val="26"/>
              </w:rPr>
              <w:t xml:space="preserve">.-2014.gada perioda programmas </w:t>
            </w:r>
            <w:r w:rsidR="00E21176" w:rsidRPr="007D14C7">
              <w:rPr>
                <w:rFonts w:ascii="Cambria" w:hAnsi="Cambria"/>
                <w:sz w:val="26"/>
                <w:szCs w:val="26"/>
              </w:rPr>
              <w:t>"</w:t>
            </w:r>
            <w:r w:rsidR="00E21176" w:rsidRPr="007D14C7">
              <w:rPr>
                <w:sz w:val="26"/>
                <w:szCs w:val="26"/>
              </w:rPr>
              <w:t xml:space="preserve">Inovācijas </w:t>
            </w:r>
            <w:r w:rsidR="00E21176" w:rsidRPr="007D14C7">
              <w:rPr>
                <w:rFonts w:ascii="Cambria" w:hAnsi="Cambria"/>
                <w:sz w:val="26"/>
                <w:szCs w:val="26"/>
              </w:rPr>
              <w:t>"</w:t>
            </w:r>
            <w:r w:rsidR="00E21176" w:rsidRPr="007D14C7">
              <w:rPr>
                <w:sz w:val="26"/>
                <w:szCs w:val="26"/>
              </w:rPr>
              <w:t>zaļās</w:t>
            </w:r>
            <w:r w:rsidR="00E21176" w:rsidRPr="007D14C7">
              <w:rPr>
                <w:rFonts w:ascii="Cambria" w:hAnsi="Cambria"/>
                <w:sz w:val="26"/>
                <w:szCs w:val="26"/>
              </w:rPr>
              <w:t>"</w:t>
            </w:r>
            <w:r w:rsidR="003D5C72" w:rsidRPr="007D14C7">
              <w:rPr>
                <w:sz w:val="26"/>
                <w:szCs w:val="26"/>
              </w:rPr>
              <w:t xml:space="preserve"> ražošanas jomā” īstenošanas kārtība”</w:t>
            </w:r>
            <w:r w:rsidR="00B1476A" w:rsidRPr="007D14C7">
              <w:rPr>
                <w:sz w:val="26"/>
                <w:szCs w:val="26"/>
              </w:rPr>
              <w:t xml:space="preserve"> (turpmāk – P</w:t>
            </w:r>
            <w:r w:rsidR="00E629A2" w:rsidRPr="007D14C7">
              <w:rPr>
                <w:sz w:val="26"/>
                <w:szCs w:val="26"/>
              </w:rPr>
              <w:t>rogramma)</w:t>
            </w:r>
            <w:r w:rsidR="003D5C72" w:rsidRPr="007D14C7">
              <w:rPr>
                <w:sz w:val="26"/>
                <w:szCs w:val="26"/>
              </w:rPr>
              <w:t xml:space="preserve"> </w:t>
            </w:r>
            <w:r w:rsidR="00E21FFD" w:rsidRPr="007D14C7">
              <w:rPr>
                <w:sz w:val="26"/>
                <w:szCs w:val="26"/>
              </w:rPr>
              <w:t>NAGS pieejamo finan</w:t>
            </w:r>
            <w:r w:rsidR="00B1476A" w:rsidRPr="007D14C7">
              <w:rPr>
                <w:sz w:val="26"/>
                <w:szCs w:val="26"/>
              </w:rPr>
              <w:t xml:space="preserve">sējumu no atlikuma, kas izveidojies atklātā konkursā. Tādējādi atbalsts varētu tikt sniegts papildus vēl </w:t>
            </w:r>
            <w:r w:rsidRPr="007D14C7">
              <w:rPr>
                <w:sz w:val="26"/>
                <w:szCs w:val="26"/>
              </w:rPr>
              <w:t>vismaz 4 komersantiem jaunas komercdarbības aktivitātes uzsākšan</w:t>
            </w:r>
            <w:r w:rsidR="00A072E4" w:rsidRPr="007D14C7">
              <w:rPr>
                <w:sz w:val="26"/>
                <w:szCs w:val="26"/>
              </w:rPr>
              <w:t xml:space="preserve">ai </w:t>
            </w:r>
            <w:r w:rsidR="00B1476A" w:rsidRPr="007D14C7">
              <w:rPr>
                <w:sz w:val="26"/>
                <w:szCs w:val="26"/>
              </w:rPr>
              <w:t xml:space="preserve">ar nolūku veicināt inovatīvu, videi draudzīgu produktu ražošanu un tehnoloģiju izstrādi, tostarp sniedzot ieguldījumu jaunu darba vietu izveidē. Informāciju par noslēgtajiem līgumiem  par NAGS projektu iesniegumu īstenošanu nepieciešams ievadīt </w:t>
            </w:r>
            <w:proofErr w:type="spellStart"/>
            <w:r w:rsidR="00B1476A" w:rsidRPr="007D14C7">
              <w:rPr>
                <w:sz w:val="26"/>
                <w:szCs w:val="26"/>
              </w:rPr>
              <w:t>DoRIS</w:t>
            </w:r>
            <w:proofErr w:type="spellEnd"/>
            <w:r w:rsidR="00B1476A" w:rsidRPr="007D14C7">
              <w:rPr>
                <w:sz w:val="26"/>
                <w:szCs w:val="26"/>
              </w:rPr>
              <w:t xml:space="preserve"> līdz </w:t>
            </w:r>
            <w:r w:rsidR="00A072E4" w:rsidRPr="007D14C7">
              <w:rPr>
                <w:sz w:val="26"/>
                <w:szCs w:val="26"/>
              </w:rPr>
              <w:t>2015</w:t>
            </w:r>
            <w:r w:rsidR="00B1476A" w:rsidRPr="007D14C7">
              <w:rPr>
                <w:sz w:val="26"/>
                <w:szCs w:val="26"/>
              </w:rPr>
              <w:t>.gada 15.septembrim.</w:t>
            </w:r>
          </w:p>
          <w:p w14:paraId="0CBA56BE" w14:textId="77777777" w:rsidR="00E82CAE" w:rsidRPr="007D14C7" w:rsidRDefault="00AC4D42" w:rsidP="002D6D8A">
            <w:pPr>
              <w:jc w:val="both"/>
              <w:rPr>
                <w:sz w:val="26"/>
                <w:szCs w:val="26"/>
              </w:rPr>
            </w:pPr>
            <w:r w:rsidRPr="007D14C7">
              <w:rPr>
                <w:sz w:val="26"/>
                <w:szCs w:val="26"/>
              </w:rPr>
              <w:t>Palielinot NAGS atbalsta kopējo pieejamo finansējumu, pārdalot to no atklāta projektu ko</w:t>
            </w:r>
            <w:r w:rsidR="00B1476A" w:rsidRPr="007D14C7">
              <w:rPr>
                <w:sz w:val="26"/>
                <w:szCs w:val="26"/>
              </w:rPr>
              <w:t>nkursa pāri palikušā finansējuma</w:t>
            </w:r>
            <w:r w:rsidRPr="007D14C7">
              <w:rPr>
                <w:sz w:val="26"/>
                <w:szCs w:val="26"/>
              </w:rPr>
              <w:t>, Programmas īstenošanai piešķirtais Latvijas valsts budžeta līdzfinansējums 10% apmērā no kopē</w:t>
            </w:r>
            <w:r w:rsidR="00B1476A" w:rsidRPr="007D14C7">
              <w:rPr>
                <w:sz w:val="26"/>
                <w:szCs w:val="26"/>
              </w:rPr>
              <w:t>jā Programmas budžeta nemainās.</w:t>
            </w:r>
          </w:p>
          <w:p w14:paraId="639E8027" w14:textId="77777777" w:rsidR="003D5C72" w:rsidRPr="007D14C7" w:rsidRDefault="00F735B7" w:rsidP="00B1476A">
            <w:pPr>
              <w:jc w:val="both"/>
              <w:rPr>
                <w:sz w:val="26"/>
                <w:szCs w:val="26"/>
              </w:rPr>
            </w:pPr>
            <w:r w:rsidRPr="007D14C7">
              <w:rPr>
                <w:sz w:val="26"/>
                <w:szCs w:val="26"/>
              </w:rPr>
              <w:t>Noteikumu projekts nep</w:t>
            </w:r>
            <w:r w:rsidR="00B1476A" w:rsidRPr="007D14C7">
              <w:rPr>
                <w:sz w:val="26"/>
                <w:szCs w:val="26"/>
              </w:rPr>
              <w:t>aredz tādas izmaiņas spēkā esošajā</w:t>
            </w:r>
            <w:r w:rsidRPr="007D14C7">
              <w:rPr>
                <w:sz w:val="26"/>
                <w:szCs w:val="26"/>
              </w:rPr>
              <w:t xml:space="preserve"> re</w:t>
            </w:r>
            <w:r w:rsidR="00A072E4" w:rsidRPr="007D14C7">
              <w:rPr>
                <w:sz w:val="26"/>
                <w:szCs w:val="26"/>
              </w:rPr>
              <w:t>gulējumā, kur</w:t>
            </w:r>
            <w:r w:rsidR="00B1476A" w:rsidRPr="007D14C7">
              <w:rPr>
                <w:sz w:val="26"/>
                <w:szCs w:val="26"/>
              </w:rPr>
              <w:t>a</w:t>
            </w:r>
            <w:r w:rsidR="00A072E4" w:rsidRPr="007D14C7">
              <w:rPr>
                <w:sz w:val="26"/>
                <w:szCs w:val="26"/>
              </w:rPr>
              <w:t xml:space="preserve"> </w:t>
            </w:r>
            <w:r w:rsidRPr="007D14C7">
              <w:rPr>
                <w:sz w:val="26"/>
                <w:szCs w:val="26"/>
              </w:rPr>
              <w:t xml:space="preserve">rezultātā paaugstinātos vai samazinātos </w:t>
            </w:r>
            <w:r w:rsidR="00A633A8" w:rsidRPr="007D14C7">
              <w:rPr>
                <w:sz w:val="26"/>
                <w:szCs w:val="26"/>
              </w:rPr>
              <w:t xml:space="preserve">administratīvais </w:t>
            </w:r>
            <w:r w:rsidRPr="007D14C7">
              <w:rPr>
                <w:sz w:val="26"/>
                <w:szCs w:val="26"/>
              </w:rPr>
              <w:t>slogs potenciālajiem projekta iesniedzējiem.</w:t>
            </w:r>
          </w:p>
        </w:tc>
      </w:tr>
      <w:tr w:rsidR="003D5C72" w:rsidRPr="007D14C7" w14:paraId="0BAEF557" w14:textId="77777777" w:rsidTr="00D87D0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4D435C6"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3.</w:t>
            </w:r>
          </w:p>
        </w:tc>
        <w:tc>
          <w:tcPr>
            <w:tcW w:w="1155" w:type="pct"/>
            <w:tcBorders>
              <w:top w:val="outset" w:sz="6" w:space="0" w:color="414142"/>
              <w:left w:val="outset" w:sz="6" w:space="0" w:color="414142"/>
              <w:bottom w:val="outset" w:sz="6" w:space="0" w:color="414142"/>
              <w:right w:val="outset" w:sz="6" w:space="0" w:color="414142"/>
            </w:tcBorders>
            <w:hideMark/>
          </w:tcPr>
          <w:p w14:paraId="0C1FDAB4"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Administratīvo izmaksu monetārs novērtējums</w:t>
            </w:r>
          </w:p>
        </w:tc>
        <w:tc>
          <w:tcPr>
            <w:tcW w:w="3595" w:type="pct"/>
            <w:tcBorders>
              <w:top w:val="outset" w:sz="6" w:space="0" w:color="414142"/>
              <w:left w:val="outset" w:sz="6" w:space="0" w:color="414142"/>
              <w:bottom w:val="outset" w:sz="6" w:space="0" w:color="414142"/>
              <w:right w:val="outset" w:sz="6" w:space="0" w:color="414142"/>
            </w:tcBorders>
            <w:hideMark/>
          </w:tcPr>
          <w:p w14:paraId="3D15E2EA"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Projekts šo jomu neskar.</w:t>
            </w:r>
          </w:p>
        </w:tc>
      </w:tr>
      <w:tr w:rsidR="003D5C72" w:rsidRPr="007D14C7" w14:paraId="18BC6D7B" w14:textId="77777777" w:rsidTr="00D87D08">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206C546"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lastRenderedPageBreak/>
              <w:t>4.</w:t>
            </w:r>
          </w:p>
        </w:tc>
        <w:tc>
          <w:tcPr>
            <w:tcW w:w="1155" w:type="pct"/>
            <w:tcBorders>
              <w:top w:val="outset" w:sz="6" w:space="0" w:color="414142"/>
              <w:left w:val="outset" w:sz="6" w:space="0" w:color="414142"/>
              <w:bottom w:val="outset" w:sz="6" w:space="0" w:color="414142"/>
              <w:right w:val="outset" w:sz="6" w:space="0" w:color="414142"/>
            </w:tcBorders>
            <w:hideMark/>
          </w:tcPr>
          <w:p w14:paraId="68CAF0E2"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4C8801DE" w14:textId="77777777" w:rsidR="003D5C72" w:rsidRPr="007D14C7" w:rsidRDefault="003D5C72" w:rsidP="002D6D8A">
            <w:pPr>
              <w:spacing w:before="100" w:beforeAutospacing="1" w:after="100" w:afterAutospacing="1" w:line="293" w:lineRule="atLeast"/>
              <w:jc w:val="both"/>
              <w:rPr>
                <w:rFonts w:eastAsia="Times New Roman" w:cs="Times New Roman"/>
                <w:sz w:val="26"/>
                <w:szCs w:val="26"/>
              </w:rPr>
            </w:pPr>
            <w:r w:rsidRPr="007D14C7">
              <w:rPr>
                <w:rFonts w:eastAsia="Times New Roman" w:cs="Times New Roman"/>
                <w:sz w:val="26"/>
                <w:szCs w:val="26"/>
              </w:rPr>
              <w:t>Nav.</w:t>
            </w:r>
          </w:p>
        </w:tc>
      </w:tr>
    </w:tbl>
    <w:p w14:paraId="0FC0B445" w14:textId="77777777" w:rsidR="003D5C72" w:rsidRPr="007D14C7" w:rsidRDefault="003D5C72" w:rsidP="003D5C72">
      <w:pPr>
        <w:shd w:val="clear" w:color="auto" w:fill="FFFFFF"/>
        <w:spacing w:before="100" w:beforeAutospacing="1" w:after="100" w:afterAutospacing="1" w:line="293" w:lineRule="atLeast"/>
        <w:ind w:firstLine="300"/>
        <w:rPr>
          <w:rFonts w:ascii="Arial" w:eastAsia="Times New Roman" w:hAnsi="Arial" w:cs="Arial"/>
          <w:color w:val="414142"/>
          <w:sz w:val="26"/>
          <w:szCs w:val="26"/>
        </w:rPr>
      </w:pPr>
      <w:r w:rsidRPr="007D14C7">
        <w:rPr>
          <w:rFonts w:ascii="Arial" w:eastAsia="Times New Roman" w:hAnsi="Arial" w:cs="Arial"/>
          <w:color w:val="414142"/>
          <w:sz w:val="26"/>
          <w:szCs w:val="26"/>
        </w:rPr>
        <w:t> </w:t>
      </w:r>
    </w:p>
    <w:tbl>
      <w:tblPr>
        <w:tblW w:w="506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60"/>
        <w:gridCol w:w="1163"/>
        <w:gridCol w:w="1525"/>
        <w:gridCol w:w="1191"/>
        <w:gridCol w:w="1163"/>
        <w:gridCol w:w="1071"/>
      </w:tblGrid>
      <w:tr w:rsidR="003D5C72" w:rsidRPr="007D14C7" w14:paraId="4D9DB720" w14:textId="77777777" w:rsidTr="00D5277D">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ED07176" w14:textId="77777777" w:rsidR="003D5C72" w:rsidRPr="007D14C7" w:rsidRDefault="003D5C72"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III. Tiesību akta projekta ietekme uz valsts budžetu un pašvaldību budžetiem</w:t>
            </w:r>
          </w:p>
        </w:tc>
      </w:tr>
      <w:tr w:rsidR="003D5C72" w:rsidRPr="007D14C7" w14:paraId="7DDAE150" w14:textId="77777777" w:rsidTr="00D5277D">
        <w:trPr>
          <w:jc w:val="center"/>
        </w:trPr>
        <w:tc>
          <w:tcPr>
            <w:tcW w:w="1668" w:type="pct"/>
            <w:vMerge w:val="restart"/>
            <w:tcBorders>
              <w:top w:val="outset" w:sz="6" w:space="0" w:color="414142"/>
              <w:left w:val="outset" w:sz="6" w:space="0" w:color="414142"/>
              <w:bottom w:val="outset" w:sz="6" w:space="0" w:color="414142"/>
              <w:right w:val="outset" w:sz="6" w:space="0" w:color="414142"/>
            </w:tcBorders>
            <w:vAlign w:val="center"/>
            <w:hideMark/>
          </w:tcPr>
          <w:p w14:paraId="368718D2" w14:textId="77777777" w:rsidR="003D5C72" w:rsidRPr="007D14C7" w:rsidRDefault="003D5C72"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Rādītāji</w:t>
            </w:r>
          </w:p>
        </w:tc>
        <w:tc>
          <w:tcPr>
            <w:tcW w:w="146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D01417" w14:textId="66D37633" w:rsidR="003D5C72" w:rsidRPr="007D14C7" w:rsidRDefault="00242A60"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2015.</w:t>
            </w:r>
            <w:r w:rsidR="003D5C72" w:rsidRPr="007D14C7">
              <w:rPr>
                <w:rFonts w:eastAsia="Times New Roman" w:cs="Times New Roman"/>
                <w:b/>
                <w:bCs/>
                <w:sz w:val="26"/>
                <w:szCs w:val="26"/>
              </w:rPr>
              <w:t xml:space="preserve"> gads</w:t>
            </w:r>
          </w:p>
        </w:tc>
        <w:tc>
          <w:tcPr>
            <w:tcW w:w="1867" w:type="pct"/>
            <w:gridSpan w:val="3"/>
            <w:tcBorders>
              <w:top w:val="outset" w:sz="6" w:space="0" w:color="414142"/>
              <w:left w:val="outset" w:sz="6" w:space="0" w:color="414142"/>
              <w:bottom w:val="outset" w:sz="6" w:space="0" w:color="414142"/>
              <w:right w:val="outset" w:sz="6" w:space="0" w:color="414142"/>
            </w:tcBorders>
            <w:vAlign w:val="center"/>
            <w:hideMark/>
          </w:tcPr>
          <w:p w14:paraId="049FB477"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Turpmākie trīs gadi (</w:t>
            </w:r>
            <w:proofErr w:type="spellStart"/>
            <w:r w:rsidRPr="007D14C7">
              <w:rPr>
                <w:rFonts w:eastAsia="Times New Roman" w:cs="Times New Roman"/>
                <w:i/>
                <w:iCs/>
                <w:sz w:val="26"/>
                <w:szCs w:val="26"/>
              </w:rPr>
              <w:t>euro</w:t>
            </w:r>
            <w:proofErr w:type="spellEnd"/>
            <w:r w:rsidRPr="007D14C7">
              <w:rPr>
                <w:rFonts w:eastAsia="Times New Roman" w:cs="Times New Roman"/>
                <w:sz w:val="26"/>
                <w:szCs w:val="26"/>
              </w:rPr>
              <w:t>)</w:t>
            </w:r>
          </w:p>
        </w:tc>
      </w:tr>
      <w:tr w:rsidR="003D5C72" w:rsidRPr="007D14C7" w14:paraId="620F80D5" w14:textId="77777777" w:rsidTr="00D5277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02C115" w14:textId="77777777" w:rsidR="003D5C72" w:rsidRPr="007D14C7" w:rsidRDefault="003D5C72" w:rsidP="002D6D8A">
            <w:pPr>
              <w:rPr>
                <w:rFonts w:eastAsia="Times New Roman" w:cs="Times New Roman"/>
                <w:b/>
                <w:bCs/>
                <w:sz w:val="26"/>
                <w:szCs w:val="26"/>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1B628C1" w14:textId="77777777" w:rsidR="003D5C72" w:rsidRPr="007D14C7" w:rsidRDefault="003D5C72" w:rsidP="002D6D8A">
            <w:pPr>
              <w:rPr>
                <w:rFonts w:eastAsia="Times New Roman" w:cs="Times New Roman"/>
                <w:b/>
                <w:bCs/>
                <w:sz w:val="26"/>
                <w:szCs w:val="26"/>
              </w:rPr>
            </w:pP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7446640E" w14:textId="596A6069" w:rsidR="003D5C72" w:rsidRPr="007D14C7" w:rsidRDefault="00242A60"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2016</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4B795550" w14:textId="61018CD6" w:rsidR="003D5C72" w:rsidRPr="007D14C7" w:rsidRDefault="00242A60"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2017</w:t>
            </w:r>
          </w:p>
        </w:tc>
        <w:tc>
          <w:tcPr>
            <w:tcW w:w="584" w:type="pct"/>
            <w:tcBorders>
              <w:top w:val="outset" w:sz="6" w:space="0" w:color="414142"/>
              <w:left w:val="outset" w:sz="6" w:space="0" w:color="414142"/>
              <w:bottom w:val="outset" w:sz="6" w:space="0" w:color="414142"/>
              <w:right w:val="outset" w:sz="6" w:space="0" w:color="414142"/>
            </w:tcBorders>
            <w:vAlign w:val="center"/>
            <w:hideMark/>
          </w:tcPr>
          <w:p w14:paraId="08CAAB04" w14:textId="26A079D6" w:rsidR="003D5C72" w:rsidRPr="007D14C7" w:rsidRDefault="00E93AF6"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2018</w:t>
            </w:r>
          </w:p>
        </w:tc>
      </w:tr>
      <w:tr w:rsidR="003D5C72" w:rsidRPr="007D14C7" w14:paraId="0E0A67C7" w14:textId="77777777" w:rsidTr="00D5277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CE570E" w14:textId="77777777" w:rsidR="003D5C72" w:rsidRPr="007D14C7" w:rsidRDefault="003D5C72" w:rsidP="002D6D8A">
            <w:pPr>
              <w:rPr>
                <w:rFonts w:eastAsia="Times New Roman" w:cs="Times New Roman"/>
                <w:b/>
                <w:bCs/>
                <w:sz w:val="26"/>
                <w:szCs w:val="26"/>
              </w:rPr>
            </w:pP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11EE683D"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saskaņā ar valsts budžetu kārtējam gadam</w:t>
            </w:r>
          </w:p>
        </w:tc>
        <w:tc>
          <w:tcPr>
            <w:tcW w:w="831" w:type="pct"/>
            <w:tcBorders>
              <w:top w:val="outset" w:sz="6" w:space="0" w:color="414142"/>
              <w:left w:val="outset" w:sz="6" w:space="0" w:color="414142"/>
              <w:bottom w:val="outset" w:sz="6" w:space="0" w:color="414142"/>
              <w:right w:val="outset" w:sz="6" w:space="0" w:color="414142"/>
            </w:tcBorders>
            <w:vAlign w:val="center"/>
            <w:hideMark/>
          </w:tcPr>
          <w:p w14:paraId="0221AFD3"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izmaiņas kārtējā gadā, salīdzinot ar valsts budžetu kārtējam gadam</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6162E5F3"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izmaiņas, salīdzinot ar kārtējo (n) gadu</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A1C933E"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izmaiņas, salīdzinot ar kārtējo (n) gadu</w:t>
            </w:r>
          </w:p>
        </w:tc>
        <w:tc>
          <w:tcPr>
            <w:tcW w:w="584" w:type="pct"/>
            <w:tcBorders>
              <w:top w:val="outset" w:sz="6" w:space="0" w:color="414142"/>
              <w:left w:val="outset" w:sz="6" w:space="0" w:color="414142"/>
              <w:bottom w:val="outset" w:sz="6" w:space="0" w:color="414142"/>
              <w:right w:val="outset" w:sz="6" w:space="0" w:color="414142"/>
            </w:tcBorders>
            <w:vAlign w:val="center"/>
            <w:hideMark/>
          </w:tcPr>
          <w:p w14:paraId="25497496"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izmaiņas, salīdzinot ar kārtējo (n) gadu</w:t>
            </w:r>
          </w:p>
        </w:tc>
      </w:tr>
      <w:tr w:rsidR="003D5C72" w:rsidRPr="007D14C7" w14:paraId="36E5FF60"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vAlign w:val="center"/>
            <w:hideMark/>
          </w:tcPr>
          <w:p w14:paraId="403BE322"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1</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54855EC6" w14:textId="77777777" w:rsidR="003D5C72" w:rsidRPr="007D14C7" w:rsidRDefault="003D5C72" w:rsidP="00C87E3C">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2</w:t>
            </w:r>
          </w:p>
        </w:tc>
        <w:tc>
          <w:tcPr>
            <w:tcW w:w="831" w:type="pct"/>
            <w:tcBorders>
              <w:top w:val="outset" w:sz="6" w:space="0" w:color="414142"/>
              <w:left w:val="outset" w:sz="6" w:space="0" w:color="414142"/>
              <w:bottom w:val="outset" w:sz="6" w:space="0" w:color="414142"/>
              <w:right w:val="outset" w:sz="6" w:space="0" w:color="414142"/>
            </w:tcBorders>
            <w:vAlign w:val="center"/>
            <w:hideMark/>
          </w:tcPr>
          <w:p w14:paraId="1B91C074" w14:textId="77777777" w:rsidR="003D5C72" w:rsidRPr="007D14C7" w:rsidRDefault="003D5C72" w:rsidP="00C87E3C">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3</w:t>
            </w:r>
          </w:p>
        </w:tc>
        <w:tc>
          <w:tcPr>
            <w:tcW w:w="649" w:type="pct"/>
            <w:tcBorders>
              <w:top w:val="outset" w:sz="6" w:space="0" w:color="414142"/>
              <w:left w:val="outset" w:sz="6" w:space="0" w:color="414142"/>
              <w:bottom w:val="outset" w:sz="6" w:space="0" w:color="414142"/>
              <w:right w:val="outset" w:sz="6" w:space="0" w:color="414142"/>
            </w:tcBorders>
            <w:vAlign w:val="center"/>
            <w:hideMark/>
          </w:tcPr>
          <w:p w14:paraId="4190D28B" w14:textId="77777777" w:rsidR="003D5C72" w:rsidRPr="007D14C7" w:rsidRDefault="003D5C72" w:rsidP="00C87E3C">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4</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6BEA055F" w14:textId="77777777" w:rsidR="003D5C72" w:rsidRPr="007D14C7" w:rsidRDefault="003D5C72" w:rsidP="00C87E3C">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5</w:t>
            </w:r>
          </w:p>
        </w:tc>
        <w:tc>
          <w:tcPr>
            <w:tcW w:w="584" w:type="pct"/>
            <w:tcBorders>
              <w:top w:val="outset" w:sz="6" w:space="0" w:color="414142"/>
              <w:left w:val="outset" w:sz="6" w:space="0" w:color="414142"/>
              <w:bottom w:val="outset" w:sz="6" w:space="0" w:color="414142"/>
              <w:right w:val="outset" w:sz="6" w:space="0" w:color="414142"/>
            </w:tcBorders>
            <w:vAlign w:val="center"/>
            <w:hideMark/>
          </w:tcPr>
          <w:p w14:paraId="0BDCF66A" w14:textId="77777777" w:rsidR="003D5C72" w:rsidRPr="007D14C7" w:rsidRDefault="003D5C72" w:rsidP="00C87E3C">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6</w:t>
            </w:r>
          </w:p>
        </w:tc>
      </w:tr>
      <w:tr w:rsidR="003D5C72" w:rsidRPr="007D14C7" w14:paraId="2AAD0B48"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3082C890"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1. Budžeta ieņēmumi:</w:t>
            </w:r>
          </w:p>
        </w:tc>
        <w:tc>
          <w:tcPr>
            <w:tcW w:w="634" w:type="pct"/>
            <w:tcBorders>
              <w:top w:val="outset" w:sz="6" w:space="0" w:color="414142"/>
              <w:left w:val="outset" w:sz="6" w:space="0" w:color="414142"/>
              <w:bottom w:val="outset" w:sz="6" w:space="0" w:color="414142"/>
              <w:right w:val="outset" w:sz="6" w:space="0" w:color="414142"/>
            </w:tcBorders>
            <w:hideMark/>
          </w:tcPr>
          <w:p w14:paraId="2455091E"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831" w:type="pct"/>
            <w:tcBorders>
              <w:top w:val="outset" w:sz="6" w:space="0" w:color="414142"/>
              <w:left w:val="outset" w:sz="6" w:space="0" w:color="414142"/>
              <w:bottom w:val="outset" w:sz="6" w:space="0" w:color="414142"/>
              <w:right w:val="outset" w:sz="6" w:space="0" w:color="414142"/>
            </w:tcBorders>
            <w:hideMark/>
          </w:tcPr>
          <w:p w14:paraId="6D4B7E57"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043AC386"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5D6B9F27"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04C59335"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557B6B9D"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4B969762"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1.1. valsts pamatbudžets, tai skaitā ieņēmumi no maksas pakalpojumiem un citi pašu ieņēmumi</w:t>
            </w:r>
          </w:p>
        </w:tc>
        <w:tc>
          <w:tcPr>
            <w:tcW w:w="634" w:type="pct"/>
            <w:tcBorders>
              <w:top w:val="outset" w:sz="6" w:space="0" w:color="414142"/>
              <w:left w:val="outset" w:sz="6" w:space="0" w:color="414142"/>
              <w:bottom w:val="outset" w:sz="6" w:space="0" w:color="414142"/>
              <w:right w:val="outset" w:sz="6" w:space="0" w:color="414142"/>
            </w:tcBorders>
            <w:hideMark/>
          </w:tcPr>
          <w:p w14:paraId="6B3A565A"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831" w:type="pct"/>
            <w:tcBorders>
              <w:top w:val="outset" w:sz="6" w:space="0" w:color="414142"/>
              <w:left w:val="outset" w:sz="6" w:space="0" w:color="414142"/>
              <w:bottom w:val="outset" w:sz="6" w:space="0" w:color="414142"/>
              <w:right w:val="outset" w:sz="6" w:space="0" w:color="414142"/>
            </w:tcBorders>
            <w:hideMark/>
          </w:tcPr>
          <w:p w14:paraId="380FAD09"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4C6E134D"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35E7536E"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0678705E"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23B435EE"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7ADC38FA"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1.2. valsts speciālais budžets</w:t>
            </w:r>
          </w:p>
        </w:tc>
        <w:tc>
          <w:tcPr>
            <w:tcW w:w="634" w:type="pct"/>
            <w:tcBorders>
              <w:top w:val="outset" w:sz="6" w:space="0" w:color="414142"/>
              <w:left w:val="outset" w:sz="6" w:space="0" w:color="414142"/>
              <w:bottom w:val="outset" w:sz="6" w:space="0" w:color="414142"/>
              <w:right w:val="outset" w:sz="6" w:space="0" w:color="414142"/>
            </w:tcBorders>
            <w:hideMark/>
          </w:tcPr>
          <w:p w14:paraId="6D82D1F1"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831" w:type="pct"/>
            <w:tcBorders>
              <w:top w:val="outset" w:sz="6" w:space="0" w:color="414142"/>
              <w:left w:val="outset" w:sz="6" w:space="0" w:color="414142"/>
              <w:bottom w:val="outset" w:sz="6" w:space="0" w:color="414142"/>
              <w:right w:val="outset" w:sz="6" w:space="0" w:color="414142"/>
            </w:tcBorders>
            <w:hideMark/>
          </w:tcPr>
          <w:p w14:paraId="4EBD05F5"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449A6823"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7299E246"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148A9649"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32FE55DF"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5385A2E8"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1.3. pašvaldību budžets</w:t>
            </w:r>
          </w:p>
        </w:tc>
        <w:tc>
          <w:tcPr>
            <w:tcW w:w="634" w:type="pct"/>
            <w:tcBorders>
              <w:top w:val="outset" w:sz="6" w:space="0" w:color="414142"/>
              <w:left w:val="outset" w:sz="6" w:space="0" w:color="414142"/>
              <w:bottom w:val="outset" w:sz="6" w:space="0" w:color="414142"/>
              <w:right w:val="outset" w:sz="6" w:space="0" w:color="414142"/>
            </w:tcBorders>
            <w:hideMark/>
          </w:tcPr>
          <w:p w14:paraId="48C78801"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831" w:type="pct"/>
            <w:tcBorders>
              <w:top w:val="outset" w:sz="6" w:space="0" w:color="414142"/>
              <w:left w:val="outset" w:sz="6" w:space="0" w:color="414142"/>
              <w:bottom w:val="outset" w:sz="6" w:space="0" w:color="414142"/>
              <w:right w:val="outset" w:sz="6" w:space="0" w:color="414142"/>
            </w:tcBorders>
            <w:hideMark/>
          </w:tcPr>
          <w:p w14:paraId="29B97385"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4A917109"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48AA3731"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4514333C"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8F0FBA" w:rsidRPr="007D14C7" w14:paraId="26584151"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62311404" w14:textId="77777777" w:rsidR="008F0FBA" w:rsidRPr="007D14C7" w:rsidRDefault="008F0FBA" w:rsidP="008F0FBA">
            <w:pPr>
              <w:rPr>
                <w:rFonts w:eastAsia="Times New Roman" w:cs="Times New Roman"/>
                <w:sz w:val="26"/>
                <w:szCs w:val="26"/>
              </w:rPr>
            </w:pPr>
            <w:r w:rsidRPr="007D14C7">
              <w:rPr>
                <w:rFonts w:eastAsia="Times New Roman" w:cs="Times New Roman"/>
                <w:sz w:val="26"/>
                <w:szCs w:val="26"/>
              </w:rPr>
              <w:t>2. Budžeta izdevumi:</w:t>
            </w:r>
          </w:p>
        </w:tc>
        <w:tc>
          <w:tcPr>
            <w:tcW w:w="634" w:type="pct"/>
            <w:tcBorders>
              <w:top w:val="outset" w:sz="6" w:space="0" w:color="414142"/>
              <w:left w:val="outset" w:sz="6" w:space="0" w:color="414142"/>
              <w:bottom w:val="outset" w:sz="6" w:space="0" w:color="414142"/>
              <w:right w:val="outset" w:sz="6" w:space="0" w:color="414142"/>
            </w:tcBorders>
            <w:hideMark/>
          </w:tcPr>
          <w:p w14:paraId="0FD9CCA6" w14:textId="57AF4478" w:rsidR="008F0FBA" w:rsidRPr="007D14C7" w:rsidRDefault="008851B2" w:rsidP="008F0FBA">
            <w:pPr>
              <w:jc w:val="center"/>
              <w:rPr>
                <w:rFonts w:eastAsia="Times New Roman" w:cs="Times New Roman"/>
                <w:sz w:val="26"/>
                <w:szCs w:val="26"/>
              </w:rPr>
            </w:pPr>
            <w:r w:rsidRPr="007D14C7">
              <w:rPr>
                <w:rFonts w:cs="Times New Roman"/>
                <w:bCs/>
                <w:sz w:val="24"/>
                <w:szCs w:val="24"/>
              </w:rPr>
              <w:t>0</w:t>
            </w:r>
          </w:p>
        </w:tc>
        <w:tc>
          <w:tcPr>
            <w:tcW w:w="831" w:type="pct"/>
            <w:tcBorders>
              <w:top w:val="outset" w:sz="6" w:space="0" w:color="414142"/>
              <w:left w:val="outset" w:sz="6" w:space="0" w:color="414142"/>
              <w:bottom w:val="outset" w:sz="6" w:space="0" w:color="414142"/>
              <w:right w:val="outset" w:sz="6" w:space="0" w:color="414142"/>
            </w:tcBorders>
            <w:hideMark/>
          </w:tcPr>
          <w:p w14:paraId="318CC510" w14:textId="02F0624A" w:rsidR="008F0FBA" w:rsidRPr="007D14C7" w:rsidRDefault="00D5277D" w:rsidP="008F0FBA">
            <w:pPr>
              <w:jc w:val="center"/>
              <w:rPr>
                <w:rFonts w:eastAsia="Times New Roman" w:cs="Times New Roman"/>
                <w:sz w:val="26"/>
                <w:szCs w:val="26"/>
              </w:rPr>
            </w:pPr>
            <w:r w:rsidRPr="007D14C7">
              <w:rPr>
                <w:rFonts w:cs="Times New Roman"/>
                <w:sz w:val="24"/>
                <w:szCs w:val="24"/>
              </w:rPr>
              <w:t>0</w:t>
            </w:r>
          </w:p>
        </w:tc>
        <w:tc>
          <w:tcPr>
            <w:tcW w:w="649" w:type="pct"/>
            <w:tcBorders>
              <w:top w:val="outset" w:sz="6" w:space="0" w:color="414142"/>
              <w:left w:val="outset" w:sz="6" w:space="0" w:color="414142"/>
              <w:bottom w:val="outset" w:sz="6" w:space="0" w:color="414142"/>
              <w:right w:val="outset" w:sz="6" w:space="0" w:color="414142"/>
            </w:tcBorders>
            <w:hideMark/>
          </w:tcPr>
          <w:p w14:paraId="0070B89B" w14:textId="1AFA5A35" w:rsidR="008F0FBA" w:rsidRPr="007D14C7" w:rsidRDefault="008851B2" w:rsidP="008F0FBA">
            <w:pPr>
              <w:jc w:val="center"/>
              <w:rPr>
                <w:rFonts w:eastAsia="Times New Roman" w:cs="Times New Roman"/>
                <w:sz w:val="26"/>
                <w:szCs w:val="26"/>
              </w:rPr>
            </w:pPr>
            <w:r w:rsidRPr="007D14C7">
              <w:rPr>
                <w:sz w:val="24"/>
                <w:szCs w:val="24"/>
              </w:rPr>
              <w:t>0</w:t>
            </w:r>
          </w:p>
        </w:tc>
        <w:tc>
          <w:tcPr>
            <w:tcW w:w="634" w:type="pct"/>
            <w:tcBorders>
              <w:top w:val="outset" w:sz="6" w:space="0" w:color="414142"/>
              <w:left w:val="outset" w:sz="6" w:space="0" w:color="414142"/>
              <w:bottom w:val="outset" w:sz="6" w:space="0" w:color="414142"/>
              <w:right w:val="outset" w:sz="6" w:space="0" w:color="414142"/>
            </w:tcBorders>
            <w:hideMark/>
          </w:tcPr>
          <w:p w14:paraId="7F66B1DA" w14:textId="1225C03F" w:rsidR="008F0FBA" w:rsidRPr="007D14C7" w:rsidRDefault="008851B2" w:rsidP="008F0FBA">
            <w:pPr>
              <w:jc w:val="center"/>
              <w:rPr>
                <w:rFonts w:eastAsia="Times New Roman" w:cs="Times New Roman"/>
                <w:sz w:val="26"/>
                <w:szCs w:val="26"/>
              </w:rPr>
            </w:pPr>
            <w:r w:rsidRPr="007D14C7">
              <w:rPr>
                <w:sz w:val="24"/>
                <w:szCs w:val="24"/>
              </w:rPr>
              <w:t>0</w:t>
            </w:r>
          </w:p>
        </w:tc>
        <w:tc>
          <w:tcPr>
            <w:tcW w:w="584" w:type="pct"/>
            <w:tcBorders>
              <w:top w:val="outset" w:sz="6" w:space="0" w:color="414142"/>
              <w:left w:val="outset" w:sz="6" w:space="0" w:color="414142"/>
              <w:bottom w:val="outset" w:sz="6" w:space="0" w:color="414142"/>
              <w:right w:val="outset" w:sz="6" w:space="0" w:color="414142"/>
            </w:tcBorders>
            <w:hideMark/>
          </w:tcPr>
          <w:p w14:paraId="21C1E418" w14:textId="4DD65D02" w:rsidR="008F0FBA" w:rsidRPr="007D14C7" w:rsidRDefault="008F0FBA" w:rsidP="008F0FBA">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689D47D0"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22CE76AD"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2.1. valsts pamatbudžets</w:t>
            </w:r>
          </w:p>
        </w:tc>
        <w:tc>
          <w:tcPr>
            <w:tcW w:w="634" w:type="pct"/>
            <w:tcBorders>
              <w:top w:val="outset" w:sz="6" w:space="0" w:color="414142"/>
              <w:left w:val="outset" w:sz="6" w:space="0" w:color="414142"/>
              <w:bottom w:val="outset" w:sz="6" w:space="0" w:color="414142"/>
              <w:right w:val="outset" w:sz="6" w:space="0" w:color="414142"/>
            </w:tcBorders>
            <w:hideMark/>
          </w:tcPr>
          <w:p w14:paraId="65AB91CE" w14:textId="658C6FF0" w:rsidR="003D5C72" w:rsidRPr="007D14C7" w:rsidRDefault="008851B2" w:rsidP="00242A60">
            <w:pPr>
              <w:jc w:val="center"/>
              <w:rPr>
                <w:rFonts w:eastAsia="Times New Roman" w:cs="Times New Roman"/>
                <w:bCs/>
                <w:sz w:val="24"/>
                <w:szCs w:val="24"/>
                <w:lang w:eastAsia="lv-LV"/>
              </w:rPr>
            </w:pPr>
            <w:r w:rsidRPr="007D14C7">
              <w:rPr>
                <w:rFonts w:cs="Times New Roman"/>
                <w:bCs/>
                <w:sz w:val="24"/>
                <w:szCs w:val="24"/>
              </w:rPr>
              <w:t>0</w:t>
            </w:r>
          </w:p>
        </w:tc>
        <w:tc>
          <w:tcPr>
            <w:tcW w:w="831" w:type="pct"/>
            <w:tcBorders>
              <w:top w:val="outset" w:sz="6" w:space="0" w:color="414142"/>
              <w:left w:val="outset" w:sz="6" w:space="0" w:color="414142"/>
              <w:bottom w:val="outset" w:sz="6" w:space="0" w:color="414142"/>
              <w:right w:val="outset" w:sz="6" w:space="0" w:color="414142"/>
            </w:tcBorders>
            <w:hideMark/>
          </w:tcPr>
          <w:p w14:paraId="02056634" w14:textId="7B758746" w:rsidR="003D5C72" w:rsidRPr="007D14C7" w:rsidRDefault="00D5277D" w:rsidP="00D5277D">
            <w:pPr>
              <w:jc w:val="center"/>
              <w:rPr>
                <w:rFonts w:eastAsia="Times New Roman" w:cs="Times New Roman"/>
                <w:sz w:val="24"/>
                <w:szCs w:val="24"/>
                <w:lang w:eastAsia="lv-LV"/>
              </w:rPr>
            </w:pPr>
            <w:r w:rsidRPr="007D14C7">
              <w:rPr>
                <w:rFonts w:cs="Times New Roman"/>
                <w:sz w:val="24"/>
                <w:szCs w:val="24"/>
              </w:rPr>
              <w:t>0</w:t>
            </w:r>
          </w:p>
        </w:tc>
        <w:tc>
          <w:tcPr>
            <w:tcW w:w="649" w:type="pct"/>
            <w:tcBorders>
              <w:top w:val="outset" w:sz="6" w:space="0" w:color="414142"/>
              <w:left w:val="outset" w:sz="6" w:space="0" w:color="414142"/>
              <w:bottom w:val="outset" w:sz="6" w:space="0" w:color="414142"/>
              <w:right w:val="outset" w:sz="6" w:space="0" w:color="414142"/>
            </w:tcBorders>
            <w:hideMark/>
          </w:tcPr>
          <w:p w14:paraId="242E8E9E" w14:textId="11637275" w:rsidR="003D5C72" w:rsidRPr="007D14C7" w:rsidRDefault="008851B2" w:rsidP="008F0FBA">
            <w:pPr>
              <w:jc w:val="center"/>
              <w:rPr>
                <w:rFonts w:eastAsia="Times New Roman"/>
                <w:sz w:val="24"/>
                <w:szCs w:val="24"/>
                <w:lang w:eastAsia="lv-LV"/>
              </w:rPr>
            </w:pPr>
            <w:r w:rsidRPr="007D14C7">
              <w:rPr>
                <w:sz w:val="24"/>
                <w:szCs w:val="24"/>
              </w:rPr>
              <w:t>0</w:t>
            </w:r>
          </w:p>
        </w:tc>
        <w:tc>
          <w:tcPr>
            <w:tcW w:w="634" w:type="pct"/>
            <w:tcBorders>
              <w:top w:val="outset" w:sz="6" w:space="0" w:color="414142"/>
              <w:left w:val="outset" w:sz="6" w:space="0" w:color="414142"/>
              <w:bottom w:val="outset" w:sz="6" w:space="0" w:color="414142"/>
              <w:right w:val="outset" w:sz="6" w:space="0" w:color="414142"/>
            </w:tcBorders>
            <w:hideMark/>
          </w:tcPr>
          <w:p w14:paraId="2921FFF2" w14:textId="2F2AA5C2" w:rsidR="003D5C72" w:rsidRPr="007D14C7" w:rsidRDefault="008851B2" w:rsidP="008F0FBA">
            <w:pPr>
              <w:jc w:val="center"/>
              <w:rPr>
                <w:rFonts w:eastAsia="Times New Roman"/>
                <w:sz w:val="24"/>
                <w:szCs w:val="24"/>
                <w:lang w:eastAsia="lv-LV"/>
              </w:rPr>
            </w:pPr>
            <w:r w:rsidRPr="007D14C7">
              <w:rPr>
                <w:sz w:val="24"/>
                <w:szCs w:val="24"/>
              </w:rPr>
              <w:t>0</w:t>
            </w:r>
          </w:p>
        </w:tc>
        <w:tc>
          <w:tcPr>
            <w:tcW w:w="584" w:type="pct"/>
            <w:tcBorders>
              <w:top w:val="outset" w:sz="6" w:space="0" w:color="414142"/>
              <w:left w:val="outset" w:sz="6" w:space="0" w:color="414142"/>
              <w:bottom w:val="outset" w:sz="6" w:space="0" w:color="414142"/>
              <w:right w:val="outset" w:sz="6" w:space="0" w:color="414142"/>
            </w:tcBorders>
            <w:hideMark/>
          </w:tcPr>
          <w:p w14:paraId="1864A867" w14:textId="0CBA474B" w:rsidR="003D5C72" w:rsidRPr="007D14C7" w:rsidRDefault="00242A60"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42D4F0E1"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74D8F2F1"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2.2. valsts speciālais budžets</w:t>
            </w:r>
          </w:p>
        </w:tc>
        <w:tc>
          <w:tcPr>
            <w:tcW w:w="634" w:type="pct"/>
            <w:tcBorders>
              <w:top w:val="outset" w:sz="6" w:space="0" w:color="414142"/>
              <w:left w:val="outset" w:sz="6" w:space="0" w:color="414142"/>
              <w:bottom w:val="outset" w:sz="6" w:space="0" w:color="414142"/>
              <w:right w:val="outset" w:sz="6" w:space="0" w:color="414142"/>
            </w:tcBorders>
            <w:hideMark/>
          </w:tcPr>
          <w:p w14:paraId="41ECF579"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831" w:type="pct"/>
            <w:tcBorders>
              <w:top w:val="outset" w:sz="6" w:space="0" w:color="414142"/>
              <w:left w:val="outset" w:sz="6" w:space="0" w:color="414142"/>
              <w:bottom w:val="outset" w:sz="6" w:space="0" w:color="414142"/>
              <w:right w:val="outset" w:sz="6" w:space="0" w:color="414142"/>
            </w:tcBorders>
            <w:hideMark/>
          </w:tcPr>
          <w:p w14:paraId="3A91E86B"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0A8E12F6"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077A22CA"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7395546E"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73DB9D36"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7E29B762"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2.3. pašvaldību budžets</w:t>
            </w:r>
          </w:p>
        </w:tc>
        <w:tc>
          <w:tcPr>
            <w:tcW w:w="634" w:type="pct"/>
            <w:tcBorders>
              <w:top w:val="outset" w:sz="6" w:space="0" w:color="414142"/>
              <w:left w:val="outset" w:sz="6" w:space="0" w:color="414142"/>
              <w:bottom w:val="outset" w:sz="6" w:space="0" w:color="414142"/>
              <w:right w:val="outset" w:sz="6" w:space="0" w:color="414142"/>
            </w:tcBorders>
            <w:hideMark/>
          </w:tcPr>
          <w:p w14:paraId="216D2E07"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831" w:type="pct"/>
            <w:tcBorders>
              <w:top w:val="outset" w:sz="6" w:space="0" w:color="414142"/>
              <w:left w:val="outset" w:sz="6" w:space="0" w:color="414142"/>
              <w:bottom w:val="outset" w:sz="6" w:space="0" w:color="414142"/>
              <w:right w:val="outset" w:sz="6" w:space="0" w:color="414142"/>
            </w:tcBorders>
            <w:hideMark/>
          </w:tcPr>
          <w:p w14:paraId="748B8D18"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28B0C7A8"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20E84E47"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0B0FAFE5"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E42B6A" w:rsidRPr="007D14C7" w14:paraId="09C95FBF"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4B2B0339" w14:textId="77777777" w:rsidR="00E42B6A" w:rsidRPr="007D14C7" w:rsidRDefault="00E42B6A" w:rsidP="00E42B6A">
            <w:pPr>
              <w:rPr>
                <w:rFonts w:eastAsia="Times New Roman" w:cs="Times New Roman"/>
                <w:sz w:val="26"/>
                <w:szCs w:val="26"/>
              </w:rPr>
            </w:pPr>
            <w:r w:rsidRPr="007D14C7">
              <w:rPr>
                <w:rFonts w:eastAsia="Times New Roman" w:cs="Times New Roman"/>
                <w:sz w:val="26"/>
                <w:szCs w:val="26"/>
              </w:rPr>
              <w:t>3. Finansiālā ietekme:</w:t>
            </w:r>
          </w:p>
        </w:tc>
        <w:tc>
          <w:tcPr>
            <w:tcW w:w="634" w:type="pct"/>
            <w:tcBorders>
              <w:top w:val="outset" w:sz="6" w:space="0" w:color="414142"/>
              <w:left w:val="outset" w:sz="6" w:space="0" w:color="414142"/>
              <w:bottom w:val="outset" w:sz="6" w:space="0" w:color="414142"/>
              <w:right w:val="outset" w:sz="6" w:space="0" w:color="414142"/>
            </w:tcBorders>
            <w:hideMark/>
          </w:tcPr>
          <w:p w14:paraId="4C277D0B" w14:textId="0122233B" w:rsidR="00E42B6A" w:rsidRPr="007D14C7" w:rsidRDefault="008851B2" w:rsidP="00E42B6A">
            <w:pPr>
              <w:jc w:val="center"/>
              <w:rPr>
                <w:rFonts w:eastAsia="Times New Roman" w:cs="Times New Roman"/>
                <w:sz w:val="26"/>
                <w:szCs w:val="26"/>
              </w:rPr>
            </w:pPr>
            <w:r w:rsidRPr="007D14C7">
              <w:rPr>
                <w:rFonts w:cs="Times New Roman"/>
                <w:bCs/>
                <w:sz w:val="24"/>
                <w:szCs w:val="24"/>
              </w:rPr>
              <w:t>0</w:t>
            </w:r>
          </w:p>
        </w:tc>
        <w:tc>
          <w:tcPr>
            <w:tcW w:w="831" w:type="pct"/>
            <w:tcBorders>
              <w:top w:val="outset" w:sz="6" w:space="0" w:color="414142"/>
              <w:left w:val="outset" w:sz="6" w:space="0" w:color="414142"/>
              <w:bottom w:val="outset" w:sz="6" w:space="0" w:color="414142"/>
              <w:right w:val="outset" w:sz="6" w:space="0" w:color="414142"/>
            </w:tcBorders>
            <w:hideMark/>
          </w:tcPr>
          <w:p w14:paraId="21F4F8F2" w14:textId="0D9DA72A" w:rsidR="00E42B6A" w:rsidRPr="007D14C7" w:rsidRDefault="00D32185" w:rsidP="00D32185">
            <w:pPr>
              <w:jc w:val="center"/>
              <w:rPr>
                <w:rFonts w:eastAsia="Times New Roman" w:cs="Times New Roman"/>
                <w:sz w:val="26"/>
                <w:szCs w:val="26"/>
              </w:rPr>
            </w:pPr>
            <w:r w:rsidRPr="007D14C7">
              <w:rPr>
                <w:rFonts w:cs="Times New Roman"/>
                <w:sz w:val="24"/>
                <w:szCs w:val="24"/>
              </w:rPr>
              <w:t>0</w:t>
            </w:r>
          </w:p>
        </w:tc>
        <w:tc>
          <w:tcPr>
            <w:tcW w:w="649" w:type="pct"/>
            <w:tcBorders>
              <w:top w:val="outset" w:sz="6" w:space="0" w:color="414142"/>
              <w:left w:val="outset" w:sz="6" w:space="0" w:color="414142"/>
              <w:bottom w:val="outset" w:sz="6" w:space="0" w:color="414142"/>
              <w:right w:val="outset" w:sz="6" w:space="0" w:color="414142"/>
            </w:tcBorders>
            <w:hideMark/>
          </w:tcPr>
          <w:p w14:paraId="4DFF2F9C" w14:textId="345C6C0B" w:rsidR="00E42B6A" w:rsidRPr="007D14C7" w:rsidRDefault="008851B2" w:rsidP="00E42B6A">
            <w:pPr>
              <w:jc w:val="center"/>
              <w:rPr>
                <w:rFonts w:eastAsia="Times New Roman" w:cs="Times New Roman"/>
                <w:sz w:val="26"/>
                <w:szCs w:val="26"/>
              </w:rPr>
            </w:pPr>
            <w:r w:rsidRPr="007D14C7">
              <w:rPr>
                <w:sz w:val="24"/>
                <w:szCs w:val="24"/>
              </w:rPr>
              <w:t>0</w:t>
            </w:r>
          </w:p>
        </w:tc>
        <w:tc>
          <w:tcPr>
            <w:tcW w:w="634" w:type="pct"/>
            <w:tcBorders>
              <w:top w:val="outset" w:sz="6" w:space="0" w:color="414142"/>
              <w:left w:val="outset" w:sz="6" w:space="0" w:color="414142"/>
              <w:bottom w:val="outset" w:sz="6" w:space="0" w:color="414142"/>
              <w:right w:val="outset" w:sz="6" w:space="0" w:color="414142"/>
            </w:tcBorders>
            <w:hideMark/>
          </w:tcPr>
          <w:p w14:paraId="51D24964" w14:textId="58A9B218" w:rsidR="00E42B6A" w:rsidRPr="007D14C7" w:rsidRDefault="008851B2" w:rsidP="00E42B6A">
            <w:pPr>
              <w:jc w:val="center"/>
              <w:rPr>
                <w:rFonts w:eastAsia="Times New Roman" w:cs="Times New Roman"/>
                <w:sz w:val="26"/>
                <w:szCs w:val="26"/>
              </w:rPr>
            </w:pPr>
            <w:r w:rsidRPr="007D14C7">
              <w:rPr>
                <w:sz w:val="24"/>
                <w:szCs w:val="24"/>
              </w:rPr>
              <w:t>0</w:t>
            </w:r>
          </w:p>
        </w:tc>
        <w:tc>
          <w:tcPr>
            <w:tcW w:w="584" w:type="pct"/>
            <w:tcBorders>
              <w:top w:val="outset" w:sz="6" w:space="0" w:color="414142"/>
              <w:left w:val="outset" w:sz="6" w:space="0" w:color="414142"/>
              <w:bottom w:val="outset" w:sz="6" w:space="0" w:color="414142"/>
              <w:right w:val="outset" w:sz="6" w:space="0" w:color="414142"/>
            </w:tcBorders>
            <w:hideMark/>
          </w:tcPr>
          <w:p w14:paraId="0B565361" w14:textId="77777777" w:rsidR="00E42B6A" w:rsidRPr="007D14C7" w:rsidRDefault="00E42B6A" w:rsidP="00E42B6A">
            <w:pPr>
              <w:jc w:val="center"/>
              <w:rPr>
                <w:rFonts w:eastAsia="Times New Roman" w:cs="Times New Roman"/>
                <w:sz w:val="26"/>
                <w:szCs w:val="26"/>
              </w:rPr>
            </w:pPr>
            <w:r w:rsidRPr="007D14C7">
              <w:rPr>
                <w:rFonts w:eastAsia="Times New Roman" w:cs="Times New Roman"/>
                <w:sz w:val="26"/>
                <w:szCs w:val="26"/>
              </w:rPr>
              <w:t>0</w:t>
            </w:r>
          </w:p>
        </w:tc>
      </w:tr>
      <w:tr w:rsidR="00E42B6A" w:rsidRPr="007D14C7" w14:paraId="4A08DB46"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0D6ADC03" w14:textId="77777777" w:rsidR="00E42B6A" w:rsidRPr="007D14C7" w:rsidRDefault="00E42B6A" w:rsidP="00E42B6A">
            <w:pPr>
              <w:rPr>
                <w:rFonts w:eastAsia="Times New Roman" w:cs="Times New Roman"/>
                <w:sz w:val="26"/>
                <w:szCs w:val="26"/>
              </w:rPr>
            </w:pPr>
            <w:r w:rsidRPr="007D14C7">
              <w:rPr>
                <w:rFonts w:eastAsia="Times New Roman" w:cs="Times New Roman"/>
                <w:sz w:val="26"/>
                <w:szCs w:val="26"/>
              </w:rPr>
              <w:t>3.1. valsts pamatbudžets</w:t>
            </w:r>
          </w:p>
        </w:tc>
        <w:tc>
          <w:tcPr>
            <w:tcW w:w="634" w:type="pct"/>
            <w:tcBorders>
              <w:top w:val="outset" w:sz="6" w:space="0" w:color="414142"/>
              <w:left w:val="outset" w:sz="6" w:space="0" w:color="414142"/>
              <w:bottom w:val="outset" w:sz="6" w:space="0" w:color="414142"/>
              <w:right w:val="outset" w:sz="6" w:space="0" w:color="414142"/>
            </w:tcBorders>
            <w:hideMark/>
          </w:tcPr>
          <w:p w14:paraId="5787065A" w14:textId="63A10C29" w:rsidR="00E42B6A" w:rsidRPr="007D14C7" w:rsidRDefault="008851B2" w:rsidP="00E42B6A">
            <w:pPr>
              <w:jc w:val="center"/>
              <w:rPr>
                <w:rFonts w:eastAsia="Times New Roman" w:cs="Times New Roman"/>
                <w:sz w:val="26"/>
                <w:szCs w:val="26"/>
              </w:rPr>
            </w:pPr>
            <w:r w:rsidRPr="007D14C7">
              <w:rPr>
                <w:rFonts w:cs="Times New Roman"/>
                <w:bCs/>
                <w:sz w:val="24"/>
                <w:szCs w:val="24"/>
              </w:rPr>
              <w:t>0</w:t>
            </w:r>
          </w:p>
        </w:tc>
        <w:tc>
          <w:tcPr>
            <w:tcW w:w="831" w:type="pct"/>
            <w:tcBorders>
              <w:top w:val="outset" w:sz="6" w:space="0" w:color="414142"/>
              <w:left w:val="outset" w:sz="6" w:space="0" w:color="414142"/>
              <w:bottom w:val="outset" w:sz="6" w:space="0" w:color="414142"/>
              <w:right w:val="outset" w:sz="6" w:space="0" w:color="414142"/>
            </w:tcBorders>
            <w:hideMark/>
          </w:tcPr>
          <w:p w14:paraId="720B8B6D" w14:textId="13491DB0" w:rsidR="00E42B6A" w:rsidRPr="007D14C7" w:rsidRDefault="00D32185" w:rsidP="00E42B6A">
            <w:pPr>
              <w:jc w:val="center"/>
              <w:rPr>
                <w:rFonts w:eastAsia="Times New Roman" w:cs="Times New Roman"/>
                <w:sz w:val="26"/>
                <w:szCs w:val="26"/>
              </w:rPr>
            </w:pPr>
            <w:r w:rsidRPr="007D14C7">
              <w:rPr>
                <w:rFonts w:cs="Times New Roman"/>
                <w:sz w:val="24"/>
                <w:szCs w:val="24"/>
              </w:rPr>
              <w:t>0</w:t>
            </w:r>
          </w:p>
        </w:tc>
        <w:tc>
          <w:tcPr>
            <w:tcW w:w="649" w:type="pct"/>
            <w:tcBorders>
              <w:top w:val="outset" w:sz="6" w:space="0" w:color="414142"/>
              <w:left w:val="outset" w:sz="6" w:space="0" w:color="414142"/>
              <w:bottom w:val="outset" w:sz="6" w:space="0" w:color="414142"/>
              <w:right w:val="outset" w:sz="6" w:space="0" w:color="414142"/>
            </w:tcBorders>
            <w:hideMark/>
          </w:tcPr>
          <w:p w14:paraId="3FF0C18B" w14:textId="7D84C1C7" w:rsidR="00E42B6A" w:rsidRPr="007D14C7" w:rsidRDefault="008851B2" w:rsidP="00E42B6A">
            <w:pPr>
              <w:jc w:val="center"/>
              <w:rPr>
                <w:rFonts w:eastAsia="Times New Roman" w:cs="Times New Roman"/>
                <w:sz w:val="26"/>
                <w:szCs w:val="26"/>
              </w:rPr>
            </w:pPr>
            <w:r w:rsidRPr="007D14C7">
              <w:rPr>
                <w:sz w:val="24"/>
                <w:szCs w:val="24"/>
              </w:rPr>
              <w:t>0</w:t>
            </w:r>
          </w:p>
        </w:tc>
        <w:tc>
          <w:tcPr>
            <w:tcW w:w="634" w:type="pct"/>
            <w:tcBorders>
              <w:top w:val="outset" w:sz="6" w:space="0" w:color="414142"/>
              <w:left w:val="outset" w:sz="6" w:space="0" w:color="414142"/>
              <w:bottom w:val="outset" w:sz="6" w:space="0" w:color="414142"/>
              <w:right w:val="outset" w:sz="6" w:space="0" w:color="414142"/>
            </w:tcBorders>
            <w:hideMark/>
          </w:tcPr>
          <w:p w14:paraId="123DCF89" w14:textId="690AEFDE" w:rsidR="00E42B6A" w:rsidRPr="007D14C7" w:rsidRDefault="008851B2" w:rsidP="00E42B6A">
            <w:pPr>
              <w:jc w:val="center"/>
              <w:rPr>
                <w:rFonts w:eastAsia="Times New Roman" w:cs="Times New Roman"/>
                <w:sz w:val="26"/>
                <w:szCs w:val="26"/>
              </w:rPr>
            </w:pPr>
            <w:r w:rsidRPr="007D14C7">
              <w:rPr>
                <w:sz w:val="24"/>
                <w:szCs w:val="24"/>
              </w:rPr>
              <w:t>0</w:t>
            </w:r>
          </w:p>
        </w:tc>
        <w:tc>
          <w:tcPr>
            <w:tcW w:w="584" w:type="pct"/>
            <w:tcBorders>
              <w:top w:val="outset" w:sz="6" w:space="0" w:color="414142"/>
              <w:left w:val="outset" w:sz="6" w:space="0" w:color="414142"/>
              <w:bottom w:val="outset" w:sz="6" w:space="0" w:color="414142"/>
              <w:right w:val="outset" w:sz="6" w:space="0" w:color="414142"/>
            </w:tcBorders>
            <w:hideMark/>
          </w:tcPr>
          <w:p w14:paraId="684F6CAB" w14:textId="77777777" w:rsidR="00E42B6A" w:rsidRPr="007D14C7" w:rsidRDefault="00E42B6A" w:rsidP="00E42B6A">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0C5780FF"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50D0EFA2"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3.2. speciālais budžets</w:t>
            </w:r>
          </w:p>
        </w:tc>
        <w:tc>
          <w:tcPr>
            <w:tcW w:w="634" w:type="pct"/>
            <w:tcBorders>
              <w:top w:val="outset" w:sz="6" w:space="0" w:color="414142"/>
              <w:left w:val="outset" w:sz="6" w:space="0" w:color="414142"/>
              <w:bottom w:val="outset" w:sz="6" w:space="0" w:color="414142"/>
              <w:right w:val="outset" w:sz="6" w:space="0" w:color="414142"/>
            </w:tcBorders>
            <w:hideMark/>
          </w:tcPr>
          <w:p w14:paraId="7A860692"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831" w:type="pct"/>
            <w:tcBorders>
              <w:top w:val="outset" w:sz="6" w:space="0" w:color="414142"/>
              <w:left w:val="outset" w:sz="6" w:space="0" w:color="414142"/>
              <w:bottom w:val="outset" w:sz="6" w:space="0" w:color="414142"/>
              <w:right w:val="outset" w:sz="6" w:space="0" w:color="414142"/>
            </w:tcBorders>
            <w:hideMark/>
          </w:tcPr>
          <w:p w14:paraId="02B6FE63"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4149CC72"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4734F8E6"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563D64F9"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3D4B4EDF"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13FC76A1"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3.3. pašvaldību budžets</w:t>
            </w:r>
          </w:p>
        </w:tc>
        <w:tc>
          <w:tcPr>
            <w:tcW w:w="634" w:type="pct"/>
            <w:tcBorders>
              <w:top w:val="outset" w:sz="6" w:space="0" w:color="414142"/>
              <w:left w:val="outset" w:sz="6" w:space="0" w:color="414142"/>
              <w:bottom w:val="outset" w:sz="6" w:space="0" w:color="414142"/>
              <w:right w:val="outset" w:sz="6" w:space="0" w:color="414142"/>
            </w:tcBorders>
            <w:hideMark/>
          </w:tcPr>
          <w:p w14:paraId="575FB69C"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831" w:type="pct"/>
            <w:tcBorders>
              <w:top w:val="outset" w:sz="6" w:space="0" w:color="414142"/>
              <w:left w:val="outset" w:sz="6" w:space="0" w:color="414142"/>
              <w:bottom w:val="outset" w:sz="6" w:space="0" w:color="414142"/>
              <w:right w:val="outset" w:sz="6" w:space="0" w:color="414142"/>
            </w:tcBorders>
            <w:hideMark/>
          </w:tcPr>
          <w:p w14:paraId="0DED5A63"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65B14807"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5D2519FF"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7363233A"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D32185" w:rsidRPr="007D14C7" w14:paraId="43D15663" w14:textId="77777777" w:rsidTr="00D5277D">
        <w:trPr>
          <w:jc w:val="center"/>
        </w:trPr>
        <w:tc>
          <w:tcPr>
            <w:tcW w:w="1668" w:type="pct"/>
            <w:vMerge w:val="restart"/>
            <w:tcBorders>
              <w:top w:val="outset" w:sz="6" w:space="0" w:color="414142"/>
              <w:left w:val="outset" w:sz="6" w:space="0" w:color="414142"/>
              <w:right w:val="outset" w:sz="6" w:space="0" w:color="414142"/>
            </w:tcBorders>
          </w:tcPr>
          <w:p w14:paraId="54AD10B9" w14:textId="577DD59B" w:rsidR="00D32185" w:rsidRPr="007D14C7" w:rsidRDefault="00D32185" w:rsidP="00E42B6A">
            <w:pPr>
              <w:rPr>
                <w:rFonts w:eastAsia="Times New Roman" w:cs="Times New Roman"/>
                <w:sz w:val="26"/>
                <w:szCs w:val="26"/>
              </w:rPr>
            </w:pPr>
            <w:r w:rsidRPr="007D14C7">
              <w:rPr>
                <w:rFonts w:eastAsia="Times New Roman" w:cs="Times New Roman"/>
                <w:sz w:val="26"/>
                <w:szCs w:val="26"/>
              </w:rPr>
              <w:t>4. Finanšu līdzekļi papildu izdevumu finansēšanai (kompensējošu izdevumu samazinājumu norāda ar "+" zīmi)</w:t>
            </w:r>
          </w:p>
        </w:tc>
        <w:tc>
          <w:tcPr>
            <w:tcW w:w="634" w:type="pct"/>
            <w:vMerge w:val="restart"/>
            <w:tcBorders>
              <w:top w:val="outset" w:sz="6" w:space="0" w:color="414142"/>
              <w:left w:val="outset" w:sz="6" w:space="0" w:color="414142"/>
              <w:right w:val="outset" w:sz="6" w:space="0" w:color="414142"/>
            </w:tcBorders>
          </w:tcPr>
          <w:p w14:paraId="0E6777A8" w14:textId="079FFD9F" w:rsidR="00D32185" w:rsidRPr="007D14C7" w:rsidRDefault="00D32185" w:rsidP="00E42B6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X</w:t>
            </w:r>
          </w:p>
        </w:tc>
        <w:tc>
          <w:tcPr>
            <w:tcW w:w="831" w:type="pct"/>
            <w:tcBorders>
              <w:top w:val="outset" w:sz="6" w:space="0" w:color="414142"/>
              <w:left w:val="outset" w:sz="6" w:space="0" w:color="414142"/>
              <w:bottom w:val="outset" w:sz="6" w:space="0" w:color="414142"/>
              <w:right w:val="outset" w:sz="6" w:space="0" w:color="414142"/>
            </w:tcBorders>
          </w:tcPr>
          <w:p w14:paraId="32661178" w14:textId="0B652BD6" w:rsidR="00D32185" w:rsidRPr="007D14C7" w:rsidRDefault="00D32185" w:rsidP="009B3F4B">
            <w:pPr>
              <w:jc w:val="center"/>
              <w:rPr>
                <w:rFonts w:eastAsia="Times New Roman"/>
                <w:sz w:val="22"/>
                <w:lang w:eastAsia="lv-LV"/>
              </w:rPr>
            </w:pPr>
            <w:r w:rsidRPr="007D14C7">
              <w:rPr>
                <w:sz w:val="22"/>
              </w:rPr>
              <w:t>0</w:t>
            </w:r>
          </w:p>
        </w:tc>
        <w:tc>
          <w:tcPr>
            <w:tcW w:w="649" w:type="pct"/>
            <w:tcBorders>
              <w:top w:val="outset" w:sz="6" w:space="0" w:color="414142"/>
              <w:left w:val="outset" w:sz="6" w:space="0" w:color="414142"/>
              <w:bottom w:val="outset" w:sz="6" w:space="0" w:color="414142"/>
              <w:right w:val="outset" w:sz="6" w:space="0" w:color="414142"/>
            </w:tcBorders>
          </w:tcPr>
          <w:p w14:paraId="10B8ED3B" w14:textId="667A5110" w:rsidR="00F406F9" w:rsidRPr="007D14C7" w:rsidRDefault="008851B2" w:rsidP="00D5277D">
            <w:pPr>
              <w:jc w:val="center"/>
              <w:rPr>
                <w:rFonts w:eastAsia="Times New Roman"/>
                <w:sz w:val="22"/>
                <w:lang w:eastAsia="lv-LV"/>
              </w:rPr>
            </w:pPr>
            <w:r w:rsidRPr="007D14C7">
              <w:rPr>
                <w:sz w:val="24"/>
                <w:szCs w:val="24"/>
              </w:rPr>
              <w:t>0</w:t>
            </w:r>
          </w:p>
        </w:tc>
        <w:tc>
          <w:tcPr>
            <w:tcW w:w="634" w:type="pct"/>
            <w:tcBorders>
              <w:top w:val="outset" w:sz="6" w:space="0" w:color="414142"/>
              <w:left w:val="outset" w:sz="6" w:space="0" w:color="414142"/>
              <w:bottom w:val="outset" w:sz="6" w:space="0" w:color="414142"/>
              <w:right w:val="outset" w:sz="6" w:space="0" w:color="414142"/>
            </w:tcBorders>
          </w:tcPr>
          <w:p w14:paraId="2171B299" w14:textId="63093C67" w:rsidR="00D32185" w:rsidRPr="007D14C7" w:rsidRDefault="009B3F4B" w:rsidP="009B3F4B">
            <w:pPr>
              <w:jc w:val="center"/>
              <w:rPr>
                <w:rFonts w:eastAsia="Times New Roman" w:cs="Times New Roman"/>
                <w:sz w:val="24"/>
                <w:szCs w:val="24"/>
                <w:lang w:eastAsia="lv-LV"/>
              </w:rPr>
            </w:pPr>
            <w:r w:rsidRPr="007D14C7">
              <w:rPr>
                <w:sz w:val="24"/>
                <w:szCs w:val="24"/>
              </w:rPr>
              <w:t>0</w:t>
            </w:r>
          </w:p>
        </w:tc>
        <w:tc>
          <w:tcPr>
            <w:tcW w:w="584" w:type="pct"/>
            <w:tcBorders>
              <w:top w:val="outset" w:sz="6" w:space="0" w:color="414142"/>
              <w:left w:val="outset" w:sz="6" w:space="0" w:color="414142"/>
              <w:bottom w:val="outset" w:sz="6" w:space="0" w:color="414142"/>
              <w:right w:val="outset" w:sz="6" w:space="0" w:color="414142"/>
            </w:tcBorders>
          </w:tcPr>
          <w:p w14:paraId="21DD59F8" w14:textId="6A2615EB" w:rsidR="00D32185" w:rsidRPr="007D14C7" w:rsidRDefault="00D32185" w:rsidP="00E42B6A">
            <w:pPr>
              <w:jc w:val="center"/>
              <w:rPr>
                <w:rFonts w:eastAsia="Times New Roman" w:cs="Times New Roman"/>
                <w:sz w:val="26"/>
                <w:szCs w:val="26"/>
              </w:rPr>
            </w:pPr>
            <w:r w:rsidRPr="007D14C7">
              <w:rPr>
                <w:rFonts w:eastAsia="Times New Roman" w:cs="Times New Roman"/>
                <w:sz w:val="26"/>
                <w:szCs w:val="26"/>
              </w:rPr>
              <w:t>0</w:t>
            </w:r>
          </w:p>
        </w:tc>
      </w:tr>
      <w:tr w:rsidR="00D32185" w:rsidRPr="007D14C7" w14:paraId="78586A71" w14:textId="77777777" w:rsidTr="00D5277D">
        <w:trPr>
          <w:jc w:val="center"/>
        </w:trPr>
        <w:tc>
          <w:tcPr>
            <w:tcW w:w="1668" w:type="pct"/>
            <w:vMerge/>
            <w:tcBorders>
              <w:left w:val="outset" w:sz="6" w:space="0" w:color="414142"/>
              <w:right w:val="outset" w:sz="6" w:space="0" w:color="414142"/>
            </w:tcBorders>
          </w:tcPr>
          <w:p w14:paraId="6457DA09" w14:textId="77777777" w:rsidR="00D32185" w:rsidRPr="007D14C7" w:rsidRDefault="00D32185" w:rsidP="00E42B6A">
            <w:pPr>
              <w:rPr>
                <w:rFonts w:eastAsia="Times New Roman" w:cs="Times New Roman"/>
                <w:sz w:val="26"/>
                <w:szCs w:val="26"/>
              </w:rPr>
            </w:pPr>
          </w:p>
        </w:tc>
        <w:tc>
          <w:tcPr>
            <w:tcW w:w="634" w:type="pct"/>
            <w:vMerge/>
            <w:tcBorders>
              <w:left w:val="outset" w:sz="6" w:space="0" w:color="414142"/>
              <w:right w:val="outset" w:sz="6" w:space="0" w:color="414142"/>
            </w:tcBorders>
          </w:tcPr>
          <w:p w14:paraId="195484BB" w14:textId="777CBB52" w:rsidR="00D32185" w:rsidRPr="007D14C7" w:rsidRDefault="00D32185" w:rsidP="00E42B6A">
            <w:pPr>
              <w:spacing w:before="100" w:beforeAutospacing="1" w:after="100" w:afterAutospacing="1" w:line="293" w:lineRule="atLeast"/>
              <w:jc w:val="center"/>
              <w:rPr>
                <w:rFonts w:eastAsia="Times New Roman" w:cs="Times New Roman"/>
                <w:sz w:val="26"/>
                <w:szCs w:val="26"/>
              </w:rPr>
            </w:pPr>
          </w:p>
        </w:tc>
        <w:tc>
          <w:tcPr>
            <w:tcW w:w="831" w:type="pct"/>
            <w:tcBorders>
              <w:top w:val="outset" w:sz="6" w:space="0" w:color="414142"/>
              <w:left w:val="outset" w:sz="6" w:space="0" w:color="414142"/>
              <w:bottom w:val="outset" w:sz="6" w:space="0" w:color="414142"/>
              <w:right w:val="outset" w:sz="6" w:space="0" w:color="414142"/>
            </w:tcBorders>
          </w:tcPr>
          <w:p w14:paraId="5A74BE44" w14:textId="5223D50D" w:rsidR="00D32185" w:rsidRPr="007D14C7" w:rsidRDefault="00D32185" w:rsidP="00E42B6A">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tcPr>
          <w:p w14:paraId="4BB429B8" w14:textId="43B13727" w:rsidR="00D32185" w:rsidRPr="007D14C7" w:rsidRDefault="00D32185" w:rsidP="00E42B6A">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tcPr>
          <w:p w14:paraId="59B14AB7" w14:textId="009DAE6F" w:rsidR="00D32185" w:rsidRPr="007D14C7" w:rsidRDefault="00D32185" w:rsidP="00E42B6A">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tcPr>
          <w:p w14:paraId="018C2447" w14:textId="3C3994F1" w:rsidR="00D32185" w:rsidRPr="007D14C7" w:rsidRDefault="00D32185" w:rsidP="00E42B6A">
            <w:pPr>
              <w:jc w:val="center"/>
              <w:rPr>
                <w:rFonts w:eastAsia="Times New Roman" w:cs="Times New Roman"/>
                <w:sz w:val="26"/>
                <w:szCs w:val="26"/>
              </w:rPr>
            </w:pPr>
            <w:r w:rsidRPr="007D14C7">
              <w:rPr>
                <w:rFonts w:eastAsia="Times New Roman" w:cs="Times New Roman"/>
                <w:sz w:val="26"/>
                <w:szCs w:val="26"/>
              </w:rPr>
              <w:t>0</w:t>
            </w:r>
          </w:p>
        </w:tc>
      </w:tr>
      <w:tr w:rsidR="00D32185" w:rsidRPr="007D14C7" w14:paraId="6CBCD69E" w14:textId="77777777" w:rsidTr="00D5277D">
        <w:trPr>
          <w:jc w:val="center"/>
        </w:trPr>
        <w:tc>
          <w:tcPr>
            <w:tcW w:w="1668" w:type="pct"/>
            <w:vMerge/>
            <w:tcBorders>
              <w:left w:val="outset" w:sz="6" w:space="0" w:color="414142"/>
              <w:bottom w:val="outset" w:sz="6" w:space="0" w:color="414142"/>
              <w:right w:val="outset" w:sz="6" w:space="0" w:color="414142"/>
            </w:tcBorders>
          </w:tcPr>
          <w:p w14:paraId="373EF298" w14:textId="77777777" w:rsidR="00D32185" w:rsidRPr="007D14C7" w:rsidRDefault="00D32185" w:rsidP="00E42B6A">
            <w:pPr>
              <w:rPr>
                <w:rFonts w:eastAsia="Times New Roman" w:cs="Times New Roman"/>
                <w:sz w:val="26"/>
                <w:szCs w:val="26"/>
              </w:rPr>
            </w:pPr>
          </w:p>
        </w:tc>
        <w:tc>
          <w:tcPr>
            <w:tcW w:w="634" w:type="pct"/>
            <w:vMerge/>
            <w:tcBorders>
              <w:left w:val="outset" w:sz="6" w:space="0" w:color="414142"/>
              <w:bottom w:val="outset" w:sz="6" w:space="0" w:color="414142"/>
              <w:right w:val="outset" w:sz="6" w:space="0" w:color="414142"/>
            </w:tcBorders>
          </w:tcPr>
          <w:p w14:paraId="04ED7675" w14:textId="246A06EB" w:rsidR="00D32185" w:rsidRPr="007D14C7" w:rsidRDefault="00D32185" w:rsidP="00E42B6A">
            <w:pPr>
              <w:spacing w:before="100" w:beforeAutospacing="1" w:after="100" w:afterAutospacing="1" w:line="293" w:lineRule="atLeast"/>
              <w:jc w:val="center"/>
              <w:rPr>
                <w:rFonts w:eastAsia="Times New Roman" w:cs="Times New Roman"/>
                <w:sz w:val="26"/>
                <w:szCs w:val="26"/>
              </w:rPr>
            </w:pPr>
          </w:p>
        </w:tc>
        <w:tc>
          <w:tcPr>
            <w:tcW w:w="831" w:type="pct"/>
            <w:tcBorders>
              <w:top w:val="outset" w:sz="6" w:space="0" w:color="414142"/>
              <w:left w:val="outset" w:sz="6" w:space="0" w:color="414142"/>
              <w:bottom w:val="outset" w:sz="6" w:space="0" w:color="414142"/>
              <w:right w:val="outset" w:sz="6" w:space="0" w:color="414142"/>
            </w:tcBorders>
          </w:tcPr>
          <w:p w14:paraId="24E613B0" w14:textId="0813B95F" w:rsidR="00D32185" w:rsidRPr="007D14C7" w:rsidRDefault="00D32185" w:rsidP="00E42B6A">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tcPr>
          <w:p w14:paraId="298E0EB8" w14:textId="77BB2BF4" w:rsidR="00D32185" w:rsidRPr="007D14C7" w:rsidRDefault="00D32185" w:rsidP="00E42B6A">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tcPr>
          <w:p w14:paraId="49D78322" w14:textId="6292238E" w:rsidR="00D32185" w:rsidRPr="007D14C7" w:rsidRDefault="00D32185" w:rsidP="00E42B6A">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tcPr>
          <w:p w14:paraId="6BCE8478" w14:textId="1B6AD86D" w:rsidR="00D32185" w:rsidRPr="007D14C7" w:rsidRDefault="00D32185" w:rsidP="00E42B6A">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5EA5EC44"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510C1866"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5. Precizēta finansiālā ietekme:</w:t>
            </w:r>
          </w:p>
        </w:tc>
        <w:tc>
          <w:tcPr>
            <w:tcW w:w="634" w:type="pct"/>
            <w:vMerge w:val="restart"/>
            <w:tcBorders>
              <w:top w:val="outset" w:sz="6" w:space="0" w:color="414142"/>
              <w:left w:val="outset" w:sz="6" w:space="0" w:color="414142"/>
              <w:bottom w:val="outset" w:sz="6" w:space="0" w:color="414142"/>
              <w:right w:val="outset" w:sz="6" w:space="0" w:color="414142"/>
            </w:tcBorders>
            <w:hideMark/>
          </w:tcPr>
          <w:p w14:paraId="5810EAB4" w14:textId="77777777" w:rsidR="003D5C72" w:rsidRPr="007D14C7" w:rsidRDefault="003D5C72" w:rsidP="00C87E3C">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X</w:t>
            </w:r>
          </w:p>
        </w:tc>
        <w:tc>
          <w:tcPr>
            <w:tcW w:w="831" w:type="pct"/>
            <w:tcBorders>
              <w:top w:val="outset" w:sz="6" w:space="0" w:color="414142"/>
              <w:left w:val="outset" w:sz="6" w:space="0" w:color="414142"/>
              <w:bottom w:val="outset" w:sz="6" w:space="0" w:color="414142"/>
              <w:right w:val="outset" w:sz="6" w:space="0" w:color="414142"/>
            </w:tcBorders>
            <w:hideMark/>
          </w:tcPr>
          <w:p w14:paraId="1C08D994"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1A8FC29B" w14:textId="1CC5C81C" w:rsidR="003D5C72" w:rsidRPr="007D14C7" w:rsidRDefault="008851B2" w:rsidP="00F406F9">
            <w:pPr>
              <w:jc w:val="center"/>
              <w:rPr>
                <w:rFonts w:eastAsia="Times New Roman" w:cs="Times New Roman"/>
                <w:sz w:val="24"/>
                <w:szCs w:val="24"/>
              </w:rPr>
            </w:pPr>
            <w:r w:rsidRPr="007D14C7">
              <w:rPr>
                <w:sz w:val="24"/>
                <w:szCs w:val="24"/>
              </w:rPr>
              <w:t>0</w:t>
            </w:r>
          </w:p>
        </w:tc>
        <w:tc>
          <w:tcPr>
            <w:tcW w:w="634" w:type="pct"/>
            <w:tcBorders>
              <w:top w:val="outset" w:sz="6" w:space="0" w:color="414142"/>
              <w:left w:val="outset" w:sz="6" w:space="0" w:color="414142"/>
              <w:bottom w:val="outset" w:sz="6" w:space="0" w:color="414142"/>
              <w:right w:val="outset" w:sz="6" w:space="0" w:color="414142"/>
            </w:tcBorders>
            <w:hideMark/>
          </w:tcPr>
          <w:p w14:paraId="182984DC" w14:textId="0E067586" w:rsidR="003D5C72" w:rsidRPr="007D14C7" w:rsidRDefault="008851B2" w:rsidP="00F406F9">
            <w:pPr>
              <w:jc w:val="center"/>
              <w:rPr>
                <w:rFonts w:eastAsia="Times New Roman"/>
                <w:sz w:val="24"/>
                <w:szCs w:val="24"/>
                <w:lang w:eastAsia="lv-LV"/>
              </w:rPr>
            </w:pPr>
            <w:r w:rsidRPr="007D14C7">
              <w:rPr>
                <w:sz w:val="24"/>
                <w:szCs w:val="24"/>
              </w:rPr>
              <w:t>0</w:t>
            </w:r>
          </w:p>
        </w:tc>
        <w:tc>
          <w:tcPr>
            <w:tcW w:w="584" w:type="pct"/>
            <w:tcBorders>
              <w:top w:val="outset" w:sz="6" w:space="0" w:color="414142"/>
              <w:left w:val="outset" w:sz="6" w:space="0" w:color="414142"/>
              <w:bottom w:val="outset" w:sz="6" w:space="0" w:color="414142"/>
              <w:right w:val="outset" w:sz="6" w:space="0" w:color="414142"/>
            </w:tcBorders>
            <w:hideMark/>
          </w:tcPr>
          <w:p w14:paraId="0BDAA984"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64C0AC2B"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1E65D934"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4A53F7" w14:textId="77777777" w:rsidR="003D5C72" w:rsidRPr="007D14C7" w:rsidRDefault="003D5C72" w:rsidP="00C87E3C">
            <w:pPr>
              <w:jc w:val="center"/>
              <w:rPr>
                <w:rFonts w:eastAsia="Times New Roman" w:cs="Times New Roman"/>
                <w:sz w:val="26"/>
                <w:szCs w:val="26"/>
              </w:rPr>
            </w:pPr>
          </w:p>
        </w:tc>
        <w:tc>
          <w:tcPr>
            <w:tcW w:w="831" w:type="pct"/>
            <w:tcBorders>
              <w:top w:val="outset" w:sz="6" w:space="0" w:color="414142"/>
              <w:left w:val="outset" w:sz="6" w:space="0" w:color="414142"/>
              <w:bottom w:val="outset" w:sz="6" w:space="0" w:color="414142"/>
              <w:right w:val="outset" w:sz="6" w:space="0" w:color="414142"/>
            </w:tcBorders>
            <w:hideMark/>
          </w:tcPr>
          <w:p w14:paraId="72840DC8"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4F11B6CE"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759ECE21"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6856CB43"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3699B81F"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4E99DDDD"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E144DE" w14:textId="77777777" w:rsidR="003D5C72" w:rsidRPr="007D14C7" w:rsidRDefault="003D5C72" w:rsidP="00C87E3C">
            <w:pPr>
              <w:jc w:val="center"/>
              <w:rPr>
                <w:rFonts w:eastAsia="Times New Roman" w:cs="Times New Roman"/>
                <w:sz w:val="26"/>
                <w:szCs w:val="26"/>
              </w:rPr>
            </w:pPr>
          </w:p>
        </w:tc>
        <w:tc>
          <w:tcPr>
            <w:tcW w:w="831" w:type="pct"/>
            <w:tcBorders>
              <w:top w:val="outset" w:sz="6" w:space="0" w:color="414142"/>
              <w:left w:val="outset" w:sz="6" w:space="0" w:color="414142"/>
              <w:bottom w:val="outset" w:sz="6" w:space="0" w:color="414142"/>
              <w:right w:val="outset" w:sz="6" w:space="0" w:color="414142"/>
            </w:tcBorders>
            <w:hideMark/>
          </w:tcPr>
          <w:p w14:paraId="001BF3D6"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4B65FD88"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22BC2B5E"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27D878A9"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32B689A8"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4239571A"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CF521E" w14:textId="77777777" w:rsidR="003D5C72" w:rsidRPr="007D14C7" w:rsidRDefault="003D5C72" w:rsidP="00C87E3C">
            <w:pPr>
              <w:jc w:val="center"/>
              <w:rPr>
                <w:rFonts w:eastAsia="Times New Roman" w:cs="Times New Roman"/>
                <w:sz w:val="26"/>
                <w:szCs w:val="26"/>
              </w:rPr>
            </w:pPr>
          </w:p>
        </w:tc>
        <w:tc>
          <w:tcPr>
            <w:tcW w:w="831" w:type="pct"/>
            <w:tcBorders>
              <w:top w:val="outset" w:sz="6" w:space="0" w:color="414142"/>
              <w:left w:val="outset" w:sz="6" w:space="0" w:color="414142"/>
              <w:bottom w:val="outset" w:sz="6" w:space="0" w:color="414142"/>
              <w:right w:val="outset" w:sz="6" w:space="0" w:color="414142"/>
            </w:tcBorders>
            <w:hideMark/>
          </w:tcPr>
          <w:p w14:paraId="288E224A"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49" w:type="pct"/>
            <w:tcBorders>
              <w:top w:val="outset" w:sz="6" w:space="0" w:color="414142"/>
              <w:left w:val="outset" w:sz="6" w:space="0" w:color="414142"/>
              <w:bottom w:val="outset" w:sz="6" w:space="0" w:color="414142"/>
              <w:right w:val="outset" w:sz="6" w:space="0" w:color="414142"/>
            </w:tcBorders>
            <w:hideMark/>
          </w:tcPr>
          <w:p w14:paraId="6FC63F1B"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634" w:type="pct"/>
            <w:tcBorders>
              <w:top w:val="outset" w:sz="6" w:space="0" w:color="414142"/>
              <w:left w:val="outset" w:sz="6" w:space="0" w:color="414142"/>
              <w:bottom w:val="outset" w:sz="6" w:space="0" w:color="414142"/>
              <w:right w:val="outset" w:sz="6" w:space="0" w:color="414142"/>
            </w:tcBorders>
            <w:hideMark/>
          </w:tcPr>
          <w:p w14:paraId="236FE0ED"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c>
          <w:tcPr>
            <w:tcW w:w="584" w:type="pct"/>
            <w:tcBorders>
              <w:top w:val="outset" w:sz="6" w:space="0" w:color="414142"/>
              <w:left w:val="outset" w:sz="6" w:space="0" w:color="414142"/>
              <w:bottom w:val="outset" w:sz="6" w:space="0" w:color="414142"/>
              <w:right w:val="outset" w:sz="6" w:space="0" w:color="414142"/>
            </w:tcBorders>
            <w:hideMark/>
          </w:tcPr>
          <w:p w14:paraId="1614B027" w14:textId="77777777" w:rsidR="003D5C72" w:rsidRPr="007D14C7" w:rsidRDefault="003D5C72" w:rsidP="00C87E3C">
            <w:pPr>
              <w:jc w:val="center"/>
              <w:rPr>
                <w:rFonts w:eastAsia="Times New Roman" w:cs="Times New Roman"/>
                <w:sz w:val="26"/>
                <w:szCs w:val="26"/>
              </w:rPr>
            </w:pPr>
            <w:r w:rsidRPr="007D14C7">
              <w:rPr>
                <w:rFonts w:eastAsia="Times New Roman" w:cs="Times New Roman"/>
                <w:sz w:val="26"/>
                <w:szCs w:val="26"/>
              </w:rPr>
              <w:t>0</w:t>
            </w:r>
          </w:p>
        </w:tc>
      </w:tr>
      <w:tr w:rsidR="003D5C72" w:rsidRPr="007D14C7" w14:paraId="721423BD"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1FCBC26E"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lastRenderedPageBreak/>
              <w:t>6. Detalizēts ieņēmumu un izdevumu aprēķins (ja nepieciešams, detalizētu ieņēmumu un izdevumu aprēķinu var pievienot anotācijas pielikumā):</w:t>
            </w:r>
          </w:p>
        </w:tc>
        <w:tc>
          <w:tcPr>
            <w:tcW w:w="3332"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6EECBFA" w14:textId="745F3181" w:rsidR="00F406F9" w:rsidRPr="007D14C7" w:rsidRDefault="008851B2" w:rsidP="00F406F9">
            <w:pPr>
              <w:rPr>
                <w:rFonts w:eastAsia="Times New Roman" w:cs="Times New Roman"/>
                <w:sz w:val="26"/>
                <w:szCs w:val="26"/>
              </w:rPr>
            </w:pPr>
            <w:r w:rsidRPr="007D14C7">
              <w:rPr>
                <w:rFonts w:eastAsia="Times New Roman" w:cs="Times New Roman"/>
                <w:b/>
                <w:sz w:val="22"/>
              </w:rPr>
              <w:t>X</w:t>
            </w:r>
          </w:p>
        </w:tc>
      </w:tr>
      <w:tr w:rsidR="003D5C72" w:rsidRPr="007D14C7" w14:paraId="050247FD"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09ABF569" w14:textId="419BE1CE" w:rsidR="003D5C72" w:rsidRPr="007D14C7" w:rsidRDefault="003D5C72" w:rsidP="002D6D8A">
            <w:pPr>
              <w:rPr>
                <w:rFonts w:eastAsia="Times New Roman" w:cs="Times New Roman"/>
                <w:sz w:val="26"/>
                <w:szCs w:val="26"/>
              </w:rPr>
            </w:pPr>
            <w:r w:rsidRPr="007D14C7">
              <w:rPr>
                <w:rFonts w:eastAsia="Times New Roman" w:cs="Times New Roman"/>
                <w:sz w:val="26"/>
                <w:szCs w:val="26"/>
              </w:rPr>
              <w:t>6.1. detalizēts ieņēmumu aprēķins</w:t>
            </w:r>
          </w:p>
        </w:tc>
        <w:tc>
          <w:tcPr>
            <w:tcW w:w="3332" w:type="pct"/>
            <w:gridSpan w:val="5"/>
            <w:vMerge/>
            <w:tcBorders>
              <w:top w:val="outset" w:sz="6" w:space="0" w:color="414142"/>
              <w:left w:val="outset" w:sz="6" w:space="0" w:color="414142"/>
              <w:bottom w:val="outset" w:sz="6" w:space="0" w:color="414142"/>
              <w:right w:val="outset" w:sz="6" w:space="0" w:color="414142"/>
            </w:tcBorders>
            <w:vAlign w:val="center"/>
            <w:hideMark/>
          </w:tcPr>
          <w:p w14:paraId="24F2786A" w14:textId="77777777" w:rsidR="003D5C72" w:rsidRPr="007D14C7" w:rsidRDefault="003D5C72" w:rsidP="002D6D8A">
            <w:pPr>
              <w:rPr>
                <w:rFonts w:eastAsia="Times New Roman" w:cs="Times New Roman"/>
                <w:sz w:val="26"/>
                <w:szCs w:val="26"/>
              </w:rPr>
            </w:pPr>
          </w:p>
        </w:tc>
      </w:tr>
      <w:tr w:rsidR="003D5C72" w:rsidRPr="007D14C7" w14:paraId="5249B7E2" w14:textId="77777777" w:rsidTr="00D5277D">
        <w:trPr>
          <w:jc w:val="center"/>
        </w:trPr>
        <w:tc>
          <w:tcPr>
            <w:tcW w:w="1668" w:type="pct"/>
            <w:tcBorders>
              <w:top w:val="outset" w:sz="6" w:space="0" w:color="414142"/>
              <w:left w:val="outset" w:sz="6" w:space="0" w:color="414142"/>
              <w:bottom w:val="outset" w:sz="6" w:space="0" w:color="414142"/>
              <w:right w:val="outset" w:sz="6" w:space="0" w:color="414142"/>
            </w:tcBorders>
            <w:hideMark/>
          </w:tcPr>
          <w:p w14:paraId="43906158"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6.2. detalizēts izdevumu aprēķins</w:t>
            </w:r>
          </w:p>
        </w:tc>
        <w:tc>
          <w:tcPr>
            <w:tcW w:w="3332" w:type="pct"/>
            <w:gridSpan w:val="5"/>
            <w:vMerge/>
            <w:tcBorders>
              <w:top w:val="outset" w:sz="6" w:space="0" w:color="414142"/>
              <w:left w:val="outset" w:sz="6" w:space="0" w:color="414142"/>
              <w:bottom w:val="outset" w:sz="6" w:space="0" w:color="414142"/>
              <w:right w:val="outset" w:sz="6" w:space="0" w:color="414142"/>
            </w:tcBorders>
            <w:vAlign w:val="center"/>
            <w:hideMark/>
          </w:tcPr>
          <w:p w14:paraId="14F33BCC" w14:textId="77777777" w:rsidR="003D5C72" w:rsidRPr="007D14C7" w:rsidRDefault="003D5C72" w:rsidP="002D6D8A">
            <w:pPr>
              <w:rPr>
                <w:rFonts w:eastAsia="Times New Roman" w:cs="Times New Roman"/>
                <w:sz w:val="26"/>
                <w:szCs w:val="26"/>
              </w:rPr>
            </w:pPr>
          </w:p>
        </w:tc>
      </w:tr>
      <w:tr w:rsidR="003D5C72" w:rsidRPr="007D14C7" w14:paraId="089B91CB" w14:textId="77777777" w:rsidTr="00D5277D">
        <w:trPr>
          <w:trHeight w:val="555"/>
          <w:jc w:val="center"/>
        </w:trPr>
        <w:tc>
          <w:tcPr>
            <w:tcW w:w="1668" w:type="pct"/>
            <w:tcBorders>
              <w:top w:val="outset" w:sz="6" w:space="0" w:color="414142"/>
              <w:left w:val="outset" w:sz="6" w:space="0" w:color="414142"/>
              <w:bottom w:val="outset" w:sz="6" w:space="0" w:color="414142"/>
              <w:right w:val="outset" w:sz="6" w:space="0" w:color="414142"/>
            </w:tcBorders>
            <w:hideMark/>
          </w:tcPr>
          <w:p w14:paraId="71202A79"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7. Cita informācija</w:t>
            </w:r>
          </w:p>
        </w:tc>
        <w:tc>
          <w:tcPr>
            <w:tcW w:w="3332" w:type="pct"/>
            <w:gridSpan w:val="5"/>
            <w:tcBorders>
              <w:top w:val="outset" w:sz="6" w:space="0" w:color="414142"/>
              <w:left w:val="outset" w:sz="6" w:space="0" w:color="414142"/>
              <w:bottom w:val="outset" w:sz="6" w:space="0" w:color="414142"/>
              <w:right w:val="outset" w:sz="6" w:space="0" w:color="414142"/>
            </w:tcBorders>
            <w:hideMark/>
          </w:tcPr>
          <w:p w14:paraId="7772BB86" w14:textId="4EE2A9CE" w:rsidR="00042EED" w:rsidRPr="007D14C7" w:rsidRDefault="00E629A2" w:rsidP="00E629A2">
            <w:pPr>
              <w:jc w:val="both"/>
              <w:rPr>
                <w:rFonts w:cs="Times New Roman"/>
                <w:sz w:val="26"/>
                <w:szCs w:val="26"/>
              </w:rPr>
            </w:pPr>
            <w:r w:rsidRPr="007D14C7">
              <w:rPr>
                <w:rFonts w:cs="Times New Roman"/>
                <w:sz w:val="26"/>
                <w:szCs w:val="26"/>
              </w:rPr>
              <w:t xml:space="preserve">Programmas </w:t>
            </w:r>
            <w:r w:rsidR="003D5C72" w:rsidRPr="007D14C7">
              <w:rPr>
                <w:rFonts w:cs="Times New Roman"/>
                <w:sz w:val="26"/>
                <w:szCs w:val="26"/>
              </w:rPr>
              <w:t>kopējais finansējums no publiskajiem līdzekļiem</w:t>
            </w:r>
            <w:r w:rsidR="00B1476A" w:rsidRPr="007D14C7">
              <w:rPr>
                <w:rFonts w:cs="Times New Roman"/>
                <w:sz w:val="26"/>
                <w:szCs w:val="26"/>
              </w:rPr>
              <w:t xml:space="preserve"> veido</w:t>
            </w:r>
            <w:r w:rsidR="003D5C72" w:rsidRPr="007D14C7">
              <w:rPr>
                <w:rFonts w:cs="Times New Roman"/>
                <w:sz w:val="26"/>
                <w:szCs w:val="26"/>
              </w:rPr>
              <w:t xml:space="preserve"> </w:t>
            </w:r>
            <w:r w:rsidR="002517CB" w:rsidRPr="007D14C7">
              <w:rPr>
                <w:rFonts w:cs="Times New Roman"/>
                <w:sz w:val="26"/>
                <w:szCs w:val="26"/>
              </w:rPr>
              <w:t>12 586 667 EUR, no kuriem 11 328 000 EUR</w:t>
            </w:r>
            <w:r w:rsidR="003D5C72" w:rsidRPr="007D14C7">
              <w:rPr>
                <w:rFonts w:cs="Times New Roman"/>
                <w:sz w:val="26"/>
                <w:szCs w:val="26"/>
              </w:rPr>
              <w:t xml:space="preserve"> ir Norvēģijas finanšu instrumenta līdzfinansējums un </w:t>
            </w:r>
            <w:r w:rsidR="00B1476A" w:rsidRPr="007D14C7">
              <w:rPr>
                <w:rFonts w:cs="Times New Roman"/>
                <w:sz w:val="26"/>
                <w:szCs w:val="26"/>
              </w:rPr>
              <w:t>1 258 667 EUR</w:t>
            </w:r>
            <w:r w:rsidR="003D5C72" w:rsidRPr="007D14C7">
              <w:rPr>
                <w:rFonts w:cs="Times New Roman"/>
                <w:sz w:val="26"/>
                <w:szCs w:val="26"/>
              </w:rPr>
              <w:t xml:space="preserve"> ir Latvijas valsts budžeta līdzekļi. </w:t>
            </w:r>
          </w:p>
          <w:p w14:paraId="5059D751" w14:textId="39C4A85F" w:rsidR="001E40CE" w:rsidRPr="007D14C7" w:rsidRDefault="00042EED" w:rsidP="003F544E">
            <w:pPr>
              <w:jc w:val="both"/>
              <w:rPr>
                <w:rFonts w:cs="Times New Roman"/>
                <w:sz w:val="26"/>
                <w:szCs w:val="26"/>
              </w:rPr>
            </w:pPr>
            <w:r w:rsidRPr="007D14C7">
              <w:rPr>
                <w:rFonts w:cs="Times New Roman"/>
                <w:sz w:val="26"/>
                <w:szCs w:val="26"/>
              </w:rPr>
              <w:t xml:space="preserve">Pārdalot finansējumu no atklātā konkursa uz neliela apjoma </w:t>
            </w:r>
            <w:proofErr w:type="spellStart"/>
            <w:r w:rsidRPr="007D14C7">
              <w:rPr>
                <w:rFonts w:cs="Times New Roman"/>
                <w:sz w:val="26"/>
                <w:szCs w:val="26"/>
              </w:rPr>
              <w:t>grantu</w:t>
            </w:r>
            <w:proofErr w:type="spellEnd"/>
            <w:r w:rsidRPr="007D14C7">
              <w:rPr>
                <w:rFonts w:cs="Times New Roman"/>
                <w:sz w:val="26"/>
                <w:szCs w:val="26"/>
              </w:rPr>
              <w:t xml:space="preserve"> shēmu, </w:t>
            </w:r>
            <w:r w:rsidRPr="007D14C7">
              <w:rPr>
                <w:rFonts w:cs="Times New Roman"/>
                <w:sz w:val="26"/>
                <w:szCs w:val="26"/>
                <w:u w:val="single"/>
              </w:rPr>
              <w:t>valsts budžeta līdzfinansējuma apmērs nemainās.</w:t>
            </w:r>
            <w:r w:rsidR="00BC296E" w:rsidRPr="007D14C7">
              <w:rPr>
                <w:rFonts w:cs="Times New Roman"/>
                <w:sz w:val="26"/>
                <w:szCs w:val="26"/>
              </w:rPr>
              <w:t xml:space="preserve"> </w:t>
            </w:r>
            <w:r w:rsidR="008851B2" w:rsidRPr="007D14C7">
              <w:rPr>
                <w:rFonts w:cs="Times New Roman"/>
                <w:sz w:val="26"/>
                <w:szCs w:val="26"/>
              </w:rPr>
              <w:t>L</w:t>
            </w:r>
            <w:r w:rsidR="00BC296E" w:rsidRPr="007D14C7">
              <w:rPr>
                <w:rFonts w:cs="Times New Roman"/>
                <w:sz w:val="26"/>
                <w:szCs w:val="26"/>
              </w:rPr>
              <w:t xml:space="preserve">ikumā </w:t>
            </w:r>
            <w:r w:rsidR="00BC296E" w:rsidRPr="007D14C7">
              <w:rPr>
                <w:rFonts w:ascii="Cambria" w:hAnsi="Cambria" w:cs="Times New Roman"/>
                <w:sz w:val="26"/>
                <w:szCs w:val="26"/>
              </w:rPr>
              <w:t>"</w:t>
            </w:r>
            <w:r w:rsidR="00BC296E" w:rsidRPr="007D14C7">
              <w:rPr>
                <w:rFonts w:cs="Times New Roman"/>
                <w:sz w:val="26"/>
                <w:szCs w:val="26"/>
              </w:rPr>
              <w:t>Par valsts budžetu 2015.gadam</w:t>
            </w:r>
            <w:r w:rsidR="00BC296E" w:rsidRPr="007D14C7">
              <w:rPr>
                <w:rFonts w:ascii="Cambria" w:hAnsi="Cambria" w:cs="Times New Roman"/>
                <w:sz w:val="26"/>
                <w:szCs w:val="26"/>
              </w:rPr>
              <w:t>"</w:t>
            </w:r>
            <w:r w:rsidR="00BC296E" w:rsidRPr="007D14C7">
              <w:rPr>
                <w:rFonts w:cs="Times New Roman"/>
                <w:sz w:val="26"/>
                <w:szCs w:val="26"/>
              </w:rPr>
              <w:t xml:space="preserve"> Ekonomikas ministrijas  apakšprogrammā 71.06.00 </w:t>
            </w:r>
            <w:r w:rsidRPr="007D14C7">
              <w:rPr>
                <w:rFonts w:ascii="Cambria" w:hAnsi="Cambria" w:cs="Times New Roman"/>
                <w:sz w:val="26"/>
                <w:szCs w:val="26"/>
              </w:rPr>
              <w:t>"</w:t>
            </w:r>
            <w:r w:rsidRPr="007D14C7">
              <w:rPr>
                <w:rFonts w:cs="Times New Roman"/>
                <w:sz w:val="26"/>
                <w:szCs w:val="26"/>
              </w:rPr>
              <w:t>Eiropas Ekonomikas zonas un Norvēģijas finanšu instrumenta finansētie projekti</w:t>
            </w:r>
            <w:r w:rsidRPr="007D14C7">
              <w:rPr>
                <w:rFonts w:ascii="Cambria" w:hAnsi="Cambria" w:cs="Times New Roman"/>
                <w:sz w:val="26"/>
                <w:szCs w:val="26"/>
              </w:rPr>
              <w:t>"</w:t>
            </w:r>
            <w:r w:rsidRPr="007D14C7">
              <w:rPr>
                <w:rFonts w:cs="Times New Roman"/>
                <w:sz w:val="26"/>
                <w:szCs w:val="26"/>
              </w:rPr>
              <w:t xml:space="preserve"> </w:t>
            </w:r>
            <w:r w:rsidR="008851B2" w:rsidRPr="007D14C7">
              <w:rPr>
                <w:rFonts w:cs="Times New Roman"/>
                <w:sz w:val="26"/>
                <w:szCs w:val="26"/>
              </w:rPr>
              <w:t xml:space="preserve">ir ieplānots finansējums 2 279 321 EUR apmērā. </w:t>
            </w:r>
            <w:r w:rsidR="007D5AC0" w:rsidRPr="007D14C7">
              <w:rPr>
                <w:rFonts w:cs="Times New Roman"/>
                <w:sz w:val="26"/>
                <w:szCs w:val="26"/>
              </w:rPr>
              <w:t>2016.gada un 2017. gadam bāz</w:t>
            </w:r>
            <w:r w:rsidR="008851B2" w:rsidRPr="007D14C7">
              <w:rPr>
                <w:rFonts w:cs="Times New Roman"/>
                <w:sz w:val="26"/>
                <w:szCs w:val="26"/>
              </w:rPr>
              <w:t>ē</w:t>
            </w:r>
            <w:r w:rsidRPr="007D14C7">
              <w:rPr>
                <w:rFonts w:cs="Times New Roman"/>
                <w:sz w:val="26"/>
                <w:szCs w:val="26"/>
              </w:rPr>
              <w:t xml:space="preserve"> </w:t>
            </w:r>
            <w:r w:rsidR="009B3F4B" w:rsidRPr="007D14C7">
              <w:rPr>
                <w:rFonts w:cs="Times New Roman"/>
                <w:sz w:val="26"/>
                <w:szCs w:val="26"/>
              </w:rPr>
              <w:t>Ekonomikas ministrijas</w:t>
            </w:r>
            <w:r w:rsidR="008851B2" w:rsidRPr="007D14C7">
              <w:rPr>
                <w:rFonts w:cs="Times New Roman"/>
                <w:sz w:val="26"/>
                <w:szCs w:val="26"/>
              </w:rPr>
              <w:t xml:space="preserve"> minētajā apakšprogrammā ir attiecīgi ieplānoti 3 851 921 EUR un </w:t>
            </w:r>
            <w:r w:rsidR="009B3F4B" w:rsidRPr="007D14C7">
              <w:rPr>
                <w:rFonts w:cs="Times New Roman"/>
                <w:sz w:val="26"/>
                <w:szCs w:val="26"/>
              </w:rPr>
              <w:t>1 400 812 EUR.</w:t>
            </w:r>
          </w:p>
          <w:p w14:paraId="0AD42BA8" w14:textId="6E4B66E4" w:rsidR="00634962" w:rsidRPr="007D14C7" w:rsidRDefault="003F544E" w:rsidP="00C946C0">
            <w:pPr>
              <w:jc w:val="both"/>
              <w:rPr>
                <w:rFonts w:cs="Times New Roman"/>
                <w:sz w:val="26"/>
                <w:szCs w:val="26"/>
              </w:rPr>
            </w:pPr>
            <w:r w:rsidRPr="007D14C7">
              <w:rPr>
                <w:rFonts w:cs="Times New Roman"/>
                <w:sz w:val="26"/>
                <w:szCs w:val="26"/>
              </w:rPr>
              <w:t>Vienlaikus</w:t>
            </w:r>
            <w:r w:rsidR="00202020" w:rsidRPr="007D14C7">
              <w:rPr>
                <w:rFonts w:cs="Times New Roman"/>
                <w:sz w:val="26"/>
                <w:szCs w:val="26"/>
              </w:rPr>
              <w:t>, ja</w:t>
            </w:r>
            <w:r w:rsidRPr="007D14C7">
              <w:rPr>
                <w:rFonts w:cs="Times New Roman"/>
                <w:sz w:val="26"/>
                <w:szCs w:val="26"/>
              </w:rPr>
              <w:t xml:space="preserve"> būs nepieciešams finansējums </w:t>
            </w:r>
            <w:r w:rsidR="00FC3BD0" w:rsidRPr="007D14C7">
              <w:rPr>
                <w:rFonts w:cs="Times New Roman"/>
                <w:sz w:val="26"/>
                <w:szCs w:val="26"/>
              </w:rPr>
              <w:t>atklāta konkursa 2.k</w:t>
            </w:r>
            <w:r w:rsidR="00953220" w:rsidRPr="007D14C7">
              <w:rPr>
                <w:rFonts w:cs="Times New Roman"/>
                <w:sz w:val="26"/>
                <w:szCs w:val="26"/>
              </w:rPr>
              <w:t>ār</w:t>
            </w:r>
            <w:r w:rsidR="00FC3BD0" w:rsidRPr="007D14C7">
              <w:rPr>
                <w:rFonts w:cs="Times New Roman"/>
                <w:sz w:val="26"/>
                <w:szCs w:val="26"/>
              </w:rPr>
              <w:t>tas un neli</w:t>
            </w:r>
            <w:r w:rsidR="00991645" w:rsidRPr="007D14C7">
              <w:rPr>
                <w:rFonts w:cs="Times New Roman"/>
                <w:sz w:val="26"/>
                <w:szCs w:val="26"/>
              </w:rPr>
              <w:t>e</w:t>
            </w:r>
            <w:r w:rsidR="00FC3BD0" w:rsidRPr="007D14C7">
              <w:rPr>
                <w:rFonts w:cs="Times New Roman"/>
                <w:sz w:val="26"/>
                <w:szCs w:val="26"/>
              </w:rPr>
              <w:t xml:space="preserve">la apjoma </w:t>
            </w:r>
            <w:proofErr w:type="spellStart"/>
            <w:r w:rsidR="00FC3BD0" w:rsidRPr="007D14C7">
              <w:rPr>
                <w:rFonts w:cs="Times New Roman"/>
                <w:sz w:val="26"/>
                <w:szCs w:val="26"/>
              </w:rPr>
              <w:t>grantu</w:t>
            </w:r>
            <w:proofErr w:type="spellEnd"/>
            <w:r w:rsidR="00FC3BD0" w:rsidRPr="007D14C7">
              <w:rPr>
                <w:rFonts w:cs="Times New Roman"/>
                <w:sz w:val="26"/>
                <w:szCs w:val="26"/>
              </w:rPr>
              <w:t xml:space="preserve"> shēmas 3.</w:t>
            </w:r>
            <w:r w:rsidRPr="007D14C7">
              <w:rPr>
                <w:rFonts w:cs="Times New Roman"/>
                <w:sz w:val="26"/>
                <w:szCs w:val="26"/>
              </w:rPr>
              <w:t xml:space="preserve">kārtas </w:t>
            </w:r>
            <w:r w:rsidR="00FC3BD0" w:rsidRPr="007D14C7">
              <w:rPr>
                <w:rFonts w:cs="Times New Roman"/>
                <w:sz w:val="26"/>
                <w:szCs w:val="26"/>
              </w:rPr>
              <w:t>projektiem</w:t>
            </w:r>
            <w:r w:rsidR="009B7148" w:rsidRPr="007D14C7">
              <w:rPr>
                <w:rFonts w:cs="Times New Roman"/>
                <w:sz w:val="26"/>
                <w:szCs w:val="26"/>
              </w:rPr>
              <w:t>,</w:t>
            </w:r>
            <w:r w:rsidR="00FC3BD0" w:rsidRPr="007D14C7">
              <w:rPr>
                <w:rFonts w:cs="Times New Roman"/>
                <w:sz w:val="26"/>
                <w:szCs w:val="26"/>
              </w:rPr>
              <w:t xml:space="preserve"> </w:t>
            </w:r>
            <w:r w:rsidR="00991645" w:rsidRPr="007D14C7">
              <w:rPr>
                <w:rFonts w:cs="Times New Roman"/>
                <w:sz w:val="26"/>
                <w:szCs w:val="26"/>
              </w:rPr>
              <w:t>Ekonomikas ministrija l</w:t>
            </w:r>
            <w:r w:rsidR="00F715DB" w:rsidRPr="007D14C7">
              <w:rPr>
                <w:rFonts w:cs="Times New Roman"/>
                <w:sz w:val="26"/>
                <w:szCs w:val="26"/>
              </w:rPr>
              <w:t xml:space="preserve">ūgs pārdalīt no 74.resora </w:t>
            </w:r>
            <w:r w:rsidR="00F715DB" w:rsidRPr="007D14C7">
              <w:rPr>
                <w:rFonts w:ascii="Cambria" w:hAnsi="Cambria" w:cs="Times New Roman"/>
                <w:sz w:val="26"/>
                <w:szCs w:val="26"/>
              </w:rPr>
              <w:t>"</w:t>
            </w:r>
            <w:r w:rsidR="00F715DB" w:rsidRPr="007D14C7">
              <w:rPr>
                <w:rFonts w:cs="Times New Roman"/>
                <w:sz w:val="26"/>
                <w:szCs w:val="26"/>
              </w:rPr>
              <w:t xml:space="preserve">Gadskārtējais valsts budžeta izpildes procesā pārdalāmais finansējums" 80.00.00. </w:t>
            </w:r>
            <w:r w:rsidR="009B7148" w:rsidRPr="007D14C7">
              <w:rPr>
                <w:rFonts w:cs="Times New Roman"/>
                <w:sz w:val="26"/>
                <w:szCs w:val="26"/>
              </w:rPr>
              <w:t xml:space="preserve">programmas </w:t>
            </w:r>
            <w:r w:rsidR="00F715DB" w:rsidRPr="007D14C7">
              <w:rPr>
                <w:rFonts w:cs="Times New Roman"/>
                <w:sz w:val="26"/>
                <w:szCs w:val="26"/>
              </w:rPr>
              <w:t>"Nesadalītais finansējums Eiropas Savienības politikas instrumentu un pārējās ārvalstu finanšu palīdzības līdzfinansēto projektu un pasākumu īstenošana"</w:t>
            </w:r>
            <w:r w:rsidR="009B7148" w:rsidRPr="007D14C7">
              <w:rPr>
                <w:rFonts w:cs="Times New Roman"/>
                <w:sz w:val="26"/>
                <w:szCs w:val="26"/>
              </w:rPr>
              <w:t xml:space="preserve"> papildus </w:t>
            </w:r>
            <w:proofErr w:type="spellStart"/>
            <w:r w:rsidR="009B7148" w:rsidRPr="007D14C7">
              <w:rPr>
                <w:rFonts w:cs="Times New Roman"/>
                <w:sz w:val="26"/>
                <w:szCs w:val="26"/>
              </w:rPr>
              <w:t>lūdzekļus</w:t>
            </w:r>
            <w:proofErr w:type="spellEnd"/>
            <w:r w:rsidR="00C1050D" w:rsidRPr="007D14C7">
              <w:rPr>
                <w:rFonts w:cs="Times New Roman"/>
                <w:sz w:val="26"/>
                <w:szCs w:val="26"/>
              </w:rPr>
              <w:t>.</w:t>
            </w:r>
            <w:r w:rsidR="00D11FB7" w:rsidRPr="007D14C7">
              <w:rPr>
                <w:rFonts w:cs="Times New Roman"/>
                <w:sz w:val="26"/>
                <w:szCs w:val="26"/>
              </w:rPr>
              <w:t xml:space="preserve"> Tiek plānots, ka papildus pašreizēja</w:t>
            </w:r>
            <w:r w:rsidR="008132D8" w:rsidRPr="007D14C7">
              <w:rPr>
                <w:rFonts w:cs="Times New Roman"/>
                <w:sz w:val="26"/>
                <w:szCs w:val="26"/>
              </w:rPr>
              <w:t xml:space="preserve">m likumā "Par valsts budžetu 2015.gadam" apstiprinātajam finansējumam </w:t>
            </w:r>
            <w:r w:rsidR="00D11FB7" w:rsidRPr="007D14C7">
              <w:rPr>
                <w:rFonts w:cs="Times New Roman"/>
                <w:sz w:val="26"/>
                <w:szCs w:val="26"/>
              </w:rPr>
              <w:t>(2 279 321 EUR) būs nepieciešams 200 935 EUR</w:t>
            </w:r>
            <w:r w:rsidR="008132D8" w:rsidRPr="007D14C7">
              <w:rPr>
                <w:rFonts w:cs="Times New Roman"/>
                <w:sz w:val="26"/>
                <w:szCs w:val="26"/>
              </w:rPr>
              <w:t>.</w:t>
            </w:r>
            <w:r w:rsidR="00D11FB7" w:rsidRPr="007D14C7">
              <w:rPr>
                <w:rFonts w:cs="Times New Roman"/>
                <w:sz w:val="26"/>
                <w:szCs w:val="26"/>
              </w:rPr>
              <w:t xml:space="preserve"> 2016.gadā </w:t>
            </w:r>
            <w:r w:rsidR="008132D8" w:rsidRPr="007D14C7">
              <w:rPr>
                <w:rFonts w:cs="Times New Roman"/>
                <w:sz w:val="26"/>
                <w:szCs w:val="26"/>
              </w:rPr>
              <w:t xml:space="preserve">papildus bāzē apstiprinātajam finansējumam būs nepieciešams </w:t>
            </w:r>
            <w:r w:rsidR="00D11FB7" w:rsidRPr="007D14C7">
              <w:rPr>
                <w:rFonts w:cs="Times New Roman"/>
                <w:sz w:val="26"/>
                <w:szCs w:val="26"/>
              </w:rPr>
              <w:t xml:space="preserve"> 3 471 564 EUR</w:t>
            </w:r>
            <w:r w:rsidR="001E40CE" w:rsidRPr="007D14C7">
              <w:rPr>
                <w:rFonts w:cs="Times New Roman"/>
                <w:sz w:val="26"/>
                <w:szCs w:val="26"/>
              </w:rPr>
              <w:t xml:space="preserve"> un</w:t>
            </w:r>
            <w:r w:rsidR="00D11FB7" w:rsidRPr="007D14C7">
              <w:rPr>
                <w:rFonts w:cs="Times New Roman"/>
                <w:sz w:val="26"/>
                <w:szCs w:val="26"/>
              </w:rPr>
              <w:t xml:space="preserve"> 2017.gadā – 310 562 EUR.</w:t>
            </w:r>
            <w:r w:rsidR="009B3F4B" w:rsidRPr="007D14C7">
              <w:rPr>
                <w:rFonts w:cs="Times New Roman"/>
                <w:sz w:val="26"/>
                <w:szCs w:val="26"/>
              </w:rPr>
              <w:t xml:space="preserve"> Šis finansējuma pārdales apjoms</w:t>
            </w:r>
            <w:r w:rsidR="00D11FB7" w:rsidRPr="007D14C7">
              <w:rPr>
                <w:rFonts w:cs="Times New Roman"/>
                <w:sz w:val="26"/>
                <w:szCs w:val="26"/>
              </w:rPr>
              <w:t xml:space="preserve"> var tikt kor</w:t>
            </w:r>
            <w:r w:rsidR="009B3F4B" w:rsidRPr="007D14C7">
              <w:rPr>
                <w:rFonts w:cs="Times New Roman"/>
                <w:sz w:val="26"/>
                <w:szCs w:val="26"/>
              </w:rPr>
              <w:t>iģē</w:t>
            </w:r>
            <w:r w:rsidR="00D11FB7" w:rsidRPr="007D14C7">
              <w:rPr>
                <w:rFonts w:cs="Times New Roman"/>
                <w:sz w:val="26"/>
                <w:szCs w:val="26"/>
              </w:rPr>
              <w:t>ts atkarībā no noslēgto projektu</w:t>
            </w:r>
            <w:r w:rsidR="00057B23" w:rsidRPr="007D14C7">
              <w:rPr>
                <w:rFonts w:cs="Times New Roman"/>
                <w:sz w:val="26"/>
                <w:szCs w:val="26"/>
              </w:rPr>
              <w:t xml:space="preserve"> līgumu</w:t>
            </w:r>
            <w:r w:rsidR="00DB378A" w:rsidRPr="007D14C7">
              <w:rPr>
                <w:rFonts w:cs="Times New Roman"/>
                <w:sz w:val="26"/>
                <w:szCs w:val="26"/>
              </w:rPr>
              <w:t xml:space="preserve"> īstenošanas skaita un tajos</w:t>
            </w:r>
            <w:r w:rsidR="00D11FB7" w:rsidRPr="007D14C7">
              <w:rPr>
                <w:rFonts w:cs="Times New Roman"/>
                <w:sz w:val="26"/>
                <w:szCs w:val="26"/>
              </w:rPr>
              <w:t xml:space="preserve"> paredzētajiem nosacījumiem, </w:t>
            </w:r>
            <w:proofErr w:type="spellStart"/>
            <w:r w:rsidR="00D11FB7" w:rsidRPr="007D14C7">
              <w:rPr>
                <w:rFonts w:cs="Times New Roman"/>
                <w:sz w:val="26"/>
                <w:szCs w:val="26"/>
              </w:rPr>
              <w:t>donorvalsts</w:t>
            </w:r>
            <w:proofErr w:type="spellEnd"/>
            <w:r w:rsidR="00D11FB7" w:rsidRPr="007D14C7">
              <w:rPr>
                <w:rFonts w:cs="Times New Roman"/>
                <w:sz w:val="26"/>
                <w:szCs w:val="26"/>
              </w:rPr>
              <w:t xml:space="preserve"> lēmuma pagarināt at</w:t>
            </w:r>
            <w:r w:rsidR="00DB378A" w:rsidRPr="007D14C7">
              <w:rPr>
                <w:rFonts w:cs="Times New Roman"/>
                <w:sz w:val="26"/>
                <w:szCs w:val="26"/>
              </w:rPr>
              <w:t xml:space="preserve">sevišķu projektu īstenošanas termiņu, </w:t>
            </w:r>
            <w:r w:rsidR="009B3F4B" w:rsidRPr="007D14C7">
              <w:rPr>
                <w:rFonts w:cs="Times New Roman"/>
                <w:sz w:val="26"/>
                <w:szCs w:val="26"/>
              </w:rPr>
              <w:t>iespējamām finansējuma pārdalēm starp</w:t>
            </w:r>
            <w:r w:rsidR="00057B23" w:rsidRPr="007D14C7">
              <w:rPr>
                <w:rFonts w:cs="Times New Roman"/>
                <w:sz w:val="26"/>
                <w:szCs w:val="26"/>
              </w:rPr>
              <w:t xml:space="preserve"> </w:t>
            </w:r>
            <w:r w:rsidR="009B3F4B" w:rsidRPr="007D14C7">
              <w:rPr>
                <w:rFonts w:cs="Times New Roman"/>
                <w:sz w:val="26"/>
                <w:szCs w:val="26"/>
              </w:rPr>
              <w:t>Programmas LV06 aktivitātēm</w:t>
            </w:r>
            <w:r w:rsidR="00DB378A" w:rsidRPr="007D14C7">
              <w:rPr>
                <w:rFonts w:cs="Times New Roman"/>
                <w:sz w:val="26"/>
                <w:szCs w:val="26"/>
              </w:rPr>
              <w:t>.</w:t>
            </w:r>
          </w:p>
        </w:tc>
      </w:tr>
    </w:tbl>
    <w:p w14:paraId="5334D058" w14:textId="45FD1AFC" w:rsidR="003D5C72" w:rsidRPr="007D14C7" w:rsidRDefault="003D5C72" w:rsidP="003D5C72">
      <w:pPr>
        <w:spacing w:after="120"/>
        <w:rPr>
          <w:i/>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3D5C72" w:rsidRPr="007D14C7" w14:paraId="51B6BA9D" w14:textId="77777777" w:rsidTr="002D6D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299144" w14:textId="77777777" w:rsidR="003D5C72" w:rsidRPr="007D14C7" w:rsidRDefault="003D5C72"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lastRenderedPageBreak/>
              <w:t>V. Tiesību akta projekta atbilstība Latvijas Republikas starptautiskajām saistībām</w:t>
            </w:r>
          </w:p>
        </w:tc>
      </w:tr>
      <w:tr w:rsidR="003D5C72" w:rsidRPr="007D14C7" w14:paraId="28FB924F"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6A21FBDD"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t>1.</w:t>
            </w:r>
          </w:p>
        </w:tc>
        <w:tc>
          <w:tcPr>
            <w:tcW w:w="4890" w:type="dxa"/>
            <w:tcBorders>
              <w:top w:val="outset" w:sz="6" w:space="0" w:color="414142"/>
              <w:left w:val="outset" w:sz="6" w:space="0" w:color="414142"/>
              <w:bottom w:val="outset" w:sz="6" w:space="0" w:color="414142"/>
              <w:right w:val="outset" w:sz="6" w:space="0" w:color="414142"/>
            </w:tcBorders>
            <w:hideMark/>
          </w:tcPr>
          <w:p w14:paraId="34C83D87"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00ED41A2" w14:textId="5A2F4281" w:rsidR="00E629A2" w:rsidRPr="007D14C7" w:rsidRDefault="00A37CB6" w:rsidP="001A57AB">
            <w:pPr>
              <w:jc w:val="both"/>
              <w:rPr>
                <w:sz w:val="26"/>
                <w:szCs w:val="26"/>
              </w:rPr>
            </w:pPr>
            <w:r w:rsidRPr="007D14C7">
              <w:rPr>
                <w:sz w:val="24"/>
                <w:szCs w:val="24"/>
              </w:rPr>
              <w:t xml:space="preserve"> Tiesību akta projekts nodrošina </w:t>
            </w:r>
            <w:r w:rsidR="00440825" w:rsidRPr="007D14C7">
              <w:rPr>
                <w:sz w:val="24"/>
                <w:szCs w:val="24"/>
              </w:rPr>
              <w:t>Komisijas regula Nr.1407/2013</w:t>
            </w:r>
            <w:r w:rsidRPr="007D14C7">
              <w:rPr>
                <w:sz w:val="24"/>
                <w:szCs w:val="24"/>
              </w:rPr>
              <w:t xml:space="preserve"> noteikto prasību ievērošanu.</w:t>
            </w:r>
          </w:p>
        </w:tc>
      </w:tr>
      <w:tr w:rsidR="003D5C72" w:rsidRPr="007D14C7" w14:paraId="273C56D6"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5628ABDA"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t>2.</w:t>
            </w:r>
          </w:p>
        </w:tc>
        <w:tc>
          <w:tcPr>
            <w:tcW w:w="4890" w:type="dxa"/>
            <w:tcBorders>
              <w:top w:val="outset" w:sz="6" w:space="0" w:color="414142"/>
              <w:left w:val="outset" w:sz="6" w:space="0" w:color="414142"/>
              <w:bottom w:val="outset" w:sz="6" w:space="0" w:color="414142"/>
              <w:right w:val="outset" w:sz="6" w:space="0" w:color="414142"/>
            </w:tcBorders>
            <w:hideMark/>
          </w:tcPr>
          <w:p w14:paraId="7155B6A7"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004D0EC5" w14:textId="77777777" w:rsidR="003D5C72" w:rsidRPr="007D14C7" w:rsidRDefault="003D5C72" w:rsidP="002D6D8A">
            <w:pPr>
              <w:jc w:val="both"/>
              <w:rPr>
                <w:rFonts w:eastAsia="Times New Roman" w:cs="Times New Roman"/>
                <w:sz w:val="26"/>
                <w:szCs w:val="26"/>
              </w:rPr>
            </w:pPr>
            <w:r w:rsidRPr="007D14C7">
              <w:rPr>
                <w:iCs/>
                <w:sz w:val="26"/>
                <w:szCs w:val="26"/>
              </w:rPr>
              <w:t>Tiesību akta projekts nodrošina Latvijas Republikas un Norvēģijas Karalistes saprašanās memoranda par Norvēģijas finanšu instrumenta ieviešanu 2009.–2014.gadā (apstiprināts ar Ministru kabineta 2011.gada 29.marta noteikumiem Nr.252) īstenošanu.</w:t>
            </w:r>
          </w:p>
        </w:tc>
      </w:tr>
      <w:tr w:rsidR="003D5C72" w:rsidRPr="007D14C7" w14:paraId="41652D10" w14:textId="77777777" w:rsidTr="002D6D8A">
        <w:tc>
          <w:tcPr>
            <w:tcW w:w="250" w:type="pct"/>
            <w:tcBorders>
              <w:top w:val="outset" w:sz="6" w:space="0" w:color="414142"/>
              <w:left w:val="outset" w:sz="6" w:space="0" w:color="414142"/>
              <w:bottom w:val="outset" w:sz="6" w:space="0" w:color="414142"/>
              <w:right w:val="outset" w:sz="6" w:space="0" w:color="414142"/>
            </w:tcBorders>
            <w:hideMark/>
          </w:tcPr>
          <w:p w14:paraId="50DC1D38"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t>3.</w:t>
            </w:r>
          </w:p>
        </w:tc>
        <w:tc>
          <w:tcPr>
            <w:tcW w:w="4890" w:type="dxa"/>
            <w:tcBorders>
              <w:top w:val="outset" w:sz="6" w:space="0" w:color="414142"/>
              <w:left w:val="outset" w:sz="6" w:space="0" w:color="414142"/>
              <w:bottom w:val="outset" w:sz="6" w:space="0" w:color="414142"/>
              <w:right w:val="outset" w:sz="6" w:space="0" w:color="414142"/>
            </w:tcBorders>
            <w:hideMark/>
          </w:tcPr>
          <w:p w14:paraId="2759CE87"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B54DB13" w14:textId="77777777" w:rsidR="003D5C72" w:rsidRPr="007D14C7" w:rsidRDefault="003D5C72" w:rsidP="002D6D8A">
            <w:pPr>
              <w:spacing w:before="100" w:beforeAutospacing="1" w:after="100" w:afterAutospacing="1" w:line="293" w:lineRule="atLeast"/>
              <w:jc w:val="both"/>
              <w:rPr>
                <w:rFonts w:eastAsia="Times New Roman" w:cs="Times New Roman"/>
                <w:sz w:val="26"/>
                <w:szCs w:val="26"/>
              </w:rPr>
            </w:pPr>
            <w:r w:rsidRPr="007D14C7">
              <w:rPr>
                <w:iCs/>
                <w:sz w:val="26"/>
                <w:szCs w:val="26"/>
              </w:rPr>
              <w:t xml:space="preserve">Nav. </w:t>
            </w:r>
          </w:p>
        </w:tc>
      </w:tr>
    </w:tbl>
    <w:p w14:paraId="617E8B63" w14:textId="77777777" w:rsidR="003D5C72" w:rsidRPr="007D14C7" w:rsidRDefault="003D5C72" w:rsidP="003D5C72">
      <w:pPr>
        <w:shd w:val="clear" w:color="auto" w:fill="FFFFFF"/>
        <w:spacing w:before="100" w:beforeAutospacing="1" w:after="100" w:afterAutospacing="1" w:line="293" w:lineRule="atLeast"/>
        <w:ind w:firstLine="300"/>
        <w:rPr>
          <w:rFonts w:ascii="Arial" w:eastAsia="Times New Roman" w:hAnsi="Arial" w:cs="Arial"/>
          <w:color w:val="414142"/>
          <w:sz w:val="26"/>
          <w:szCs w:val="26"/>
        </w:rPr>
      </w:pPr>
      <w:r w:rsidRPr="007D14C7">
        <w:rPr>
          <w:rFonts w:ascii="Arial" w:eastAsia="Times New Roman" w:hAnsi="Arial" w:cs="Arial"/>
          <w:color w:val="414142"/>
          <w:sz w:val="26"/>
          <w:szCs w:val="26"/>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15"/>
        <w:gridCol w:w="259"/>
        <w:gridCol w:w="1594"/>
        <w:gridCol w:w="1152"/>
        <w:gridCol w:w="1175"/>
        <w:gridCol w:w="2360"/>
      </w:tblGrid>
      <w:tr w:rsidR="003D5C72" w:rsidRPr="007D14C7" w14:paraId="41D77C59" w14:textId="77777777" w:rsidTr="002D6D8A">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EB6473B" w14:textId="77777777" w:rsidR="003D5C72" w:rsidRPr="007D14C7" w:rsidRDefault="003D5C72"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1.tabula</w:t>
            </w:r>
            <w:r w:rsidRPr="007D14C7">
              <w:rPr>
                <w:rFonts w:eastAsia="Times New Roman" w:cs="Times New Roman"/>
                <w:b/>
                <w:bCs/>
                <w:sz w:val="26"/>
                <w:szCs w:val="26"/>
              </w:rPr>
              <w:br/>
              <w:t>Tiesību akta projekta atbilstība ES tiesību aktiem</w:t>
            </w:r>
          </w:p>
        </w:tc>
      </w:tr>
      <w:tr w:rsidR="003D5C72" w:rsidRPr="007D14C7" w14:paraId="3177A92C" w14:textId="77777777" w:rsidTr="00C32C1D">
        <w:trPr>
          <w:jc w:val="center"/>
        </w:trPr>
        <w:tc>
          <w:tcPr>
            <w:tcW w:w="1389" w:type="pct"/>
            <w:tcBorders>
              <w:top w:val="outset" w:sz="6" w:space="0" w:color="414142"/>
              <w:left w:val="outset" w:sz="6" w:space="0" w:color="414142"/>
              <w:bottom w:val="outset" w:sz="6" w:space="0" w:color="414142"/>
              <w:right w:val="outset" w:sz="6" w:space="0" w:color="414142"/>
            </w:tcBorders>
            <w:hideMark/>
          </w:tcPr>
          <w:p w14:paraId="02CA3AFA"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Attiecīgā ES tiesību akta datums, numurs un nosaukums</w:t>
            </w:r>
          </w:p>
        </w:tc>
        <w:tc>
          <w:tcPr>
            <w:tcW w:w="3611" w:type="pct"/>
            <w:gridSpan w:val="5"/>
            <w:tcBorders>
              <w:top w:val="outset" w:sz="6" w:space="0" w:color="414142"/>
              <w:left w:val="outset" w:sz="6" w:space="0" w:color="414142"/>
              <w:bottom w:val="outset" w:sz="6" w:space="0" w:color="414142"/>
              <w:right w:val="outset" w:sz="6" w:space="0" w:color="414142"/>
            </w:tcBorders>
            <w:hideMark/>
          </w:tcPr>
          <w:p w14:paraId="234537BA" w14:textId="77777777" w:rsidR="003D5C72" w:rsidRPr="007D14C7" w:rsidRDefault="00AC4D42" w:rsidP="00AC4D42">
            <w:pPr>
              <w:tabs>
                <w:tab w:val="left" w:pos="835"/>
              </w:tabs>
              <w:jc w:val="both"/>
              <w:rPr>
                <w:rFonts w:cs="Times New Roman"/>
                <w:sz w:val="26"/>
                <w:szCs w:val="26"/>
              </w:rPr>
            </w:pPr>
            <w:r w:rsidRPr="007D14C7">
              <w:rPr>
                <w:rFonts w:eastAsia="Times New Roman" w:cs="Times New Roman"/>
                <w:sz w:val="26"/>
                <w:szCs w:val="26"/>
              </w:rPr>
              <w:t>Noteikumu projekts šo jomu neskar.</w:t>
            </w:r>
          </w:p>
        </w:tc>
      </w:tr>
      <w:tr w:rsidR="0039588D" w:rsidRPr="007D14C7" w14:paraId="61002887" w14:textId="77777777" w:rsidTr="00C32C1D">
        <w:trPr>
          <w:jc w:val="center"/>
        </w:trPr>
        <w:tc>
          <w:tcPr>
            <w:tcW w:w="1389" w:type="pct"/>
            <w:tcBorders>
              <w:top w:val="outset" w:sz="6" w:space="0" w:color="414142"/>
              <w:left w:val="outset" w:sz="6" w:space="0" w:color="414142"/>
              <w:bottom w:val="outset" w:sz="6" w:space="0" w:color="414142"/>
              <w:right w:val="outset" w:sz="6" w:space="0" w:color="414142"/>
            </w:tcBorders>
            <w:vAlign w:val="center"/>
            <w:hideMark/>
          </w:tcPr>
          <w:p w14:paraId="56A1DC38"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A</w:t>
            </w:r>
          </w:p>
        </w:tc>
        <w:tc>
          <w:tcPr>
            <w:tcW w:w="1023" w:type="pct"/>
            <w:gridSpan w:val="2"/>
            <w:tcBorders>
              <w:top w:val="outset" w:sz="6" w:space="0" w:color="414142"/>
              <w:left w:val="outset" w:sz="6" w:space="0" w:color="414142"/>
              <w:bottom w:val="outset" w:sz="6" w:space="0" w:color="414142"/>
              <w:right w:val="outset" w:sz="6" w:space="0" w:color="414142"/>
            </w:tcBorders>
            <w:vAlign w:val="center"/>
            <w:hideMark/>
          </w:tcPr>
          <w:p w14:paraId="1A8A2504"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B</w:t>
            </w:r>
          </w:p>
        </w:tc>
        <w:tc>
          <w:tcPr>
            <w:tcW w:w="1285" w:type="pct"/>
            <w:gridSpan w:val="2"/>
            <w:tcBorders>
              <w:top w:val="outset" w:sz="6" w:space="0" w:color="414142"/>
              <w:left w:val="outset" w:sz="6" w:space="0" w:color="414142"/>
              <w:bottom w:val="outset" w:sz="6" w:space="0" w:color="414142"/>
              <w:right w:val="outset" w:sz="6" w:space="0" w:color="414142"/>
            </w:tcBorders>
            <w:vAlign w:val="center"/>
            <w:hideMark/>
          </w:tcPr>
          <w:p w14:paraId="40BAC7AB"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588AD452" w14:textId="77777777" w:rsidR="003D5C72" w:rsidRPr="007D14C7" w:rsidRDefault="003D5C72"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D</w:t>
            </w:r>
          </w:p>
        </w:tc>
      </w:tr>
      <w:tr w:rsidR="0039588D" w:rsidRPr="007D14C7" w14:paraId="04FB25D6" w14:textId="77777777" w:rsidTr="00C32C1D">
        <w:trPr>
          <w:jc w:val="center"/>
        </w:trPr>
        <w:tc>
          <w:tcPr>
            <w:tcW w:w="1389" w:type="pct"/>
            <w:tcBorders>
              <w:top w:val="outset" w:sz="6" w:space="0" w:color="414142"/>
              <w:left w:val="outset" w:sz="6" w:space="0" w:color="414142"/>
              <w:bottom w:val="outset" w:sz="6" w:space="0" w:color="414142"/>
              <w:right w:val="outset" w:sz="6" w:space="0" w:color="414142"/>
            </w:tcBorders>
            <w:hideMark/>
          </w:tcPr>
          <w:p w14:paraId="5E1F9B9B"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Attiecīgā ES tiesību akta panta numurs (uzskaitot katru tiesību akta vienību – pantu, daļu, punktu, apakšpunktu)</w:t>
            </w:r>
          </w:p>
        </w:tc>
        <w:tc>
          <w:tcPr>
            <w:tcW w:w="1023" w:type="pct"/>
            <w:gridSpan w:val="2"/>
            <w:tcBorders>
              <w:top w:val="outset" w:sz="6" w:space="0" w:color="414142"/>
              <w:left w:val="outset" w:sz="6" w:space="0" w:color="414142"/>
              <w:bottom w:val="outset" w:sz="6" w:space="0" w:color="414142"/>
              <w:right w:val="outset" w:sz="6" w:space="0" w:color="414142"/>
            </w:tcBorders>
            <w:hideMark/>
          </w:tcPr>
          <w:p w14:paraId="7DA17DF8"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Projekta vienība, kas pārņem vai ievieš katru šīs tabulas A ailē minēto ES tiesību akta vienību, vai tiesību akts, kur attiecīgā ES tiesību akta vienība pārņemta vai ieviesta</w:t>
            </w:r>
          </w:p>
        </w:tc>
        <w:tc>
          <w:tcPr>
            <w:tcW w:w="1285" w:type="pct"/>
            <w:gridSpan w:val="2"/>
            <w:tcBorders>
              <w:top w:val="outset" w:sz="6" w:space="0" w:color="414142"/>
              <w:left w:val="outset" w:sz="6" w:space="0" w:color="414142"/>
              <w:bottom w:val="outset" w:sz="6" w:space="0" w:color="414142"/>
              <w:right w:val="outset" w:sz="6" w:space="0" w:color="414142"/>
            </w:tcBorders>
            <w:hideMark/>
          </w:tcPr>
          <w:p w14:paraId="376A8C2E"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Informācija par to, vai šīs tabulas A ailē minētās ES tiesību akta vienības tiek pārņemtas vai ieviestas pilnībā vai daļēji.</w:t>
            </w:r>
          </w:p>
          <w:p w14:paraId="0D908892" w14:textId="77777777" w:rsidR="003D5C72" w:rsidRPr="007D14C7" w:rsidRDefault="003D5C72"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Ja attiecīgā ES tiesību akta vienība tiek pārņemta vai ieviesta daļēji, sniedz attiecīgu skaidrojumu, kā arī precīzi norāda, kad un kādā veidā ES tiesību akta vienība tiks pārņemta vai ieviesta pilnībā.</w:t>
            </w:r>
          </w:p>
          <w:p w14:paraId="7CD403EE" w14:textId="77777777" w:rsidR="003D5C72" w:rsidRPr="007D14C7" w:rsidRDefault="003D5C72"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6CA7B8D2"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Informācija par to, vai šīs tabulas B ailē minētās projekta vienības paredz stingrākas prasības nekā šīs tabulas A ailē minētās ES tiesību akta vienības.</w:t>
            </w:r>
          </w:p>
          <w:p w14:paraId="796A37C3" w14:textId="77777777" w:rsidR="003D5C72" w:rsidRPr="007D14C7" w:rsidRDefault="003D5C72"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Ja projekts satur stingrākas prasības nekā attiecīgais ES tiesību akts, norāda pamatojumu un samērīgumu.</w:t>
            </w:r>
          </w:p>
          <w:p w14:paraId="7AEA2E32" w14:textId="77777777" w:rsidR="003D5C72" w:rsidRPr="007D14C7" w:rsidRDefault="003D5C72"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 xml:space="preserve">Norāda iespējamās alternatīvas (t.sk. alternatīvas, kas neparedz tiesiskā regulējuma izstrādi) – kādos gadījumos būtu iespējams izvairīties no stingrāku prasību noteikšanas, nekā </w:t>
            </w:r>
            <w:r w:rsidRPr="007D14C7">
              <w:rPr>
                <w:rFonts w:eastAsia="Times New Roman" w:cs="Times New Roman"/>
                <w:sz w:val="26"/>
                <w:szCs w:val="26"/>
              </w:rPr>
              <w:lastRenderedPageBreak/>
              <w:t>paredzēts attiecīgajos ES tiesību aktos</w:t>
            </w:r>
          </w:p>
        </w:tc>
      </w:tr>
      <w:tr w:rsidR="00A37CB6" w:rsidRPr="007D14C7" w14:paraId="13669B8D" w14:textId="77777777" w:rsidTr="00C32C1D">
        <w:trPr>
          <w:jc w:val="center"/>
        </w:trPr>
        <w:tc>
          <w:tcPr>
            <w:tcW w:w="1389" w:type="pct"/>
            <w:tcBorders>
              <w:top w:val="outset" w:sz="6" w:space="0" w:color="414142"/>
              <w:left w:val="outset" w:sz="6" w:space="0" w:color="414142"/>
              <w:bottom w:val="outset" w:sz="6" w:space="0" w:color="414142"/>
              <w:right w:val="outset" w:sz="6" w:space="0" w:color="414142"/>
            </w:tcBorders>
          </w:tcPr>
          <w:p w14:paraId="31E724FC" w14:textId="77777777" w:rsidR="00A37CB6" w:rsidRPr="007D14C7" w:rsidRDefault="00A37CB6" w:rsidP="00A37CB6">
            <w:pPr>
              <w:rPr>
                <w:rFonts w:eastAsia="Times New Roman" w:cs="Times New Roman"/>
                <w:sz w:val="26"/>
                <w:szCs w:val="26"/>
              </w:rPr>
            </w:pPr>
            <w:r w:rsidRPr="007D14C7">
              <w:rPr>
                <w:rFonts w:eastAsia="Times New Roman" w:cs="Times New Roman"/>
                <w:sz w:val="24"/>
                <w:szCs w:val="24"/>
              </w:rPr>
              <w:lastRenderedPageBreak/>
              <w:t>Komisijas regula Nr.1407/2013 17. un 18.punkts</w:t>
            </w:r>
          </w:p>
        </w:tc>
        <w:tc>
          <w:tcPr>
            <w:tcW w:w="1023" w:type="pct"/>
            <w:gridSpan w:val="2"/>
            <w:tcBorders>
              <w:top w:val="outset" w:sz="6" w:space="0" w:color="414142"/>
              <w:left w:val="outset" w:sz="6" w:space="0" w:color="414142"/>
              <w:bottom w:val="outset" w:sz="6" w:space="0" w:color="414142"/>
              <w:right w:val="outset" w:sz="6" w:space="0" w:color="414142"/>
            </w:tcBorders>
          </w:tcPr>
          <w:p w14:paraId="0B82B1C4" w14:textId="77777777" w:rsidR="00A37CB6" w:rsidRPr="007D14C7" w:rsidRDefault="00A37CB6" w:rsidP="00A37CB6">
            <w:pPr>
              <w:rPr>
                <w:rFonts w:eastAsia="Times New Roman" w:cs="Times New Roman"/>
                <w:sz w:val="26"/>
                <w:szCs w:val="26"/>
              </w:rPr>
            </w:pPr>
            <w:r w:rsidRPr="007D14C7">
              <w:rPr>
                <w:rFonts w:eastAsia="Times New Roman" w:cs="Times New Roman"/>
                <w:sz w:val="24"/>
                <w:szCs w:val="24"/>
              </w:rPr>
              <w:t>Ministru kabineta noteikumu projekta 3.punkts (tiek papildināti MK noteikumi Nr.181 ar 20.</w:t>
            </w:r>
            <w:r w:rsidRPr="007D14C7">
              <w:rPr>
                <w:rFonts w:eastAsia="Times New Roman" w:cs="Times New Roman"/>
                <w:sz w:val="24"/>
                <w:szCs w:val="24"/>
                <w:vertAlign w:val="superscript"/>
              </w:rPr>
              <w:t>1</w:t>
            </w:r>
            <w:r w:rsidRPr="007D14C7">
              <w:rPr>
                <w:rFonts w:eastAsia="Times New Roman" w:cs="Times New Roman"/>
                <w:sz w:val="24"/>
                <w:szCs w:val="24"/>
              </w:rPr>
              <w:t xml:space="preserve"> punktu)</w:t>
            </w:r>
          </w:p>
        </w:tc>
        <w:tc>
          <w:tcPr>
            <w:tcW w:w="1285" w:type="pct"/>
            <w:gridSpan w:val="2"/>
            <w:tcBorders>
              <w:top w:val="outset" w:sz="6" w:space="0" w:color="414142"/>
              <w:left w:val="outset" w:sz="6" w:space="0" w:color="414142"/>
              <w:bottom w:val="outset" w:sz="6" w:space="0" w:color="414142"/>
              <w:right w:val="outset" w:sz="6" w:space="0" w:color="414142"/>
            </w:tcBorders>
          </w:tcPr>
          <w:p w14:paraId="2FEA53FE" w14:textId="77777777" w:rsidR="00A37CB6" w:rsidRPr="007D14C7" w:rsidRDefault="00A37CB6" w:rsidP="002D6D8A">
            <w:pPr>
              <w:rPr>
                <w:rFonts w:eastAsia="Times New Roman" w:cs="Times New Roman"/>
                <w:sz w:val="26"/>
                <w:szCs w:val="26"/>
              </w:rPr>
            </w:pPr>
            <w:r w:rsidRPr="007D14C7">
              <w:rPr>
                <w:rFonts w:eastAsia="Times New Roman" w:cs="Times New Roman"/>
                <w:i/>
                <w:sz w:val="24"/>
                <w:szCs w:val="24"/>
              </w:rPr>
              <w:t>Ieviesta pilnībā</w:t>
            </w:r>
          </w:p>
        </w:tc>
        <w:tc>
          <w:tcPr>
            <w:tcW w:w="1303" w:type="pct"/>
            <w:tcBorders>
              <w:top w:val="outset" w:sz="6" w:space="0" w:color="414142"/>
              <w:left w:val="outset" w:sz="6" w:space="0" w:color="414142"/>
              <w:bottom w:val="outset" w:sz="6" w:space="0" w:color="414142"/>
              <w:right w:val="outset" w:sz="6" w:space="0" w:color="414142"/>
            </w:tcBorders>
          </w:tcPr>
          <w:p w14:paraId="4BA4FC0F" w14:textId="77777777" w:rsidR="00A37CB6" w:rsidRPr="007D14C7" w:rsidRDefault="00A37CB6" w:rsidP="002D6D8A">
            <w:pPr>
              <w:rPr>
                <w:rFonts w:eastAsia="Times New Roman" w:cs="Times New Roman"/>
                <w:sz w:val="26"/>
                <w:szCs w:val="26"/>
              </w:rPr>
            </w:pPr>
            <w:r w:rsidRPr="007D14C7">
              <w:rPr>
                <w:rFonts w:eastAsia="Times New Roman" w:cs="Times New Roman"/>
                <w:i/>
                <w:sz w:val="24"/>
                <w:szCs w:val="24"/>
              </w:rPr>
              <w:t>Neparedz stingrākas prasības</w:t>
            </w:r>
          </w:p>
        </w:tc>
      </w:tr>
      <w:tr w:rsidR="00C32C1D" w:rsidRPr="007D14C7" w14:paraId="1DE83031" w14:textId="77777777" w:rsidTr="002D6D8A">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626A2A5E" w14:textId="77777777" w:rsidR="00C32C1D" w:rsidRPr="007D14C7" w:rsidRDefault="00C32C1D"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2.tabula</w:t>
            </w:r>
            <w:r w:rsidRPr="007D14C7">
              <w:rPr>
                <w:rFonts w:eastAsia="Times New Roman" w:cs="Times New Roman"/>
                <w:b/>
                <w:bCs/>
                <w:sz w:val="26"/>
                <w:szCs w:val="26"/>
              </w:rPr>
              <w:br/>
              <w:t>Ar tiesību akta projektu izpildītās vai uzņemtās saistības, kas izriet no starptautiskajiem tiesību aktiem vai starptautiskas institūcijas vai organizācijas dokumentiem.</w:t>
            </w:r>
            <w:r w:rsidRPr="007D14C7">
              <w:rPr>
                <w:rFonts w:eastAsia="Times New Roman" w:cs="Times New Roman"/>
                <w:b/>
                <w:bCs/>
                <w:sz w:val="26"/>
                <w:szCs w:val="26"/>
              </w:rPr>
              <w:br/>
              <w:t>Pasākumi šo saistību izpildei</w:t>
            </w:r>
          </w:p>
        </w:tc>
      </w:tr>
      <w:tr w:rsidR="00C32C1D" w:rsidRPr="007D14C7" w14:paraId="132358C1"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vAlign w:val="center"/>
            <w:hideMark/>
          </w:tcPr>
          <w:p w14:paraId="6F8D8BAF" w14:textId="77777777" w:rsidR="00C32C1D" w:rsidRPr="007D14C7" w:rsidRDefault="00C32C1D" w:rsidP="002D6D8A">
            <w:pPr>
              <w:rPr>
                <w:rFonts w:eastAsia="Times New Roman" w:cs="Times New Roman"/>
                <w:sz w:val="26"/>
                <w:szCs w:val="26"/>
              </w:rPr>
            </w:pPr>
            <w:r w:rsidRPr="007D14C7">
              <w:rPr>
                <w:rFonts w:eastAsia="Times New Roman" w:cs="Times New Roman"/>
                <w:sz w:val="26"/>
                <w:szCs w:val="26"/>
              </w:rPr>
              <w:t>Attiecīgā starptautiskā tiesību akta vai starptautiskas institūcijas vai organizācijas dokumenta (turpmāk – starptautiskais dokuments) datums, numurs un nosaukums</w:t>
            </w:r>
          </w:p>
        </w:tc>
        <w:tc>
          <w:tcPr>
            <w:tcW w:w="3468" w:type="pct"/>
            <w:gridSpan w:val="4"/>
            <w:tcBorders>
              <w:top w:val="outset" w:sz="6" w:space="0" w:color="414142"/>
              <w:left w:val="outset" w:sz="6" w:space="0" w:color="414142"/>
              <w:bottom w:val="outset" w:sz="6" w:space="0" w:color="414142"/>
              <w:right w:val="outset" w:sz="6" w:space="0" w:color="414142"/>
            </w:tcBorders>
            <w:hideMark/>
          </w:tcPr>
          <w:p w14:paraId="2434A825" w14:textId="77777777" w:rsidR="00C32C1D" w:rsidRPr="007D14C7" w:rsidRDefault="00C32C1D" w:rsidP="002D6D8A">
            <w:pPr>
              <w:jc w:val="both"/>
              <w:rPr>
                <w:rFonts w:eastAsia="Times New Roman" w:cs="Times New Roman"/>
                <w:sz w:val="26"/>
                <w:szCs w:val="26"/>
              </w:rPr>
            </w:pPr>
            <w:r w:rsidRPr="007D14C7">
              <w:rPr>
                <w:rFonts w:eastAsia="Times New Roman" w:cs="Times New Roman"/>
                <w:sz w:val="26"/>
                <w:szCs w:val="26"/>
              </w:rPr>
              <w:t>Noteikumu projekts šo jomu neskar.</w:t>
            </w:r>
          </w:p>
        </w:tc>
      </w:tr>
      <w:tr w:rsidR="00C32C1D" w:rsidRPr="007D14C7" w14:paraId="7611FB85"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vAlign w:val="center"/>
            <w:hideMark/>
          </w:tcPr>
          <w:p w14:paraId="4E109843" w14:textId="77777777" w:rsidR="00C32C1D" w:rsidRPr="007D14C7" w:rsidRDefault="00C32C1D"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A</w:t>
            </w:r>
          </w:p>
        </w:tc>
        <w:tc>
          <w:tcPr>
            <w:tcW w:w="1516" w:type="pct"/>
            <w:gridSpan w:val="2"/>
            <w:tcBorders>
              <w:top w:val="outset" w:sz="6" w:space="0" w:color="414142"/>
              <w:left w:val="outset" w:sz="6" w:space="0" w:color="414142"/>
              <w:bottom w:val="outset" w:sz="6" w:space="0" w:color="414142"/>
              <w:right w:val="outset" w:sz="6" w:space="0" w:color="414142"/>
            </w:tcBorders>
            <w:vAlign w:val="center"/>
            <w:hideMark/>
          </w:tcPr>
          <w:p w14:paraId="6DAE2C5C" w14:textId="77777777" w:rsidR="00C32C1D" w:rsidRPr="007D14C7" w:rsidRDefault="00C32C1D"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B</w:t>
            </w:r>
          </w:p>
        </w:tc>
        <w:tc>
          <w:tcPr>
            <w:tcW w:w="1952" w:type="pct"/>
            <w:gridSpan w:val="2"/>
            <w:tcBorders>
              <w:top w:val="outset" w:sz="6" w:space="0" w:color="414142"/>
              <w:left w:val="outset" w:sz="6" w:space="0" w:color="414142"/>
              <w:bottom w:val="outset" w:sz="6" w:space="0" w:color="414142"/>
              <w:right w:val="outset" w:sz="6" w:space="0" w:color="414142"/>
            </w:tcBorders>
            <w:vAlign w:val="center"/>
            <w:hideMark/>
          </w:tcPr>
          <w:p w14:paraId="4DE8C673" w14:textId="77777777" w:rsidR="00C32C1D" w:rsidRPr="007D14C7" w:rsidRDefault="00C32C1D" w:rsidP="002D6D8A">
            <w:pPr>
              <w:spacing w:before="100" w:beforeAutospacing="1" w:after="100" w:afterAutospacing="1" w:line="293" w:lineRule="atLeast"/>
              <w:jc w:val="center"/>
              <w:rPr>
                <w:rFonts w:eastAsia="Times New Roman" w:cs="Times New Roman"/>
                <w:sz w:val="26"/>
                <w:szCs w:val="26"/>
              </w:rPr>
            </w:pPr>
            <w:r w:rsidRPr="007D14C7">
              <w:rPr>
                <w:rFonts w:eastAsia="Times New Roman" w:cs="Times New Roman"/>
                <w:sz w:val="26"/>
                <w:szCs w:val="26"/>
              </w:rPr>
              <w:t>C</w:t>
            </w:r>
          </w:p>
        </w:tc>
      </w:tr>
      <w:tr w:rsidR="00C32C1D" w:rsidRPr="007D14C7" w14:paraId="1BB7CD90"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2AEB240A" w14:textId="77777777" w:rsidR="00C32C1D" w:rsidRPr="007D14C7" w:rsidRDefault="00C32C1D" w:rsidP="002D6D8A">
            <w:pPr>
              <w:rPr>
                <w:rFonts w:eastAsia="Times New Roman" w:cs="Times New Roman"/>
                <w:sz w:val="26"/>
                <w:szCs w:val="26"/>
              </w:rPr>
            </w:pPr>
            <w:r w:rsidRPr="007D14C7">
              <w:rPr>
                <w:rFonts w:eastAsia="Times New Roman" w:cs="Times New Roman"/>
                <w:sz w:val="26"/>
                <w:szCs w:val="26"/>
              </w:rPr>
              <w:t>Starptautiskās saistības (pēc būtības), kas izriet no norādītā starptautiskā dokumenta.</w:t>
            </w:r>
          </w:p>
          <w:p w14:paraId="19D25DE4" w14:textId="77777777" w:rsidR="00C32C1D" w:rsidRPr="007D14C7" w:rsidRDefault="00C32C1D"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Konkrēti veicamie pasākumi vai uzdevumi, kas nepieciešami šo starptautisko saistību izpildei</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3668A788" w14:textId="77777777" w:rsidR="00C32C1D" w:rsidRPr="007D14C7" w:rsidRDefault="00C32C1D" w:rsidP="002D6D8A">
            <w:pPr>
              <w:rPr>
                <w:rFonts w:eastAsia="Times New Roman" w:cs="Times New Roman"/>
                <w:sz w:val="26"/>
                <w:szCs w:val="26"/>
              </w:rPr>
            </w:pPr>
            <w:r w:rsidRPr="007D14C7">
              <w:rPr>
                <w:rFonts w:eastAsia="Times New Roman" w:cs="Times New Roman"/>
                <w:sz w:val="26"/>
                <w:szCs w:val="26"/>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2" w:type="pct"/>
            <w:gridSpan w:val="2"/>
            <w:tcBorders>
              <w:top w:val="outset" w:sz="6" w:space="0" w:color="414142"/>
              <w:left w:val="outset" w:sz="6" w:space="0" w:color="414142"/>
              <w:bottom w:val="outset" w:sz="6" w:space="0" w:color="414142"/>
              <w:right w:val="outset" w:sz="6" w:space="0" w:color="414142"/>
            </w:tcBorders>
            <w:hideMark/>
          </w:tcPr>
          <w:p w14:paraId="67EFCC9E" w14:textId="77777777" w:rsidR="00C32C1D" w:rsidRPr="007D14C7" w:rsidRDefault="00C32C1D" w:rsidP="002D6D8A">
            <w:pPr>
              <w:rPr>
                <w:rFonts w:eastAsia="Times New Roman" w:cs="Times New Roman"/>
                <w:sz w:val="26"/>
                <w:szCs w:val="26"/>
              </w:rPr>
            </w:pPr>
            <w:r w:rsidRPr="007D14C7">
              <w:rPr>
                <w:rFonts w:eastAsia="Times New Roman" w:cs="Times New Roman"/>
                <w:sz w:val="26"/>
                <w:szCs w:val="26"/>
              </w:rPr>
              <w:t>Informācija par to, vai starptautiskās saistības, kas minētas šīs tabulas A ailē, tiek izpildītas pilnībā vai daļēji.</w:t>
            </w:r>
          </w:p>
          <w:p w14:paraId="7589BCC9" w14:textId="77777777" w:rsidR="00C32C1D" w:rsidRPr="007D14C7" w:rsidRDefault="00C32C1D"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Ja attiecīgās starptautiskās saistības tiek izpildītas daļēji, sniedz skaidrojumu, kā arī precīzi norāda, kad un kādā veidā starptautiskās saistības tiks izpildītas pilnībā.</w:t>
            </w:r>
          </w:p>
          <w:p w14:paraId="401C60BB" w14:textId="77777777" w:rsidR="00C32C1D" w:rsidRPr="007D14C7" w:rsidRDefault="00C32C1D"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Norāda institūciju, kas ir atbildīga par šo saistību izpildi pilnībā</w:t>
            </w:r>
          </w:p>
        </w:tc>
      </w:tr>
      <w:tr w:rsidR="00C32C1D" w:rsidRPr="007D14C7" w14:paraId="5EDE352F"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7555C8CD" w14:textId="77777777" w:rsidR="00C32C1D" w:rsidRPr="007D14C7" w:rsidRDefault="00C32C1D" w:rsidP="002D6D8A">
            <w:pPr>
              <w:rPr>
                <w:rFonts w:eastAsia="Times New Roman" w:cs="Times New Roman"/>
                <w:sz w:val="26"/>
                <w:szCs w:val="26"/>
              </w:rPr>
            </w:pPr>
            <w:r w:rsidRPr="007D14C7">
              <w:rPr>
                <w:rFonts w:eastAsia="Times New Roman" w:cs="Times New Roman"/>
                <w:sz w:val="26"/>
                <w:szCs w:val="26"/>
              </w:rPr>
              <w:t>Noteikumu projekts šo jomu neskar.</w:t>
            </w:r>
          </w:p>
        </w:tc>
        <w:tc>
          <w:tcPr>
            <w:tcW w:w="1516" w:type="pct"/>
            <w:gridSpan w:val="2"/>
            <w:tcBorders>
              <w:top w:val="outset" w:sz="6" w:space="0" w:color="414142"/>
              <w:left w:val="outset" w:sz="6" w:space="0" w:color="414142"/>
              <w:bottom w:val="outset" w:sz="6" w:space="0" w:color="414142"/>
              <w:right w:val="outset" w:sz="6" w:space="0" w:color="414142"/>
            </w:tcBorders>
            <w:hideMark/>
          </w:tcPr>
          <w:p w14:paraId="77056937" w14:textId="77777777" w:rsidR="00C32C1D" w:rsidRPr="007D14C7" w:rsidRDefault="00C32C1D" w:rsidP="00A37CB6">
            <w:pPr>
              <w:rPr>
                <w:rFonts w:eastAsia="Times New Roman" w:cs="Times New Roman"/>
                <w:sz w:val="26"/>
                <w:szCs w:val="26"/>
              </w:rPr>
            </w:pPr>
            <w:r w:rsidRPr="007D14C7">
              <w:rPr>
                <w:rFonts w:eastAsia="Times New Roman" w:cs="Times New Roman"/>
                <w:sz w:val="26"/>
                <w:szCs w:val="26"/>
              </w:rPr>
              <w:t>Noteikumu projekts šo jomu neskar.</w:t>
            </w:r>
          </w:p>
        </w:tc>
        <w:tc>
          <w:tcPr>
            <w:tcW w:w="1952" w:type="pct"/>
            <w:gridSpan w:val="2"/>
            <w:tcBorders>
              <w:top w:val="outset" w:sz="6" w:space="0" w:color="414142"/>
              <w:left w:val="outset" w:sz="6" w:space="0" w:color="414142"/>
              <w:bottom w:val="outset" w:sz="6" w:space="0" w:color="414142"/>
              <w:right w:val="outset" w:sz="6" w:space="0" w:color="414142"/>
            </w:tcBorders>
            <w:hideMark/>
          </w:tcPr>
          <w:p w14:paraId="25A24FDA" w14:textId="77777777" w:rsidR="00C32C1D" w:rsidRPr="007D14C7" w:rsidRDefault="00C32C1D"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Noteikumu projekts šo jomu neskar.</w:t>
            </w:r>
          </w:p>
        </w:tc>
      </w:tr>
      <w:tr w:rsidR="00C32C1D" w:rsidRPr="007D14C7" w14:paraId="6A627412"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0DAB47DC" w14:textId="77777777" w:rsidR="00C32C1D" w:rsidRPr="007D14C7" w:rsidRDefault="00C32C1D" w:rsidP="002D6D8A">
            <w:pPr>
              <w:rPr>
                <w:rFonts w:eastAsia="Times New Roman" w:cs="Times New Roman"/>
                <w:sz w:val="26"/>
                <w:szCs w:val="26"/>
              </w:rPr>
            </w:pPr>
            <w:r w:rsidRPr="007D14C7">
              <w:rPr>
                <w:rFonts w:eastAsia="Times New Roman" w:cs="Times New Roman"/>
                <w:sz w:val="26"/>
                <w:szCs w:val="26"/>
              </w:rPr>
              <w:t xml:space="preserve">Vai starptautiskajā dokumentā paredzētās saistības nav pretrunā ar jau esošajām Latvijas Republikas </w:t>
            </w:r>
            <w:r w:rsidRPr="007D14C7">
              <w:rPr>
                <w:rFonts w:eastAsia="Times New Roman" w:cs="Times New Roman"/>
                <w:sz w:val="26"/>
                <w:szCs w:val="26"/>
              </w:rPr>
              <w:lastRenderedPageBreak/>
              <w:t>starptautiskajām saistībām</w:t>
            </w:r>
          </w:p>
        </w:tc>
        <w:tc>
          <w:tcPr>
            <w:tcW w:w="3468" w:type="pct"/>
            <w:gridSpan w:val="4"/>
            <w:tcBorders>
              <w:top w:val="outset" w:sz="6" w:space="0" w:color="414142"/>
              <w:left w:val="outset" w:sz="6" w:space="0" w:color="414142"/>
              <w:bottom w:val="outset" w:sz="6" w:space="0" w:color="414142"/>
              <w:right w:val="outset" w:sz="6" w:space="0" w:color="414142"/>
            </w:tcBorders>
            <w:hideMark/>
          </w:tcPr>
          <w:p w14:paraId="7EF07917" w14:textId="77777777" w:rsidR="00C32C1D" w:rsidRPr="007D14C7" w:rsidRDefault="00C32C1D" w:rsidP="002D6D8A">
            <w:pPr>
              <w:rPr>
                <w:rFonts w:eastAsia="Times New Roman" w:cs="Times New Roman"/>
                <w:sz w:val="26"/>
                <w:szCs w:val="26"/>
              </w:rPr>
            </w:pPr>
            <w:r w:rsidRPr="007D14C7">
              <w:rPr>
                <w:rFonts w:eastAsia="Times New Roman" w:cs="Times New Roman"/>
                <w:sz w:val="26"/>
                <w:szCs w:val="26"/>
              </w:rPr>
              <w:lastRenderedPageBreak/>
              <w:t>Noteikumu projekts šo jomu neskar.</w:t>
            </w:r>
          </w:p>
        </w:tc>
      </w:tr>
      <w:tr w:rsidR="00C32C1D" w:rsidRPr="007D14C7" w14:paraId="5D331F09" w14:textId="77777777" w:rsidTr="002445A5">
        <w:trPr>
          <w:jc w:val="center"/>
        </w:trPr>
        <w:tc>
          <w:tcPr>
            <w:tcW w:w="1532" w:type="pct"/>
            <w:gridSpan w:val="2"/>
            <w:tcBorders>
              <w:top w:val="outset" w:sz="6" w:space="0" w:color="414142"/>
              <w:left w:val="outset" w:sz="6" w:space="0" w:color="414142"/>
              <w:bottom w:val="outset" w:sz="6" w:space="0" w:color="414142"/>
              <w:right w:val="outset" w:sz="6" w:space="0" w:color="414142"/>
            </w:tcBorders>
            <w:hideMark/>
          </w:tcPr>
          <w:p w14:paraId="5E0BB52C" w14:textId="77777777" w:rsidR="00C32C1D" w:rsidRPr="007D14C7" w:rsidRDefault="00C32C1D" w:rsidP="002D6D8A">
            <w:pPr>
              <w:rPr>
                <w:rFonts w:eastAsia="Times New Roman" w:cs="Times New Roman"/>
                <w:sz w:val="26"/>
                <w:szCs w:val="26"/>
              </w:rPr>
            </w:pPr>
            <w:r w:rsidRPr="007D14C7">
              <w:rPr>
                <w:rFonts w:eastAsia="Times New Roman" w:cs="Times New Roman"/>
                <w:sz w:val="26"/>
                <w:szCs w:val="26"/>
              </w:rPr>
              <w:lastRenderedPageBreak/>
              <w:t>Cita informācija</w:t>
            </w:r>
          </w:p>
        </w:tc>
        <w:tc>
          <w:tcPr>
            <w:tcW w:w="3468" w:type="pct"/>
            <w:gridSpan w:val="4"/>
            <w:tcBorders>
              <w:top w:val="outset" w:sz="6" w:space="0" w:color="414142"/>
              <w:left w:val="outset" w:sz="6" w:space="0" w:color="414142"/>
              <w:bottom w:val="outset" w:sz="6" w:space="0" w:color="414142"/>
              <w:right w:val="outset" w:sz="6" w:space="0" w:color="414142"/>
            </w:tcBorders>
            <w:hideMark/>
          </w:tcPr>
          <w:p w14:paraId="023242A3" w14:textId="77777777" w:rsidR="00C32C1D" w:rsidRPr="007D14C7" w:rsidRDefault="00C32C1D"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Nav.</w:t>
            </w:r>
          </w:p>
        </w:tc>
      </w:tr>
    </w:tbl>
    <w:p w14:paraId="60C6DDC7" w14:textId="77777777" w:rsidR="00D5277D" w:rsidRPr="007D14C7" w:rsidRDefault="00D5277D" w:rsidP="00653B45">
      <w:pPr>
        <w:shd w:val="clear" w:color="auto" w:fill="FFFFFF"/>
        <w:spacing w:before="100" w:beforeAutospacing="1" w:after="100" w:afterAutospacing="1" w:line="293" w:lineRule="atLeast"/>
        <w:rPr>
          <w:rFonts w:ascii="Arial" w:eastAsia="Times New Roman" w:hAnsi="Arial" w:cs="Arial"/>
          <w:color w:val="414142"/>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2"/>
        <w:gridCol w:w="2941"/>
        <w:gridCol w:w="5802"/>
      </w:tblGrid>
      <w:tr w:rsidR="003D5C72" w:rsidRPr="007D14C7" w14:paraId="23A6AD1E" w14:textId="77777777" w:rsidTr="00C87E3C">
        <w:trPr>
          <w:trHeight w:val="420"/>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18AC4383" w14:textId="77777777" w:rsidR="003D5C72" w:rsidRPr="007D14C7" w:rsidRDefault="003D5C72"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VI. Sabiedrības līdzdalība un komunikācijas aktivitātes</w:t>
            </w:r>
          </w:p>
        </w:tc>
      </w:tr>
      <w:tr w:rsidR="003D5C72" w:rsidRPr="007D14C7" w14:paraId="2B710986" w14:textId="77777777" w:rsidTr="00C87E3C">
        <w:trPr>
          <w:trHeight w:val="540"/>
          <w:jc w:val="center"/>
        </w:trPr>
        <w:tc>
          <w:tcPr>
            <w:tcW w:w="312" w:type="dxa"/>
            <w:tcBorders>
              <w:top w:val="outset" w:sz="6" w:space="0" w:color="414142"/>
              <w:left w:val="outset" w:sz="6" w:space="0" w:color="414142"/>
              <w:bottom w:val="outset" w:sz="6" w:space="0" w:color="414142"/>
              <w:right w:val="outset" w:sz="6" w:space="0" w:color="414142"/>
            </w:tcBorders>
            <w:hideMark/>
          </w:tcPr>
          <w:p w14:paraId="4C4C1809"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t>1.</w:t>
            </w:r>
          </w:p>
        </w:tc>
        <w:tc>
          <w:tcPr>
            <w:tcW w:w="2941" w:type="dxa"/>
            <w:tcBorders>
              <w:top w:val="outset" w:sz="6" w:space="0" w:color="414142"/>
              <w:left w:val="outset" w:sz="6" w:space="0" w:color="414142"/>
              <w:bottom w:val="outset" w:sz="6" w:space="0" w:color="414142"/>
              <w:right w:val="outset" w:sz="6" w:space="0" w:color="414142"/>
            </w:tcBorders>
            <w:hideMark/>
          </w:tcPr>
          <w:p w14:paraId="1E42FDB1"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Plānotās sabiedrības līdzdalības un komunikācijas aktivitātes saistībā ar projektu</w:t>
            </w:r>
          </w:p>
        </w:tc>
        <w:tc>
          <w:tcPr>
            <w:tcW w:w="5802" w:type="dxa"/>
            <w:tcBorders>
              <w:top w:val="outset" w:sz="6" w:space="0" w:color="414142"/>
              <w:left w:val="outset" w:sz="6" w:space="0" w:color="414142"/>
              <w:bottom w:val="outset" w:sz="6" w:space="0" w:color="414142"/>
              <w:right w:val="outset" w:sz="6" w:space="0" w:color="414142"/>
            </w:tcBorders>
            <w:hideMark/>
          </w:tcPr>
          <w:p w14:paraId="0B0B42C6" w14:textId="77777777" w:rsidR="00653B45" w:rsidRPr="007D14C7" w:rsidRDefault="00C87E3C" w:rsidP="00C87E3C">
            <w:pPr>
              <w:jc w:val="both"/>
              <w:rPr>
                <w:rFonts w:eastAsia="Times New Roman" w:cs="Times New Roman"/>
                <w:sz w:val="26"/>
                <w:szCs w:val="26"/>
              </w:rPr>
            </w:pPr>
            <w:r w:rsidRPr="007D14C7">
              <w:rPr>
                <w:rFonts w:eastAsia="Times New Roman" w:cs="Times New Roman"/>
                <w:sz w:val="26"/>
                <w:szCs w:val="26"/>
              </w:rPr>
              <w:t>Ņemot vērā, ka Programmas NAGS projektu konkursa pieteikšanās termiņi ir noslēgušies, tad pēc NAGS 3.kārtas projektu iesniegumu izvērtēšanas</w:t>
            </w:r>
            <w:r w:rsidR="00E21FFD" w:rsidRPr="007D14C7">
              <w:rPr>
                <w:rFonts w:eastAsia="Times New Roman" w:cs="Times New Roman"/>
                <w:sz w:val="26"/>
                <w:szCs w:val="26"/>
              </w:rPr>
              <w:t xml:space="preserve"> un lēmumu pieņemšanas par projektu iesniegumu apstiprināšanu, apstiprināšanu ar nosacījumu vai noraidīšanu, projekta iesniegumi, kas atbildīs MK noteikumu Nr.181 7.pielikumā “NAGS projektu iesniegumu atlases kritēriji” noteiktajiem kritērijiem, izņemot Finansējuma piešķiršanas kritērijam Nr.1, </w:t>
            </w:r>
            <w:r w:rsidR="00653B45" w:rsidRPr="007D14C7">
              <w:rPr>
                <w:rFonts w:eastAsia="Times New Roman" w:cs="Times New Roman"/>
                <w:sz w:val="26"/>
                <w:szCs w:val="26"/>
              </w:rPr>
              <w:t xml:space="preserve">tiks iekļauti rezerves sarakstā, par to informējot rezerves sarakstā iekļautos projektu iesniedzējus. </w:t>
            </w:r>
          </w:p>
          <w:p w14:paraId="4A0D66BE" w14:textId="77777777" w:rsidR="00B1476A" w:rsidRPr="007D14C7" w:rsidRDefault="00653B45" w:rsidP="00C87E3C">
            <w:pPr>
              <w:jc w:val="both"/>
              <w:rPr>
                <w:rFonts w:eastAsia="Times New Roman" w:cs="Times New Roman"/>
                <w:sz w:val="26"/>
                <w:szCs w:val="26"/>
              </w:rPr>
            </w:pPr>
            <w:r w:rsidRPr="007D14C7">
              <w:rPr>
                <w:rFonts w:eastAsia="Times New Roman" w:cs="Times New Roman"/>
                <w:sz w:val="26"/>
                <w:szCs w:val="26"/>
              </w:rPr>
              <w:t>A</w:t>
            </w:r>
            <w:r w:rsidR="00C87E3C" w:rsidRPr="007D14C7">
              <w:rPr>
                <w:rFonts w:eastAsia="Times New Roman" w:cs="Times New Roman"/>
                <w:sz w:val="26"/>
                <w:szCs w:val="26"/>
              </w:rPr>
              <w:t xml:space="preserve">pzinot 1. un 2. kārtas NAGS projektu īstenotājus, kas noslēguši līgumus par NAGS projektu īstenošanu,  LIAA </w:t>
            </w:r>
            <w:r w:rsidR="003D5C72" w:rsidRPr="007D14C7">
              <w:rPr>
                <w:rFonts w:eastAsia="Times New Roman" w:cs="Times New Roman"/>
                <w:sz w:val="26"/>
                <w:szCs w:val="26"/>
              </w:rPr>
              <w:t xml:space="preserve"> </w:t>
            </w:r>
            <w:r w:rsidR="00C87E3C" w:rsidRPr="007D14C7">
              <w:rPr>
                <w:rFonts w:eastAsia="Times New Roman" w:cs="Times New Roman"/>
                <w:sz w:val="26"/>
                <w:szCs w:val="26"/>
              </w:rPr>
              <w:t>sadarbībā ar Ekonomikas ministriju</w:t>
            </w:r>
            <w:r w:rsidR="00B1476A" w:rsidRPr="007D14C7">
              <w:rPr>
                <w:rFonts w:eastAsia="Times New Roman" w:cs="Times New Roman"/>
                <w:sz w:val="26"/>
                <w:szCs w:val="26"/>
              </w:rPr>
              <w:t>:</w:t>
            </w:r>
          </w:p>
          <w:p w14:paraId="7F2B656E" w14:textId="77777777" w:rsidR="00B1476A" w:rsidRPr="007D14C7" w:rsidRDefault="00C87E3C" w:rsidP="00B1476A">
            <w:pPr>
              <w:pStyle w:val="ListParagraph"/>
              <w:numPr>
                <w:ilvl w:val="0"/>
                <w:numId w:val="11"/>
              </w:numPr>
              <w:ind w:left="253" w:hanging="253"/>
              <w:jc w:val="both"/>
              <w:rPr>
                <w:rFonts w:eastAsia="Times New Roman" w:cs="Times New Roman"/>
                <w:sz w:val="26"/>
                <w:szCs w:val="26"/>
              </w:rPr>
            </w:pPr>
            <w:r w:rsidRPr="007D14C7">
              <w:rPr>
                <w:rFonts w:eastAsia="Times New Roman" w:cs="Times New Roman"/>
                <w:sz w:val="26"/>
                <w:szCs w:val="26"/>
              </w:rPr>
              <w:t>pamatojoties uz izstrādāto iekšējo procedūru, kādā novērtē projektu iesniegumus, kuru īstenošan</w:t>
            </w:r>
            <w:r w:rsidR="00B1476A" w:rsidRPr="007D14C7">
              <w:rPr>
                <w:rFonts w:eastAsia="Times New Roman" w:cs="Times New Roman"/>
                <w:sz w:val="26"/>
                <w:szCs w:val="26"/>
              </w:rPr>
              <w:t>as termiņš var tiks pagarināts un</w:t>
            </w:r>
          </w:p>
          <w:p w14:paraId="3EDF2812" w14:textId="77777777" w:rsidR="00B1476A" w:rsidRPr="007D14C7" w:rsidRDefault="00C87E3C" w:rsidP="00B1476A">
            <w:pPr>
              <w:pStyle w:val="ListParagraph"/>
              <w:numPr>
                <w:ilvl w:val="0"/>
                <w:numId w:val="11"/>
              </w:numPr>
              <w:ind w:left="253" w:hanging="253"/>
              <w:jc w:val="both"/>
              <w:rPr>
                <w:rFonts w:eastAsia="Times New Roman" w:cs="Times New Roman"/>
                <w:sz w:val="26"/>
                <w:szCs w:val="26"/>
              </w:rPr>
            </w:pPr>
            <w:r w:rsidRPr="007D14C7">
              <w:rPr>
                <w:rFonts w:eastAsia="Times New Roman" w:cs="Times New Roman"/>
                <w:sz w:val="26"/>
                <w:szCs w:val="26"/>
              </w:rPr>
              <w:t>pamatojotie</w:t>
            </w:r>
            <w:r w:rsidR="00B1476A" w:rsidRPr="007D14C7">
              <w:rPr>
                <w:rFonts w:eastAsia="Times New Roman" w:cs="Times New Roman"/>
                <w:sz w:val="26"/>
                <w:szCs w:val="26"/>
              </w:rPr>
              <w:t xml:space="preserve">s uz </w:t>
            </w:r>
            <w:proofErr w:type="spellStart"/>
            <w:r w:rsidR="00B1476A" w:rsidRPr="007D14C7">
              <w:rPr>
                <w:rFonts w:eastAsia="Times New Roman" w:cs="Times New Roman"/>
                <w:sz w:val="26"/>
                <w:szCs w:val="26"/>
              </w:rPr>
              <w:t>Donorvalsts</w:t>
            </w:r>
            <w:proofErr w:type="spellEnd"/>
            <w:r w:rsidR="00B1476A" w:rsidRPr="007D14C7">
              <w:rPr>
                <w:rFonts w:eastAsia="Times New Roman" w:cs="Times New Roman"/>
                <w:sz w:val="26"/>
                <w:szCs w:val="26"/>
              </w:rPr>
              <w:t xml:space="preserve"> lēmuma pamata,</w:t>
            </w:r>
          </w:p>
          <w:p w14:paraId="1210FECD" w14:textId="77777777" w:rsidR="003D5C72" w:rsidRPr="007D14C7" w:rsidRDefault="00C87E3C" w:rsidP="00B1476A">
            <w:pPr>
              <w:jc w:val="both"/>
              <w:rPr>
                <w:rFonts w:eastAsia="Times New Roman" w:cs="Times New Roman"/>
                <w:sz w:val="26"/>
                <w:szCs w:val="26"/>
              </w:rPr>
            </w:pPr>
            <w:r w:rsidRPr="007D14C7">
              <w:rPr>
                <w:rFonts w:eastAsia="Times New Roman" w:cs="Times New Roman"/>
                <w:sz w:val="26"/>
                <w:szCs w:val="26"/>
              </w:rPr>
              <w:t xml:space="preserve">ne vēlāk kā līdz 2015.gada </w:t>
            </w:r>
            <w:r w:rsidR="002761D5" w:rsidRPr="007D14C7">
              <w:rPr>
                <w:rFonts w:eastAsia="Times New Roman" w:cs="Times New Roman"/>
                <w:sz w:val="26"/>
                <w:szCs w:val="26"/>
              </w:rPr>
              <w:t>20</w:t>
            </w:r>
            <w:r w:rsidRPr="007D14C7">
              <w:rPr>
                <w:rFonts w:eastAsia="Times New Roman" w:cs="Times New Roman"/>
                <w:sz w:val="26"/>
                <w:szCs w:val="26"/>
              </w:rPr>
              <w:t>.</w:t>
            </w:r>
            <w:r w:rsidR="002761D5" w:rsidRPr="007D14C7">
              <w:rPr>
                <w:rFonts w:eastAsia="Times New Roman" w:cs="Times New Roman"/>
                <w:sz w:val="26"/>
                <w:szCs w:val="26"/>
              </w:rPr>
              <w:t>augustam</w:t>
            </w:r>
            <w:r w:rsidRPr="007D14C7">
              <w:rPr>
                <w:rFonts w:eastAsia="Times New Roman" w:cs="Times New Roman"/>
                <w:sz w:val="26"/>
                <w:szCs w:val="26"/>
              </w:rPr>
              <w:t xml:space="preserve"> rakstiski informēs konkrētos projekta iesniedzējus par iespēju pagarināt projekta īstenošanas termiņu ilgāku par 2016.gada 30.aprīli. </w:t>
            </w:r>
          </w:p>
          <w:p w14:paraId="310BC428" w14:textId="77777777" w:rsidR="00C87E3C" w:rsidRPr="007D14C7" w:rsidRDefault="00C87E3C" w:rsidP="00CD210F">
            <w:pPr>
              <w:jc w:val="both"/>
              <w:rPr>
                <w:rFonts w:eastAsia="Times New Roman" w:cs="Times New Roman"/>
                <w:sz w:val="26"/>
                <w:szCs w:val="26"/>
              </w:rPr>
            </w:pPr>
            <w:r w:rsidRPr="007D14C7">
              <w:rPr>
                <w:rFonts w:eastAsia="Times New Roman" w:cs="Times New Roman"/>
                <w:sz w:val="26"/>
                <w:szCs w:val="26"/>
              </w:rPr>
              <w:t>Noteikumu projekts citas sabiedrības grupas neietekmē.</w:t>
            </w:r>
          </w:p>
        </w:tc>
      </w:tr>
      <w:tr w:rsidR="003D5C72" w:rsidRPr="007D14C7" w14:paraId="3B19A93C" w14:textId="77777777" w:rsidTr="00C87E3C">
        <w:trPr>
          <w:trHeight w:val="330"/>
          <w:jc w:val="center"/>
        </w:trPr>
        <w:tc>
          <w:tcPr>
            <w:tcW w:w="312" w:type="dxa"/>
            <w:tcBorders>
              <w:top w:val="outset" w:sz="6" w:space="0" w:color="414142"/>
              <w:left w:val="outset" w:sz="6" w:space="0" w:color="414142"/>
              <w:bottom w:val="outset" w:sz="6" w:space="0" w:color="414142"/>
              <w:right w:val="outset" w:sz="6" w:space="0" w:color="414142"/>
            </w:tcBorders>
            <w:hideMark/>
          </w:tcPr>
          <w:p w14:paraId="2A872F19"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t>2.</w:t>
            </w:r>
          </w:p>
        </w:tc>
        <w:tc>
          <w:tcPr>
            <w:tcW w:w="2941" w:type="dxa"/>
            <w:tcBorders>
              <w:top w:val="outset" w:sz="6" w:space="0" w:color="414142"/>
              <w:left w:val="outset" w:sz="6" w:space="0" w:color="414142"/>
              <w:bottom w:val="outset" w:sz="6" w:space="0" w:color="414142"/>
              <w:right w:val="outset" w:sz="6" w:space="0" w:color="414142"/>
            </w:tcBorders>
            <w:hideMark/>
          </w:tcPr>
          <w:p w14:paraId="1F26AE9F"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Sabiedrības līdzdalība projekta izstrādē</w:t>
            </w:r>
          </w:p>
        </w:tc>
        <w:tc>
          <w:tcPr>
            <w:tcW w:w="5802" w:type="dxa"/>
            <w:tcBorders>
              <w:top w:val="outset" w:sz="6" w:space="0" w:color="414142"/>
              <w:left w:val="outset" w:sz="6" w:space="0" w:color="414142"/>
              <w:bottom w:val="outset" w:sz="6" w:space="0" w:color="414142"/>
              <w:right w:val="outset" w:sz="6" w:space="0" w:color="414142"/>
            </w:tcBorders>
            <w:hideMark/>
          </w:tcPr>
          <w:p w14:paraId="2A05C9C1" w14:textId="77777777" w:rsidR="007C6255" w:rsidRPr="007D14C7" w:rsidRDefault="00C87E3C" w:rsidP="00D35FFD">
            <w:pPr>
              <w:jc w:val="both"/>
              <w:rPr>
                <w:color w:val="0000FF"/>
                <w:sz w:val="26"/>
                <w:szCs w:val="26"/>
                <w:u w:val="single"/>
              </w:rPr>
            </w:pPr>
            <w:r w:rsidRPr="007D14C7">
              <w:rPr>
                <w:rFonts w:eastAsia="Times New Roman" w:cs="Times New Roman"/>
                <w:iCs/>
                <w:sz w:val="26"/>
                <w:szCs w:val="26"/>
                <w:lang w:eastAsia="lv-LV"/>
              </w:rPr>
              <w:t xml:space="preserve">Noteikumu projekts paredz labvēlīgākus nosacījumus potenciālajiem projektu iesniedzējiem salīdzinājumā ar spēkā esošajiem noteikumiem, tāpēc konsultācijas  nav nepieciešams rīkot. Vienlaicīgi </w:t>
            </w:r>
            <w:r w:rsidR="00653B45" w:rsidRPr="007D14C7">
              <w:rPr>
                <w:rFonts w:eastAsia="Times New Roman" w:cs="Times New Roman"/>
                <w:sz w:val="26"/>
                <w:szCs w:val="26"/>
              </w:rPr>
              <w:t xml:space="preserve">noteikumu projekts tiks </w:t>
            </w:r>
            <w:r w:rsidRPr="007D14C7">
              <w:rPr>
                <w:rFonts w:eastAsia="Times New Roman" w:cs="Times New Roman"/>
                <w:sz w:val="26"/>
                <w:szCs w:val="26"/>
              </w:rPr>
              <w:t xml:space="preserve">izvietots Ekonomikas ministrijas </w:t>
            </w:r>
            <w:r w:rsidR="00D35FFD" w:rsidRPr="007D14C7">
              <w:rPr>
                <w:rFonts w:eastAsia="Times New Roman" w:cs="Times New Roman"/>
                <w:sz w:val="26"/>
                <w:szCs w:val="26"/>
              </w:rPr>
              <w:t>tīmekļa vietnē</w:t>
            </w:r>
            <w:r w:rsidRPr="007D14C7">
              <w:rPr>
                <w:rFonts w:eastAsia="Times New Roman" w:cs="Times New Roman"/>
                <w:sz w:val="26"/>
                <w:szCs w:val="26"/>
              </w:rPr>
              <w:t>.</w:t>
            </w:r>
          </w:p>
        </w:tc>
      </w:tr>
      <w:tr w:rsidR="003D5C72" w:rsidRPr="007D14C7" w14:paraId="52D097DA" w14:textId="77777777" w:rsidTr="00C87E3C">
        <w:trPr>
          <w:trHeight w:val="465"/>
          <w:jc w:val="center"/>
        </w:trPr>
        <w:tc>
          <w:tcPr>
            <w:tcW w:w="312" w:type="dxa"/>
            <w:tcBorders>
              <w:top w:val="outset" w:sz="6" w:space="0" w:color="414142"/>
              <w:left w:val="outset" w:sz="6" w:space="0" w:color="414142"/>
              <w:bottom w:val="outset" w:sz="6" w:space="0" w:color="414142"/>
              <w:right w:val="outset" w:sz="6" w:space="0" w:color="414142"/>
            </w:tcBorders>
            <w:hideMark/>
          </w:tcPr>
          <w:p w14:paraId="627E3E82"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t>3.</w:t>
            </w:r>
          </w:p>
        </w:tc>
        <w:tc>
          <w:tcPr>
            <w:tcW w:w="2941" w:type="dxa"/>
            <w:tcBorders>
              <w:top w:val="outset" w:sz="6" w:space="0" w:color="414142"/>
              <w:left w:val="outset" w:sz="6" w:space="0" w:color="414142"/>
              <w:bottom w:val="outset" w:sz="6" w:space="0" w:color="414142"/>
              <w:right w:val="outset" w:sz="6" w:space="0" w:color="414142"/>
            </w:tcBorders>
            <w:hideMark/>
          </w:tcPr>
          <w:p w14:paraId="2030E7A8"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Sabiedrības līdzdalības rezultāti</w:t>
            </w:r>
          </w:p>
        </w:tc>
        <w:tc>
          <w:tcPr>
            <w:tcW w:w="5802" w:type="dxa"/>
            <w:tcBorders>
              <w:top w:val="outset" w:sz="6" w:space="0" w:color="414142"/>
              <w:left w:val="outset" w:sz="6" w:space="0" w:color="414142"/>
              <w:bottom w:val="outset" w:sz="6" w:space="0" w:color="414142"/>
              <w:right w:val="outset" w:sz="6" w:space="0" w:color="414142"/>
            </w:tcBorders>
            <w:hideMark/>
          </w:tcPr>
          <w:p w14:paraId="0F33D720"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Nav.</w:t>
            </w:r>
          </w:p>
        </w:tc>
      </w:tr>
      <w:tr w:rsidR="003D5C72" w:rsidRPr="007D14C7" w14:paraId="24095702" w14:textId="77777777" w:rsidTr="00C87E3C">
        <w:trPr>
          <w:trHeight w:val="268"/>
          <w:jc w:val="center"/>
        </w:trPr>
        <w:tc>
          <w:tcPr>
            <w:tcW w:w="312" w:type="dxa"/>
            <w:tcBorders>
              <w:top w:val="outset" w:sz="6" w:space="0" w:color="414142"/>
              <w:left w:val="outset" w:sz="6" w:space="0" w:color="414142"/>
              <w:bottom w:val="outset" w:sz="6" w:space="0" w:color="414142"/>
              <w:right w:val="outset" w:sz="6" w:space="0" w:color="414142"/>
            </w:tcBorders>
            <w:hideMark/>
          </w:tcPr>
          <w:p w14:paraId="275E6D00"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t>4.</w:t>
            </w:r>
          </w:p>
        </w:tc>
        <w:tc>
          <w:tcPr>
            <w:tcW w:w="2941" w:type="dxa"/>
            <w:tcBorders>
              <w:top w:val="outset" w:sz="6" w:space="0" w:color="414142"/>
              <w:left w:val="outset" w:sz="6" w:space="0" w:color="414142"/>
              <w:bottom w:val="outset" w:sz="6" w:space="0" w:color="414142"/>
              <w:right w:val="outset" w:sz="6" w:space="0" w:color="414142"/>
            </w:tcBorders>
            <w:hideMark/>
          </w:tcPr>
          <w:p w14:paraId="6C885491"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45212806" w14:textId="77777777" w:rsidR="003D5C72" w:rsidRPr="007D14C7" w:rsidRDefault="003D5C72"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Nav.</w:t>
            </w:r>
          </w:p>
        </w:tc>
      </w:tr>
    </w:tbl>
    <w:p w14:paraId="155B9FA0" w14:textId="77777777" w:rsidR="003D5C72" w:rsidRPr="007D14C7" w:rsidRDefault="003D5C72" w:rsidP="007C6255">
      <w:pPr>
        <w:shd w:val="clear" w:color="auto" w:fill="FFFFFF"/>
        <w:spacing w:before="100" w:beforeAutospacing="1" w:after="100" w:afterAutospacing="1" w:line="293" w:lineRule="atLeast"/>
        <w:rPr>
          <w:rFonts w:ascii="Arial" w:eastAsia="Times New Roman" w:hAnsi="Arial" w:cs="Arial"/>
          <w:color w:val="414142"/>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3D5C72" w:rsidRPr="007D14C7" w14:paraId="765D3440" w14:textId="77777777" w:rsidTr="002D6D8A">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0783EE" w14:textId="77777777" w:rsidR="003D5C72" w:rsidRPr="007D14C7" w:rsidRDefault="003D5C72" w:rsidP="002D6D8A">
            <w:pPr>
              <w:spacing w:before="100" w:beforeAutospacing="1" w:after="100" w:afterAutospacing="1" w:line="293" w:lineRule="atLeast"/>
              <w:jc w:val="center"/>
              <w:rPr>
                <w:rFonts w:eastAsia="Times New Roman" w:cs="Times New Roman"/>
                <w:b/>
                <w:bCs/>
                <w:sz w:val="26"/>
                <w:szCs w:val="26"/>
              </w:rPr>
            </w:pPr>
            <w:r w:rsidRPr="007D14C7">
              <w:rPr>
                <w:rFonts w:eastAsia="Times New Roman" w:cs="Times New Roman"/>
                <w:b/>
                <w:bCs/>
                <w:sz w:val="26"/>
                <w:szCs w:val="26"/>
              </w:rPr>
              <w:t>VII. Tiesību akta projekta izpildes nodrošināšana un tās ietekme uz institūcijām</w:t>
            </w:r>
          </w:p>
        </w:tc>
      </w:tr>
      <w:tr w:rsidR="003D5C72" w:rsidRPr="007D14C7" w14:paraId="0DF50334" w14:textId="77777777" w:rsidTr="002D6D8A">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70AA5F94"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t>1.</w:t>
            </w:r>
          </w:p>
        </w:tc>
        <w:tc>
          <w:tcPr>
            <w:tcW w:w="1900" w:type="pct"/>
            <w:tcBorders>
              <w:top w:val="outset" w:sz="6" w:space="0" w:color="414142"/>
              <w:left w:val="outset" w:sz="6" w:space="0" w:color="414142"/>
              <w:bottom w:val="outset" w:sz="6" w:space="0" w:color="414142"/>
              <w:right w:val="outset" w:sz="6" w:space="0" w:color="414142"/>
            </w:tcBorders>
            <w:hideMark/>
          </w:tcPr>
          <w:p w14:paraId="532192FF"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A111F92" w14:textId="77777777" w:rsidR="003D5C72" w:rsidRPr="007D14C7" w:rsidRDefault="003D5C72" w:rsidP="002D6D8A">
            <w:pPr>
              <w:jc w:val="both"/>
              <w:rPr>
                <w:sz w:val="26"/>
                <w:szCs w:val="26"/>
              </w:rPr>
            </w:pPr>
            <w:r w:rsidRPr="007D14C7">
              <w:rPr>
                <w:sz w:val="26"/>
                <w:szCs w:val="26"/>
              </w:rPr>
              <w:t xml:space="preserve">Noteikumu projekta īstenošanā ir iesaistīta Ekonomikas ministrija kā programmas </w:t>
            </w:r>
            <w:proofErr w:type="spellStart"/>
            <w:r w:rsidRPr="007D14C7">
              <w:rPr>
                <w:sz w:val="26"/>
                <w:szCs w:val="26"/>
              </w:rPr>
              <w:lastRenderedPageBreak/>
              <w:t>apsaimniekotājs</w:t>
            </w:r>
            <w:proofErr w:type="spellEnd"/>
            <w:r w:rsidRPr="007D14C7">
              <w:rPr>
                <w:sz w:val="26"/>
                <w:szCs w:val="26"/>
              </w:rPr>
              <w:t xml:space="preserve"> un LIAA kā Aģentūra, kam ir deleģētas Ekonomikas ministrijas funkcijas attiecībā uz programmas īstenošanu.</w:t>
            </w:r>
          </w:p>
        </w:tc>
      </w:tr>
      <w:tr w:rsidR="003D5C72" w:rsidRPr="007D14C7" w14:paraId="77E6C8A9" w14:textId="77777777" w:rsidTr="002D6D8A">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0B88893B"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10055DC6"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Projekta izpildes ietekme uz pārvaldes funkcijām un institucionālo struktūru.</w:t>
            </w:r>
          </w:p>
          <w:p w14:paraId="38EB3764" w14:textId="77777777" w:rsidR="003D5C72" w:rsidRPr="007D14C7" w:rsidRDefault="003D5C72"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2B8D597" w14:textId="77777777" w:rsidR="003D5C72" w:rsidRPr="007D14C7" w:rsidRDefault="003D5C72" w:rsidP="002D6D8A">
            <w:pPr>
              <w:jc w:val="both"/>
              <w:rPr>
                <w:rFonts w:eastAsia="Times New Roman" w:cs="Times New Roman"/>
                <w:sz w:val="26"/>
                <w:szCs w:val="26"/>
              </w:rPr>
            </w:pPr>
            <w:r w:rsidRPr="007D14C7">
              <w:rPr>
                <w:rFonts w:eastAsia="Times New Roman" w:cs="Times New Roman"/>
                <w:sz w:val="26"/>
                <w:szCs w:val="26"/>
              </w:rPr>
              <w:t>Noteikumu projektam nav ietekmes uz pārvaldes funkcijām un institucionālo struktūru.</w:t>
            </w:r>
          </w:p>
        </w:tc>
      </w:tr>
      <w:tr w:rsidR="003D5C72" w:rsidRPr="007D14C7" w14:paraId="51DF792A" w14:textId="77777777" w:rsidTr="002D6D8A">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6BACEE2F" w14:textId="77777777" w:rsidR="003D5C72" w:rsidRPr="007D14C7" w:rsidRDefault="003D5C72" w:rsidP="002D6D8A">
            <w:pPr>
              <w:rPr>
                <w:rFonts w:eastAsia="Times New Roman" w:cs="Times New Roman"/>
                <w:color w:val="414142"/>
                <w:sz w:val="26"/>
                <w:szCs w:val="26"/>
              </w:rPr>
            </w:pPr>
            <w:r w:rsidRPr="007D14C7">
              <w:rPr>
                <w:rFonts w:eastAsia="Times New Roman" w:cs="Times New Roman"/>
                <w:color w:val="414142"/>
                <w:sz w:val="26"/>
                <w:szCs w:val="26"/>
              </w:rPr>
              <w:t>3.</w:t>
            </w:r>
          </w:p>
        </w:tc>
        <w:tc>
          <w:tcPr>
            <w:tcW w:w="1900" w:type="pct"/>
            <w:tcBorders>
              <w:top w:val="outset" w:sz="6" w:space="0" w:color="414142"/>
              <w:left w:val="outset" w:sz="6" w:space="0" w:color="414142"/>
              <w:bottom w:val="outset" w:sz="6" w:space="0" w:color="414142"/>
              <w:right w:val="outset" w:sz="6" w:space="0" w:color="414142"/>
            </w:tcBorders>
            <w:hideMark/>
          </w:tcPr>
          <w:p w14:paraId="643A6567" w14:textId="77777777" w:rsidR="003D5C72" w:rsidRPr="007D14C7" w:rsidRDefault="003D5C72" w:rsidP="002D6D8A">
            <w:pPr>
              <w:rPr>
                <w:rFonts w:eastAsia="Times New Roman" w:cs="Times New Roman"/>
                <w:sz w:val="26"/>
                <w:szCs w:val="26"/>
              </w:rPr>
            </w:pPr>
            <w:r w:rsidRPr="007D14C7">
              <w:rPr>
                <w:rFonts w:eastAsia="Times New Roman" w:cs="Times New Roman"/>
                <w:sz w:val="26"/>
                <w:szCs w:val="26"/>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F5102A6" w14:textId="77777777" w:rsidR="003D5C72" w:rsidRPr="007D14C7" w:rsidRDefault="003D5C72" w:rsidP="002D6D8A">
            <w:pPr>
              <w:spacing w:before="100" w:beforeAutospacing="1" w:after="100" w:afterAutospacing="1" w:line="293" w:lineRule="atLeast"/>
              <w:rPr>
                <w:rFonts w:eastAsia="Times New Roman" w:cs="Times New Roman"/>
                <w:sz w:val="26"/>
                <w:szCs w:val="26"/>
              </w:rPr>
            </w:pPr>
            <w:r w:rsidRPr="007D14C7">
              <w:rPr>
                <w:rFonts w:eastAsia="Times New Roman" w:cs="Times New Roman"/>
                <w:sz w:val="26"/>
                <w:szCs w:val="26"/>
              </w:rPr>
              <w:t>Nav.</w:t>
            </w:r>
          </w:p>
        </w:tc>
      </w:tr>
    </w:tbl>
    <w:p w14:paraId="05381874" w14:textId="77777777" w:rsidR="003D5C72" w:rsidRPr="007D14C7" w:rsidRDefault="00653B45" w:rsidP="00653B45">
      <w:pPr>
        <w:tabs>
          <w:tab w:val="left" w:pos="960"/>
        </w:tabs>
        <w:rPr>
          <w:sz w:val="26"/>
          <w:szCs w:val="26"/>
        </w:rPr>
      </w:pPr>
      <w:r w:rsidRPr="007D14C7">
        <w:rPr>
          <w:sz w:val="26"/>
          <w:szCs w:val="26"/>
        </w:rPr>
        <w:tab/>
      </w:r>
    </w:p>
    <w:p w14:paraId="540EC599" w14:textId="77777777" w:rsidR="003D5C72" w:rsidRPr="007D14C7" w:rsidRDefault="003D5C72" w:rsidP="003D5C72">
      <w:pPr>
        <w:pStyle w:val="naisf"/>
        <w:tabs>
          <w:tab w:val="left" w:pos="6710"/>
        </w:tabs>
        <w:spacing w:before="0" w:after="120"/>
        <w:rPr>
          <w:sz w:val="26"/>
          <w:szCs w:val="26"/>
        </w:rPr>
      </w:pPr>
      <w:r w:rsidRPr="007D14C7">
        <w:rPr>
          <w:i/>
          <w:sz w:val="26"/>
          <w:szCs w:val="26"/>
        </w:rPr>
        <w:t>Anotācijas IV sadaļa -  projekts šo jomu neskar.</w:t>
      </w:r>
    </w:p>
    <w:p w14:paraId="55BF65E8" w14:textId="77777777" w:rsidR="003D5C72" w:rsidRPr="007D14C7" w:rsidRDefault="003D5C72" w:rsidP="003D5C72">
      <w:pPr>
        <w:pStyle w:val="naisf"/>
        <w:tabs>
          <w:tab w:val="left" w:pos="6710"/>
        </w:tabs>
        <w:spacing w:before="0" w:after="120"/>
        <w:rPr>
          <w:sz w:val="26"/>
          <w:szCs w:val="26"/>
        </w:rPr>
      </w:pPr>
    </w:p>
    <w:p w14:paraId="2AB561A1" w14:textId="77777777" w:rsidR="00BE5FC6" w:rsidRPr="007D14C7" w:rsidRDefault="00BE5FC6" w:rsidP="00BE5FC6">
      <w:pPr>
        <w:jc w:val="both"/>
        <w:rPr>
          <w:sz w:val="26"/>
          <w:szCs w:val="26"/>
        </w:rPr>
      </w:pPr>
      <w:r w:rsidRPr="007D14C7">
        <w:rPr>
          <w:sz w:val="26"/>
          <w:szCs w:val="26"/>
        </w:rPr>
        <w:t>Ekonomikas ministre</w:t>
      </w:r>
      <w:r w:rsidR="003D5C72" w:rsidRPr="007D14C7">
        <w:rPr>
          <w:sz w:val="26"/>
          <w:szCs w:val="26"/>
        </w:rPr>
        <w:tab/>
      </w:r>
      <w:r w:rsidRPr="007D14C7">
        <w:rPr>
          <w:sz w:val="26"/>
          <w:szCs w:val="26"/>
        </w:rPr>
        <w:tab/>
      </w:r>
      <w:r w:rsidRPr="007D14C7">
        <w:rPr>
          <w:sz w:val="26"/>
          <w:szCs w:val="26"/>
        </w:rPr>
        <w:tab/>
      </w:r>
      <w:r w:rsidRPr="007D14C7">
        <w:rPr>
          <w:sz w:val="26"/>
          <w:szCs w:val="26"/>
        </w:rPr>
        <w:tab/>
      </w:r>
      <w:r w:rsidRPr="007D14C7">
        <w:rPr>
          <w:sz w:val="26"/>
          <w:szCs w:val="26"/>
        </w:rPr>
        <w:tab/>
      </w:r>
      <w:r w:rsidR="003D5C72" w:rsidRPr="007D14C7">
        <w:rPr>
          <w:sz w:val="26"/>
          <w:szCs w:val="26"/>
        </w:rPr>
        <w:tab/>
      </w:r>
      <w:r w:rsidRPr="007D14C7">
        <w:rPr>
          <w:sz w:val="26"/>
          <w:szCs w:val="26"/>
        </w:rPr>
        <w:t xml:space="preserve">        </w:t>
      </w:r>
      <w:proofErr w:type="spellStart"/>
      <w:r w:rsidRPr="007D14C7">
        <w:rPr>
          <w:sz w:val="26"/>
          <w:szCs w:val="26"/>
        </w:rPr>
        <w:t>D.Reizniece</w:t>
      </w:r>
      <w:proofErr w:type="spellEnd"/>
      <w:r w:rsidRPr="007D14C7">
        <w:rPr>
          <w:sz w:val="26"/>
          <w:szCs w:val="26"/>
        </w:rPr>
        <w:t>-Ozola</w:t>
      </w:r>
    </w:p>
    <w:p w14:paraId="0B6F29FE" w14:textId="77777777" w:rsidR="003D5C72" w:rsidRPr="007D14C7" w:rsidRDefault="003D5C72" w:rsidP="003D5C72">
      <w:pPr>
        <w:pStyle w:val="EnvelopeReturn"/>
        <w:spacing w:before="0"/>
        <w:rPr>
          <w:szCs w:val="26"/>
          <w:lang w:val="lv-LV"/>
        </w:rPr>
      </w:pPr>
    </w:p>
    <w:p w14:paraId="42AABA35" w14:textId="77777777" w:rsidR="003D5C72" w:rsidRPr="007D14C7" w:rsidRDefault="003D5C72" w:rsidP="003D5C72">
      <w:pPr>
        <w:pStyle w:val="EnvelopeReturn"/>
        <w:spacing w:before="0"/>
        <w:rPr>
          <w:szCs w:val="26"/>
          <w:lang w:val="lv-LV"/>
        </w:rPr>
      </w:pPr>
    </w:p>
    <w:p w14:paraId="2AB6614A" w14:textId="77777777" w:rsidR="003D5C72" w:rsidRPr="007D14C7" w:rsidRDefault="003D5C72" w:rsidP="00B070C6">
      <w:pPr>
        <w:pStyle w:val="EnvelopeReturn"/>
        <w:spacing w:before="0"/>
        <w:rPr>
          <w:szCs w:val="26"/>
          <w:lang w:val="lv-LV"/>
        </w:rPr>
      </w:pPr>
      <w:r w:rsidRPr="007D14C7">
        <w:rPr>
          <w:szCs w:val="26"/>
          <w:lang w:val="lv-LV"/>
        </w:rPr>
        <w:t>Vīza: Valsts sekretār</w:t>
      </w:r>
      <w:r w:rsidR="0062108A" w:rsidRPr="007D14C7">
        <w:rPr>
          <w:szCs w:val="26"/>
          <w:lang w:val="lv-LV"/>
        </w:rPr>
        <w:t>s</w:t>
      </w:r>
      <w:r w:rsidR="0062108A" w:rsidRPr="007D14C7">
        <w:rPr>
          <w:szCs w:val="26"/>
          <w:lang w:val="lv-LV"/>
        </w:rPr>
        <w:tab/>
      </w:r>
      <w:r w:rsidR="0062108A" w:rsidRPr="007D14C7">
        <w:rPr>
          <w:szCs w:val="26"/>
          <w:lang w:val="lv-LV"/>
        </w:rPr>
        <w:tab/>
      </w:r>
      <w:r w:rsidR="008D2E0D" w:rsidRPr="007D14C7">
        <w:rPr>
          <w:color w:val="000000"/>
          <w:szCs w:val="26"/>
          <w:lang w:val="lv-LV"/>
        </w:rPr>
        <w:t xml:space="preserve"> </w:t>
      </w:r>
      <w:r w:rsidR="008D2E0D" w:rsidRPr="007D14C7">
        <w:rPr>
          <w:color w:val="000000"/>
          <w:szCs w:val="26"/>
          <w:lang w:val="lv-LV"/>
        </w:rPr>
        <w:tab/>
      </w:r>
      <w:r w:rsidR="008D2E0D" w:rsidRPr="007D14C7">
        <w:rPr>
          <w:color w:val="000000"/>
          <w:szCs w:val="26"/>
          <w:lang w:val="lv-LV"/>
        </w:rPr>
        <w:tab/>
      </w:r>
      <w:r w:rsidR="00B070C6" w:rsidRPr="007D14C7">
        <w:rPr>
          <w:color w:val="000000"/>
          <w:szCs w:val="26"/>
          <w:lang w:val="lv-LV"/>
        </w:rPr>
        <w:tab/>
      </w:r>
      <w:r w:rsidR="00B070C6" w:rsidRPr="007D14C7">
        <w:rPr>
          <w:color w:val="000000"/>
          <w:szCs w:val="26"/>
          <w:lang w:val="lv-LV"/>
        </w:rPr>
        <w:tab/>
        <w:t xml:space="preserve">        </w:t>
      </w:r>
      <w:r w:rsidR="00B070C6" w:rsidRPr="007D14C7">
        <w:rPr>
          <w:szCs w:val="26"/>
          <w:lang w:val="lv-LV"/>
        </w:rPr>
        <w:t xml:space="preserve">R. </w:t>
      </w:r>
      <w:proofErr w:type="spellStart"/>
      <w:r w:rsidR="00B070C6" w:rsidRPr="007D14C7">
        <w:rPr>
          <w:szCs w:val="26"/>
          <w:lang w:val="lv-LV"/>
        </w:rPr>
        <w:t>Beinarovičs</w:t>
      </w:r>
      <w:proofErr w:type="spellEnd"/>
      <w:r w:rsidR="00B070C6" w:rsidRPr="007D14C7">
        <w:rPr>
          <w:szCs w:val="26"/>
          <w:lang w:val="lv-LV"/>
        </w:rPr>
        <w:t xml:space="preserve"> </w:t>
      </w:r>
    </w:p>
    <w:p w14:paraId="31BF2C26" w14:textId="77777777" w:rsidR="003D5C72" w:rsidRPr="007D14C7" w:rsidRDefault="003D5C72" w:rsidP="003D5C72">
      <w:pPr>
        <w:jc w:val="both"/>
        <w:rPr>
          <w:color w:val="000000"/>
          <w:sz w:val="26"/>
          <w:szCs w:val="26"/>
        </w:rPr>
      </w:pPr>
    </w:p>
    <w:p w14:paraId="0E0D8699" w14:textId="0B10518D" w:rsidR="003D5C72" w:rsidRPr="007D14C7" w:rsidRDefault="004B3D3C" w:rsidP="003D5C72">
      <w:pPr>
        <w:jc w:val="both"/>
        <w:rPr>
          <w:rFonts w:cs="Times New Roman"/>
          <w:b/>
          <w:color w:val="000000"/>
          <w:sz w:val="20"/>
          <w:szCs w:val="20"/>
        </w:rPr>
      </w:pPr>
      <w:r w:rsidRPr="007D14C7">
        <w:rPr>
          <w:rFonts w:cs="Times New Roman"/>
          <w:color w:val="000000"/>
          <w:sz w:val="20"/>
          <w:szCs w:val="20"/>
        </w:rPr>
        <w:t>14</w:t>
      </w:r>
      <w:r w:rsidR="00440825" w:rsidRPr="007D14C7">
        <w:rPr>
          <w:rFonts w:cs="Times New Roman"/>
          <w:color w:val="000000"/>
          <w:sz w:val="20"/>
          <w:szCs w:val="20"/>
        </w:rPr>
        <w:t>.</w:t>
      </w:r>
      <w:r w:rsidR="009444EC" w:rsidRPr="007D14C7">
        <w:rPr>
          <w:rFonts w:cs="Times New Roman"/>
          <w:color w:val="000000"/>
          <w:sz w:val="20"/>
          <w:szCs w:val="20"/>
        </w:rPr>
        <w:t>0</w:t>
      </w:r>
      <w:r w:rsidR="00440825" w:rsidRPr="007D14C7">
        <w:rPr>
          <w:rFonts w:cs="Times New Roman"/>
          <w:color w:val="000000"/>
          <w:sz w:val="20"/>
          <w:szCs w:val="20"/>
        </w:rPr>
        <w:t>8</w:t>
      </w:r>
      <w:r w:rsidR="003D5C72" w:rsidRPr="007D14C7">
        <w:rPr>
          <w:rFonts w:cs="Times New Roman"/>
          <w:color w:val="000000"/>
          <w:sz w:val="20"/>
          <w:szCs w:val="20"/>
        </w:rPr>
        <w:t>.201</w:t>
      </w:r>
      <w:r w:rsidR="009444EC" w:rsidRPr="007D14C7">
        <w:rPr>
          <w:rFonts w:cs="Times New Roman"/>
          <w:color w:val="000000"/>
          <w:sz w:val="20"/>
          <w:szCs w:val="20"/>
        </w:rPr>
        <w:t>5</w:t>
      </w:r>
      <w:r w:rsidR="003D5C72" w:rsidRPr="007D14C7">
        <w:rPr>
          <w:rFonts w:cs="Times New Roman"/>
          <w:color w:val="000000"/>
          <w:sz w:val="20"/>
          <w:szCs w:val="20"/>
        </w:rPr>
        <w:t xml:space="preserve"> </w:t>
      </w:r>
      <w:r w:rsidR="00653B45" w:rsidRPr="007D14C7">
        <w:rPr>
          <w:rFonts w:cs="Times New Roman"/>
          <w:color w:val="000000"/>
          <w:sz w:val="20"/>
          <w:szCs w:val="20"/>
        </w:rPr>
        <w:t>1</w:t>
      </w:r>
      <w:r w:rsidR="003576A0" w:rsidRPr="007D14C7">
        <w:rPr>
          <w:rFonts w:cs="Times New Roman"/>
          <w:color w:val="000000"/>
          <w:sz w:val="20"/>
          <w:szCs w:val="20"/>
        </w:rPr>
        <w:t>1</w:t>
      </w:r>
      <w:r w:rsidR="00653B45" w:rsidRPr="007D14C7">
        <w:rPr>
          <w:rFonts w:cs="Times New Roman"/>
          <w:color w:val="000000"/>
          <w:sz w:val="20"/>
          <w:szCs w:val="20"/>
        </w:rPr>
        <w:t>:00</w:t>
      </w:r>
    </w:p>
    <w:p w14:paraId="37F1586D" w14:textId="25DF8934" w:rsidR="00B1476A" w:rsidRPr="007D14C7" w:rsidRDefault="004B3D3C" w:rsidP="00B1476A">
      <w:pPr>
        <w:rPr>
          <w:rFonts w:eastAsia="Times New Roman" w:cs="Times New Roman"/>
          <w:sz w:val="20"/>
          <w:szCs w:val="20"/>
          <w:lang w:eastAsia="lv-LV" w:bidi="lo-LA"/>
        </w:rPr>
      </w:pPr>
      <w:r w:rsidRPr="007D14C7">
        <w:rPr>
          <w:rFonts w:eastAsia="Times New Roman" w:cs="Times New Roman"/>
          <w:sz w:val="20"/>
          <w:szCs w:val="20"/>
          <w:lang w:eastAsia="lv-LV" w:bidi="lo-LA"/>
        </w:rPr>
        <w:t>2626</w:t>
      </w:r>
    </w:p>
    <w:p w14:paraId="64B6F4A6" w14:textId="628D2B6E" w:rsidR="003576A0" w:rsidRPr="007D14C7" w:rsidRDefault="004B3D3C" w:rsidP="003576A0">
      <w:pPr>
        <w:pStyle w:val="naisf"/>
        <w:tabs>
          <w:tab w:val="left" w:pos="6840"/>
        </w:tabs>
        <w:spacing w:before="0" w:after="0"/>
        <w:rPr>
          <w:sz w:val="20"/>
        </w:rPr>
      </w:pPr>
      <w:proofErr w:type="spellStart"/>
      <w:r w:rsidRPr="007D14C7">
        <w:rPr>
          <w:sz w:val="20"/>
        </w:rPr>
        <w:t>E.Grūbe</w:t>
      </w:r>
      <w:proofErr w:type="spellEnd"/>
      <w:r w:rsidR="003576A0" w:rsidRPr="007D14C7">
        <w:rPr>
          <w:sz w:val="20"/>
        </w:rPr>
        <w:t xml:space="preserve">, </w:t>
      </w:r>
      <w:r w:rsidRPr="007D14C7">
        <w:rPr>
          <w:sz w:val="20"/>
        </w:rPr>
        <w:t>67013022</w:t>
      </w:r>
    </w:p>
    <w:p w14:paraId="59D468A2" w14:textId="029639A4" w:rsidR="003576A0" w:rsidRPr="007D14C7" w:rsidRDefault="00D54EDC" w:rsidP="003576A0">
      <w:pPr>
        <w:pStyle w:val="naisf"/>
        <w:tabs>
          <w:tab w:val="left" w:pos="6840"/>
        </w:tabs>
        <w:spacing w:before="0" w:after="0"/>
        <w:rPr>
          <w:sz w:val="20"/>
        </w:rPr>
      </w:pPr>
      <w:hyperlink r:id="rId10" w:history="1">
        <w:r w:rsidR="004B3D3C" w:rsidRPr="007D14C7">
          <w:rPr>
            <w:rStyle w:val="Hyperlink"/>
            <w:sz w:val="20"/>
          </w:rPr>
          <w:t>Evita.Grube@em.gov.lv</w:t>
        </w:r>
      </w:hyperlink>
    </w:p>
    <w:p w14:paraId="528CC417" w14:textId="7356D1AE" w:rsidR="00C5009D" w:rsidRPr="007D14C7" w:rsidRDefault="00C5009D" w:rsidP="003576A0">
      <w:pPr>
        <w:rPr>
          <w:sz w:val="26"/>
          <w:szCs w:val="26"/>
        </w:rPr>
      </w:pPr>
    </w:p>
    <w:p w14:paraId="791546E1" w14:textId="77777777" w:rsidR="00AB7A0D" w:rsidRPr="007D14C7" w:rsidRDefault="00AB7A0D" w:rsidP="00AB7A0D">
      <w:pPr>
        <w:pStyle w:val="naisf"/>
        <w:tabs>
          <w:tab w:val="left" w:pos="6840"/>
        </w:tabs>
        <w:spacing w:before="0" w:after="0"/>
        <w:rPr>
          <w:sz w:val="20"/>
        </w:rPr>
      </w:pPr>
      <w:proofErr w:type="spellStart"/>
      <w:r w:rsidRPr="007D14C7">
        <w:rPr>
          <w:sz w:val="20"/>
        </w:rPr>
        <w:t>M.Supe</w:t>
      </w:r>
      <w:proofErr w:type="spellEnd"/>
      <w:r w:rsidRPr="007D14C7">
        <w:rPr>
          <w:sz w:val="20"/>
        </w:rPr>
        <w:t>, 67013286</w:t>
      </w:r>
    </w:p>
    <w:p w14:paraId="404D24D1" w14:textId="77777777" w:rsidR="00AB7A0D" w:rsidRPr="007D14C7" w:rsidRDefault="00AB7A0D" w:rsidP="00AB7A0D">
      <w:pPr>
        <w:pStyle w:val="naisf"/>
        <w:tabs>
          <w:tab w:val="left" w:pos="6840"/>
        </w:tabs>
        <w:spacing w:before="0" w:after="0"/>
        <w:rPr>
          <w:sz w:val="20"/>
        </w:rPr>
      </w:pPr>
      <w:hyperlink r:id="rId11" w:history="1">
        <w:r w:rsidRPr="007D14C7">
          <w:rPr>
            <w:rStyle w:val="Hyperlink"/>
            <w:sz w:val="20"/>
          </w:rPr>
          <w:t>Modris.Supe@em.gov.lv</w:t>
        </w:r>
      </w:hyperlink>
    </w:p>
    <w:p w14:paraId="15445248" w14:textId="77777777" w:rsidR="00AB7A0D" w:rsidRPr="007D14C7" w:rsidRDefault="00AB7A0D" w:rsidP="003576A0">
      <w:pPr>
        <w:rPr>
          <w:sz w:val="26"/>
          <w:szCs w:val="26"/>
        </w:rPr>
      </w:pPr>
    </w:p>
    <w:sectPr w:rsidR="00AB7A0D" w:rsidRPr="007D14C7" w:rsidSect="002D6D8A">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8880B" w14:textId="77777777" w:rsidR="008A5BF1" w:rsidRDefault="008A5BF1">
      <w:r>
        <w:separator/>
      </w:r>
    </w:p>
  </w:endnote>
  <w:endnote w:type="continuationSeparator" w:id="0">
    <w:p w14:paraId="79D94BC5" w14:textId="77777777" w:rsidR="008A5BF1" w:rsidRDefault="008A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93FF" w14:textId="6CCD44F8" w:rsidR="00370B10" w:rsidRPr="006B6ED7" w:rsidRDefault="006B6ED7" w:rsidP="006B6ED7">
    <w:pPr>
      <w:jc w:val="both"/>
      <w:rPr>
        <w:sz w:val="20"/>
        <w:szCs w:val="20"/>
      </w:rPr>
    </w:pPr>
    <w:r>
      <w:rPr>
        <w:sz w:val="20"/>
        <w:szCs w:val="20"/>
      </w:rPr>
      <w:t>EMAnot_1</w:t>
    </w:r>
    <w:r w:rsidR="004B3D3C">
      <w:rPr>
        <w:sz w:val="20"/>
        <w:szCs w:val="20"/>
      </w:rPr>
      <w:t>4</w:t>
    </w:r>
    <w:r>
      <w:rPr>
        <w:sz w:val="20"/>
        <w:szCs w:val="20"/>
      </w:rPr>
      <w:t>0815</w:t>
    </w:r>
    <w:r w:rsidRPr="00307AFC">
      <w:rPr>
        <w:sz w:val="20"/>
        <w:szCs w:val="20"/>
      </w:rPr>
      <w:t>_N</w:t>
    </w:r>
    <w:r>
      <w:rPr>
        <w:sz w:val="20"/>
        <w:szCs w:val="20"/>
      </w:rPr>
      <w:t>FI</w:t>
    </w:r>
    <w:r w:rsidRPr="00307AFC">
      <w:rPr>
        <w:sz w:val="20"/>
        <w:szCs w:val="20"/>
      </w:rPr>
      <w:t xml:space="preserve">; Ministru kabineta noteikumu projekta „Grozījumi Ministru kabineta 2013.gada </w:t>
    </w:r>
    <w:r>
      <w:rPr>
        <w:sz w:val="20"/>
        <w:szCs w:val="20"/>
      </w:rPr>
      <w:t>2</w:t>
    </w:r>
    <w:r w:rsidRPr="00307AFC">
      <w:rPr>
        <w:sz w:val="20"/>
        <w:szCs w:val="20"/>
      </w:rPr>
      <w:t>.</w:t>
    </w:r>
    <w:r>
      <w:rPr>
        <w:sz w:val="20"/>
        <w:szCs w:val="20"/>
      </w:rPr>
      <w:t>aprīļa</w:t>
    </w:r>
    <w:r w:rsidRPr="00307AFC">
      <w:rPr>
        <w:sz w:val="20"/>
        <w:szCs w:val="20"/>
      </w:rPr>
      <w:t xml:space="preserve"> noteikumos Nr.1</w:t>
    </w:r>
    <w:r>
      <w:rPr>
        <w:sz w:val="20"/>
        <w:szCs w:val="20"/>
      </w:rPr>
      <w:t>81</w:t>
    </w:r>
    <w:r w:rsidRPr="00307AFC">
      <w:rPr>
        <w:sz w:val="20"/>
        <w:szCs w:val="20"/>
      </w:rPr>
      <w:t xml:space="preserve"> „Norvēģijas finanšu instrumenta 2009.–2014.gada perioda programmas "Inovācijas "zaļās" ražošanas jomā" īstenošanas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EDDDC" w14:textId="1F3E6D3E" w:rsidR="006B6ED7" w:rsidRPr="00307AFC" w:rsidRDefault="00C87E3C" w:rsidP="002D6D8A">
    <w:pPr>
      <w:jc w:val="both"/>
      <w:rPr>
        <w:sz w:val="20"/>
        <w:szCs w:val="20"/>
      </w:rPr>
    </w:pPr>
    <w:r>
      <w:rPr>
        <w:sz w:val="20"/>
        <w:szCs w:val="20"/>
      </w:rPr>
      <w:t>EMAnot</w:t>
    </w:r>
    <w:r w:rsidR="006B6ED7">
      <w:rPr>
        <w:sz w:val="20"/>
        <w:szCs w:val="20"/>
      </w:rPr>
      <w:t>_1</w:t>
    </w:r>
    <w:r w:rsidR="00855D0D">
      <w:rPr>
        <w:sz w:val="20"/>
        <w:szCs w:val="20"/>
      </w:rPr>
      <w:t>4</w:t>
    </w:r>
    <w:r>
      <w:rPr>
        <w:sz w:val="20"/>
        <w:szCs w:val="20"/>
      </w:rPr>
      <w:t>0</w:t>
    </w:r>
    <w:r w:rsidR="003576A0">
      <w:rPr>
        <w:sz w:val="20"/>
        <w:szCs w:val="20"/>
      </w:rPr>
      <w:t>8</w:t>
    </w:r>
    <w:r w:rsidR="00370B10">
      <w:rPr>
        <w:sz w:val="20"/>
        <w:szCs w:val="20"/>
      </w:rPr>
      <w:t>15</w:t>
    </w:r>
    <w:r w:rsidR="00370B10" w:rsidRPr="00307AFC">
      <w:rPr>
        <w:sz w:val="20"/>
        <w:szCs w:val="20"/>
      </w:rPr>
      <w:t>_N</w:t>
    </w:r>
    <w:r w:rsidR="006B6ED7">
      <w:rPr>
        <w:sz w:val="20"/>
        <w:szCs w:val="20"/>
      </w:rPr>
      <w:t>FI</w:t>
    </w:r>
    <w:r w:rsidR="00370B10" w:rsidRPr="00307AFC">
      <w:rPr>
        <w:sz w:val="20"/>
        <w:szCs w:val="20"/>
      </w:rPr>
      <w:t xml:space="preserve">; Ministru kabineta noteikumu projekta „Grozījumi Ministru kabineta 2013.gada </w:t>
    </w:r>
    <w:r w:rsidR="00370B10">
      <w:rPr>
        <w:sz w:val="20"/>
        <w:szCs w:val="20"/>
      </w:rPr>
      <w:t>2</w:t>
    </w:r>
    <w:r w:rsidR="00370B10" w:rsidRPr="00307AFC">
      <w:rPr>
        <w:sz w:val="20"/>
        <w:szCs w:val="20"/>
      </w:rPr>
      <w:t>.</w:t>
    </w:r>
    <w:r w:rsidR="00370B10">
      <w:rPr>
        <w:sz w:val="20"/>
        <w:szCs w:val="20"/>
      </w:rPr>
      <w:t>aprīļa</w:t>
    </w:r>
    <w:r w:rsidR="00370B10" w:rsidRPr="00307AFC">
      <w:rPr>
        <w:sz w:val="20"/>
        <w:szCs w:val="20"/>
      </w:rPr>
      <w:t xml:space="preserve"> noteikumos Nr.1</w:t>
    </w:r>
    <w:r w:rsidR="00370B10">
      <w:rPr>
        <w:sz w:val="20"/>
        <w:szCs w:val="20"/>
      </w:rPr>
      <w:t>81</w:t>
    </w:r>
    <w:r w:rsidR="00370B10" w:rsidRPr="00307AFC">
      <w:rPr>
        <w:sz w:val="20"/>
        <w:szCs w:val="20"/>
      </w:rPr>
      <w:t xml:space="preserve"> „Norvēģijas finanšu instrumenta 2009.–2014.gada perioda programmas "Inovācijas "zaļās" ražošanas jomā" īstenošanas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6B4C" w14:textId="77777777" w:rsidR="008A5BF1" w:rsidRDefault="008A5BF1">
      <w:r>
        <w:separator/>
      </w:r>
    </w:p>
  </w:footnote>
  <w:footnote w:type="continuationSeparator" w:id="0">
    <w:p w14:paraId="7951A122" w14:textId="77777777" w:rsidR="008A5BF1" w:rsidRDefault="008A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93809"/>
      <w:docPartObj>
        <w:docPartGallery w:val="Page Numbers (Top of Page)"/>
        <w:docPartUnique/>
      </w:docPartObj>
    </w:sdtPr>
    <w:sdtEndPr>
      <w:rPr>
        <w:noProof/>
      </w:rPr>
    </w:sdtEndPr>
    <w:sdtContent>
      <w:p w14:paraId="1D6270E1" w14:textId="77777777" w:rsidR="00370B10" w:rsidRDefault="00370B10">
        <w:pPr>
          <w:pStyle w:val="Header"/>
          <w:jc w:val="center"/>
        </w:pPr>
        <w:r>
          <w:fldChar w:fldCharType="begin"/>
        </w:r>
        <w:r>
          <w:instrText xml:space="preserve"> PAGE   \* MERGEFORMAT </w:instrText>
        </w:r>
        <w:r>
          <w:fldChar w:fldCharType="separate"/>
        </w:r>
        <w:r w:rsidR="00D54EDC">
          <w:rPr>
            <w:noProof/>
          </w:rPr>
          <w:t>11</w:t>
        </w:r>
        <w:r>
          <w:rPr>
            <w:noProof/>
          </w:rPr>
          <w:fldChar w:fldCharType="end"/>
        </w:r>
      </w:p>
    </w:sdtContent>
  </w:sdt>
  <w:p w14:paraId="6491221B" w14:textId="77777777" w:rsidR="00370B10" w:rsidRDefault="00370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A11"/>
    <w:multiLevelType w:val="hybridMultilevel"/>
    <w:tmpl w:val="F672F4B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75BB5"/>
    <w:multiLevelType w:val="hybridMultilevel"/>
    <w:tmpl w:val="530078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C0EDA"/>
    <w:multiLevelType w:val="hybridMultilevel"/>
    <w:tmpl w:val="8D602532"/>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E1C483C"/>
    <w:multiLevelType w:val="hybridMultilevel"/>
    <w:tmpl w:val="C0A2C2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05C29"/>
    <w:multiLevelType w:val="hybridMultilevel"/>
    <w:tmpl w:val="B128D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7A3198"/>
    <w:multiLevelType w:val="multilevel"/>
    <w:tmpl w:val="87149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046922"/>
    <w:multiLevelType w:val="multilevel"/>
    <w:tmpl w:val="8BA227B0"/>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273FE9"/>
    <w:multiLevelType w:val="hybridMultilevel"/>
    <w:tmpl w:val="084215EC"/>
    <w:lvl w:ilvl="0" w:tplc="2C424D4E">
      <w:start w:val="1"/>
      <w:numFmt w:val="decimal"/>
      <w:lvlText w:val="%1."/>
      <w:lvlJc w:val="left"/>
      <w:pPr>
        <w:ind w:left="405" w:hanging="40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1460785"/>
    <w:multiLevelType w:val="hybridMultilevel"/>
    <w:tmpl w:val="0512D84A"/>
    <w:lvl w:ilvl="0" w:tplc="62F482E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C5194F"/>
    <w:multiLevelType w:val="hybridMultilevel"/>
    <w:tmpl w:val="B128D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234938"/>
    <w:multiLevelType w:val="hybridMultilevel"/>
    <w:tmpl w:val="80861708"/>
    <w:lvl w:ilvl="0" w:tplc="BF4E966E">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EE19D3"/>
    <w:multiLevelType w:val="hybridMultilevel"/>
    <w:tmpl w:val="5356595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9"/>
  </w:num>
  <w:num w:numId="6">
    <w:abstractNumId w:val="11"/>
  </w:num>
  <w:num w:numId="7">
    <w:abstractNumId w:val="0"/>
  </w:num>
  <w:num w:numId="8">
    <w:abstractNumId w:val="2"/>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2"/>
    <w:rsid w:val="00000184"/>
    <w:rsid w:val="000038D2"/>
    <w:rsid w:val="000115B1"/>
    <w:rsid w:val="00011994"/>
    <w:rsid w:val="0004052B"/>
    <w:rsid w:val="00042EED"/>
    <w:rsid w:val="0005626D"/>
    <w:rsid w:val="00057B23"/>
    <w:rsid w:val="000708F5"/>
    <w:rsid w:val="0007206D"/>
    <w:rsid w:val="00084089"/>
    <w:rsid w:val="00095DB0"/>
    <w:rsid w:val="000C4765"/>
    <w:rsid w:val="000D2591"/>
    <w:rsid w:val="000D5234"/>
    <w:rsid w:val="000D62ED"/>
    <w:rsid w:val="000E1622"/>
    <w:rsid w:val="0010452E"/>
    <w:rsid w:val="0012542C"/>
    <w:rsid w:val="001347CB"/>
    <w:rsid w:val="0013571B"/>
    <w:rsid w:val="00146D46"/>
    <w:rsid w:val="00150797"/>
    <w:rsid w:val="00155FE8"/>
    <w:rsid w:val="00165562"/>
    <w:rsid w:val="0017518E"/>
    <w:rsid w:val="00180766"/>
    <w:rsid w:val="0018191A"/>
    <w:rsid w:val="001A57AB"/>
    <w:rsid w:val="001B7CD1"/>
    <w:rsid w:val="001D0E3C"/>
    <w:rsid w:val="001D18DC"/>
    <w:rsid w:val="001D5DC2"/>
    <w:rsid w:val="001D629B"/>
    <w:rsid w:val="001E40CE"/>
    <w:rsid w:val="001F65F2"/>
    <w:rsid w:val="002012C4"/>
    <w:rsid w:val="00202020"/>
    <w:rsid w:val="00222733"/>
    <w:rsid w:val="00224B4E"/>
    <w:rsid w:val="00242A60"/>
    <w:rsid w:val="002445A5"/>
    <w:rsid w:val="0024680E"/>
    <w:rsid w:val="0025109C"/>
    <w:rsid w:val="002517CB"/>
    <w:rsid w:val="00262AB2"/>
    <w:rsid w:val="00266083"/>
    <w:rsid w:val="002746F3"/>
    <w:rsid w:val="00275967"/>
    <w:rsid w:val="002761D5"/>
    <w:rsid w:val="002909C4"/>
    <w:rsid w:val="002B565D"/>
    <w:rsid w:val="002D65E9"/>
    <w:rsid w:val="002D6D8A"/>
    <w:rsid w:val="00311402"/>
    <w:rsid w:val="00320743"/>
    <w:rsid w:val="003463B0"/>
    <w:rsid w:val="003505C8"/>
    <w:rsid w:val="00355194"/>
    <w:rsid w:val="003576A0"/>
    <w:rsid w:val="00370B10"/>
    <w:rsid w:val="00373B4F"/>
    <w:rsid w:val="0038101E"/>
    <w:rsid w:val="00385900"/>
    <w:rsid w:val="00394D40"/>
    <w:rsid w:val="0039588D"/>
    <w:rsid w:val="003C204B"/>
    <w:rsid w:val="003D5C72"/>
    <w:rsid w:val="003F2516"/>
    <w:rsid w:val="003F544E"/>
    <w:rsid w:val="00401A82"/>
    <w:rsid w:val="00402B5A"/>
    <w:rsid w:val="00410644"/>
    <w:rsid w:val="00440825"/>
    <w:rsid w:val="00441A1B"/>
    <w:rsid w:val="0045622D"/>
    <w:rsid w:val="0047371A"/>
    <w:rsid w:val="00485109"/>
    <w:rsid w:val="004A44D7"/>
    <w:rsid w:val="004B3D3C"/>
    <w:rsid w:val="004B5CE3"/>
    <w:rsid w:val="004C45C1"/>
    <w:rsid w:val="00511C57"/>
    <w:rsid w:val="00521086"/>
    <w:rsid w:val="0053009D"/>
    <w:rsid w:val="00537D55"/>
    <w:rsid w:val="005421CB"/>
    <w:rsid w:val="00544CBC"/>
    <w:rsid w:val="00577B62"/>
    <w:rsid w:val="005B0EDF"/>
    <w:rsid w:val="005C6623"/>
    <w:rsid w:val="005F501E"/>
    <w:rsid w:val="0062108A"/>
    <w:rsid w:val="006223C3"/>
    <w:rsid w:val="00626318"/>
    <w:rsid w:val="00634962"/>
    <w:rsid w:val="00642CDB"/>
    <w:rsid w:val="00653B45"/>
    <w:rsid w:val="00660A32"/>
    <w:rsid w:val="006674CE"/>
    <w:rsid w:val="006754A8"/>
    <w:rsid w:val="00692846"/>
    <w:rsid w:val="006A2683"/>
    <w:rsid w:val="006B1773"/>
    <w:rsid w:val="006B6ED7"/>
    <w:rsid w:val="006C48AD"/>
    <w:rsid w:val="006C4D4E"/>
    <w:rsid w:val="006C7524"/>
    <w:rsid w:val="006D12DC"/>
    <w:rsid w:val="00701B7C"/>
    <w:rsid w:val="0070334C"/>
    <w:rsid w:val="007327F9"/>
    <w:rsid w:val="00764B28"/>
    <w:rsid w:val="00792337"/>
    <w:rsid w:val="00792C49"/>
    <w:rsid w:val="007B21FE"/>
    <w:rsid w:val="007B2D6D"/>
    <w:rsid w:val="007B6704"/>
    <w:rsid w:val="007C6255"/>
    <w:rsid w:val="007C7503"/>
    <w:rsid w:val="007D14C7"/>
    <w:rsid w:val="007D5AC0"/>
    <w:rsid w:val="007E1D75"/>
    <w:rsid w:val="007E3B66"/>
    <w:rsid w:val="00801D3C"/>
    <w:rsid w:val="008054B0"/>
    <w:rsid w:val="008132D8"/>
    <w:rsid w:val="00820561"/>
    <w:rsid w:val="00821555"/>
    <w:rsid w:val="00821D89"/>
    <w:rsid w:val="00855D0D"/>
    <w:rsid w:val="008851B2"/>
    <w:rsid w:val="008A4C82"/>
    <w:rsid w:val="008A5BF1"/>
    <w:rsid w:val="008B2019"/>
    <w:rsid w:val="008C12AC"/>
    <w:rsid w:val="008D2E0D"/>
    <w:rsid w:val="008D3871"/>
    <w:rsid w:val="008D7127"/>
    <w:rsid w:val="008E1CA1"/>
    <w:rsid w:val="008F0FBA"/>
    <w:rsid w:val="008F7CDA"/>
    <w:rsid w:val="00920CB2"/>
    <w:rsid w:val="00930EDD"/>
    <w:rsid w:val="009444EC"/>
    <w:rsid w:val="00953220"/>
    <w:rsid w:val="00975508"/>
    <w:rsid w:val="00981EA9"/>
    <w:rsid w:val="00991645"/>
    <w:rsid w:val="0099196A"/>
    <w:rsid w:val="009956C1"/>
    <w:rsid w:val="00995B28"/>
    <w:rsid w:val="009B0F9A"/>
    <w:rsid w:val="009B3F4B"/>
    <w:rsid w:val="009B62A4"/>
    <w:rsid w:val="009B7148"/>
    <w:rsid w:val="009C0146"/>
    <w:rsid w:val="009C61CC"/>
    <w:rsid w:val="009F1370"/>
    <w:rsid w:val="00A072E4"/>
    <w:rsid w:val="00A11256"/>
    <w:rsid w:val="00A17D47"/>
    <w:rsid w:val="00A24E1E"/>
    <w:rsid w:val="00A37CB6"/>
    <w:rsid w:val="00A4244A"/>
    <w:rsid w:val="00A44E66"/>
    <w:rsid w:val="00A46109"/>
    <w:rsid w:val="00A633A8"/>
    <w:rsid w:val="00A65646"/>
    <w:rsid w:val="00A92D56"/>
    <w:rsid w:val="00AB44DF"/>
    <w:rsid w:val="00AB699A"/>
    <w:rsid w:val="00AB7A0D"/>
    <w:rsid w:val="00AC4D42"/>
    <w:rsid w:val="00AF3754"/>
    <w:rsid w:val="00AF4985"/>
    <w:rsid w:val="00AF7058"/>
    <w:rsid w:val="00B00E97"/>
    <w:rsid w:val="00B070C6"/>
    <w:rsid w:val="00B1476A"/>
    <w:rsid w:val="00B17095"/>
    <w:rsid w:val="00B40977"/>
    <w:rsid w:val="00B61236"/>
    <w:rsid w:val="00B8679A"/>
    <w:rsid w:val="00BB2F56"/>
    <w:rsid w:val="00BC091B"/>
    <w:rsid w:val="00BC296E"/>
    <w:rsid w:val="00BD6948"/>
    <w:rsid w:val="00BE4210"/>
    <w:rsid w:val="00BE5FC6"/>
    <w:rsid w:val="00C000A5"/>
    <w:rsid w:val="00C021A4"/>
    <w:rsid w:val="00C07E00"/>
    <w:rsid w:val="00C1050D"/>
    <w:rsid w:val="00C17DE9"/>
    <w:rsid w:val="00C32C1D"/>
    <w:rsid w:val="00C5009D"/>
    <w:rsid w:val="00C61D4D"/>
    <w:rsid w:val="00C87E3C"/>
    <w:rsid w:val="00C9466F"/>
    <w:rsid w:val="00C946C0"/>
    <w:rsid w:val="00CA4E3C"/>
    <w:rsid w:val="00CB5ECC"/>
    <w:rsid w:val="00CC3B92"/>
    <w:rsid w:val="00CD210F"/>
    <w:rsid w:val="00CD34E9"/>
    <w:rsid w:val="00CD6599"/>
    <w:rsid w:val="00CD72EE"/>
    <w:rsid w:val="00CE490F"/>
    <w:rsid w:val="00CF05A9"/>
    <w:rsid w:val="00CF2E7E"/>
    <w:rsid w:val="00CF443A"/>
    <w:rsid w:val="00CF5BAD"/>
    <w:rsid w:val="00D04129"/>
    <w:rsid w:val="00D11FB7"/>
    <w:rsid w:val="00D32185"/>
    <w:rsid w:val="00D35FFD"/>
    <w:rsid w:val="00D42AC5"/>
    <w:rsid w:val="00D5277D"/>
    <w:rsid w:val="00D54EDC"/>
    <w:rsid w:val="00D55670"/>
    <w:rsid w:val="00D74298"/>
    <w:rsid w:val="00D862A1"/>
    <w:rsid w:val="00D87D08"/>
    <w:rsid w:val="00D908FA"/>
    <w:rsid w:val="00DA7B3F"/>
    <w:rsid w:val="00DB378A"/>
    <w:rsid w:val="00DB6225"/>
    <w:rsid w:val="00DF06F2"/>
    <w:rsid w:val="00DF1121"/>
    <w:rsid w:val="00E05F4B"/>
    <w:rsid w:val="00E12500"/>
    <w:rsid w:val="00E21176"/>
    <w:rsid w:val="00E21FFD"/>
    <w:rsid w:val="00E401AB"/>
    <w:rsid w:val="00E42B6A"/>
    <w:rsid w:val="00E521DD"/>
    <w:rsid w:val="00E55578"/>
    <w:rsid w:val="00E629A2"/>
    <w:rsid w:val="00E75271"/>
    <w:rsid w:val="00E82CAE"/>
    <w:rsid w:val="00E862E0"/>
    <w:rsid w:val="00E93AF6"/>
    <w:rsid w:val="00EF5734"/>
    <w:rsid w:val="00F2423E"/>
    <w:rsid w:val="00F31CF7"/>
    <w:rsid w:val="00F406F9"/>
    <w:rsid w:val="00F43C27"/>
    <w:rsid w:val="00F55DDE"/>
    <w:rsid w:val="00F715DB"/>
    <w:rsid w:val="00F735B7"/>
    <w:rsid w:val="00F73A14"/>
    <w:rsid w:val="00F93344"/>
    <w:rsid w:val="00FB1D23"/>
    <w:rsid w:val="00FB6D43"/>
    <w:rsid w:val="00FC3BD0"/>
    <w:rsid w:val="00FC52B4"/>
    <w:rsid w:val="00FE64A4"/>
    <w:rsid w:val="00FF5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C4F66A"/>
  <w15:docId w15:val="{C999A868-975D-4205-BA3D-9189C9A6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72"/>
    <w:pPr>
      <w:spacing w:after="0" w:line="240" w:lineRule="auto"/>
    </w:pPr>
    <w:rPr>
      <w:rFonts w:ascii="Times New Roman" w:eastAsia="MS Mincho" w:hAnsi="Times New Roman"/>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C72"/>
    <w:rPr>
      <w:color w:val="0000FF"/>
      <w:u w:val="single"/>
    </w:rPr>
  </w:style>
  <w:style w:type="paragraph" w:styleId="ListParagraph">
    <w:name w:val="List Paragraph"/>
    <w:basedOn w:val="Normal"/>
    <w:uiPriority w:val="34"/>
    <w:qFormat/>
    <w:rsid w:val="003D5C72"/>
    <w:pPr>
      <w:ind w:left="720"/>
      <w:contextualSpacing/>
    </w:pPr>
  </w:style>
  <w:style w:type="paragraph" w:customStyle="1" w:styleId="naisf">
    <w:name w:val="naisf"/>
    <w:basedOn w:val="Normal"/>
    <w:rsid w:val="003D5C72"/>
    <w:pPr>
      <w:spacing w:before="100" w:after="100"/>
    </w:pPr>
    <w:rPr>
      <w:rFonts w:eastAsia="Times New Roman" w:cs="Times New Roman"/>
      <w:sz w:val="24"/>
      <w:szCs w:val="20"/>
      <w:lang w:eastAsia="lv-LV"/>
    </w:rPr>
  </w:style>
  <w:style w:type="paragraph" w:styleId="EnvelopeReturn">
    <w:name w:val="envelope return"/>
    <w:basedOn w:val="Normal"/>
    <w:semiHidden/>
    <w:rsid w:val="003D5C72"/>
    <w:pPr>
      <w:keepLines/>
      <w:widowControl w:val="0"/>
      <w:spacing w:before="600"/>
    </w:pPr>
    <w:rPr>
      <w:rFonts w:eastAsia="Times New Roman" w:cs="Times New Roman"/>
      <w:sz w:val="26"/>
      <w:szCs w:val="20"/>
      <w:lang w:val="en-AU" w:eastAsia="lv-LV"/>
    </w:rPr>
  </w:style>
  <w:style w:type="paragraph" w:styleId="Header">
    <w:name w:val="header"/>
    <w:basedOn w:val="Normal"/>
    <w:link w:val="HeaderChar"/>
    <w:uiPriority w:val="99"/>
    <w:unhideWhenUsed/>
    <w:rsid w:val="003D5C72"/>
    <w:pPr>
      <w:tabs>
        <w:tab w:val="center" w:pos="4153"/>
        <w:tab w:val="right" w:pos="8306"/>
      </w:tabs>
    </w:pPr>
  </w:style>
  <w:style w:type="character" w:customStyle="1" w:styleId="HeaderChar">
    <w:name w:val="Header Char"/>
    <w:basedOn w:val="DefaultParagraphFont"/>
    <w:link w:val="Header"/>
    <w:uiPriority w:val="99"/>
    <w:rsid w:val="003D5C72"/>
    <w:rPr>
      <w:rFonts w:ascii="Times New Roman" w:eastAsia="MS Mincho" w:hAnsi="Times New Roman"/>
      <w:sz w:val="28"/>
      <w:lang w:eastAsia="ja-JP"/>
    </w:rPr>
  </w:style>
  <w:style w:type="paragraph" w:styleId="Footer">
    <w:name w:val="footer"/>
    <w:basedOn w:val="Normal"/>
    <w:link w:val="FooterChar"/>
    <w:uiPriority w:val="99"/>
    <w:unhideWhenUsed/>
    <w:rsid w:val="0053009D"/>
    <w:pPr>
      <w:tabs>
        <w:tab w:val="center" w:pos="4153"/>
        <w:tab w:val="right" w:pos="8306"/>
      </w:tabs>
    </w:pPr>
  </w:style>
  <w:style w:type="character" w:customStyle="1" w:styleId="FooterChar">
    <w:name w:val="Footer Char"/>
    <w:basedOn w:val="DefaultParagraphFont"/>
    <w:link w:val="Footer"/>
    <w:uiPriority w:val="99"/>
    <w:rsid w:val="0053009D"/>
    <w:rPr>
      <w:rFonts w:ascii="Times New Roman" w:eastAsia="MS Mincho" w:hAnsi="Times New Roman"/>
      <w:sz w:val="28"/>
      <w:lang w:eastAsia="ja-JP"/>
    </w:rPr>
  </w:style>
  <w:style w:type="paragraph" w:styleId="BalloonText">
    <w:name w:val="Balloon Text"/>
    <w:basedOn w:val="Normal"/>
    <w:link w:val="BalloonTextChar"/>
    <w:uiPriority w:val="99"/>
    <w:semiHidden/>
    <w:unhideWhenUsed/>
    <w:rsid w:val="00CD72EE"/>
    <w:rPr>
      <w:rFonts w:ascii="Tahoma" w:hAnsi="Tahoma" w:cs="Tahoma"/>
      <w:sz w:val="16"/>
      <w:szCs w:val="16"/>
    </w:rPr>
  </w:style>
  <w:style w:type="character" w:customStyle="1" w:styleId="BalloonTextChar">
    <w:name w:val="Balloon Text Char"/>
    <w:basedOn w:val="DefaultParagraphFont"/>
    <w:link w:val="BalloonText"/>
    <w:uiPriority w:val="99"/>
    <w:semiHidden/>
    <w:rsid w:val="00CD72EE"/>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CD72EE"/>
    <w:rPr>
      <w:sz w:val="16"/>
      <w:szCs w:val="16"/>
    </w:rPr>
  </w:style>
  <w:style w:type="paragraph" w:styleId="CommentText">
    <w:name w:val="annotation text"/>
    <w:basedOn w:val="Normal"/>
    <w:link w:val="CommentTextChar"/>
    <w:uiPriority w:val="99"/>
    <w:semiHidden/>
    <w:unhideWhenUsed/>
    <w:rsid w:val="00CD72EE"/>
    <w:rPr>
      <w:sz w:val="20"/>
      <w:szCs w:val="20"/>
    </w:rPr>
  </w:style>
  <w:style w:type="character" w:customStyle="1" w:styleId="CommentTextChar">
    <w:name w:val="Comment Text Char"/>
    <w:basedOn w:val="DefaultParagraphFont"/>
    <w:link w:val="CommentText"/>
    <w:uiPriority w:val="99"/>
    <w:semiHidden/>
    <w:rsid w:val="00CD72EE"/>
    <w:rPr>
      <w:rFonts w:ascii="Times New Roman" w:eastAsia="MS Mincho"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D72EE"/>
    <w:rPr>
      <w:b/>
      <w:bCs/>
    </w:rPr>
  </w:style>
  <w:style w:type="character" w:customStyle="1" w:styleId="CommentSubjectChar">
    <w:name w:val="Comment Subject Char"/>
    <w:basedOn w:val="CommentTextChar"/>
    <w:link w:val="CommentSubject"/>
    <w:uiPriority w:val="99"/>
    <w:semiHidden/>
    <w:rsid w:val="00CD72EE"/>
    <w:rPr>
      <w:rFonts w:ascii="Times New Roman" w:eastAsia="MS Mincho" w:hAnsi="Times New Roman"/>
      <w:b/>
      <w:bCs/>
      <w:sz w:val="20"/>
      <w:szCs w:val="20"/>
      <w:lang w:eastAsia="ja-JP"/>
    </w:rPr>
  </w:style>
  <w:style w:type="paragraph" w:styleId="BodyText">
    <w:name w:val="Body Text"/>
    <w:basedOn w:val="Normal"/>
    <w:link w:val="BodyTextChar"/>
    <w:semiHidden/>
    <w:rsid w:val="00000184"/>
    <w:pPr>
      <w:jc w:val="both"/>
    </w:pPr>
    <w:rPr>
      <w:rFonts w:eastAsia="Times New Roman" w:cs="Times New Roman"/>
      <w:szCs w:val="20"/>
      <w:lang w:eastAsia="lv-LV"/>
    </w:rPr>
  </w:style>
  <w:style w:type="character" w:customStyle="1" w:styleId="BodyTextChar">
    <w:name w:val="Body Text Char"/>
    <w:basedOn w:val="DefaultParagraphFont"/>
    <w:link w:val="BodyText"/>
    <w:semiHidden/>
    <w:rsid w:val="00000184"/>
    <w:rPr>
      <w:rFonts w:ascii="Times New Roman" w:eastAsia="Times New Roman" w:hAnsi="Times New Roman" w:cs="Times New Roman"/>
      <w:sz w:val="28"/>
      <w:szCs w:val="20"/>
      <w:lang w:eastAsia="lv-LV"/>
    </w:rPr>
  </w:style>
  <w:style w:type="character" w:customStyle="1" w:styleId="apple-converted-space">
    <w:name w:val="apple-converted-space"/>
    <w:basedOn w:val="DefaultParagraphFont"/>
    <w:rsid w:val="00CC3B92"/>
  </w:style>
  <w:style w:type="paragraph" w:customStyle="1" w:styleId="1">
    <w:name w:val="1"/>
    <w:basedOn w:val="Normal"/>
    <w:rsid w:val="00CC3B92"/>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unhideWhenUsed/>
    <w:rsid w:val="006A2683"/>
    <w:rPr>
      <w:rFonts w:eastAsiaTheme="minorHAnsi"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6895">
      <w:bodyDiv w:val="1"/>
      <w:marLeft w:val="0"/>
      <w:marRight w:val="0"/>
      <w:marTop w:val="0"/>
      <w:marBottom w:val="0"/>
      <w:divBdr>
        <w:top w:val="none" w:sz="0" w:space="0" w:color="auto"/>
        <w:left w:val="none" w:sz="0" w:space="0" w:color="auto"/>
        <w:bottom w:val="none" w:sz="0" w:space="0" w:color="auto"/>
        <w:right w:val="none" w:sz="0" w:space="0" w:color="auto"/>
      </w:divBdr>
    </w:div>
    <w:div w:id="509101873">
      <w:bodyDiv w:val="1"/>
      <w:marLeft w:val="0"/>
      <w:marRight w:val="0"/>
      <w:marTop w:val="0"/>
      <w:marBottom w:val="0"/>
      <w:divBdr>
        <w:top w:val="none" w:sz="0" w:space="0" w:color="auto"/>
        <w:left w:val="none" w:sz="0" w:space="0" w:color="auto"/>
        <w:bottom w:val="none" w:sz="0" w:space="0" w:color="auto"/>
        <w:right w:val="none" w:sz="0" w:space="0" w:color="auto"/>
      </w:divBdr>
    </w:div>
    <w:div w:id="515118611">
      <w:bodyDiv w:val="1"/>
      <w:marLeft w:val="0"/>
      <w:marRight w:val="0"/>
      <w:marTop w:val="0"/>
      <w:marBottom w:val="0"/>
      <w:divBdr>
        <w:top w:val="none" w:sz="0" w:space="0" w:color="auto"/>
        <w:left w:val="none" w:sz="0" w:space="0" w:color="auto"/>
        <w:bottom w:val="none" w:sz="0" w:space="0" w:color="auto"/>
        <w:right w:val="none" w:sz="0" w:space="0" w:color="auto"/>
      </w:divBdr>
    </w:div>
    <w:div w:id="516965330">
      <w:bodyDiv w:val="1"/>
      <w:marLeft w:val="0"/>
      <w:marRight w:val="0"/>
      <w:marTop w:val="0"/>
      <w:marBottom w:val="0"/>
      <w:divBdr>
        <w:top w:val="none" w:sz="0" w:space="0" w:color="auto"/>
        <w:left w:val="none" w:sz="0" w:space="0" w:color="auto"/>
        <w:bottom w:val="none" w:sz="0" w:space="0" w:color="auto"/>
        <w:right w:val="none" w:sz="0" w:space="0" w:color="auto"/>
      </w:divBdr>
    </w:div>
    <w:div w:id="571432674">
      <w:bodyDiv w:val="1"/>
      <w:marLeft w:val="0"/>
      <w:marRight w:val="0"/>
      <w:marTop w:val="0"/>
      <w:marBottom w:val="0"/>
      <w:divBdr>
        <w:top w:val="none" w:sz="0" w:space="0" w:color="auto"/>
        <w:left w:val="none" w:sz="0" w:space="0" w:color="auto"/>
        <w:bottom w:val="none" w:sz="0" w:space="0" w:color="auto"/>
        <w:right w:val="none" w:sz="0" w:space="0" w:color="auto"/>
      </w:divBdr>
    </w:div>
    <w:div w:id="622545059">
      <w:bodyDiv w:val="1"/>
      <w:marLeft w:val="0"/>
      <w:marRight w:val="0"/>
      <w:marTop w:val="0"/>
      <w:marBottom w:val="0"/>
      <w:divBdr>
        <w:top w:val="none" w:sz="0" w:space="0" w:color="auto"/>
        <w:left w:val="none" w:sz="0" w:space="0" w:color="auto"/>
        <w:bottom w:val="none" w:sz="0" w:space="0" w:color="auto"/>
        <w:right w:val="none" w:sz="0" w:space="0" w:color="auto"/>
      </w:divBdr>
    </w:div>
    <w:div w:id="702443713">
      <w:bodyDiv w:val="1"/>
      <w:marLeft w:val="0"/>
      <w:marRight w:val="0"/>
      <w:marTop w:val="0"/>
      <w:marBottom w:val="0"/>
      <w:divBdr>
        <w:top w:val="none" w:sz="0" w:space="0" w:color="auto"/>
        <w:left w:val="none" w:sz="0" w:space="0" w:color="auto"/>
        <w:bottom w:val="none" w:sz="0" w:space="0" w:color="auto"/>
        <w:right w:val="none" w:sz="0" w:space="0" w:color="auto"/>
      </w:divBdr>
    </w:div>
    <w:div w:id="1020813088">
      <w:bodyDiv w:val="1"/>
      <w:marLeft w:val="0"/>
      <w:marRight w:val="0"/>
      <w:marTop w:val="0"/>
      <w:marBottom w:val="0"/>
      <w:divBdr>
        <w:top w:val="none" w:sz="0" w:space="0" w:color="auto"/>
        <w:left w:val="none" w:sz="0" w:space="0" w:color="auto"/>
        <w:bottom w:val="none" w:sz="0" w:space="0" w:color="auto"/>
        <w:right w:val="none" w:sz="0" w:space="0" w:color="auto"/>
      </w:divBdr>
    </w:div>
    <w:div w:id="1051341591">
      <w:bodyDiv w:val="1"/>
      <w:marLeft w:val="0"/>
      <w:marRight w:val="0"/>
      <w:marTop w:val="0"/>
      <w:marBottom w:val="0"/>
      <w:divBdr>
        <w:top w:val="none" w:sz="0" w:space="0" w:color="auto"/>
        <w:left w:val="none" w:sz="0" w:space="0" w:color="auto"/>
        <w:bottom w:val="none" w:sz="0" w:space="0" w:color="auto"/>
        <w:right w:val="none" w:sz="0" w:space="0" w:color="auto"/>
      </w:divBdr>
    </w:div>
    <w:div w:id="1162046239">
      <w:bodyDiv w:val="1"/>
      <w:marLeft w:val="0"/>
      <w:marRight w:val="0"/>
      <w:marTop w:val="0"/>
      <w:marBottom w:val="0"/>
      <w:divBdr>
        <w:top w:val="none" w:sz="0" w:space="0" w:color="auto"/>
        <w:left w:val="none" w:sz="0" w:space="0" w:color="auto"/>
        <w:bottom w:val="none" w:sz="0" w:space="0" w:color="auto"/>
        <w:right w:val="none" w:sz="0" w:space="0" w:color="auto"/>
      </w:divBdr>
    </w:div>
    <w:div w:id="1314483194">
      <w:bodyDiv w:val="1"/>
      <w:marLeft w:val="0"/>
      <w:marRight w:val="0"/>
      <w:marTop w:val="0"/>
      <w:marBottom w:val="0"/>
      <w:divBdr>
        <w:top w:val="none" w:sz="0" w:space="0" w:color="auto"/>
        <w:left w:val="none" w:sz="0" w:space="0" w:color="auto"/>
        <w:bottom w:val="none" w:sz="0" w:space="0" w:color="auto"/>
        <w:right w:val="none" w:sz="0" w:space="0" w:color="auto"/>
      </w:divBdr>
    </w:div>
    <w:div w:id="1328439127">
      <w:bodyDiv w:val="1"/>
      <w:marLeft w:val="0"/>
      <w:marRight w:val="0"/>
      <w:marTop w:val="0"/>
      <w:marBottom w:val="0"/>
      <w:divBdr>
        <w:top w:val="none" w:sz="0" w:space="0" w:color="auto"/>
        <w:left w:val="none" w:sz="0" w:space="0" w:color="auto"/>
        <w:bottom w:val="none" w:sz="0" w:space="0" w:color="auto"/>
        <w:right w:val="none" w:sz="0" w:space="0" w:color="auto"/>
      </w:divBdr>
    </w:div>
    <w:div w:id="1356344225">
      <w:bodyDiv w:val="1"/>
      <w:marLeft w:val="0"/>
      <w:marRight w:val="0"/>
      <w:marTop w:val="0"/>
      <w:marBottom w:val="0"/>
      <w:divBdr>
        <w:top w:val="none" w:sz="0" w:space="0" w:color="auto"/>
        <w:left w:val="none" w:sz="0" w:space="0" w:color="auto"/>
        <w:bottom w:val="none" w:sz="0" w:space="0" w:color="auto"/>
        <w:right w:val="none" w:sz="0" w:space="0" w:color="auto"/>
      </w:divBdr>
    </w:div>
    <w:div w:id="1471827850">
      <w:bodyDiv w:val="1"/>
      <w:marLeft w:val="0"/>
      <w:marRight w:val="0"/>
      <w:marTop w:val="0"/>
      <w:marBottom w:val="0"/>
      <w:divBdr>
        <w:top w:val="none" w:sz="0" w:space="0" w:color="auto"/>
        <w:left w:val="none" w:sz="0" w:space="0" w:color="auto"/>
        <w:bottom w:val="none" w:sz="0" w:space="0" w:color="auto"/>
        <w:right w:val="none" w:sz="0" w:space="0" w:color="auto"/>
      </w:divBdr>
    </w:div>
    <w:div w:id="1474367072">
      <w:bodyDiv w:val="1"/>
      <w:marLeft w:val="0"/>
      <w:marRight w:val="0"/>
      <w:marTop w:val="0"/>
      <w:marBottom w:val="0"/>
      <w:divBdr>
        <w:top w:val="none" w:sz="0" w:space="0" w:color="auto"/>
        <w:left w:val="none" w:sz="0" w:space="0" w:color="auto"/>
        <w:bottom w:val="none" w:sz="0" w:space="0" w:color="auto"/>
        <w:right w:val="none" w:sz="0" w:space="0" w:color="auto"/>
      </w:divBdr>
    </w:div>
    <w:div w:id="1497576486">
      <w:bodyDiv w:val="1"/>
      <w:marLeft w:val="0"/>
      <w:marRight w:val="0"/>
      <w:marTop w:val="0"/>
      <w:marBottom w:val="0"/>
      <w:divBdr>
        <w:top w:val="none" w:sz="0" w:space="0" w:color="auto"/>
        <w:left w:val="none" w:sz="0" w:space="0" w:color="auto"/>
        <w:bottom w:val="none" w:sz="0" w:space="0" w:color="auto"/>
        <w:right w:val="none" w:sz="0" w:space="0" w:color="auto"/>
      </w:divBdr>
    </w:div>
    <w:div w:id="1760370584">
      <w:bodyDiv w:val="1"/>
      <w:marLeft w:val="0"/>
      <w:marRight w:val="0"/>
      <w:marTop w:val="0"/>
      <w:marBottom w:val="0"/>
      <w:divBdr>
        <w:top w:val="none" w:sz="0" w:space="0" w:color="auto"/>
        <w:left w:val="none" w:sz="0" w:space="0" w:color="auto"/>
        <w:bottom w:val="none" w:sz="0" w:space="0" w:color="auto"/>
        <w:right w:val="none" w:sz="0" w:space="0" w:color="auto"/>
      </w:divBdr>
    </w:div>
    <w:div w:id="1872569991">
      <w:bodyDiv w:val="1"/>
      <w:marLeft w:val="0"/>
      <w:marRight w:val="0"/>
      <w:marTop w:val="0"/>
      <w:marBottom w:val="0"/>
      <w:divBdr>
        <w:top w:val="none" w:sz="0" w:space="0" w:color="auto"/>
        <w:left w:val="none" w:sz="0" w:space="0" w:color="auto"/>
        <w:bottom w:val="none" w:sz="0" w:space="0" w:color="auto"/>
        <w:right w:val="none" w:sz="0" w:space="0" w:color="auto"/>
      </w:divBdr>
    </w:div>
    <w:div w:id="2032297024">
      <w:bodyDiv w:val="1"/>
      <w:marLeft w:val="0"/>
      <w:marRight w:val="0"/>
      <w:marTop w:val="0"/>
      <w:marBottom w:val="0"/>
      <w:divBdr>
        <w:top w:val="none" w:sz="0" w:space="0" w:color="auto"/>
        <w:left w:val="none" w:sz="0" w:space="0" w:color="auto"/>
        <w:bottom w:val="none" w:sz="0" w:space="0" w:color="auto"/>
        <w:right w:val="none" w:sz="0" w:space="0" w:color="auto"/>
      </w:divBdr>
    </w:div>
    <w:div w:id="2055621556">
      <w:bodyDiv w:val="1"/>
      <w:marLeft w:val="0"/>
      <w:marRight w:val="0"/>
      <w:marTop w:val="0"/>
      <w:marBottom w:val="0"/>
      <w:divBdr>
        <w:top w:val="none" w:sz="0" w:space="0" w:color="auto"/>
        <w:left w:val="none" w:sz="0" w:space="0" w:color="auto"/>
        <w:bottom w:val="none" w:sz="0" w:space="0" w:color="auto"/>
        <w:right w:val="none" w:sz="0" w:space="0" w:color="auto"/>
      </w:divBdr>
    </w:div>
    <w:div w:id="207457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aa.gov.lv/lv/fondi/norvegijas-finansu-instruments/neliela-apjoma-grantu-shem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ris.Sup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ta.Grube@em.gov.lv" TargetMode="External"/><Relationship Id="rId4" Type="http://schemas.openxmlformats.org/officeDocument/2006/relationships/settings" Target="settings.xml"/><Relationship Id="rId9" Type="http://schemas.openxmlformats.org/officeDocument/2006/relationships/hyperlink" Target="http://giic.lv/notikumi/230-neliela-apjoma-grantu-shemas-projektu-iesniegumu-atlases-tresas-kart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53F9-70CD-4EB8-9F53-A4275270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13797</Words>
  <Characters>7865</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Grūbe</dc:creator>
  <cp:keywords/>
  <dc:description/>
  <cp:lastModifiedBy>Evita Grūbe</cp:lastModifiedBy>
  <cp:revision>6</cp:revision>
  <cp:lastPrinted>2015-08-14T12:05:00Z</cp:lastPrinted>
  <dcterms:created xsi:type="dcterms:W3CDTF">2015-08-14T07:37:00Z</dcterms:created>
  <dcterms:modified xsi:type="dcterms:W3CDTF">2015-08-14T12:12:00Z</dcterms:modified>
  <cp:contentStatus/>
</cp:coreProperties>
</file>