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FE503" w14:textId="4428D3D8" w:rsidR="009538BF" w:rsidRPr="001C68C1" w:rsidRDefault="009538BF" w:rsidP="009538BF">
      <w:pPr>
        <w:ind w:left="3969"/>
        <w:jc w:val="right"/>
        <w:rPr>
          <w:sz w:val="24"/>
          <w:szCs w:val="24"/>
        </w:rPr>
      </w:pPr>
      <w:r w:rsidRPr="001C68C1">
        <w:rPr>
          <w:sz w:val="24"/>
          <w:szCs w:val="24"/>
        </w:rPr>
        <w:t>Pielikums</w:t>
      </w:r>
      <w:r w:rsidR="00CF7438">
        <w:rPr>
          <w:sz w:val="24"/>
          <w:szCs w:val="24"/>
        </w:rPr>
        <w:t xml:space="preserve"> Nr.2</w:t>
      </w:r>
      <w:bookmarkStart w:id="0" w:name="_GoBack"/>
      <w:bookmarkEnd w:id="0"/>
    </w:p>
    <w:p w14:paraId="29E1887F" w14:textId="77777777" w:rsidR="009538BF" w:rsidRPr="001C68C1" w:rsidRDefault="009538BF" w:rsidP="009538BF">
      <w:pPr>
        <w:ind w:left="3969"/>
        <w:jc w:val="right"/>
        <w:rPr>
          <w:sz w:val="24"/>
          <w:szCs w:val="24"/>
        </w:rPr>
      </w:pPr>
      <w:r w:rsidRPr="001C68C1">
        <w:rPr>
          <w:sz w:val="24"/>
          <w:szCs w:val="24"/>
        </w:rPr>
        <w:t>Informatīvajam ziņojumam „Par priekšlikumu sniegšanu par turpmāko rīcību saistībā ar SIA „Latvijas nacionālais metroloģijas centrs” atsavināšanu”</w:t>
      </w:r>
    </w:p>
    <w:p w14:paraId="4C3E32E6" w14:textId="77777777" w:rsidR="009538BF" w:rsidRDefault="009538BF" w:rsidP="009538BF">
      <w:pPr>
        <w:ind w:left="3969"/>
        <w:jc w:val="right"/>
      </w:pPr>
    </w:p>
    <w:p w14:paraId="09337554" w14:textId="77777777" w:rsidR="009538BF" w:rsidRDefault="009538BF" w:rsidP="009538BF">
      <w:pPr>
        <w:jc w:val="center"/>
        <w:rPr>
          <w:b/>
        </w:rPr>
      </w:pPr>
      <w:r>
        <w:rPr>
          <w:b/>
        </w:rPr>
        <w:t>Verificēto mērīšanas līdzekļu procentuālais</w:t>
      </w:r>
    </w:p>
    <w:p w14:paraId="1628CDD7" w14:textId="77777777" w:rsidR="009538BF" w:rsidRDefault="009538BF" w:rsidP="009538BF">
      <w:pPr>
        <w:jc w:val="center"/>
        <w:rPr>
          <w:b/>
        </w:rPr>
      </w:pPr>
      <w:r>
        <w:rPr>
          <w:b/>
        </w:rPr>
        <w:t>sadalījums pa inspicēšanas institūcijām</w:t>
      </w:r>
    </w:p>
    <w:p w14:paraId="366D7F08" w14:textId="77777777" w:rsidR="009538BF" w:rsidRDefault="00F570E4" w:rsidP="009538BF">
      <w:pPr>
        <w:jc w:val="center"/>
        <w:rPr>
          <w:b/>
        </w:rPr>
      </w:pPr>
      <w:r>
        <w:rPr>
          <w:noProof/>
          <w:lang w:eastAsia="lv-LV"/>
        </w:rPr>
        <w:drawing>
          <wp:inline distT="0" distB="0" distL="0" distR="0" wp14:anchorId="19123FF8" wp14:editId="6C2CD134">
            <wp:extent cx="5760085" cy="3191893"/>
            <wp:effectExtent l="0" t="0" r="12065" b="889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1AF2C27" w14:textId="77777777" w:rsidR="009538BF" w:rsidRDefault="009538BF" w:rsidP="009538BF">
      <w:pPr>
        <w:jc w:val="center"/>
        <w:rPr>
          <w:b/>
        </w:rPr>
      </w:pPr>
    </w:p>
    <w:p w14:paraId="583D8A44" w14:textId="77777777" w:rsidR="009538BF" w:rsidRDefault="009538BF" w:rsidP="009538BF">
      <w:pPr>
        <w:jc w:val="center"/>
        <w:rPr>
          <w:b/>
        </w:rPr>
      </w:pPr>
    </w:p>
    <w:p w14:paraId="4BEE3216" w14:textId="77777777" w:rsidR="009538BF" w:rsidRPr="0032087B" w:rsidRDefault="009538BF" w:rsidP="009538BF">
      <w:pPr>
        <w:rPr>
          <w:rFonts w:eastAsia="Times New Roman"/>
          <w:sz w:val="27"/>
          <w:szCs w:val="27"/>
          <w:lang w:eastAsia="zh-CN"/>
        </w:rPr>
      </w:pPr>
      <w:r>
        <w:rPr>
          <w:rFonts w:eastAsia="Times New Roman"/>
          <w:sz w:val="27"/>
          <w:szCs w:val="27"/>
          <w:lang w:eastAsia="lv-LV"/>
        </w:rPr>
        <w:t>Ekonomikas ministre</w:t>
      </w:r>
      <w:r>
        <w:rPr>
          <w:rFonts w:eastAsia="Times New Roman"/>
          <w:sz w:val="27"/>
          <w:szCs w:val="27"/>
          <w:lang w:eastAsia="lv-LV"/>
        </w:rPr>
        <w:tab/>
      </w:r>
      <w:r>
        <w:rPr>
          <w:rFonts w:eastAsia="Times New Roman"/>
          <w:sz w:val="27"/>
          <w:szCs w:val="27"/>
          <w:lang w:eastAsia="lv-LV"/>
        </w:rPr>
        <w:tab/>
      </w:r>
      <w:r>
        <w:rPr>
          <w:rFonts w:eastAsia="Times New Roman"/>
          <w:sz w:val="27"/>
          <w:szCs w:val="27"/>
          <w:lang w:eastAsia="lv-LV"/>
        </w:rPr>
        <w:tab/>
      </w:r>
      <w:r>
        <w:rPr>
          <w:rFonts w:eastAsia="Times New Roman"/>
          <w:sz w:val="27"/>
          <w:szCs w:val="27"/>
          <w:lang w:eastAsia="lv-LV"/>
        </w:rPr>
        <w:tab/>
      </w:r>
      <w:r>
        <w:rPr>
          <w:rFonts w:eastAsia="Times New Roman"/>
          <w:sz w:val="27"/>
          <w:szCs w:val="27"/>
          <w:lang w:eastAsia="lv-LV"/>
        </w:rPr>
        <w:tab/>
      </w:r>
      <w:r>
        <w:rPr>
          <w:rFonts w:eastAsia="Times New Roman"/>
          <w:sz w:val="27"/>
          <w:szCs w:val="27"/>
          <w:lang w:eastAsia="lv-LV"/>
        </w:rPr>
        <w:tab/>
      </w:r>
      <w:proofErr w:type="spellStart"/>
      <w:r>
        <w:rPr>
          <w:rFonts w:eastAsia="Times New Roman"/>
          <w:sz w:val="27"/>
          <w:szCs w:val="27"/>
          <w:lang w:eastAsia="lv-LV"/>
        </w:rPr>
        <w:t>D.Reizniece</w:t>
      </w:r>
      <w:proofErr w:type="spellEnd"/>
      <w:r>
        <w:rPr>
          <w:rFonts w:eastAsia="Times New Roman"/>
          <w:sz w:val="27"/>
          <w:szCs w:val="27"/>
          <w:lang w:eastAsia="lv-LV"/>
        </w:rPr>
        <w:t>-Ozola</w:t>
      </w:r>
    </w:p>
    <w:p w14:paraId="0C04589A" w14:textId="77777777" w:rsidR="009538BF" w:rsidRDefault="009538BF" w:rsidP="009538BF">
      <w:pPr>
        <w:jc w:val="both"/>
        <w:rPr>
          <w:rFonts w:eastAsia="Times New Roman"/>
          <w:sz w:val="27"/>
          <w:szCs w:val="27"/>
          <w:lang w:eastAsia="lv-LV"/>
        </w:rPr>
      </w:pPr>
    </w:p>
    <w:p w14:paraId="1DC7C0EC" w14:textId="77777777" w:rsidR="009538BF" w:rsidRDefault="009538BF" w:rsidP="009538BF">
      <w:pPr>
        <w:jc w:val="both"/>
        <w:rPr>
          <w:rFonts w:eastAsia="Times New Roman"/>
          <w:sz w:val="27"/>
          <w:szCs w:val="27"/>
          <w:lang w:eastAsia="lv-LV"/>
        </w:rPr>
      </w:pPr>
    </w:p>
    <w:p w14:paraId="1340E153" w14:textId="77777777" w:rsidR="009538BF" w:rsidRPr="0032087B" w:rsidRDefault="009538BF" w:rsidP="009538BF">
      <w:pPr>
        <w:jc w:val="both"/>
        <w:rPr>
          <w:rFonts w:eastAsia="Times New Roman"/>
          <w:sz w:val="27"/>
          <w:szCs w:val="27"/>
          <w:lang w:eastAsia="lv-LV"/>
        </w:rPr>
      </w:pPr>
      <w:r w:rsidRPr="0032087B">
        <w:rPr>
          <w:rFonts w:eastAsia="Times New Roman"/>
          <w:sz w:val="27"/>
          <w:szCs w:val="27"/>
          <w:lang w:eastAsia="lv-LV"/>
        </w:rPr>
        <w:t xml:space="preserve">Vīza: </w:t>
      </w:r>
    </w:p>
    <w:p w14:paraId="167CDD41" w14:textId="71A7FF82" w:rsidR="009538BF" w:rsidRPr="00372F61" w:rsidRDefault="009538BF" w:rsidP="00372F61">
      <w:pPr>
        <w:widowControl w:val="0"/>
        <w:rPr>
          <w:rFonts w:eastAsia="Times New Roman"/>
          <w:szCs w:val="28"/>
          <w:lang w:eastAsia="lv-LV"/>
        </w:rPr>
      </w:pPr>
      <w:r w:rsidRPr="003202F4">
        <w:rPr>
          <w:rFonts w:eastAsia="Times New Roman"/>
          <w:color w:val="000000"/>
          <w:szCs w:val="20"/>
        </w:rPr>
        <w:t>Valsts sekretār</w:t>
      </w:r>
      <w:r w:rsidR="00C67507">
        <w:rPr>
          <w:rFonts w:eastAsia="Times New Roman"/>
          <w:color w:val="000000"/>
          <w:szCs w:val="20"/>
        </w:rPr>
        <w:t>s</w:t>
      </w:r>
      <w:r w:rsidR="00C67507">
        <w:rPr>
          <w:rFonts w:eastAsia="Times New Roman"/>
          <w:color w:val="000000"/>
          <w:szCs w:val="20"/>
        </w:rPr>
        <w:tab/>
      </w:r>
      <w:r w:rsidRPr="003202F4">
        <w:rPr>
          <w:rFonts w:eastAsia="Times New Roman"/>
          <w:color w:val="000000"/>
          <w:szCs w:val="20"/>
        </w:rPr>
        <w:t xml:space="preserve"> </w:t>
      </w:r>
      <w:r w:rsidRPr="003202F4">
        <w:rPr>
          <w:rFonts w:eastAsia="Times New Roman"/>
          <w:color w:val="000000"/>
          <w:szCs w:val="20"/>
        </w:rPr>
        <w:tab/>
        <w:t xml:space="preserve"> </w:t>
      </w:r>
      <w:r w:rsidRPr="003202F4">
        <w:rPr>
          <w:rFonts w:eastAsia="Times New Roman"/>
          <w:color w:val="000000"/>
          <w:szCs w:val="20"/>
        </w:rPr>
        <w:tab/>
      </w:r>
      <w:r w:rsidRPr="003202F4">
        <w:rPr>
          <w:rFonts w:eastAsia="Times New Roman"/>
          <w:color w:val="000000"/>
          <w:szCs w:val="20"/>
        </w:rPr>
        <w:tab/>
      </w:r>
      <w:r w:rsidRPr="003202F4">
        <w:rPr>
          <w:rFonts w:eastAsia="Times New Roman"/>
          <w:color w:val="000000"/>
          <w:szCs w:val="20"/>
        </w:rPr>
        <w:tab/>
      </w:r>
      <w:r w:rsidRPr="003202F4">
        <w:rPr>
          <w:rFonts w:eastAsia="Times New Roman"/>
          <w:color w:val="000000"/>
          <w:szCs w:val="20"/>
        </w:rPr>
        <w:tab/>
      </w:r>
      <w:r w:rsidRPr="003202F4">
        <w:rPr>
          <w:rFonts w:eastAsia="Times New Roman"/>
          <w:color w:val="000000"/>
          <w:szCs w:val="20"/>
        </w:rPr>
        <w:tab/>
      </w:r>
      <w:proofErr w:type="spellStart"/>
      <w:r w:rsidR="00C67507">
        <w:rPr>
          <w:szCs w:val="28"/>
        </w:rPr>
        <w:t>R.Beinarovičs</w:t>
      </w:r>
      <w:proofErr w:type="spellEnd"/>
    </w:p>
    <w:p w14:paraId="4F40B61E" w14:textId="77777777" w:rsidR="009538BF" w:rsidRPr="00831401" w:rsidRDefault="009538BF" w:rsidP="009538BF">
      <w:pPr>
        <w:ind w:firstLine="720"/>
        <w:jc w:val="both"/>
        <w:rPr>
          <w:rFonts w:eastAsia="Times New Roman"/>
          <w:szCs w:val="28"/>
          <w:lang w:eastAsia="lv-LV"/>
        </w:rPr>
      </w:pPr>
    </w:p>
    <w:p w14:paraId="00977CE3" w14:textId="77777777" w:rsidR="009538BF" w:rsidRDefault="009538BF" w:rsidP="009538BF">
      <w:pPr>
        <w:tabs>
          <w:tab w:val="left" w:pos="7513"/>
        </w:tabs>
        <w:spacing w:before="120"/>
        <w:rPr>
          <w:rFonts w:eastAsia="Times New Roman"/>
          <w:sz w:val="20"/>
          <w:szCs w:val="20"/>
          <w:lang w:eastAsia="lv-LV"/>
        </w:rPr>
      </w:pPr>
    </w:p>
    <w:p w14:paraId="4E9EB7BA" w14:textId="77777777" w:rsidR="009538BF" w:rsidRDefault="009538BF" w:rsidP="009538BF">
      <w:pPr>
        <w:tabs>
          <w:tab w:val="left" w:pos="7513"/>
        </w:tabs>
        <w:spacing w:before="120"/>
        <w:rPr>
          <w:rFonts w:eastAsia="Times New Roman"/>
          <w:sz w:val="20"/>
          <w:szCs w:val="20"/>
          <w:lang w:eastAsia="lv-LV"/>
        </w:rPr>
      </w:pPr>
    </w:p>
    <w:p w14:paraId="39FB3B4E" w14:textId="0F7301B6" w:rsidR="009538BF" w:rsidRPr="003202F4" w:rsidRDefault="0000554F" w:rsidP="009538BF">
      <w:pPr>
        <w:tabs>
          <w:tab w:val="left" w:pos="7513"/>
        </w:tabs>
        <w:spacing w:before="120"/>
        <w:rPr>
          <w:rFonts w:eastAsia="Times New Roman"/>
          <w:b/>
          <w:sz w:val="16"/>
          <w:szCs w:val="16"/>
          <w:lang w:eastAsia="lv-LV"/>
        </w:rPr>
      </w:pPr>
      <w:r>
        <w:rPr>
          <w:rFonts w:eastAsia="Times New Roman"/>
          <w:sz w:val="16"/>
          <w:szCs w:val="16"/>
          <w:lang w:eastAsia="lv-LV"/>
        </w:rPr>
        <w:t>15</w:t>
      </w:r>
      <w:r w:rsidR="003129A4">
        <w:rPr>
          <w:rFonts w:eastAsia="Times New Roman"/>
          <w:sz w:val="16"/>
          <w:szCs w:val="16"/>
          <w:lang w:eastAsia="lv-LV"/>
        </w:rPr>
        <w:t>.0</w:t>
      </w:r>
      <w:r>
        <w:rPr>
          <w:rFonts w:eastAsia="Times New Roman"/>
          <w:sz w:val="16"/>
          <w:szCs w:val="16"/>
          <w:lang w:eastAsia="lv-LV"/>
        </w:rPr>
        <w:t>7</w:t>
      </w:r>
      <w:r w:rsidR="009538BF" w:rsidRPr="003202F4">
        <w:rPr>
          <w:rFonts w:eastAsia="Times New Roman"/>
          <w:sz w:val="16"/>
          <w:szCs w:val="16"/>
          <w:lang w:eastAsia="lv-LV"/>
        </w:rPr>
        <w:t>.2015. 1</w:t>
      </w:r>
      <w:r w:rsidR="009538BF">
        <w:rPr>
          <w:rFonts w:eastAsia="Times New Roman"/>
          <w:sz w:val="16"/>
          <w:szCs w:val="16"/>
          <w:lang w:eastAsia="lv-LV"/>
        </w:rPr>
        <w:t>5</w:t>
      </w:r>
      <w:r w:rsidR="009538BF" w:rsidRPr="003202F4">
        <w:rPr>
          <w:rFonts w:eastAsia="Times New Roman"/>
          <w:sz w:val="16"/>
          <w:szCs w:val="16"/>
          <w:lang w:eastAsia="lv-LV"/>
        </w:rPr>
        <w:t>:</w:t>
      </w:r>
      <w:r w:rsidR="009538BF">
        <w:rPr>
          <w:rFonts w:eastAsia="Times New Roman"/>
          <w:sz w:val="16"/>
          <w:szCs w:val="16"/>
          <w:lang w:eastAsia="lv-LV"/>
        </w:rPr>
        <w:t>52</w:t>
      </w:r>
    </w:p>
    <w:p w14:paraId="761EF161" w14:textId="77777777" w:rsidR="009538BF" w:rsidRPr="003202F4" w:rsidRDefault="009538BF" w:rsidP="009538BF">
      <w:pPr>
        <w:rPr>
          <w:rFonts w:eastAsia="Times New Roman"/>
          <w:sz w:val="16"/>
          <w:szCs w:val="16"/>
          <w:lang w:eastAsia="lv-LV"/>
        </w:rPr>
      </w:pPr>
      <w:r w:rsidRPr="003202F4">
        <w:rPr>
          <w:rFonts w:eastAsia="Times New Roman"/>
          <w:sz w:val="16"/>
          <w:szCs w:val="16"/>
          <w:lang w:eastAsia="lv-LV"/>
        </w:rPr>
        <w:fldChar w:fldCharType="begin"/>
      </w:r>
      <w:r w:rsidRPr="003202F4">
        <w:rPr>
          <w:rFonts w:eastAsia="Times New Roman"/>
          <w:sz w:val="16"/>
          <w:szCs w:val="16"/>
          <w:lang w:eastAsia="lv-LV"/>
        </w:rPr>
        <w:instrText xml:space="preserve"> NUMWORDS  \* Arabic  \* MERGEFORMAT </w:instrText>
      </w:r>
      <w:r w:rsidRPr="003202F4">
        <w:rPr>
          <w:rFonts w:eastAsia="Times New Roman"/>
          <w:sz w:val="16"/>
          <w:szCs w:val="16"/>
          <w:lang w:eastAsia="lv-LV"/>
        </w:rPr>
        <w:fldChar w:fldCharType="separate"/>
      </w:r>
      <w:r w:rsidR="0000554F">
        <w:rPr>
          <w:rFonts w:eastAsia="Times New Roman"/>
          <w:noProof/>
          <w:sz w:val="16"/>
          <w:szCs w:val="16"/>
          <w:lang w:eastAsia="lv-LV"/>
        </w:rPr>
        <w:t>41</w:t>
      </w:r>
      <w:r w:rsidRPr="003202F4">
        <w:rPr>
          <w:rFonts w:eastAsia="Times New Roman"/>
          <w:sz w:val="16"/>
          <w:szCs w:val="16"/>
          <w:lang w:eastAsia="lv-LV"/>
        </w:rPr>
        <w:fldChar w:fldCharType="end"/>
      </w:r>
    </w:p>
    <w:p w14:paraId="1C1F1279" w14:textId="77777777" w:rsidR="009538BF" w:rsidRPr="003202F4" w:rsidRDefault="009538BF" w:rsidP="009538BF">
      <w:pPr>
        <w:rPr>
          <w:rFonts w:eastAsia="Times New Roman"/>
          <w:sz w:val="16"/>
          <w:szCs w:val="16"/>
          <w:lang w:eastAsia="lv-LV"/>
        </w:rPr>
      </w:pPr>
      <w:bookmarkStart w:id="1" w:name="OLE_LINK5"/>
      <w:proofErr w:type="spellStart"/>
      <w:r w:rsidRPr="003202F4">
        <w:rPr>
          <w:rFonts w:eastAsia="Times New Roman"/>
          <w:sz w:val="16"/>
          <w:szCs w:val="16"/>
          <w:lang w:eastAsia="lv-LV"/>
        </w:rPr>
        <w:t>E.Šaicāns</w:t>
      </w:r>
      <w:proofErr w:type="spellEnd"/>
      <w:r w:rsidRPr="003202F4">
        <w:rPr>
          <w:rFonts w:eastAsia="Times New Roman"/>
          <w:sz w:val="16"/>
          <w:szCs w:val="16"/>
          <w:lang w:eastAsia="lv-LV"/>
        </w:rPr>
        <w:t>; 67013143</w:t>
      </w:r>
      <w:bookmarkEnd w:id="1"/>
      <w:r w:rsidRPr="003202F4">
        <w:rPr>
          <w:rFonts w:eastAsia="Times New Roman"/>
          <w:sz w:val="16"/>
          <w:szCs w:val="16"/>
          <w:lang w:eastAsia="lv-LV"/>
        </w:rPr>
        <w:t xml:space="preserve">, </w:t>
      </w:r>
      <w:hyperlink r:id="rId8" w:history="1">
        <w:r w:rsidRPr="003202F4">
          <w:rPr>
            <w:rStyle w:val="Hyperlink"/>
            <w:rFonts w:eastAsia="Times New Roman"/>
            <w:sz w:val="16"/>
            <w:szCs w:val="16"/>
            <w:lang w:eastAsia="lv-LV"/>
          </w:rPr>
          <w:t>Edijs.Saicans@em.gov.lv</w:t>
        </w:r>
      </w:hyperlink>
    </w:p>
    <w:p w14:paraId="6F1465B9" w14:textId="77777777" w:rsidR="009538BF" w:rsidRPr="003202F4" w:rsidRDefault="009538BF" w:rsidP="009538BF">
      <w:pPr>
        <w:rPr>
          <w:rFonts w:eastAsia="Times New Roman"/>
          <w:sz w:val="16"/>
          <w:szCs w:val="16"/>
          <w:lang w:eastAsia="lv-LV"/>
        </w:rPr>
      </w:pPr>
      <w:proofErr w:type="spellStart"/>
      <w:r w:rsidRPr="003202F4">
        <w:rPr>
          <w:rFonts w:eastAsia="Times New Roman"/>
          <w:sz w:val="16"/>
          <w:szCs w:val="16"/>
          <w:lang w:eastAsia="lv-LV"/>
        </w:rPr>
        <w:t>I.Eglītis</w:t>
      </w:r>
      <w:proofErr w:type="spellEnd"/>
      <w:r w:rsidRPr="003202F4">
        <w:rPr>
          <w:rFonts w:eastAsia="Times New Roman"/>
          <w:sz w:val="16"/>
          <w:szCs w:val="16"/>
          <w:lang w:eastAsia="lv-LV"/>
        </w:rPr>
        <w:t xml:space="preserve">; 67013236, </w:t>
      </w:r>
      <w:hyperlink r:id="rId9" w:history="1">
        <w:r w:rsidRPr="003202F4">
          <w:rPr>
            <w:rStyle w:val="Hyperlink"/>
            <w:rFonts w:eastAsia="Times New Roman"/>
            <w:sz w:val="16"/>
            <w:szCs w:val="16"/>
            <w:lang w:eastAsia="lv-LV"/>
          </w:rPr>
          <w:t>Intars.Eglitis@em.gov.lv</w:t>
        </w:r>
      </w:hyperlink>
    </w:p>
    <w:p w14:paraId="7C8F6C21" w14:textId="77777777" w:rsidR="009538BF" w:rsidRDefault="009538BF" w:rsidP="009538BF">
      <w:pPr>
        <w:jc w:val="both"/>
      </w:pPr>
    </w:p>
    <w:p w14:paraId="25342CFE" w14:textId="77777777" w:rsidR="009538BF" w:rsidRDefault="009538BF" w:rsidP="009538BF">
      <w:pPr>
        <w:jc w:val="center"/>
        <w:rPr>
          <w:b/>
        </w:rPr>
      </w:pPr>
    </w:p>
    <w:p w14:paraId="5DAEE19E" w14:textId="77777777" w:rsidR="009538BF" w:rsidRDefault="009538BF" w:rsidP="009538BF">
      <w:pPr>
        <w:jc w:val="center"/>
        <w:rPr>
          <w:b/>
        </w:rPr>
      </w:pPr>
    </w:p>
    <w:sectPr w:rsidR="009538BF" w:rsidSect="008B5C58"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F1DD2" w14:textId="77777777" w:rsidR="003F292C" w:rsidRDefault="003F292C" w:rsidP="009538BF">
      <w:r>
        <w:separator/>
      </w:r>
    </w:p>
  </w:endnote>
  <w:endnote w:type="continuationSeparator" w:id="0">
    <w:p w14:paraId="20C38579" w14:textId="77777777" w:rsidR="003F292C" w:rsidRDefault="003F292C" w:rsidP="0095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71AED" w14:textId="4B0EADE3" w:rsidR="009538BF" w:rsidRDefault="0000554F" w:rsidP="0000554F">
    <w:pPr>
      <w:pStyle w:val="Footer"/>
      <w:jc w:val="both"/>
    </w:pPr>
    <w:r w:rsidRPr="0000554F">
      <w:rPr>
        <w:sz w:val="20"/>
        <w:szCs w:val="20"/>
      </w:rPr>
      <w:t>EMInf_Zino_LNMC_p2</w:t>
    </w:r>
    <w:r w:rsidR="009538BF" w:rsidRPr="00831401">
      <w:rPr>
        <w:sz w:val="20"/>
        <w:szCs w:val="20"/>
      </w:rPr>
      <w:t xml:space="preserve">; </w:t>
    </w:r>
    <w:r w:rsidR="009538BF">
      <w:rPr>
        <w:sz w:val="20"/>
        <w:szCs w:val="20"/>
      </w:rPr>
      <w:t>2.pielikums i</w:t>
    </w:r>
    <w:r w:rsidR="009538BF" w:rsidRPr="001164BF">
      <w:rPr>
        <w:sz w:val="20"/>
        <w:szCs w:val="20"/>
      </w:rPr>
      <w:t>nformatīva</w:t>
    </w:r>
    <w:r w:rsidR="009538BF">
      <w:rPr>
        <w:sz w:val="20"/>
        <w:szCs w:val="20"/>
      </w:rPr>
      <w:t>jam ziņojumam</w:t>
    </w:r>
    <w:r w:rsidR="009538BF" w:rsidRPr="001164BF">
      <w:rPr>
        <w:sz w:val="20"/>
        <w:szCs w:val="20"/>
      </w:rPr>
      <w:t xml:space="preserve"> </w:t>
    </w:r>
    <w:r w:rsidR="009538BF">
      <w:rPr>
        <w:sz w:val="20"/>
        <w:szCs w:val="20"/>
      </w:rPr>
      <w:t>„P</w:t>
    </w:r>
    <w:r w:rsidR="009538BF" w:rsidRPr="001164BF">
      <w:rPr>
        <w:sz w:val="20"/>
        <w:szCs w:val="20"/>
      </w:rPr>
      <w:t>ar priekšlikumu sniegšanu par turpmāko rīcību</w:t>
    </w:r>
    <w:r w:rsidR="009538BF">
      <w:rPr>
        <w:sz w:val="20"/>
        <w:szCs w:val="20"/>
      </w:rPr>
      <w:t xml:space="preserve"> </w:t>
    </w:r>
    <w:r w:rsidR="009538BF" w:rsidRPr="001164BF">
      <w:rPr>
        <w:sz w:val="20"/>
        <w:szCs w:val="20"/>
      </w:rPr>
      <w:t>saistībā ar SIA „Latvijas nacionālais</w:t>
    </w:r>
    <w:r w:rsidR="009538BF">
      <w:rPr>
        <w:sz w:val="20"/>
        <w:szCs w:val="20"/>
      </w:rPr>
      <w:t xml:space="preserve"> </w:t>
    </w:r>
    <w:r w:rsidR="009538BF" w:rsidRPr="001164BF">
      <w:rPr>
        <w:sz w:val="20"/>
        <w:szCs w:val="20"/>
      </w:rPr>
      <w:t>metroloģijas centrs” atsavināšanu</w:t>
    </w:r>
    <w:r w:rsidR="009538BF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728A3" w14:textId="77777777" w:rsidR="003F292C" w:rsidRDefault="003F292C" w:rsidP="009538BF">
      <w:r>
        <w:separator/>
      </w:r>
    </w:p>
  </w:footnote>
  <w:footnote w:type="continuationSeparator" w:id="0">
    <w:p w14:paraId="5BC19F40" w14:textId="77777777" w:rsidR="003F292C" w:rsidRDefault="003F292C" w:rsidP="00953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BF"/>
    <w:rsid w:val="0000554F"/>
    <w:rsid w:val="00087893"/>
    <w:rsid w:val="003129A4"/>
    <w:rsid w:val="0037021F"/>
    <w:rsid w:val="00372F61"/>
    <w:rsid w:val="003F292C"/>
    <w:rsid w:val="006E364E"/>
    <w:rsid w:val="008B5C58"/>
    <w:rsid w:val="009538BF"/>
    <w:rsid w:val="00A72806"/>
    <w:rsid w:val="00C67507"/>
    <w:rsid w:val="00CF7438"/>
    <w:rsid w:val="00D66148"/>
    <w:rsid w:val="00DD6B7D"/>
    <w:rsid w:val="00F5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D262"/>
  <w15:docId w15:val="{96CEDC46-203D-449B-80E3-57682DDC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38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38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8BF"/>
  </w:style>
  <w:style w:type="paragraph" w:styleId="Footer">
    <w:name w:val="footer"/>
    <w:basedOn w:val="Normal"/>
    <w:link w:val="FooterChar"/>
    <w:uiPriority w:val="99"/>
    <w:unhideWhenUsed/>
    <w:rsid w:val="009538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8BF"/>
  </w:style>
  <w:style w:type="paragraph" w:styleId="BalloonText">
    <w:name w:val="Balloon Text"/>
    <w:basedOn w:val="Normal"/>
    <w:link w:val="BalloonTextChar"/>
    <w:uiPriority w:val="99"/>
    <w:semiHidden/>
    <w:unhideWhenUsed/>
    <w:rsid w:val="006E3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js.Saicans@em.gov.lv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tars.Eglitis@em.gov.lv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EM\My%20documents\Informat&#299;vie%20zi&#326;ojumu\LNMC\20140725_Pielikums%20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8573892572765899"/>
          <c:y val="7.2172733282991397E-2"/>
          <c:w val="0.769816591248219"/>
          <c:h val="0.66607655937158305"/>
        </c:manualLayout>
      </c:layout>
      <c:bar3DChart>
        <c:barDir val="col"/>
        <c:grouping val="clustered"/>
        <c:varyColors val="0"/>
        <c:ser>
          <c:idx val="1"/>
          <c:order val="1"/>
          <c:tx>
            <c:strRef>
              <c:f>Sheet1!$B$58</c:f>
              <c:strCache>
                <c:ptCount val="1"/>
                <c:pt idx="0">
                  <c:v>LNMC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Sheet1!$C$57:$G$57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Sheet1!$C$58:$G$58</c:f>
              <c:numCache>
                <c:formatCode>General</c:formatCode>
                <c:ptCount val="5"/>
                <c:pt idx="0">
                  <c:v>39</c:v>
                </c:pt>
                <c:pt idx="1">
                  <c:v>33</c:v>
                </c:pt>
                <c:pt idx="2">
                  <c:v>36</c:v>
                </c:pt>
                <c:pt idx="3">
                  <c:v>36</c:v>
                </c:pt>
                <c:pt idx="4">
                  <c:v>40</c:v>
                </c:pt>
              </c:numCache>
            </c:numRef>
          </c:val>
        </c:ser>
        <c:ser>
          <c:idx val="2"/>
          <c:order val="2"/>
          <c:tx>
            <c:strRef>
              <c:f>Sheet1!$B$59</c:f>
              <c:strCache>
                <c:ptCount val="1"/>
                <c:pt idx="0">
                  <c:v>Pārējie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numRef>
              <c:f>Sheet1!$C$57:$G$57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Sheet1!$C$59:$G$59</c:f>
              <c:numCache>
                <c:formatCode>General</c:formatCode>
                <c:ptCount val="5"/>
                <c:pt idx="0">
                  <c:v>61</c:v>
                </c:pt>
                <c:pt idx="1">
                  <c:v>67</c:v>
                </c:pt>
                <c:pt idx="2">
                  <c:v>64</c:v>
                </c:pt>
                <c:pt idx="3">
                  <c:v>64</c:v>
                </c:pt>
                <c:pt idx="4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6642864"/>
        <c:axId val="356643256"/>
        <c:axId val="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Sheet1!$C$57:$G$57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2010</c:v>
                      </c:pt>
                      <c:pt idx="1">
                        <c:v>2011</c:v>
                      </c:pt>
                      <c:pt idx="2">
                        <c:v>2012</c:v>
                      </c:pt>
                      <c:pt idx="3">
                        <c:v>2013</c:v>
                      </c:pt>
                      <c:pt idx="4">
                        <c:v>2014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Sheet1!$C$57:$G$57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2010</c:v>
                      </c:pt>
                      <c:pt idx="1">
                        <c:v>2011</c:v>
                      </c:pt>
                      <c:pt idx="2">
                        <c:v>2012</c:v>
                      </c:pt>
                      <c:pt idx="3">
                        <c:v>2013</c:v>
                      </c:pt>
                      <c:pt idx="4">
                        <c:v>2014</c:v>
                      </c:pt>
                    </c:numCache>
                  </c:numRef>
                </c:val>
              </c15:ser>
            </c15:filteredBarSeries>
          </c:ext>
        </c:extLst>
      </c:bar3DChart>
      <c:catAx>
        <c:axId val="356642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356643256"/>
        <c:crosses val="autoZero"/>
        <c:auto val="1"/>
        <c:lblAlgn val="ctr"/>
        <c:lblOffset val="100"/>
        <c:noMultiLvlLbl val="0"/>
      </c:catAx>
      <c:valAx>
        <c:axId val="35664325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v-LV" sz="1400"/>
                  <a:t>Procenti</a:t>
                </a:r>
              </a:p>
            </c:rich>
          </c:tx>
          <c:layout>
            <c:manualLayout>
              <c:xMode val="edge"/>
              <c:yMode val="edge"/>
              <c:x val="8.7914154044601706E-2"/>
              <c:y val="0.3536407531231299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lv-L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3566428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D1EB4E-54F5-41DF-8EF0-5BCD1D43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Edijs Šaicāns</dc:creator>
  <cp:keywords/>
  <dc:description/>
  <cp:lastModifiedBy>Normunds Freibergs</cp:lastModifiedBy>
  <cp:revision>3</cp:revision>
  <cp:lastPrinted>2015-07-21T12:38:00Z</cp:lastPrinted>
  <dcterms:created xsi:type="dcterms:W3CDTF">2015-07-17T06:33:00Z</dcterms:created>
  <dcterms:modified xsi:type="dcterms:W3CDTF">2015-07-21T12:38:00Z</dcterms:modified>
  <cp:contentStatus/>
</cp:coreProperties>
</file>