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57" w:rsidRPr="00A27211" w:rsidRDefault="00830E57" w:rsidP="00830E57">
      <w:pPr>
        <w:spacing w:before="3960" w:after="0" w:line="240" w:lineRule="auto"/>
        <w:jc w:val="center"/>
        <w:rPr>
          <w:rFonts w:cs="Times New Roman"/>
          <w:b/>
          <w:sz w:val="28"/>
          <w:szCs w:val="28"/>
        </w:rPr>
      </w:pPr>
      <w:r w:rsidRPr="00A27211">
        <w:rPr>
          <w:rFonts w:cs="Times New Roman"/>
          <w:b/>
          <w:sz w:val="28"/>
          <w:szCs w:val="28"/>
        </w:rPr>
        <w:t xml:space="preserve">Kompleksi pasākumi elektroenerģijas tirgus attīstībai </w:t>
      </w:r>
    </w:p>
    <w:p w:rsidR="00830E57" w:rsidRPr="00A27211" w:rsidRDefault="00830E57" w:rsidP="00830E57">
      <w:pPr>
        <w:spacing w:after="0" w:line="240" w:lineRule="auto"/>
        <w:jc w:val="center"/>
        <w:rPr>
          <w:rFonts w:cs="Times New Roman"/>
          <w:b/>
          <w:sz w:val="28"/>
          <w:szCs w:val="28"/>
        </w:rPr>
      </w:pPr>
      <w:r w:rsidRPr="00A27211">
        <w:rPr>
          <w:rFonts w:cs="Times New Roman"/>
          <w:b/>
          <w:sz w:val="28"/>
          <w:szCs w:val="28"/>
        </w:rPr>
        <w:t>KONCEPTUĀL</w:t>
      </w:r>
      <w:r w:rsidR="00656EDF">
        <w:rPr>
          <w:rFonts w:cs="Times New Roman"/>
          <w:b/>
          <w:sz w:val="28"/>
          <w:szCs w:val="28"/>
        </w:rPr>
        <w:t>AI</w:t>
      </w:r>
      <w:r w:rsidRPr="00A27211">
        <w:rPr>
          <w:rFonts w:cs="Times New Roman"/>
          <w:b/>
          <w:sz w:val="28"/>
          <w:szCs w:val="28"/>
        </w:rPr>
        <w:t>S ZIŅOJUMS</w:t>
      </w:r>
    </w:p>
    <w:p w:rsidR="00830E57" w:rsidRDefault="00830E57">
      <w:r>
        <w:br w:type="page"/>
      </w:r>
    </w:p>
    <w:p w:rsidR="008D3443" w:rsidRPr="004566A5" w:rsidRDefault="00830E57" w:rsidP="004A0C32">
      <w:pPr>
        <w:pStyle w:val="Heading1"/>
        <w:rPr>
          <w:rFonts w:cs="Times New Roman"/>
          <w:sz w:val="28"/>
          <w:szCs w:val="28"/>
        </w:rPr>
      </w:pPr>
      <w:bookmarkStart w:id="0" w:name="_Toc426714072"/>
      <w:bookmarkStart w:id="1" w:name="_Toc427913360"/>
      <w:bookmarkStart w:id="2" w:name="_Toc427913500"/>
      <w:bookmarkStart w:id="3" w:name="_Toc427913564"/>
      <w:bookmarkStart w:id="4" w:name="_Toc428188922"/>
      <w:r w:rsidRPr="004566A5">
        <w:rPr>
          <w:rFonts w:cs="Times New Roman"/>
          <w:sz w:val="28"/>
          <w:szCs w:val="28"/>
        </w:rPr>
        <w:lastRenderedPageBreak/>
        <w:t>Saturs</w:t>
      </w:r>
      <w:bookmarkEnd w:id="0"/>
      <w:bookmarkEnd w:id="1"/>
      <w:bookmarkEnd w:id="2"/>
      <w:bookmarkEnd w:id="3"/>
      <w:bookmarkEnd w:id="4"/>
    </w:p>
    <w:sdt>
      <w:sdtPr>
        <w:rPr>
          <w:rFonts w:eastAsiaTheme="minorEastAsia" w:cstheme="minorBidi"/>
          <w:color w:val="auto"/>
          <w:sz w:val="28"/>
          <w:szCs w:val="28"/>
          <w:lang w:val="lv-LV"/>
        </w:rPr>
        <w:id w:val="2134204838"/>
        <w:docPartObj>
          <w:docPartGallery w:val="Table of Contents"/>
          <w:docPartUnique/>
        </w:docPartObj>
      </w:sdtPr>
      <w:sdtEndPr>
        <w:rPr>
          <w:b/>
          <w:bCs/>
          <w:noProof/>
          <w:sz w:val="24"/>
          <w:szCs w:val="22"/>
        </w:rPr>
      </w:sdtEndPr>
      <w:sdtContent>
        <w:p w:rsidR="004566A5" w:rsidRPr="00BD627C" w:rsidRDefault="004566A5" w:rsidP="004566A5">
          <w:pPr>
            <w:pStyle w:val="TOCHeading"/>
            <w:spacing w:before="0" w:after="0" w:line="240" w:lineRule="auto"/>
            <w:rPr>
              <w:sz w:val="2"/>
              <w:szCs w:val="28"/>
            </w:rPr>
          </w:pPr>
        </w:p>
        <w:p w:rsidR="00860749" w:rsidRDefault="004566A5">
          <w:pPr>
            <w:pStyle w:val="TOC1"/>
            <w:rPr>
              <w:rFonts w:asciiTheme="minorHAnsi" w:hAnsiTheme="minorHAnsi"/>
              <w:noProof/>
              <w:sz w:val="22"/>
              <w:lang w:eastAsia="lv-LV"/>
            </w:rPr>
          </w:pPr>
          <w:r w:rsidRPr="004566A5">
            <w:rPr>
              <w:sz w:val="28"/>
              <w:szCs w:val="28"/>
            </w:rPr>
            <w:fldChar w:fldCharType="begin"/>
          </w:r>
          <w:r w:rsidRPr="004566A5">
            <w:rPr>
              <w:sz w:val="28"/>
              <w:szCs w:val="28"/>
            </w:rPr>
            <w:instrText xml:space="preserve"> TOC \o "1-3" \h \z \u </w:instrText>
          </w:r>
          <w:r w:rsidRPr="004566A5">
            <w:rPr>
              <w:sz w:val="28"/>
              <w:szCs w:val="28"/>
            </w:rPr>
            <w:fldChar w:fldCharType="separate"/>
          </w:r>
          <w:hyperlink w:anchor="_Toc428188922" w:history="1">
            <w:r w:rsidR="00860749" w:rsidRPr="00B66351">
              <w:rPr>
                <w:rStyle w:val="Hyperlink"/>
                <w:rFonts w:cs="Times New Roman"/>
                <w:noProof/>
              </w:rPr>
              <w:t>Saturs</w:t>
            </w:r>
            <w:r w:rsidR="00860749">
              <w:rPr>
                <w:noProof/>
                <w:webHidden/>
              </w:rPr>
              <w:tab/>
            </w:r>
            <w:r w:rsidR="00860749">
              <w:rPr>
                <w:noProof/>
                <w:webHidden/>
              </w:rPr>
              <w:fldChar w:fldCharType="begin"/>
            </w:r>
            <w:r w:rsidR="00860749">
              <w:rPr>
                <w:noProof/>
                <w:webHidden/>
              </w:rPr>
              <w:instrText xml:space="preserve"> PAGEREF _Toc428188922 \h </w:instrText>
            </w:r>
            <w:r w:rsidR="00860749">
              <w:rPr>
                <w:noProof/>
                <w:webHidden/>
              </w:rPr>
            </w:r>
            <w:r w:rsidR="00860749">
              <w:rPr>
                <w:noProof/>
                <w:webHidden/>
              </w:rPr>
              <w:fldChar w:fldCharType="separate"/>
            </w:r>
            <w:r w:rsidR="00F12DA0">
              <w:rPr>
                <w:noProof/>
                <w:webHidden/>
              </w:rPr>
              <w:t>2</w:t>
            </w:r>
            <w:r w:rsidR="00860749">
              <w:rPr>
                <w:noProof/>
                <w:webHidden/>
              </w:rPr>
              <w:fldChar w:fldCharType="end"/>
            </w:r>
          </w:hyperlink>
        </w:p>
        <w:p w:rsidR="00860749" w:rsidRDefault="00243C25">
          <w:pPr>
            <w:pStyle w:val="TOC1"/>
            <w:rPr>
              <w:rFonts w:asciiTheme="minorHAnsi" w:hAnsiTheme="minorHAnsi"/>
              <w:noProof/>
              <w:sz w:val="22"/>
              <w:lang w:eastAsia="lv-LV"/>
            </w:rPr>
          </w:pPr>
          <w:hyperlink w:anchor="_Toc428188923" w:history="1">
            <w:r w:rsidR="00860749" w:rsidRPr="00B66351">
              <w:rPr>
                <w:rStyle w:val="Hyperlink"/>
                <w:noProof/>
              </w:rPr>
              <w:t>1.</w:t>
            </w:r>
            <w:r w:rsidR="00860749">
              <w:rPr>
                <w:rFonts w:asciiTheme="minorHAnsi" w:hAnsiTheme="minorHAnsi"/>
                <w:noProof/>
                <w:sz w:val="22"/>
                <w:lang w:eastAsia="lv-LV"/>
              </w:rPr>
              <w:tab/>
            </w:r>
            <w:r w:rsidR="00860749" w:rsidRPr="00B66351">
              <w:rPr>
                <w:rStyle w:val="Hyperlink"/>
                <w:noProof/>
              </w:rPr>
              <w:t>Konceptuālā ziņojuma kopsavilkums</w:t>
            </w:r>
            <w:r w:rsidR="00860749">
              <w:rPr>
                <w:noProof/>
                <w:webHidden/>
              </w:rPr>
              <w:tab/>
            </w:r>
            <w:r w:rsidR="00860749">
              <w:rPr>
                <w:noProof/>
                <w:webHidden/>
              </w:rPr>
              <w:fldChar w:fldCharType="begin"/>
            </w:r>
            <w:r w:rsidR="00860749">
              <w:rPr>
                <w:noProof/>
                <w:webHidden/>
              </w:rPr>
              <w:instrText xml:space="preserve"> PAGEREF _Toc428188923 \h </w:instrText>
            </w:r>
            <w:r w:rsidR="00860749">
              <w:rPr>
                <w:noProof/>
                <w:webHidden/>
              </w:rPr>
            </w:r>
            <w:r w:rsidR="00860749">
              <w:rPr>
                <w:noProof/>
                <w:webHidden/>
              </w:rPr>
              <w:fldChar w:fldCharType="separate"/>
            </w:r>
            <w:r w:rsidR="00F12DA0">
              <w:rPr>
                <w:noProof/>
                <w:webHidden/>
              </w:rPr>
              <w:t>3</w:t>
            </w:r>
            <w:r w:rsidR="00860749">
              <w:rPr>
                <w:noProof/>
                <w:webHidden/>
              </w:rPr>
              <w:fldChar w:fldCharType="end"/>
            </w:r>
          </w:hyperlink>
        </w:p>
        <w:p w:rsidR="00860749" w:rsidRDefault="00243C25">
          <w:pPr>
            <w:pStyle w:val="TOC1"/>
            <w:rPr>
              <w:rFonts w:asciiTheme="minorHAnsi" w:hAnsiTheme="minorHAnsi"/>
              <w:noProof/>
              <w:sz w:val="22"/>
              <w:lang w:eastAsia="lv-LV"/>
            </w:rPr>
          </w:pPr>
          <w:hyperlink w:anchor="_Toc428188924" w:history="1">
            <w:r w:rsidR="00860749" w:rsidRPr="00B66351">
              <w:rPr>
                <w:rStyle w:val="Hyperlink"/>
                <w:noProof/>
              </w:rPr>
              <w:t>2.</w:t>
            </w:r>
            <w:r w:rsidR="00860749">
              <w:rPr>
                <w:rFonts w:asciiTheme="minorHAnsi" w:hAnsiTheme="minorHAnsi"/>
                <w:noProof/>
                <w:sz w:val="22"/>
                <w:lang w:eastAsia="lv-LV"/>
              </w:rPr>
              <w:tab/>
            </w:r>
            <w:r w:rsidR="00860749" w:rsidRPr="00B66351">
              <w:rPr>
                <w:rStyle w:val="Hyperlink"/>
                <w:noProof/>
              </w:rPr>
              <w:t>Situācijas apraksts</w:t>
            </w:r>
            <w:r w:rsidR="00860749">
              <w:rPr>
                <w:noProof/>
                <w:webHidden/>
              </w:rPr>
              <w:tab/>
            </w:r>
            <w:r w:rsidR="00860749">
              <w:rPr>
                <w:noProof/>
                <w:webHidden/>
              </w:rPr>
              <w:fldChar w:fldCharType="begin"/>
            </w:r>
            <w:r w:rsidR="00860749">
              <w:rPr>
                <w:noProof/>
                <w:webHidden/>
              </w:rPr>
              <w:instrText xml:space="preserve"> PAGEREF _Toc428188924 \h </w:instrText>
            </w:r>
            <w:r w:rsidR="00860749">
              <w:rPr>
                <w:noProof/>
                <w:webHidden/>
              </w:rPr>
            </w:r>
            <w:r w:rsidR="00860749">
              <w:rPr>
                <w:noProof/>
                <w:webHidden/>
              </w:rPr>
              <w:fldChar w:fldCharType="separate"/>
            </w:r>
            <w:r w:rsidR="00F12DA0">
              <w:rPr>
                <w:noProof/>
                <w:webHidden/>
              </w:rPr>
              <w:t>7</w:t>
            </w:r>
            <w:r w:rsidR="00860749">
              <w:rPr>
                <w:noProof/>
                <w:webHidden/>
              </w:rPr>
              <w:fldChar w:fldCharType="end"/>
            </w:r>
          </w:hyperlink>
        </w:p>
        <w:p w:rsidR="00860749" w:rsidRDefault="00243C25">
          <w:pPr>
            <w:pStyle w:val="TOC2"/>
            <w:rPr>
              <w:rFonts w:asciiTheme="minorHAnsi" w:hAnsiTheme="minorHAnsi"/>
              <w:noProof/>
              <w:sz w:val="22"/>
              <w:lang w:eastAsia="lv-LV"/>
            </w:rPr>
          </w:pPr>
          <w:hyperlink w:anchor="_Toc428188925" w:history="1">
            <w:r w:rsidR="00860749" w:rsidRPr="00B66351">
              <w:rPr>
                <w:rStyle w:val="Hyperlink"/>
                <w:noProof/>
              </w:rPr>
              <w:t>2.1. Valsts atbalsts elektroenerģijas ražošanai</w:t>
            </w:r>
            <w:r w:rsidR="00860749">
              <w:rPr>
                <w:noProof/>
                <w:webHidden/>
              </w:rPr>
              <w:tab/>
            </w:r>
            <w:r w:rsidR="00860749">
              <w:rPr>
                <w:noProof/>
                <w:webHidden/>
              </w:rPr>
              <w:fldChar w:fldCharType="begin"/>
            </w:r>
            <w:r w:rsidR="00860749">
              <w:rPr>
                <w:noProof/>
                <w:webHidden/>
              </w:rPr>
              <w:instrText xml:space="preserve"> PAGEREF _Toc428188925 \h </w:instrText>
            </w:r>
            <w:r w:rsidR="00860749">
              <w:rPr>
                <w:noProof/>
                <w:webHidden/>
              </w:rPr>
            </w:r>
            <w:r w:rsidR="00860749">
              <w:rPr>
                <w:noProof/>
                <w:webHidden/>
              </w:rPr>
              <w:fldChar w:fldCharType="separate"/>
            </w:r>
            <w:r w:rsidR="00F12DA0">
              <w:rPr>
                <w:noProof/>
                <w:webHidden/>
              </w:rPr>
              <w:t>7</w:t>
            </w:r>
            <w:r w:rsidR="00860749">
              <w:rPr>
                <w:noProof/>
                <w:webHidden/>
              </w:rPr>
              <w:fldChar w:fldCharType="end"/>
            </w:r>
          </w:hyperlink>
        </w:p>
        <w:p w:rsidR="00860749" w:rsidRDefault="00243C25">
          <w:pPr>
            <w:pStyle w:val="TOC2"/>
            <w:rPr>
              <w:rFonts w:asciiTheme="minorHAnsi" w:hAnsiTheme="minorHAnsi"/>
              <w:noProof/>
              <w:sz w:val="22"/>
              <w:lang w:eastAsia="lv-LV"/>
            </w:rPr>
          </w:pPr>
          <w:hyperlink w:anchor="_Toc428188926" w:history="1">
            <w:r w:rsidR="00860749" w:rsidRPr="00B66351">
              <w:rPr>
                <w:rStyle w:val="Hyperlink"/>
                <w:noProof/>
              </w:rPr>
              <w:t>2.2. Obligātā iepirkuma komponente</w:t>
            </w:r>
            <w:r w:rsidR="00860749">
              <w:rPr>
                <w:noProof/>
                <w:webHidden/>
              </w:rPr>
              <w:tab/>
            </w:r>
            <w:r w:rsidR="00860749">
              <w:rPr>
                <w:noProof/>
                <w:webHidden/>
              </w:rPr>
              <w:fldChar w:fldCharType="begin"/>
            </w:r>
            <w:r w:rsidR="00860749">
              <w:rPr>
                <w:noProof/>
                <w:webHidden/>
              </w:rPr>
              <w:instrText xml:space="preserve"> PAGEREF _Toc428188926 \h </w:instrText>
            </w:r>
            <w:r w:rsidR="00860749">
              <w:rPr>
                <w:noProof/>
                <w:webHidden/>
              </w:rPr>
            </w:r>
            <w:r w:rsidR="00860749">
              <w:rPr>
                <w:noProof/>
                <w:webHidden/>
              </w:rPr>
              <w:fldChar w:fldCharType="separate"/>
            </w:r>
            <w:r w:rsidR="00F12DA0">
              <w:rPr>
                <w:noProof/>
                <w:webHidden/>
              </w:rPr>
              <w:t>7</w:t>
            </w:r>
            <w:r w:rsidR="00860749">
              <w:rPr>
                <w:noProof/>
                <w:webHidden/>
              </w:rPr>
              <w:fldChar w:fldCharType="end"/>
            </w:r>
          </w:hyperlink>
        </w:p>
        <w:p w:rsidR="00860749" w:rsidRDefault="00243C25">
          <w:pPr>
            <w:pStyle w:val="TOC3"/>
            <w:tabs>
              <w:tab w:val="right" w:leader="dot" w:pos="9061"/>
            </w:tabs>
            <w:rPr>
              <w:rFonts w:asciiTheme="minorHAnsi" w:hAnsiTheme="minorHAnsi"/>
              <w:noProof/>
              <w:sz w:val="22"/>
              <w:lang w:eastAsia="lv-LV"/>
            </w:rPr>
          </w:pPr>
          <w:hyperlink w:anchor="_Toc428188927" w:history="1">
            <w:r w:rsidR="00860749" w:rsidRPr="00B66351">
              <w:rPr>
                <w:rStyle w:val="Hyperlink"/>
                <w:noProof/>
              </w:rPr>
              <w:t>2.2.1. Atbalsts elektroenerģijas lietotājiem obligātā iepirkuma komponentes mazināšanai</w:t>
            </w:r>
            <w:r w:rsidR="00860749">
              <w:rPr>
                <w:noProof/>
                <w:webHidden/>
              </w:rPr>
              <w:tab/>
            </w:r>
            <w:r w:rsidR="00860749">
              <w:rPr>
                <w:noProof/>
                <w:webHidden/>
              </w:rPr>
              <w:fldChar w:fldCharType="begin"/>
            </w:r>
            <w:r w:rsidR="00860749">
              <w:rPr>
                <w:noProof/>
                <w:webHidden/>
              </w:rPr>
              <w:instrText xml:space="preserve"> PAGEREF _Toc428188927 \h </w:instrText>
            </w:r>
            <w:r w:rsidR="00860749">
              <w:rPr>
                <w:noProof/>
                <w:webHidden/>
              </w:rPr>
            </w:r>
            <w:r w:rsidR="00860749">
              <w:rPr>
                <w:noProof/>
                <w:webHidden/>
              </w:rPr>
              <w:fldChar w:fldCharType="separate"/>
            </w:r>
            <w:r w:rsidR="00F12DA0">
              <w:rPr>
                <w:noProof/>
                <w:webHidden/>
              </w:rPr>
              <w:t>10</w:t>
            </w:r>
            <w:r w:rsidR="00860749">
              <w:rPr>
                <w:noProof/>
                <w:webHidden/>
              </w:rPr>
              <w:fldChar w:fldCharType="end"/>
            </w:r>
          </w:hyperlink>
        </w:p>
        <w:p w:rsidR="00860749" w:rsidRDefault="00243C25">
          <w:pPr>
            <w:pStyle w:val="TOC3"/>
            <w:tabs>
              <w:tab w:val="right" w:leader="dot" w:pos="9061"/>
            </w:tabs>
            <w:rPr>
              <w:rFonts w:asciiTheme="minorHAnsi" w:hAnsiTheme="minorHAnsi"/>
              <w:noProof/>
              <w:sz w:val="22"/>
              <w:lang w:eastAsia="lv-LV"/>
            </w:rPr>
          </w:pPr>
          <w:hyperlink w:anchor="_Toc428188928" w:history="1">
            <w:r w:rsidR="00860749" w:rsidRPr="00B66351">
              <w:rPr>
                <w:rStyle w:val="Hyperlink"/>
                <w:noProof/>
              </w:rPr>
              <w:t>2.2.2. Atbalsts energointensīviem uzņēmumiem obligātā iepirkuma komponentes mazināšanai</w:t>
            </w:r>
            <w:r w:rsidR="00860749">
              <w:rPr>
                <w:noProof/>
                <w:webHidden/>
              </w:rPr>
              <w:tab/>
            </w:r>
            <w:r w:rsidR="00860749">
              <w:rPr>
                <w:noProof/>
                <w:webHidden/>
              </w:rPr>
              <w:fldChar w:fldCharType="begin"/>
            </w:r>
            <w:r w:rsidR="00860749">
              <w:rPr>
                <w:noProof/>
                <w:webHidden/>
              </w:rPr>
              <w:instrText xml:space="preserve"> PAGEREF _Toc428188928 \h </w:instrText>
            </w:r>
            <w:r w:rsidR="00860749">
              <w:rPr>
                <w:noProof/>
                <w:webHidden/>
              </w:rPr>
            </w:r>
            <w:r w:rsidR="00860749">
              <w:rPr>
                <w:noProof/>
                <w:webHidden/>
              </w:rPr>
              <w:fldChar w:fldCharType="separate"/>
            </w:r>
            <w:r w:rsidR="00F12DA0">
              <w:rPr>
                <w:noProof/>
                <w:webHidden/>
              </w:rPr>
              <w:t>11</w:t>
            </w:r>
            <w:r w:rsidR="00860749">
              <w:rPr>
                <w:noProof/>
                <w:webHidden/>
              </w:rPr>
              <w:fldChar w:fldCharType="end"/>
            </w:r>
          </w:hyperlink>
        </w:p>
        <w:p w:rsidR="00860749" w:rsidRDefault="00243C25">
          <w:pPr>
            <w:pStyle w:val="TOC2"/>
            <w:rPr>
              <w:rFonts w:asciiTheme="minorHAnsi" w:hAnsiTheme="minorHAnsi"/>
              <w:noProof/>
              <w:sz w:val="22"/>
              <w:lang w:eastAsia="lv-LV"/>
            </w:rPr>
          </w:pPr>
          <w:hyperlink w:anchor="_Toc428188929" w:history="1">
            <w:r w:rsidR="00860749" w:rsidRPr="00B66351">
              <w:rPr>
                <w:rStyle w:val="Hyperlink"/>
                <w:noProof/>
              </w:rPr>
              <w:t>2.3. Subsidētās elektroenerģijas nodoklis</w:t>
            </w:r>
            <w:r w:rsidR="00860749">
              <w:rPr>
                <w:noProof/>
                <w:webHidden/>
              </w:rPr>
              <w:tab/>
            </w:r>
            <w:r w:rsidR="00860749">
              <w:rPr>
                <w:noProof/>
                <w:webHidden/>
              </w:rPr>
              <w:fldChar w:fldCharType="begin"/>
            </w:r>
            <w:r w:rsidR="00860749">
              <w:rPr>
                <w:noProof/>
                <w:webHidden/>
              </w:rPr>
              <w:instrText xml:space="preserve"> PAGEREF _Toc428188929 \h </w:instrText>
            </w:r>
            <w:r w:rsidR="00860749">
              <w:rPr>
                <w:noProof/>
                <w:webHidden/>
              </w:rPr>
            </w:r>
            <w:r w:rsidR="00860749">
              <w:rPr>
                <w:noProof/>
                <w:webHidden/>
              </w:rPr>
              <w:fldChar w:fldCharType="separate"/>
            </w:r>
            <w:r w:rsidR="00F12DA0">
              <w:rPr>
                <w:noProof/>
                <w:webHidden/>
              </w:rPr>
              <w:t>12</w:t>
            </w:r>
            <w:r w:rsidR="00860749">
              <w:rPr>
                <w:noProof/>
                <w:webHidden/>
              </w:rPr>
              <w:fldChar w:fldCharType="end"/>
            </w:r>
          </w:hyperlink>
        </w:p>
        <w:p w:rsidR="00860749" w:rsidRDefault="00243C25">
          <w:pPr>
            <w:pStyle w:val="TOC2"/>
            <w:rPr>
              <w:rFonts w:asciiTheme="minorHAnsi" w:hAnsiTheme="minorHAnsi"/>
              <w:noProof/>
              <w:sz w:val="22"/>
              <w:lang w:eastAsia="lv-LV"/>
            </w:rPr>
          </w:pPr>
          <w:hyperlink w:anchor="_Toc428188930" w:history="1">
            <w:r w:rsidR="00860749" w:rsidRPr="00B66351">
              <w:rPr>
                <w:rStyle w:val="Hyperlink"/>
                <w:noProof/>
              </w:rPr>
              <w:t xml:space="preserve">2.4.  Sadales </w:t>
            </w:r>
            <w:r w:rsidR="00860749" w:rsidRPr="00B66351">
              <w:rPr>
                <w:rStyle w:val="Hyperlink"/>
                <w:rFonts w:cs="Times New Roman"/>
                <w:noProof/>
              </w:rPr>
              <w:t>sistēmas pakalpojumu tarifi</w:t>
            </w:r>
            <w:r w:rsidR="00860749">
              <w:rPr>
                <w:noProof/>
                <w:webHidden/>
              </w:rPr>
              <w:tab/>
            </w:r>
            <w:r w:rsidR="00860749">
              <w:rPr>
                <w:noProof/>
                <w:webHidden/>
              </w:rPr>
              <w:fldChar w:fldCharType="begin"/>
            </w:r>
            <w:r w:rsidR="00860749">
              <w:rPr>
                <w:noProof/>
                <w:webHidden/>
              </w:rPr>
              <w:instrText xml:space="preserve"> PAGEREF _Toc428188930 \h </w:instrText>
            </w:r>
            <w:r w:rsidR="00860749">
              <w:rPr>
                <w:noProof/>
                <w:webHidden/>
              </w:rPr>
            </w:r>
            <w:r w:rsidR="00860749">
              <w:rPr>
                <w:noProof/>
                <w:webHidden/>
              </w:rPr>
              <w:fldChar w:fldCharType="separate"/>
            </w:r>
            <w:r w:rsidR="00F12DA0">
              <w:rPr>
                <w:noProof/>
                <w:webHidden/>
              </w:rPr>
              <w:t>14</w:t>
            </w:r>
            <w:r w:rsidR="00860749">
              <w:rPr>
                <w:noProof/>
                <w:webHidden/>
              </w:rPr>
              <w:fldChar w:fldCharType="end"/>
            </w:r>
          </w:hyperlink>
        </w:p>
        <w:p w:rsidR="00860749" w:rsidRDefault="00243C25">
          <w:pPr>
            <w:pStyle w:val="TOC2"/>
            <w:rPr>
              <w:rFonts w:asciiTheme="minorHAnsi" w:hAnsiTheme="minorHAnsi"/>
              <w:noProof/>
              <w:sz w:val="22"/>
              <w:lang w:eastAsia="lv-LV"/>
            </w:rPr>
          </w:pPr>
          <w:hyperlink w:anchor="_Toc428188931" w:history="1">
            <w:r w:rsidR="00860749" w:rsidRPr="00B66351">
              <w:rPr>
                <w:rStyle w:val="Hyperlink"/>
                <w:noProof/>
              </w:rPr>
              <w:t>2.5. Elektroenerģijas tirgus aizsargātie lietotāji</w:t>
            </w:r>
            <w:r w:rsidR="00860749">
              <w:rPr>
                <w:noProof/>
                <w:webHidden/>
              </w:rPr>
              <w:tab/>
            </w:r>
            <w:r w:rsidR="00860749">
              <w:rPr>
                <w:noProof/>
                <w:webHidden/>
              </w:rPr>
              <w:fldChar w:fldCharType="begin"/>
            </w:r>
            <w:r w:rsidR="00860749">
              <w:rPr>
                <w:noProof/>
                <w:webHidden/>
              </w:rPr>
              <w:instrText xml:space="preserve"> PAGEREF _Toc428188931 \h </w:instrText>
            </w:r>
            <w:r w:rsidR="00860749">
              <w:rPr>
                <w:noProof/>
                <w:webHidden/>
              </w:rPr>
            </w:r>
            <w:r w:rsidR="00860749">
              <w:rPr>
                <w:noProof/>
                <w:webHidden/>
              </w:rPr>
              <w:fldChar w:fldCharType="separate"/>
            </w:r>
            <w:r w:rsidR="00F12DA0">
              <w:rPr>
                <w:noProof/>
                <w:webHidden/>
              </w:rPr>
              <w:t>16</w:t>
            </w:r>
            <w:r w:rsidR="00860749">
              <w:rPr>
                <w:noProof/>
                <w:webHidden/>
              </w:rPr>
              <w:fldChar w:fldCharType="end"/>
            </w:r>
          </w:hyperlink>
        </w:p>
        <w:p w:rsidR="00860749" w:rsidRDefault="00243C25">
          <w:pPr>
            <w:pStyle w:val="TOC2"/>
            <w:rPr>
              <w:rFonts w:asciiTheme="minorHAnsi" w:hAnsiTheme="minorHAnsi"/>
              <w:noProof/>
              <w:sz w:val="22"/>
              <w:lang w:eastAsia="lv-LV"/>
            </w:rPr>
          </w:pPr>
          <w:hyperlink w:anchor="_Toc428188932" w:history="1">
            <w:r w:rsidR="00860749" w:rsidRPr="00B66351">
              <w:rPr>
                <w:rStyle w:val="Hyperlink"/>
                <w:noProof/>
              </w:rPr>
              <w:t>2.6. Elektrības cenu palielinājuma ietekmes izvērtējums saistībā ar obligātā iepirkuma komponentes izmaiņu scenārijiem</w:t>
            </w:r>
            <w:r w:rsidR="00860749">
              <w:rPr>
                <w:noProof/>
                <w:webHidden/>
              </w:rPr>
              <w:tab/>
            </w:r>
            <w:r w:rsidR="00860749">
              <w:rPr>
                <w:noProof/>
                <w:webHidden/>
              </w:rPr>
              <w:fldChar w:fldCharType="begin"/>
            </w:r>
            <w:r w:rsidR="00860749">
              <w:rPr>
                <w:noProof/>
                <w:webHidden/>
              </w:rPr>
              <w:instrText xml:space="preserve"> PAGEREF _Toc428188932 \h </w:instrText>
            </w:r>
            <w:r w:rsidR="00860749">
              <w:rPr>
                <w:noProof/>
                <w:webHidden/>
              </w:rPr>
            </w:r>
            <w:r w:rsidR="00860749">
              <w:rPr>
                <w:noProof/>
                <w:webHidden/>
              </w:rPr>
              <w:fldChar w:fldCharType="separate"/>
            </w:r>
            <w:r w:rsidR="00F12DA0">
              <w:rPr>
                <w:noProof/>
                <w:webHidden/>
              </w:rPr>
              <w:t>21</w:t>
            </w:r>
            <w:r w:rsidR="00860749">
              <w:rPr>
                <w:noProof/>
                <w:webHidden/>
              </w:rPr>
              <w:fldChar w:fldCharType="end"/>
            </w:r>
          </w:hyperlink>
        </w:p>
        <w:p w:rsidR="00860749" w:rsidRDefault="00243C25">
          <w:pPr>
            <w:pStyle w:val="TOC1"/>
            <w:rPr>
              <w:rFonts w:asciiTheme="minorHAnsi" w:hAnsiTheme="minorHAnsi"/>
              <w:noProof/>
              <w:sz w:val="22"/>
              <w:lang w:eastAsia="lv-LV"/>
            </w:rPr>
          </w:pPr>
          <w:hyperlink w:anchor="_Toc428188933" w:history="1">
            <w:r w:rsidR="00860749" w:rsidRPr="00B66351">
              <w:rPr>
                <w:rStyle w:val="Hyperlink"/>
                <w:noProof/>
              </w:rPr>
              <w:t>3.</w:t>
            </w:r>
            <w:r w:rsidR="00860749">
              <w:rPr>
                <w:rFonts w:asciiTheme="minorHAnsi" w:hAnsiTheme="minorHAnsi"/>
                <w:noProof/>
                <w:sz w:val="22"/>
                <w:lang w:eastAsia="lv-LV"/>
              </w:rPr>
              <w:tab/>
            </w:r>
            <w:r w:rsidR="00860749" w:rsidRPr="00B66351">
              <w:rPr>
                <w:rStyle w:val="Hyperlink"/>
                <w:noProof/>
              </w:rPr>
              <w:t>Risinājumi</w:t>
            </w:r>
            <w:r w:rsidR="00860749">
              <w:rPr>
                <w:noProof/>
                <w:webHidden/>
              </w:rPr>
              <w:tab/>
            </w:r>
            <w:r w:rsidR="00860749">
              <w:rPr>
                <w:noProof/>
                <w:webHidden/>
              </w:rPr>
              <w:fldChar w:fldCharType="begin"/>
            </w:r>
            <w:r w:rsidR="00860749">
              <w:rPr>
                <w:noProof/>
                <w:webHidden/>
              </w:rPr>
              <w:instrText xml:space="preserve"> PAGEREF _Toc428188933 \h </w:instrText>
            </w:r>
            <w:r w:rsidR="00860749">
              <w:rPr>
                <w:noProof/>
                <w:webHidden/>
              </w:rPr>
            </w:r>
            <w:r w:rsidR="00860749">
              <w:rPr>
                <w:noProof/>
                <w:webHidden/>
              </w:rPr>
              <w:fldChar w:fldCharType="separate"/>
            </w:r>
            <w:r w:rsidR="00F12DA0">
              <w:rPr>
                <w:noProof/>
                <w:webHidden/>
              </w:rPr>
              <w:t>23</w:t>
            </w:r>
            <w:r w:rsidR="00860749">
              <w:rPr>
                <w:noProof/>
                <w:webHidden/>
              </w:rPr>
              <w:fldChar w:fldCharType="end"/>
            </w:r>
          </w:hyperlink>
        </w:p>
        <w:p w:rsidR="00860749" w:rsidRDefault="00243C25">
          <w:pPr>
            <w:pStyle w:val="TOC2"/>
            <w:rPr>
              <w:rFonts w:asciiTheme="minorHAnsi" w:hAnsiTheme="minorHAnsi"/>
              <w:noProof/>
              <w:sz w:val="22"/>
              <w:lang w:eastAsia="lv-LV"/>
            </w:rPr>
          </w:pPr>
          <w:hyperlink w:anchor="_Toc428188934" w:history="1">
            <w:r w:rsidR="00860749" w:rsidRPr="00B66351">
              <w:rPr>
                <w:rStyle w:val="Hyperlink"/>
                <w:noProof/>
              </w:rPr>
              <w:t>3.1. Obligātā iepirkuma komponetes kompensācijai nepieciešamais atbalsts</w:t>
            </w:r>
            <w:r w:rsidR="00860749">
              <w:rPr>
                <w:noProof/>
                <w:webHidden/>
              </w:rPr>
              <w:tab/>
            </w:r>
            <w:r w:rsidR="00860749">
              <w:rPr>
                <w:noProof/>
                <w:webHidden/>
              </w:rPr>
              <w:fldChar w:fldCharType="begin"/>
            </w:r>
            <w:r w:rsidR="00860749">
              <w:rPr>
                <w:noProof/>
                <w:webHidden/>
              </w:rPr>
              <w:instrText xml:space="preserve"> PAGEREF _Toc428188934 \h </w:instrText>
            </w:r>
            <w:r w:rsidR="00860749">
              <w:rPr>
                <w:noProof/>
                <w:webHidden/>
              </w:rPr>
            </w:r>
            <w:r w:rsidR="00860749">
              <w:rPr>
                <w:noProof/>
                <w:webHidden/>
              </w:rPr>
              <w:fldChar w:fldCharType="separate"/>
            </w:r>
            <w:r w:rsidR="00F12DA0">
              <w:rPr>
                <w:noProof/>
                <w:webHidden/>
              </w:rPr>
              <w:t>23</w:t>
            </w:r>
            <w:r w:rsidR="00860749">
              <w:rPr>
                <w:noProof/>
                <w:webHidden/>
              </w:rPr>
              <w:fldChar w:fldCharType="end"/>
            </w:r>
          </w:hyperlink>
        </w:p>
        <w:p w:rsidR="00860749" w:rsidRDefault="00243C25">
          <w:pPr>
            <w:pStyle w:val="TOC2"/>
            <w:rPr>
              <w:rFonts w:asciiTheme="minorHAnsi" w:hAnsiTheme="minorHAnsi"/>
              <w:noProof/>
              <w:sz w:val="22"/>
              <w:lang w:eastAsia="lv-LV"/>
            </w:rPr>
          </w:pPr>
          <w:hyperlink w:anchor="_Toc428188935" w:history="1">
            <w:r w:rsidR="00860749" w:rsidRPr="00B66351">
              <w:rPr>
                <w:rStyle w:val="Hyperlink"/>
                <w:noProof/>
              </w:rPr>
              <w:t>3.2. Piedāvātie risinājumi</w:t>
            </w:r>
            <w:r w:rsidR="00860749">
              <w:rPr>
                <w:noProof/>
                <w:webHidden/>
              </w:rPr>
              <w:tab/>
            </w:r>
            <w:r w:rsidR="00860749">
              <w:rPr>
                <w:noProof/>
                <w:webHidden/>
              </w:rPr>
              <w:fldChar w:fldCharType="begin"/>
            </w:r>
            <w:r w:rsidR="00860749">
              <w:rPr>
                <w:noProof/>
                <w:webHidden/>
              </w:rPr>
              <w:instrText xml:space="preserve"> PAGEREF _Toc428188935 \h </w:instrText>
            </w:r>
            <w:r w:rsidR="00860749">
              <w:rPr>
                <w:noProof/>
                <w:webHidden/>
              </w:rPr>
            </w:r>
            <w:r w:rsidR="00860749">
              <w:rPr>
                <w:noProof/>
                <w:webHidden/>
              </w:rPr>
              <w:fldChar w:fldCharType="separate"/>
            </w:r>
            <w:r w:rsidR="00F12DA0">
              <w:rPr>
                <w:noProof/>
                <w:webHidden/>
              </w:rPr>
              <w:t>24</w:t>
            </w:r>
            <w:r w:rsidR="00860749">
              <w:rPr>
                <w:noProof/>
                <w:webHidden/>
              </w:rPr>
              <w:fldChar w:fldCharType="end"/>
            </w:r>
          </w:hyperlink>
        </w:p>
        <w:p w:rsidR="00860749" w:rsidRDefault="00243C25">
          <w:pPr>
            <w:pStyle w:val="TOC3"/>
            <w:tabs>
              <w:tab w:val="right" w:leader="dot" w:pos="9061"/>
            </w:tabs>
            <w:rPr>
              <w:rFonts w:asciiTheme="minorHAnsi" w:hAnsiTheme="minorHAnsi"/>
              <w:noProof/>
              <w:sz w:val="22"/>
              <w:lang w:eastAsia="lv-LV"/>
            </w:rPr>
          </w:pPr>
          <w:hyperlink w:anchor="_Toc428188936" w:history="1">
            <w:r w:rsidR="00860749" w:rsidRPr="00B66351">
              <w:rPr>
                <w:rStyle w:val="Hyperlink"/>
                <w:noProof/>
              </w:rPr>
              <w:t>1.risinājums</w:t>
            </w:r>
            <w:r w:rsidR="00860749">
              <w:rPr>
                <w:noProof/>
                <w:webHidden/>
              </w:rPr>
              <w:tab/>
            </w:r>
            <w:r w:rsidR="00860749">
              <w:rPr>
                <w:noProof/>
                <w:webHidden/>
              </w:rPr>
              <w:fldChar w:fldCharType="begin"/>
            </w:r>
            <w:r w:rsidR="00860749">
              <w:rPr>
                <w:noProof/>
                <w:webHidden/>
              </w:rPr>
              <w:instrText xml:space="preserve"> PAGEREF _Toc428188936 \h </w:instrText>
            </w:r>
            <w:r w:rsidR="00860749">
              <w:rPr>
                <w:noProof/>
                <w:webHidden/>
              </w:rPr>
            </w:r>
            <w:r w:rsidR="00860749">
              <w:rPr>
                <w:noProof/>
                <w:webHidden/>
              </w:rPr>
              <w:fldChar w:fldCharType="separate"/>
            </w:r>
            <w:r w:rsidR="00F12DA0">
              <w:rPr>
                <w:noProof/>
                <w:webHidden/>
              </w:rPr>
              <w:t>25</w:t>
            </w:r>
            <w:r w:rsidR="00860749">
              <w:rPr>
                <w:noProof/>
                <w:webHidden/>
              </w:rPr>
              <w:fldChar w:fldCharType="end"/>
            </w:r>
          </w:hyperlink>
        </w:p>
        <w:p w:rsidR="00860749" w:rsidRDefault="00243C25">
          <w:pPr>
            <w:pStyle w:val="TOC3"/>
            <w:tabs>
              <w:tab w:val="right" w:leader="dot" w:pos="9061"/>
            </w:tabs>
            <w:rPr>
              <w:rFonts w:asciiTheme="minorHAnsi" w:hAnsiTheme="minorHAnsi"/>
              <w:noProof/>
              <w:sz w:val="22"/>
              <w:lang w:eastAsia="lv-LV"/>
            </w:rPr>
          </w:pPr>
          <w:hyperlink w:anchor="_Toc428188937" w:history="1">
            <w:r w:rsidR="00860749" w:rsidRPr="00B66351">
              <w:rPr>
                <w:rStyle w:val="Hyperlink"/>
                <w:noProof/>
              </w:rPr>
              <w:t>2.risinājums</w:t>
            </w:r>
            <w:r w:rsidR="00860749">
              <w:rPr>
                <w:noProof/>
                <w:webHidden/>
              </w:rPr>
              <w:tab/>
            </w:r>
            <w:r w:rsidR="00860749">
              <w:rPr>
                <w:noProof/>
                <w:webHidden/>
              </w:rPr>
              <w:fldChar w:fldCharType="begin"/>
            </w:r>
            <w:r w:rsidR="00860749">
              <w:rPr>
                <w:noProof/>
                <w:webHidden/>
              </w:rPr>
              <w:instrText xml:space="preserve"> PAGEREF _Toc428188937 \h </w:instrText>
            </w:r>
            <w:r w:rsidR="00860749">
              <w:rPr>
                <w:noProof/>
                <w:webHidden/>
              </w:rPr>
            </w:r>
            <w:r w:rsidR="00860749">
              <w:rPr>
                <w:noProof/>
                <w:webHidden/>
              </w:rPr>
              <w:fldChar w:fldCharType="separate"/>
            </w:r>
            <w:r w:rsidR="00F12DA0">
              <w:rPr>
                <w:noProof/>
                <w:webHidden/>
              </w:rPr>
              <w:t>27</w:t>
            </w:r>
            <w:r w:rsidR="00860749">
              <w:rPr>
                <w:noProof/>
                <w:webHidden/>
              </w:rPr>
              <w:fldChar w:fldCharType="end"/>
            </w:r>
          </w:hyperlink>
        </w:p>
        <w:p w:rsidR="00860749" w:rsidRDefault="00243C25">
          <w:pPr>
            <w:pStyle w:val="TOC3"/>
            <w:tabs>
              <w:tab w:val="right" w:leader="dot" w:pos="9061"/>
            </w:tabs>
            <w:rPr>
              <w:rFonts w:asciiTheme="minorHAnsi" w:hAnsiTheme="minorHAnsi"/>
              <w:noProof/>
              <w:sz w:val="22"/>
              <w:lang w:eastAsia="lv-LV"/>
            </w:rPr>
          </w:pPr>
          <w:hyperlink w:anchor="_Toc428188938" w:history="1">
            <w:r w:rsidR="00860749" w:rsidRPr="00B66351">
              <w:rPr>
                <w:rStyle w:val="Hyperlink"/>
                <w:noProof/>
              </w:rPr>
              <w:t>Risinājumu ietekme uz elektroenerģijas izmaksām lietotājiem</w:t>
            </w:r>
            <w:r w:rsidR="00860749">
              <w:rPr>
                <w:noProof/>
                <w:webHidden/>
              </w:rPr>
              <w:tab/>
            </w:r>
            <w:r w:rsidR="00860749">
              <w:rPr>
                <w:noProof/>
                <w:webHidden/>
              </w:rPr>
              <w:fldChar w:fldCharType="begin"/>
            </w:r>
            <w:r w:rsidR="00860749">
              <w:rPr>
                <w:noProof/>
                <w:webHidden/>
              </w:rPr>
              <w:instrText xml:space="preserve"> PAGEREF _Toc428188938 \h </w:instrText>
            </w:r>
            <w:r w:rsidR="00860749">
              <w:rPr>
                <w:noProof/>
                <w:webHidden/>
              </w:rPr>
            </w:r>
            <w:r w:rsidR="00860749">
              <w:rPr>
                <w:noProof/>
                <w:webHidden/>
              </w:rPr>
              <w:fldChar w:fldCharType="separate"/>
            </w:r>
            <w:r w:rsidR="00F12DA0">
              <w:rPr>
                <w:noProof/>
                <w:webHidden/>
              </w:rPr>
              <w:t>29</w:t>
            </w:r>
            <w:r w:rsidR="00860749">
              <w:rPr>
                <w:noProof/>
                <w:webHidden/>
              </w:rPr>
              <w:fldChar w:fldCharType="end"/>
            </w:r>
          </w:hyperlink>
        </w:p>
        <w:p w:rsidR="00860749" w:rsidRDefault="00243C25">
          <w:pPr>
            <w:pStyle w:val="TOC2"/>
            <w:rPr>
              <w:rFonts w:asciiTheme="minorHAnsi" w:hAnsiTheme="minorHAnsi"/>
              <w:noProof/>
              <w:sz w:val="22"/>
              <w:lang w:eastAsia="lv-LV"/>
            </w:rPr>
          </w:pPr>
          <w:hyperlink w:anchor="_Toc428188939" w:history="1">
            <w:r w:rsidR="00860749" w:rsidRPr="00B66351">
              <w:rPr>
                <w:rStyle w:val="Hyperlink"/>
                <w:noProof/>
              </w:rPr>
              <w:t>3.3. Risinājumi turpmākai obligātā iepirkuma komponentes samazināšanai</w:t>
            </w:r>
            <w:r w:rsidR="00860749">
              <w:rPr>
                <w:noProof/>
                <w:webHidden/>
              </w:rPr>
              <w:tab/>
            </w:r>
            <w:r w:rsidR="00860749">
              <w:rPr>
                <w:noProof/>
                <w:webHidden/>
              </w:rPr>
              <w:fldChar w:fldCharType="begin"/>
            </w:r>
            <w:r w:rsidR="00860749">
              <w:rPr>
                <w:noProof/>
                <w:webHidden/>
              </w:rPr>
              <w:instrText xml:space="preserve"> PAGEREF _Toc428188939 \h </w:instrText>
            </w:r>
            <w:r w:rsidR="00860749">
              <w:rPr>
                <w:noProof/>
                <w:webHidden/>
              </w:rPr>
            </w:r>
            <w:r w:rsidR="00860749">
              <w:rPr>
                <w:noProof/>
                <w:webHidden/>
              </w:rPr>
              <w:fldChar w:fldCharType="separate"/>
            </w:r>
            <w:r w:rsidR="00F12DA0">
              <w:rPr>
                <w:noProof/>
                <w:webHidden/>
              </w:rPr>
              <w:t>30</w:t>
            </w:r>
            <w:r w:rsidR="00860749">
              <w:rPr>
                <w:noProof/>
                <w:webHidden/>
              </w:rPr>
              <w:fldChar w:fldCharType="end"/>
            </w:r>
          </w:hyperlink>
        </w:p>
        <w:p w:rsidR="00860749" w:rsidRDefault="00243C25">
          <w:pPr>
            <w:pStyle w:val="TOC3"/>
            <w:tabs>
              <w:tab w:val="right" w:leader="dot" w:pos="9061"/>
            </w:tabs>
            <w:rPr>
              <w:rFonts w:asciiTheme="minorHAnsi" w:hAnsiTheme="minorHAnsi"/>
              <w:noProof/>
              <w:sz w:val="22"/>
              <w:lang w:eastAsia="lv-LV"/>
            </w:rPr>
          </w:pPr>
          <w:hyperlink w:anchor="_Toc428188940" w:history="1">
            <w:r w:rsidR="00860749" w:rsidRPr="00B66351">
              <w:rPr>
                <w:rStyle w:val="Hyperlink"/>
                <w:noProof/>
              </w:rPr>
              <w:t>3.3.1. Obligātā iepirkuma maksājumu mazināšana un subsidētās elektroenerģijas nodokļa turpināšana</w:t>
            </w:r>
            <w:r w:rsidR="00860749">
              <w:rPr>
                <w:noProof/>
                <w:webHidden/>
              </w:rPr>
              <w:tab/>
            </w:r>
            <w:r w:rsidR="00860749">
              <w:rPr>
                <w:noProof/>
                <w:webHidden/>
              </w:rPr>
              <w:fldChar w:fldCharType="begin"/>
            </w:r>
            <w:r w:rsidR="00860749">
              <w:rPr>
                <w:noProof/>
                <w:webHidden/>
              </w:rPr>
              <w:instrText xml:space="preserve"> PAGEREF _Toc428188940 \h </w:instrText>
            </w:r>
            <w:r w:rsidR="00860749">
              <w:rPr>
                <w:noProof/>
                <w:webHidden/>
              </w:rPr>
            </w:r>
            <w:r w:rsidR="00860749">
              <w:rPr>
                <w:noProof/>
                <w:webHidden/>
              </w:rPr>
              <w:fldChar w:fldCharType="separate"/>
            </w:r>
            <w:r w:rsidR="00F12DA0">
              <w:rPr>
                <w:noProof/>
                <w:webHidden/>
              </w:rPr>
              <w:t>30</w:t>
            </w:r>
            <w:r w:rsidR="00860749">
              <w:rPr>
                <w:noProof/>
                <w:webHidden/>
              </w:rPr>
              <w:fldChar w:fldCharType="end"/>
            </w:r>
          </w:hyperlink>
        </w:p>
        <w:p w:rsidR="00860749" w:rsidRDefault="00243C25">
          <w:pPr>
            <w:pStyle w:val="TOC3"/>
            <w:tabs>
              <w:tab w:val="right" w:leader="dot" w:pos="9061"/>
            </w:tabs>
            <w:rPr>
              <w:rFonts w:asciiTheme="minorHAnsi" w:hAnsiTheme="minorHAnsi"/>
              <w:noProof/>
              <w:sz w:val="22"/>
              <w:lang w:eastAsia="lv-LV"/>
            </w:rPr>
          </w:pPr>
          <w:hyperlink w:anchor="_Toc428188941" w:history="1">
            <w:r w:rsidR="00860749" w:rsidRPr="00B66351">
              <w:rPr>
                <w:rStyle w:val="Hyperlink"/>
                <w:noProof/>
              </w:rPr>
              <w:t>3.3.2. Risinājums spēkā esošā atbalsta mehānisma izbeigšanai</w:t>
            </w:r>
            <w:r w:rsidR="00860749">
              <w:rPr>
                <w:noProof/>
                <w:webHidden/>
              </w:rPr>
              <w:tab/>
            </w:r>
            <w:r w:rsidR="00860749">
              <w:rPr>
                <w:noProof/>
                <w:webHidden/>
              </w:rPr>
              <w:fldChar w:fldCharType="begin"/>
            </w:r>
            <w:r w:rsidR="00860749">
              <w:rPr>
                <w:noProof/>
                <w:webHidden/>
              </w:rPr>
              <w:instrText xml:space="preserve"> PAGEREF _Toc428188941 \h </w:instrText>
            </w:r>
            <w:r w:rsidR="00860749">
              <w:rPr>
                <w:noProof/>
                <w:webHidden/>
              </w:rPr>
            </w:r>
            <w:r w:rsidR="00860749">
              <w:rPr>
                <w:noProof/>
                <w:webHidden/>
              </w:rPr>
              <w:fldChar w:fldCharType="separate"/>
            </w:r>
            <w:r w:rsidR="00F12DA0">
              <w:rPr>
                <w:noProof/>
                <w:webHidden/>
              </w:rPr>
              <w:t>31</w:t>
            </w:r>
            <w:r w:rsidR="00860749">
              <w:rPr>
                <w:noProof/>
                <w:webHidden/>
              </w:rPr>
              <w:fldChar w:fldCharType="end"/>
            </w:r>
          </w:hyperlink>
        </w:p>
        <w:p w:rsidR="00860749" w:rsidRDefault="00243C25">
          <w:pPr>
            <w:pStyle w:val="TOC1"/>
            <w:rPr>
              <w:rFonts w:asciiTheme="minorHAnsi" w:hAnsiTheme="minorHAnsi"/>
              <w:noProof/>
              <w:sz w:val="22"/>
              <w:lang w:eastAsia="lv-LV"/>
            </w:rPr>
          </w:pPr>
          <w:hyperlink w:anchor="_Toc428188942" w:history="1">
            <w:r w:rsidR="00860749" w:rsidRPr="00B66351">
              <w:rPr>
                <w:rStyle w:val="Hyperlink"/>
                <w:noProof/>
              </w:rPr>
              <w:t>4.</w:t>
            </w:r>
            <w:r w:rsidR="00860749">
              <w:rPr>
                <w:rFonts w:asciiTheme="minorHAnsi" w:hAnsiTheme="minorHAnsi"/>
                <w:noProof/>
                <w:sz w:val="22"/>
                <w:lang w:eastAsia="lv-LV"/>
              </w:rPr>
              <w:tab/>
            </w:r>
            <w:r w:rsidR="00860749" w:rsidRPr="00B66351">
              <w:rPr>
                <w:rStyle w:val="Hyperlink"/>
                <w:noProof/>
              </w:rPr>
              <w:t>Secinājumi</w:t>
            </w:r>
            <w:r w:rsidR="00860749">
              <w:rPr>
                <w:noProof/>
                <w:webHidden/>
              </w:rPr>
              <w:tab/>
            </w:r>
            <w:r w:rsidR="00860749">
              <w:rPr>
                <w:noProof/>
                <w:webHidden/>
              </w:rPr>
              <w:fldChar w:fldCharType="begin"/>
            </w:r>
            <w:r w:rsidR="00860749">
              <w:rPr>
                <w:noProof/>
                <w:webHidden/>
              </w:rPr>
              <w:instrText xml:space="preserve"> PAGEREF _Toc428188942 \h </w:instrText>
            </w:r>
            <w:r w:rsidR="00860749">
              <w:rPr>
                <w:noProof/>
                <w:webHidden/>
              </w:rPr>
            </w:r>
            <w:r w:rsidR="00860749">
              <w:rPr>
                <w:noProof/>
                <w:webHidden/>
              </w:rPr>
              <w:fldChar w:fldCharType="separate"/>
            </w:r>
            <w:r w:rsidR="00F12DA0">
              <w:rPr>
                <w:noProof/>
                <w:webHidden/>
              </w:rPr>
              <w:t>32</w:t>
            </w:r>
            <w:r w:rsidR="00860749">
              <w:rPr>
                <w:noProof/>
                <w:webHidden/>
              </w:rPr>
              <w:fldChar w:fldCharType="end"/>
            </w:r>
          </w:hyperlink>
        </w:p>
        <w:p w:rsidR="004566A5" w:rsidRDefault="004566A5" w:rsidP="004566A5">
          <w:pPr>
            <w:spacing w:after="0"/>
          </w:pPr>
          <w:r w:rsidRPr="004566A5">
            <w:rPr>
              <w:b/>
              <w:bCs/>
              <w:noProof/>
              <w:sz w:val="28"/>
              <w:szCs w:val="28"/>
            </w:rPr>
            <w:fldChar w:fldCharType="end"/>
          </w:r>
        </w:p>
      </w:sdtContent>
    </w:sdt>
    <w:p w:rsidR="00830E57" w:rsidRDefault="00830E57">
      <w:r>
        <w:br w:type="page"/>
      </w:r>
    </w:p>
    <w:p w:rsidR="00D564DD" w:rsidRDefault="00D564DD" w:rsidP="00D564DD">
      <w:pPr>
        <w:pStyle w:val="Heading1"/>
        <w:numPr>
          <w:ilvl w:val="0"/>
          <w:numId w:val="19"/>
        </w:numPr>
      </w:pPr>
      <w:bookmarkStart w:id="5" w:name="_Toc428188923"/>
      <w:r>
        <w:lastRenderedPageBreak/>
        <w:t>Konceptuālā ziņojuma kopsavilkums</w:t>
      </w:r>
      <w:bookmarkEnd w:id="5"/>
      <w:r>
        <w:t xml:space="preserve"> </w:t>
      </w:r>
    </w:p>
    <w:p w:rsidR="00673375" w:rsidRPr="007E26D1" w:rsidRDefault="00673375" w:rsidP="00CF3328">
      <w:pPr>
        <w:spacing w:after="0" w:line="240" w:lineRule="auto"/>
        <w:ind w:firstLine="851"/>
        <w:rPr>
          <w:color w:val="000000"/>
          <w:sz w:val="28"/>
          <w:szCs w:val="28"/>
        </w:rPr>
      </w:pPr>
      <w:r w:rsidRPr="007E26D1">
        <w:rPr>
          <w:color w:val="000000"/>
          <w:sz w:val="28"/>
          <w:szCs w:val="28"/>
        </w:rPr>
        <w:t>Konceptuālais ziņojums “Kompleksi pasākumi elektroenerģijas tirgus attīstībai” (turpmāk – Konceptuālais ziņojums) sagatavots, lai risinātu aktuālās problēmas elektroenerģijas tirgū</w:t>
      </w:r>
      <w:r w:rsidR="00352401">
        <w:rPr>
          <w:color w:val="000000"/>
          <w:sz w:val="28"/>
          <w:szCs w:val="28"/>
        </w:rPr>
        <w:t>, vienlaikus risinot jautājumus</w:t>
      </w:r>
      <w:r w:rsidRPr="007E26D1">
        <w:rPr>
          <w:color w:val="000000"/>
          <w:sz w:val="28"/>
          <w:szCs w:val="28"/>
        </w:rPr>
        <w:t xml:space="preserve"> saistībā ar 2016.</w:t>
      </w:r>
      <w:r w:rsidR="008B1D61">
        <w:rPr>
          <w:color w:val="000000"/>
          <w:sz w:val="28"/>
          <w:szCs w:val="28"/>
        </w:rPr>
        <w:t xml:space="preserve"> </w:t>
      </w:r>
      <w:r w:rsidRPr="007E26D1">
        <w:rPr>
          <w:color w:val="000000"/>
          <w:sz w:val="28"/>
          <w:szCs w:val="28"/>
        </w:rPr>
        <w:t xml:space="preserve">gada </w:t>
      </w:r>
      <w:r w:rsidR="008B1D61">
        <w:rPr>
          <w:color w:val="000000"/>
          <w:sz w:val="28"/>
          <w:szCs w:val="28"/>
        </w:rPr>
        <w:t xml:space="preserve">valsts </w:t>
      </w:r>
      <w:r w:rsidRPr="007E26D1">
        <w:rPr>
          <w:color w:val="000000"/>
          <w:sz w:val="28"/>
          <w:szCs w:val="28"/>
        </w:rPr>
        <w:t xml:space="preserve">budžetu un </w:t>
      </w:r>
      <w:r w:rsidR="008B1D61">
        <w:rPr>
          <w:color w:val="000000"/>
          <w:sz w:val="28"/>
          <w:szCs w:val="28"/>
        </w:rPr>
        <w:t xml:space="preserve">valsts </w:t>
      </w:r>
      <w:r w:rsidRPr="007E26D1">
        <w:rPr>
          <w:color w:val="000000"/>
          <w:sz w:val="28"/>
          <w:szCs w:val="28"/>
        </w:rPr>
        <w:t>budžeta ietvaru 2016</w:t>
      </w:r>
      <w:r w:rsidR="003B2A1E">
        <w:rPr>
          <w:color w:val="000000"/>
          <w:sz w:val="28"/>
          <w:szCs w:val="28"/>
        </w:rPr>
        <w:t>.</w:t>
      </w:r>
      <w:r w:rsidR="008B1D61">
        <w:rPr>
          <w:color w:val="000000"/>
          <w:sz w:val="28"/>
          <w:szCs w:val="28"/>
        </w:rPr>
        <w:t xml:space="preserve"> </w:t>
      </w:r>
      <w:r w:rsidRPr="007E26D1">
        <w:rPr>
          <w:color w:val="000000"/>
          <w:sz w:val="28"/>
          <w:szCs w:val="28"/>
        </w:rPr>
        <w:t>-</w:t>
      </w:r>
      <w:r w:rsidR="008B1D61">
        <w:rPr>
          <w:color w:val="000000"/>
          <w:sz w:val="28"/>
          <w:szCs w:val="28"/>
        </w:rPr>
        <w:t xml:space="preserve"> </w:t>
      </w:r>
      <w:r w:rsidRPr="007E26D1">
        <w:rPr>
          <w:color w:val="000000"/>
          <w:sz w:val="28"/>
          <w:szCs w:val="28"/>
        </w:rPr>
        <w:t>2018.</w:t>
      </w:r>
      <w:r w:rsidR="008B1D61">
        <w:rPr>
          <w:color w:val="000000"/>
          <w:sz w:val="28"/>
          <w:szCs w:val="28"/>
        </w:rPr>
        <w:t xml:space="preserve"> </w:t>
      </w:r>
      <w:r w:rsidRPr="007E26D1">
        <w:rPr>
          <w:color w:val="000000"/>
          <w:sz w:val="28"/>
          <w:szCs w:val="28"/>
        </w:rPr>
        <w:t xml:space="preserve">gadam. </w:t>
      </w:r>
    </w:p>
    <w:p w:rsidR="00352401" w:rsidRDefault="00352401" w:rsidP="00CF3328">
      <w:pPr>
        <w:spacing w:after="0" w:line="240" w:lineRule="auto"/>
        <w:ind w:firstLine="851"/>
        <w:rPr>
          <w:b/>
          <w:color w:val="000000"/>
          <w:sz w:val="28"/>
          <w:szCs w:val="28"/>
        </w:rPr>
      </w:pPr>
    </w:p>
    <w:p w:rsidR="00352401" w:rsidRPr="00CF3328" w:rsidRDefault="00352401" w:rsidP="00CF3328">
      <w:pPr>
        <w:spacing w:after="0" w:line="240" w:lineRule="auto"/>
        <w:ind w:firstLine="851"/>
        <w:rPr>
          <w:b/>
          <w:color w:val="000000"/>
          <w:sz w:val="28"/>
          <w:szCs w:val="28"/>
        </w:rPr>
      </w:pPr>
      <w:r>
        <w:rPr>
          <w:b/>
          <w:color w:val="000000"/>
          <w:sz w:val="28"/>
          <w:szCs w:val="28"/>
        </w:rPr>
        <w:t>Obligātā iepirkuma komponentes (OIK)</w:t>
      </w:r>
      <w:r w:rsidRPr="00CF3328">
        <w:rPr>
          <w:b/>
          <w:color w:val="000000"/>
          <w:sz w:val="28"/>
          <w:szCs w:val="28"/>
        </w:rPr>
        <w:t xml:space="preserve"> līmeņa saglabāšana</w:t>
      </w:r>
      <w:r>
        <w:rPr>
          <w:b/>
          <w:color w:val="000000"/>
          <w:sz w:val="28"/>
          <w:szCs w:val="28"/>
        </w:rPr>
        <w:t xml:space="preserve"> un atbalsts energointesīvajiem uzņēmumiem</w:t>
      </w:r>
    </w:p>
    <w:p w:rsidR="00673375" w:rsidRDefault="00673375" w:rsidP="00CF3328">
      <w:pPr>
        <w:spacing w:after="0" w:line="240" w:lineRule="auto"/>
        <w:ind w:firstLine="851"/>
        <w:rPr>
          <w:color w:val="000000"/>
          <w:sz w:val="28"/>
          <w:szCs w:val="28"/>
        </w:rPr>
      </w:pPr>
      <w:r>
        <w:rPr>
          <w:color w:val="000000"/>
          <w:sz w:val="28"/>
          <w:szCs w:val="28"/>
        </w:rPr>
        <w:t>2013.</w:t>
      </w:r>
      <w:r w:rsidR="008B1D61">
        <w:rPr>
          <w:color w:val="000000"/>
          <w:sz w:val="28"/>
          <w:szCs w:val="28"/>
        </w:rPr>
        <w:t xml:space="preserve"> </w:t>
      </w:r>
      <w:r>
        <w:rPr>
          <w:color w:val="000000"/>
          <w:sz w:val="28"/>
          <w:szCs w:val="28"/>
        </w:rPr>
        <w:t>gadā tika lemts par OIK saglabāšanu visiem elektroenerģijas lietotājiem 26,8 EUR/MWh apmērā. Līdz 2016.</w:t>
      </w:r>
      <w:r w:rsidR="008B1D61">
        <w:rPr>
          <w:color w:val="000000"/>
          <w:sz w:val="28"/>
          <w:szCs w:val="28"/>
        </w:rPr>
        <w:t xml:space="preserve"> </w:t>
      </w:r>
      <w:r>
        <w:rPr>
          <w:color w:val="000000"/>
          <w:sz w:val="28"/>
          <w:szCs w:val="28"/>
        </w:rPr>
        <w:t>gada 1.</w:t>
      </w:r>
      <w:r w:rsidR="008B1D61">
        <w:rPr>
          <w:color w:val="000000"/>
          <w:sz w:val="28"/>
          <w:szCs w:val="28"/>
        </w:rPr>
        <w:t xml:space="preserve"> </w:t>
      </w:r>
      <w:r>
        <w:rPr>
          <w:color w:val="000000"/>
          <w:sz w:val="28"/>
          <w:szCs w:val="28"/>
        </w:rPr>
        <w:t>a</w:t>
      </w:r>
      <w:r w:rsidR="003B2A1E">
        <w:rPr>
          <w:color w:val="000000"/>
          <w:sz w:val="28"/>
          <w:szCs w:val="28"/>
        </w:rPr>
        <w:t>prīlim OIK nav būtiski mainījusies, pat nedaudz samazinājusies</w:t>
      </w:r>
      <w:r>
        <w:rPr>
          <w:color w:val="000000"/>
          <w:sz w:val="28"/>
          <w:szCs w:val="28"/>
        </w:rPr>
        <w:t>. Papildus</w:t>
      </w:r>
      <w:r w:rsidR="003B2A1E">
        <w:rPr>
          <w:color w:val="000000"/>
          <w:sz w:val="28"/>
          <w:szCs w:val="28"/>
        </w:rPr>
        <w:t>,</w:t>
      </w:r>
      <w:r>
        <w:rPr>
          <w:color w:val="000000"/>
          <w:sz w:val="28"/>
          <w:szCs w:val="28"/>
        </w:rPr>
        <w:t xml:space="preserve"> pieņemot M</w:t>
      </w:r>
      <w:r w:rsidR="003B2A1E">
        <w:rPr>
          <w:color w:val="000000"/>
          <w:sz w:val="28"/>
          <w:szCs w:val="28"/>
        </w:rPr>
        <w:t>inistru kabineta</w:t>
      </w:r>
      <w:r>
        <w:rPr>
          <w:color w:val="000000"/>
          <w:sz w:val="28"/>
          <w:szCs w:val="28"/>
        </w:rPr>
        <w:t xml:space="preserve"> </w:t>
      </w:r>
      <w:r w:rsidR="003B2A1E">
        <w:rPr>
          <w:color w:val="000000"/>
          <w:sz w:val="28"/>
          <w:szCs w:val="28"/>
        </w:rPr>
        <w:t>2015.</w:t>
      </w:r>
      <w:r w:rsidR="008B1D61">
        <w:rPr>
          <w:color w:val="000000"/>
          <w:sz w:val="28"/>
          <w:szCs w:val="28"/>
        </w:rPr>
        <w:t xml:space="preserve"> </w:t>
      </w:r>
      <w:r w:rsidR="003B2A1E">
        <w:rPr>
          <w:color w:val="000000"/>
          <w:sz w:val="28"/>
          <w:szCs w:val="28"/>
        </w:rPr>
        <w:t>gada 14.</w:t>
      </w:r>
      <w:r w:rsidR="008B1D61">
        <w:rPr>
          <w:color w:val="000000"/>
          <w:sz w:val="28"/>
          <w:szCs w:val="28"/>
        </w:rPr>
        <w:t xml:space="preserve"> </w:t>
      </w:r>
      <w:r w:rsidR="003B2A1E">
        <w:rPr>
          <w:color w:val="000000"/>
          <w:sz w:val="28"/>
          <w:szCs w:val="28"/>
        </w:rPr>
        <w:t xml:space="preserve">jūlija </w:t>
      </w:r>
      <w:r>
        <w:rPr>
          <w:color w:val="000000"/>
          <w:sz w:val="28"/>
          <w:szCs w:val="28"/>
        </w:rPr>
        <w:t xml:space="preserve">noteikumus </w:t>
      </w:r>
      <w:r w:rsidRPr="005E0F36">
        <w:rPr>
          <w:color w:val="000000"/>
          <w:sz w:val="28"/>
          <w:szCs w:val="28"/>
        </w:rPr>
        <w:t>Nr. 395 „Kārtība, kādā energoietilpīgi apstrādes rūpniecības uzņēmumi iegūst tiesības uz samazinātu līdzdalību obligātā iepirkuma komponentes maksājumam”</w:t>
      </w:r>
      <w:r w:rsidR="00355B59">
        <w:rPr>
          <w:color w:val="000000"/>
          <w:sz w:val="28"/>
          <w:szCs w:val="28"/>
        </w:rPr>
        <w:t xml:space="preserve"> (MK noteikumi Nr.395)</w:t>
      </w:r>
      <w:r w:rsidR="003B2A1E">
        <w:rPr>
          <w:color w:val="000000"/>
          <w:sz w:val="28"/>
          <w:szCs w:val="28"/>
        </w:rPr>
        <w:t>,</w:t>
      </w:r>
      <w:r w:rsidRPr="005E0F36">
        <w:rPr>
          <w:color w:val="000000"/>
          <w:sz w:val="28"/>
          <w:szCs w:val="28"/>
        </w:rPr>
        <w:t xml:space="preserve"> </w:t>
      </w:r>
      <w:r>
        <w:rPr>
          <w:color w:val="000000"/>
          <w:sz w:val="28"/>
          <w:szCs w:val="28"/>
        </w:rPr>
        <w:t xml:space="preserve"> energointesīvajiem uzņēmumiem būs iespēja maksāt mazāku OIK, t.i.</w:t>
      </w:r>
      <w:r w:rsidR="00355B59">
        <w:rPr>
          <w:color w:val="000000"/>
          <w:sz w:val="28"/>
          <w:szCs w:val="28"/>
        </w:rPr>
        <w:t>,</w:t>
      </w:r>
      <w:r>
        <w:rPr>
          <w:color w:val="000000"/>
          <w:sz w:val="28"/>
          <w:szCs w:val="28"/>
        </w:rPr>
        <w:t xml:space="preserve"> iegūt atlaidi 85% apmērā no </w:t>
      </w:r>
      <w:r w:rsidR="003B2A1E">
        <w:rPr>
          <w:color w:val="000000"/>
          <w:sz w:val="28"/>
          <w:szCs w:val="28"/>
        </w:rPr>
        <w:t>OIK „zaļās komponentes” daļas</w:t>
      </w:r>
      <w:r>
        <w:rPr>
          <w:color w:val="000000"/>
          <w:sz w:val="28"/>
          <w:szCs w:val="28"/>
        </w:rPr>
        <w:t>.</w:t>
      </w:r>
    </w:p>
    <w:p w:rsidR="00352401" w:rsidRPr="00CF3328" w:rsidRDefault="00352401" w:rsidP="00CF3328">
      <w:pPr>
        <w:spacing w:after="0" w:line="240" w:lineRule="auto"/>
        <w:ind w:firstLine="851"/>
        <w:rPr>
          <w:b/>
          <w:color w:val="000000"/>
          <w:sz w:val="28"/>
          <w:szCs w:val="28"/>
        </w:rPr>
      </w:pPr>
      <w:r w:rsidRPr="007E26D1">
        <w:rPr>
          <w:color w:val="000000"/>
          <w:sz w:val="28"/>
          <w:szCs w:val="28"/>
        </w:rPr>
        <w:t>2015.</w:t>
      </w:r>
      <w:r w:rsidR="008B1D61">
        <w:rPr>
          <w:color w:val="000000"/>
          <w:sz w:val="28"/>
          <w:szCs w:val="28"/>
        </w:rPr>
        <w:t xml:space="preserve"> </w:t>
      </w:r>
      <w:r w:rsidRPr="007E26D1">
        <w:rPr>
          <w:color w:val="000000"/>
          <w:sz w:val="28"/>
          <w:szCs w:val="28"/>
        </w:rPr>
        <w:t xml:space="preserve">gada OIK prognoze liecina par to, ka bez atbalsta OIK varētu pieaugt līdz 41,28 EUR/MWh, kas arī būtu maksimums. Ar katru gadu </w:t>
      </w:r>
      <w:r w:rsidRPr="00673375">
        <w:rPr>
          <w:color w:val="000000"/>
          <w:sz w:val="28"/>
          <w:szCs w:val="28"/>
        </w:rPr>
        <w:t>pieaug</w:t>
      </w:r>
      <w:r w:rsidRPr="00673375">
        <w:rPr>
          <w:sz w:val="28"/>
          <w:szCs w:val="28"/>
        </w:rPr>
        <w:t xml:space="preserve"> f</w:t>
      </w:r>
      <w:r w:rsidRPr="00673375">
        <w:rPr>
          <w:color w:val="000000"/>
          <w:sz w:val="28"/>
          <w:szCs w:val="28"/>
        </w:rPr>
        <w:t>aktiskās</w:t>
      </w:r>
      <w:r>
        <w:rPr>
          <w:color w:val="000000"/>
          <w:sz w:val="28"/>
          <w:szCs w:val="28"/>
        </w:rPr>
        <w:t xml:space="preserve"> </w:t>
      </w:r>
      <w:r w:rsidRPr="00C66DD7">
        <w:rPr>
          <w:color w:val="000000"/>
          <w:sz w:val="28"/>
          <w:szCs w:val="28"/>
        </w:rPr>
        <w:t>garantētās maksas par uzstādīto jaudu</w:t>
      </w:r>
      <w:r>
        <w:rPr>
          <w:color w:val="000000"/>
          <w:sz w:val="28"/>
          <w:szCs w:val="28"/>
        </w:rPr>
        <w:t xml:space="preserve"> un o</w:t>
      </w:r>
      <w:r w:rsidRPr="00C66DD7">
        <w:rPr>
          <w:color w:val="000000"/>
          <w:sz w:val="28"/>
          <w:szCs w:val="28"/>
        </w:rPr>
        <w:t>bligātā iepirkuma</w:t>
      </w:r>
      <w:r>
        <w:rPr>
          <w:color w:val="000000"/>
          <w:sz w:val="28"/>
          <w:szCs w:val="28"/>
        </w:rPr>
        <w:t xml:space="preserve"> izmaksas. </w:t>
      </w:r>
      <w:r w:rsidRPr="00C66DD7">
        <w:rPr>
          <w:color w:val="000000"/>
          <w:sz w:val="28"/>
          <w:szCs w:val="28"/>
        </w:rPr>
        <w:t xml:space="preserve"> </w:t>
      </w:r>
      <w:r>
        <w:rPr>
          <w:color w:val="000000"/>
          <w:sz w:val="28"/>
          <w:szCs w:val="28"/>
        </w:rPr>
        <w:t>Esošo lēmumu ietv</w:t>
      </w:r>
      <w:r w:rsidR="003B2A1E">
        <w:rPr>
          <w:color w:val="000000"/>
          <w:sz w:val="28"/>
          <w:szCs w:val="28"/>
        </w:rPr>
        <w:t>aros jaunas jaudas ekspluatācijā</w:t>
      </w:r>
      <w:r>
        <w:rPr>
          <w:color w:val="000000"/>
          <w:sz w:val="28"/>
          <w:szCs w:val="28"/>
        </w:rPr>
        <w:t xml:space="preserve"> var tikt nodotas līdz 2017.</w:t>
      </w:r>
      <w:r w:rsidR="008B1D61">
        <w:rPr>
          <w:color w:val="000000"/>
          <w:sz w:val="28"/>
          <w:szCs w:val="28"/>
        </w:rPr>
        <w:t xml:space="preserve"> </w:t>
      </w:r>
      <w:r>
        <w:rPr>
          <w:color w:val="000000"/>
          <w:sz w:val="28"/>
          <w:szCs w:val="28"/>
        </w:rPr>
        <w:t>gadam. Savukārt</w:t>
      </w:r>
      <w:r w:rsidR="00CC7F41">
        <w:rPr>
          <w:color w:val="000000"/>
          <w:sz w:val="28"/>
          <w:szCs w:val="28"/>
        </w:rPr>
        <w:t>,</w:t>
      </w:r>
      <w:r>
        <w:rPr>
          <w:color w:val="000000"/>
          <w:sz w:val="28"/>
          <w:szCs w:val="28"/>
        </w:rPr>
        <w:t xml:space="preserve"> valsts saistības pret elektroenerģijas ražotājiem sniedzas pat līdz 2033.</w:t>
      </w:r>
      <w:r w:rsidR="008B1D61">
        <w:rPr>
          <w:color w:val="000000"/>
          <w:sz w:val="28"/>
          <w:szCs w:val="28"/>
        </w:rPr>
        <w:t xml:space="preserve"> </w:t>
      </w:r>
      <w:r>
        <w:rPr>
          <w:color w:val="000000"/>
          <w:sz w:val="28"/>
          <w:szCs w:val="28"/>
        </w:rPr>
        <w:t xml:space="preserve">gadam. </w:t>
      </w:r>
      <w:r w:rsidRPr="00CF3328">
        <w:rPr>
          <w:b/>
          <w:color w:val="000000"/>
          <w:sz w:val="28"/>
          <w:szCs w:val="28"/>
        </w:rPr>
        <w:t>Šajā sakarā ir jālemj par esošās sistēmas turpināšanu saistībā a</w:t>
      </w:r>
      <w:r w:rsidR="00CF3328">
        <w:rPr>
          <w:b/>
          <w:color w:val="000000"/>
          <w:sz w:val="28"/>
          <w:szCs w:val="28"/>
        </w:rPr>
        <w:t>r OIK saglabāšanu noteiktā līmenī</w:t>
      </w:r>
      <w:r w:rsidRPr="00CF3328">
        <w:rPr>
          <w:b/>
          <w:color w:val="000000"/>
          <w:sz w:val="28"/>
          <w:szCs w:val="28"/>
        </w:rPr>
        <w:t>, pagarinot tās darbību.</w:t>
      </w:r>
    </w:p>
    <w:p w:rsidR="00352401" w:rsidRDefault="00352401" w:rsidP="00CF3328">
      <w:pPr>
        <w:spacing w:after="0" w:line="240" w:lineRule="auto"/>
        <w:ind w:firstLine="851"/>
        <w:rPr>
          <w:color w:val="000000"/>
          <w:sz w:val="28"/>
          <w:szCs w:val="28"/>
        </w:rPr>
      </w:pPr>
    </w:p>
    <w:p w:rsidR="00352401" w:rsidRPr="00CF3328" w:rsidRDefault="00352401" w:rsidP="00CF3328">
      <w:pPr>
        <w:spacing w:after="0" w:line="240" w:lineRule="auto"/>
        <w:ind w:firstLine="851"/>
        <w:rPr>
          <w:b/>
          <w:color w:val="000000"/>
          <w:sz w:val="28"/>
          <w:szCs w:val="28"/>
        </w:rPr>
      </w:pPr>
      <w:r w:rsidRPr="00CF3328">
        <w:rPr>
          <w:b/>
          <w:color w:val="000000"/>
          <w:sz w:val="28"/>
          <w:szCs w:val="28"/>
        </w:rPr>
        <w:t>Subsidētās elektroenerģijas nodoklis</w:t>
      </w:r>
    </w:p>
    <w:p w:rsidR="00673375" w:rsidRPr="00D87AE5" w:rsidRDefault="00673375" w:rsidP="00CF3328">
      <w:pPr>
        <w:spacing w:after="0" w:line="240" w:lineRule="auto"/>
        <w:ind w:firstLine="851"/>
        <w:rPr>
          <w:sz w:val="28"/>
          <w:szCs w:val="28"/>
        </w:rPr>
      </w:pPr>
      <w:r w:rsidRPr="000E37C7">
        <w:rPr>
          <w:sz w:val="28"/>
          <w:szCs w:val="28"/>
        </w:rPr>
        <w:t xml:space="preserve">Saeima 2013. gada 6. novembrī pieņēma Subsidētās elektroenerģijas nodokļa likumu, kas stājās spēkā 2014. gada 1. janvārī. </w:t>
      </w:r>
      <w:r>
        <w:rPr>
          <w:sz w:val="28"/>
          <w:szCs w:val="28"/>
        </w:rPr>
        <w:t xml:space="preserve">Līdz ar to tika ieviests </w:t>
      </w:r>
      <w:r w:rsidRPr="00D87AE5">
        <w:rPr>
          <w:sz w:val="28"/>
          <w:szCs w:val="28"/>
        </w:rPr>
        <w:t>subsidētās elektroenerģijas nodoklis (SEN)</w:t>
      </w:r>
      <w:r>
        <w:rPr>
          <w:sz w:val="28"/>
          <w:szCs w:val="28"/>
        </w:rPr>
        <w:t xml:space="preserve">, lai ierobežotu straujās izmaksas, kas būtu jākompensē elektroenerģijas lietotājiem. SEN </w:t>
      </w:r>
      <w:r w:rsidRPr="00D87AE5">
        <w:rPr>
          <w:sz w:val="28"/>
          <w:szCs w:val="28"/>
        </w:rPr>
        <w:t xml:space="preserve">tika piemērots ieņēmumiem par pārdoto elektroenerģiju </w:t>
      </w:r>
      <w:r w:rsidR="00CF3328">
        <w:rPr>
          <w:sz w:val="28"/>
          <w:szCs w:val="28"/>
        </w:rPr>
        <w:t>obligātā iepirkuma</w:t>
      </w:r>
      <w:r w:rsidRPr="00D87AE5">
        <w:rPr>
          <w:sz w:val="28"/>
          <w:szCs w:val="28"/>
        </w:rPr>
        <w:t xml:space="preserve"> ietvaros, kā arī ieņēmumiem no garantētās maksas par stacijā uzstādīto elektrisko jaudu. </w:t>
      </w:r>
    </w:p>
    <w:p w:rsidR="00673375" w:rsidRPr="00D87AE5" w:rsidRDefault="00673375" w:rsidP="00CF3328">
      <w:pPr>
        <w:spacing w:after="0" w:line="240" w:lineRule="auto"/>
        <w:ind w:firstLine="851"/>
        <w:rPr>
          <w:sz w:val="28"/>
          <w:szCs w:val="28"/>
        </w:rPr>
      </w:pPr>
      <w:r w:rsidRPr="00D87AE5">
        <w:rPr>
          <w:sz w:val="28"/>
          <w:szCs w:val="28"/>
        </w:rPr>
        <w:t>Šim nodoklim ir noteiktas trīs dažādas likmes:</w:t>
      </w:r>
    </w:p>
    <w:p w:rsidR="00673375" w:rsidRPr="00D87AE5" w:rsidRDefault="00673375" w:rsidP="00CF3328">
      <w:pPr>
        <w:spacing w:after="0" w:line="240" w:lineRule="auto"/>
        <w:ind w:firstLine="851"/>
        <w:rPr>
          <w:sz w:val="28"/>
          <w:szCs w:val="28"/>
        </w:rPr>
      </w:pPr>
      <w:r w:rsidRPr="00D87AE5">
        <w:rPr>
          <w:sz w:val="28"/>
          <w:szCs w:val="28"/>
        </w:rPr>
        <w:t>•</w:t>
      </w:r>
      <w:r w:rsidRPr="00D87AE5">
        <w:rPr>
          <w:sz w:val="28"/>
          <w:szCs w:val="28"/>
        </w:rPr>
        <w:tab/>
        <w:t>15% dabasgāzes koģenerācijas stacijām;</w:t>
      </w:r>
    </w:p>
    <w:p w:rsidR="00673375" w:rsidRPr="00D87AE5" w:rsidRDefault="00673375" w:rsidP="00CF3328">
      <w:pPr>
        <w:spacing w:after="0" w:line="240" w:lineRule="auto"/>
        <w:ind w:firstLine="851"/>
        <w:rPr>
          <w:sz w:val="28"/>
          <w:szCs w:val="28"/>
        </w:rPr>
      </w:pPr>
      <w:r w:rsidRPr="00D87AE5">
        <w:rPr>
          <w:sz w:val="28"/>
          <w:szCs w:val="28"/>
        </w:rPr>
        <w:t>•</w:t>
      </w:r>
      <w:r w:rsidRPr="00D87AE5">
        <w:rPr>
          <w:sz w:val="28"/>
          <w:szCs w:val="28"/>
        </w:rPr>
        <w:tab/>
        <w:t>10% AER izmantojošām stacijām;</w:t>
      </w:r>
    </w:p>
    <w:p w:rsidR="00673375" w:rsidRPr="00D87AE5" w:rsidRDefault="00673375" w:rsidP="00CF3328">
      <w:pPr>
        <w:spacing w:after="0" w:line="240" w:lineRule="auto"/>
        <w:ind w:firstLine="851"/>
        <w:rPr>
          <w:sz w:val="28"/>
          <w:szCs w:val="28"/>
        </w:rPr>
      </w:pPr>
      <w:r w:rsidRPr="00D87AE5">
        <w:rPr>
          <w:sz w:val="28"/>
          <w:szCs w:val="28"/>
        </w:rPr>
        <w:t>•</w:t>
      </w:r>
      <w:r w:rsidRPr="00D87AE5">
        <w:rPr>
          <w:sz w:val="28"/>
          <w:szCs w:val="28"/>
        </w:rPr>
        <w:tab/>
        <w:t>5% stacijām, kas atbilst noteiktiem nosacījumiem.</w:t>
      </w:r>
    </w:p>
    <w:p w:rsidR="00673375" w:rsidRDefault="00673375" w:rsidP="00CF3328">
      <w:pPr>
        <w:spacing w:after="0" w:line="240" w:lineRule="auto"/>
        <w:ind w:firstLine="851"/>
        <w:rPr>
          <w:sz w:val="28"/>
          <w:szCs w:val="28"/>
        </w:rPr>
      </w:pPr>
      <w:r w:rsidRPr="000E37C7">
        <w:rPr>
          <w:sz w:val="28"/>
          <w:szCs w:val="28"/>
        </w:rPr>
        <w:t>Satversmes tiesa</w:t>
      </w:r>
      <w:r>
        <w:rPr>
          <w:sz w:val="28"/>
          <w:szCs w:val="28"/>
        </w:rPr>
        <w:t xml:space="preserve"> </w:t>
      </w:r>
      <w:r w:rsidRPr="000E37C7">
        <w:rPr>
          <w:sz w:val="28"/>
          <w:szCs w:val="28"/>
        </w:rPr>
        <w:t>2015. gada 3. jūlijā ir pasludinājusi spriedumu lietā Nr. 2014-12-01 „Par Subsidētās elektroenerģijas nodokļa likuma 3. panta 1. un 2. punkta, 4. panta 1. punkta un 5. panta atbilstību Latvijas Republikas Satversmes 1. un 105. pantam”. Subsidētās elektr</w:t>
      </w:r>
      <w:r w:rsidR="003B2A1E">
        <w:rPr>
          <w:sz w:val="28"/>
          <w:szCs w:val="28"/>
        </w:rPr>
        <w:t>oenerģijas nodoklis nav atzī</w:t>
      </w:r>
      <w:r>
        <w:rPr>
          <w:sz w:val="28"/>
          <w:szCs w:val="28"/>
        </w:rPr>
        <w:t>t</w:t>
      </w:r>
      <w:r w:rsidRPr="000E37C7">
        <w:rPr>
          <w:sz w:val="28"/>
          <w:szCs w:val="28"/>
        </w:rPr>
        <w:t>s par nesamērīgu slogu tā maksātājiem.</w:t>
      </w:r>
      <w:r>
        <w:rPr>
          <w:sz w:val="28"/>
          <w:szCs w:val="28"/>
        </w:rPr>
        <w:t xml:space="preserve"> </w:t>
      </w:r>
    </w:p>
    <w:p w:rsidR="00352401" w:rsidRDefault="00673375" w:rsidP="00CF3328">
      <w:pPr>
        <w:spacing w:after="0" w:line="240" w:lineRule="auto"/>
        <w:ind w:firstLine="851"/>
        <w:rPr>
          <w:sz w:val="28"/>
          <w:szCs w:val="28"/>
        </w:rPr>
      </w:pPr>
      <w:r>
        <w:rPr>
          <w:sz w:val="28"/>
          <w:szCs w:val="28"/>
        </w:rPr>
        <w:lastRenderedPageBreak/>
        <w:t xml:space="preserve">Jāatzīmē, ka iekasētais SEN nodoklis ir mazāks nekā sākotnēji plānotais, jo tam par iemeslu ir gan mazākas dabasgāzes cenas, gan mazāks </w:t>
      </w:r>
      <w:r w:rsidR="00355B59">
        <w:rPr>
          <w:sz w:val="28"/>
          <w:szCs w:val="28"/>
        </w:rPr>
        <w:t xml:space="preserve">elektroenerģijas </w:t>
      </w:r>
      <w:r>
        <w:rPr>
          <w:sz w:val="28"/>
          <w:szCs w:val="28"/>
        </w:rPr>
        <w:t xml:space="preserve">patēriņš kā iepriekš bija plānots. </w:t>
      </w:r>
      <w:r w:rsidR="00352401">
        <w:rPr>
          <w:sz w:val="28"/>
          <w:szCs w:val="28"/>
        </w:rPr>
        <w:t xml:space="preserve">SEN ir </w:t>
      </w:r>
      <w:r w:rsidR="00355B59">
        <w:rPr>
          <w:sz w:val="28"/>
          <w:szCs w:val="28"/>
        </w:rPr>
        <w:t xml:space="preserve">viens no </w:t>
      </w:r>
      <w:r w:rsidR="00352401">
        <w:rPr>
          <w:sz w:val="28"/>
          <w:szCs w:val="28"/>
        </w:rPr>
        <w:t>finanšu avot</w:t>
      </w:r>
      <w:r w:rsidR="00355B59">
        <w:rPr>
          <w:sz w:val="28"/>
          <w:szCs w:val="28"/>
        </w:rPr>
        <w:t>iem, lai nepaaugstinātu</w:t>
      </w:r>
      <w:r w:rsidR="00352401">
        <w:rPr>
          <w:sz w:val="28"/>
          <w:szCs w:val="28"/>
        </w:rPr>
        <w:t xml:space="preserve"> OIK, līdz ar to kontekstā ar </w:t>
      </w:r>
      <w:r w:rsidR="00355B59">
        <w:rPr>
          <w:sz w:val="28"/>
          <w:szCs w:val="28"/>
        </w:rPr>
        <w:t>lēmumiem par atbalstu sistēmu būs nepieciešams pieņemt arī lēmumus attiecībā uz SEN</w:t>
      </w:r>
      <w:r w:rsidR="00352401">
        <w:rPr>
          <w:sz w:val="28"/>
          <w:szCs w:val="28"/>
        </w:rPr>
        <w:t>.</w:t>
      </w:r>
    </w:p>
    <w:p w:rsidR="00CF3328" w:rsidRDefault="00673375" w:rsidP="00CF3328">
      <w:pPr>
        <w:spacing w:after="0" w:line="240" w:lineRule="auto"/>
        <w:ind w:firstLine="851"/>
        <w:rPr>
          <w:sz w:val="28"/>
          <w:szCs w:val="28"/>
        </w:rPr>
      </w:pPr>
      <w:r>
        <w:rPr>
          <w:sz w:val="28"/>
          <w:szCs w:val="28"/>
        </w:rPr>
        <w:t>Pašlaik esošais valsts atbalsts</w:t>
      </w:r>
      <w:r w:rsidR="00352401">
        <w:rPr>
          <w:sz w:val="28"/>
          <w:szCs w:val="28"/>
        </w:rPr>
        <w:t xml:space="preserve"> komersantiem</w:t>
      </w:r>
      <w:r>
        <w:rPr>
          <w:sz w:val="28"/>
          <w:szCs w:val="28"/>
        </w:rPr>
        <w:t xml:space="preserve"> tiek skaņots ar </w:t>
      </w:r>
      <w:r w:rsidR="00355B59">
        <w:rPr>
          <w:sz w:val="28"/>
          <w:szCs w:val="28"/>
        </w:rPr>
        <w:t>Eiropas Komisiju (</w:t>
      </w:r>
      <w:r>
        <w:rPr>
          <w:sz w:val="28"/>
          <w:szCs w:val="28"/>
        </w:rPr>
        <w:t>EK</w:t>
      </w:r>
      <w:r w:rsidR="00355B59">
        <w:rPr>
          <w:sz w:val="28"/>
          <w:szCs w:val="28"/>
        </w:rPr>
        <w:t>)</w:t>
      </w:r>
      <w:r w:rsidR="00352401">
        <w:rPr>
          <w:sz w:val="28"/>
          <w:szCs w:val="28"/>
        </w:rPr>
        <w:t xml:space="preserve">, kas prasīja ievērojami ilgāku laiku salīdzinājumā ar sākotnēji plānoto, jo Latvija pirmo reizi skaņo ar EK visu </w:t>
      </w:r>
      <w:r w:rsidR="00CF3328">
        <w:rPr>
          <w:sz w:val="28"/>
          <w:szCs w:val="28"/>
        </w:rPr>
        <w:t>obligātā iepirkuma</w:t>
      </w:r>
      <w:r w:rsidR="00352401">
        <w:rPr>
          <w:sz w:val="28"/>
          <w:szCs w:val="28"/>
        </w:rPr>
        <w:t xml:space="preserve"> sistēmu, atbrīvojumus un atvieglojumus attiecībā uz nodokļiem, kā arī samazinātās SEN likmes</w:t>
      </w:r>
      <w:r>
        <w:rPr>
          <w:sz w:val="28"/>
          <w:szCs w:val="28"/>
        </w:rPr>
        <w:t>. Līdz 2015.gada beigām gaidāms EK lēmums</w:t>
      </w:r>
      <w:r w:rsidR="00355B59">
        <w:rPr>
          <w:sz w:val="28"/>
          <w:szCs w:val="28"/>
        </w:rPr>
        <w:t xml:space="preserve"> par atbalsta sistēma saderīgumu ar Eiropas Savienības iekšējo tirgu un atsevišķu tehnoloģiju potenciālo pārsubsidāciju</w:t>
      </w:r>
      <w:r w:rsidRPr="00CF3328">
        <w:rPr>
          <w:sz w:val="28"/>
          <w:szCs w:val="28"/>
        </w:rPr>
        <w:t xml:space="preserve">. </w:t>
      </w:r>
      <w:r w:rsidR="00355B59">
        <w:rPr>
          <w:sz w:val="28"/>
          <w:szCs w:val="28"/>
        </w:rPr>
        <w:t xml:space="preserve">Pēc EK lēmuma saņemšanas būs nepieciešams veikt analīzi attiecībā uz pasākumiem, lai novērstu konstatēto pārsubsidāciju, un viens no potenciālajiem pasākumiem būtu </w:t>
      </w:r>
      <w:r w:rsidRPr="00CF3328">
        <w:rPr>
          <w:sz w:val="28"/>
          <w:szCs w:val="28"/>
        </w:rPr>
        <w:t>SEN pagarināšan</w:t>
      </w:r>
      <w:r w:rsidR="00355B59">
        <w:rPr>
          <w:sz w:val="28"/>
          <w:szCs w:val="28"/>
        </w:rPr>
        <w:t>a</w:t>
      </w:r>
      <w:r w:rsidRPr="00CF3328">
        <w:rPr>
          <w:sz w:val="28"/>
          <w:szCs w:val="28"/>
        </w:rPr>
        <w:t xml:space="preserve"> uz gadu vai ilgāk</w:t>
      </w:r>
      <w:r w:rsidR="00DF1F4E" w:rsidRPr="00CF3328">
        <w:rPr>
          <w:sz w:val="28"/>
          <w:szCs w:val="28"/>
        </w:rPr>
        <w:t>u laika periodu atsevišķām nodokļa maksātāju grupām</w:t>
      </w:r>
      <w:r w:rsidRPr="00CF3328">
        <w:rPr>
          <w:sz w:val="28"/>
          <w:szCs w:val="28"/>
        </w:rPr>
        <w:t>.</w:t>
      </w:r>
      <w:r>
        <w:rPr>
          <w:sz w:val="28"/>
          <w:szCs w:val="28"/>
        </w:rPr>
        <w:t xml:space="preserve"> </w:t>
      </w:r>
    </w:p>
    <w:p w:rsidR="00CF3328" w:rsidRPr="00CF3328" w:rsidRDefault="00CF3328" w:rsidP="00CF3328">
      <w:pPr>
        <w:spacing w:after="0" w:line="240" w:lineRule="auto"/>
        <w:ind w:firstLine="851"/>
        <w:rPr>
          <w:sz w:val="28"/>
          <w:szCs w:val="28"/>
        </w:rPr>
      </w:pPr>
    </w:p>
    <w:p w:rsidR="00CF3328" w:rsidRDefault="00DF1F4E" w:rsidP="00CF3328">
      <w:pPr>
        <w:spacing w:after="0" w:line="240" w:lineRule="auto"/>
        <w:ind w:firstLine="851"/>
        <w:rPr>
          <w:rFonts w:cs="Times New Roman"/>
          <w:b/>
          <w:sz w:val="28"/>
          <w:szCs w:val="28"/>
        </w:rPr>
      </w:pPr>
      <w:r w:rsidRPr="00CF3328">
        <w:rPr>
          <w:rFonts w:cs="Times New Roman"/>
          <w:b/>
          <w:sz w:val="28"/>
          <w:szCs w:val="28"/>
        </w:rPr>
        <w:t>Sadales sistēmas tarifu reforma</w:t>
      </w:r>
    </w:p>
    <w:p w:rsidR="00CF3328" w:rsidRDefault="00673375" w:rsidP="00CF3328">
      <w:pPr>
        <w:spacing w:after="0" w:line="240" w:lineRule="auto"/>
        <w:ind w:firstLine="851"/>
        <w:rPr>
          <w:rFonts w:cs="Times New Roman"/>
          <w:sz w:val="28"/>
          <w:szCs w:val="28"/>
        </w:rPr>
      </w:pPr>
      <w:r w:rsidRPr="00992F41">
        <w:rPr>
          <w:rFonts w:cs="Times New Roman"/>
          <w:sz w:val="28"/>
          <w:szCs w:val="28"/>
        </w:rPr>
        <w:t>Patreizējie sistēmas tarifi mājsaimniecībām balstās uz elektroenerģijas patēriņu, bet pārējiem lietotājiem</w:t>
      </w:r>
      <w:r w:rsidR="00355B59">
        <w:rPr>
          <w:rFonts w:cs="Times New Roman"/>
          <w:sz w:val="28"/>
          <w:szCs w:val="28"/>
        </w:rPr>
        <w:t>,</w:t>
      </w:r>
      <w:r w:rsidRPr="00992F41">
        <w:rPr>
          <w:rFonts w:cs="Times New Roman"/>
          <w:sz w:val="28"/>
          <w:szCs w:val="28"/>
        </w:rPr>
        <w:t xml:space="preserve"> galvenokārt</w:t>
      </w:r>
      <w:r w:rsidR="00355B59">
        <w:rPr>
          <w:rFonts w:cs="Times New Roman"/>
          <w:sz w:val="28"/>
          <w:szCs w:val="28"/>
        </w:rPr>
        <w:t>,</w:t>
      </w:r>
      <w:r w:rsidRPr="00992F41">
        <w:rPr>
          <w:rFonts w:cs="Times New Roman"/>
          <w:sz w:val="28"/>
          <w:szCs w:val="28"/>
        </w:rPr>
        <w:t xml:space="preserve"> uz elektroenerģijas patēriņu un uz pieprasīto jaudu. Šāda tarifu struktūra nav vērsta uz efektīvu sistēmas infrastruktūras izmantošanu, jo tīkla vidējā noslodze (vidējā stundas tīkla slodze pret sistēmā uzstādīto kopējo jaudu) 2014. gadā bija 12,5 %, bet maksimālās stundas slodzes izmantošana – 19,9 %. </w:t>
      </w:r>
      <w:r w:rsidRPr="00CF1A20">
        <w:rPr>
          <w:rFonts w:cs="Times New Roman"/>
          <w:sz w:val="28"/>
          <w:szCs w:val="28"/>
        </w:rPr>
        <w:t xml:space="preserve">Pēc informācijas no AS „Sadales tīkls” 85% izmaksu pastāv arī gadījumā, kad neviens nepatērētu elektroenerģiju, savukārt 15% izmaksu ir tieši atkarīgas no sadalītās elektroenerģijas apjoma. </w:t>
      </w:r>
      <w:r w:rsidRPr="00992F41">
        <w:rPr>
          <w:rFonts w:cs="Times New Roman"/>
          <w:sz w:val="28"/>
          <w:szCs w:val="28"/>
        </w:rPr>
        <w:t>Šobrīd lietotāji netiek iedrošināti optimāli izmantot sadales sistēmas infr</w:t>
      </w:r>
      <w:r w:rsidRPr="00580625">
        <w:rPr>
          <w:rFonts w:cs="Times New Roman"/>
          <w:sz w:val="28"/>
          <w:szCs w:val="28"/>
        </w:rPr>
        <w:t>astruktūru.</w:t>
      </w:r>
      <w:r>
        <w:rPr>
          <w:rFonts w:cs="Times New Roman"/>
          <w:sz w:val="28"/>
          <w:szCs w:val="28"/>
        </w:rPr>
        <w:t xml:space="preserve"> Turpmāk </w:t>
      </w:r>
      <w:r w:rsidRPr="00440677">
        <w:rPr>
          <w:rFonts w:cs="Times New Roman"/>
          <w:sz w:val="28"/>
          <w:szCs w:val="28"/>
        </w:rPr>
        <w:t>sistēmas pakalpojumiem ir jābūt lietotājam pieejamiem par zemāko iespējamo samaksu, tarifiem ir jāstimulē lietotājus efektīvi izmantot tīklu un arī izmantot vairāk elektroenerģiju, kas vienlaikus samazinās OIK apjomu uz izlietoto kWh. Vienlaikus tiktu radītas priekšrocības citu energoiekārtu izmantošanai, kā piemēram, siltum</w:t>
      </w:r>
      <w:r>
        <w:rPr>
          <w:rFonts w:cs="Times New Roman"/>
          <w:sz w:val="28"/>
          <w:szCs w:val="28"/>
        </w:rPr>
        <w:t xml:space="preserve">a </w:t>
      </w:r>
      <w:r w:rsidRPr="00440677">
        <w:rPr>
          <w:rFonts w:cs="Times New Roman"/>
          <w:sz w:val="28"/>
          <w:szCs w:val="28"/>
        </w:rPr>
        <w:t xml:space="preserve">sūkņi, kas vienlaikus uzlabotu </w:t>
      </w:r>
      <w:r w:rsidR="003B2A1E">
        <w:rPr>
          <w:rFonts w:cs="Times New Roman"/>
          <w:sz w:val="28"/>
          <w:szCs w:val="28"/>
        </w:rPr>
        <w:t>atjaunojamo energoresursu</w:t>
      </w:r>
      <w:r w:rsidR="00355B59">
        <w:rPr>
          <w:rFonts w:cs="Times New Roman"/>
          <w:sz w:val="28"/>
          <w:szCs w:val="28"/>
        </w:rPr>
        <w:t xml:space="preserve"> (AER)</w:t>
      </w:r>
      <w:r w:rsidR="003B2A1E" w:rsidRPr="00440677">
        <w:rPr>
          <w:rFonts w:cs="Times New Roman"/>
          <w:sz w:val="28"/>
          <w:szCs w:val="28"/>
        </w:rPr>
        <w:t xml:space="preserve"> </w:t>
      </w:r>
      <w:r w:rsidRPr="00440677">
        <w:rPr>
          <w:rFonts w:cs="Times New Roman"/>
          <w:sz w:val="28"/>
          <w:szCs w:val="28"/>
        </w:rPr>
        <w:t xml:space="preserve">daļu primārajā bilancē. Papildu lietotājs tiks motivēts izmantot to enerģijas veidu, kur ir lielāki energoefektivitātes ietaupījumi. </w:t>
      </w:r>
    </w:p>
    <w:p w:rsidR="00CF3328" w:rsidRDefault="00CF3328" w:rsidP="00CF3328">
      <w:pPr>
        <w:spacing w:after="0" w:line="240" w:lineRule="auto"/>
        <w:ind w:firstLine="851"/>
        <w:rPr>
          <w:rFonts w:cs="Times New Roman"/>
          <w:sz w:val="28"/>
          <w:szCs w:val="28"/>
        </w:rPr>
      </w:pPr>
    </w:p>
    <w:p w:rsidR="00DF1F4E" w:rsidRPr="00CF3328" w:rsidRDefault="00DF1F4E" w:rsidP="00CF3328">
      <w:pPr>
        <w:spacing w:after="0" w:line="240" w:lineRule="auto"/>
        <w:ind w:firstLine="851"/>
        <w:rPr>
          <w:rFonts w:cs="Times New Roman"/>
          <w:b/>
          <w:sz w:val="28"/>
          <w:szCs w:val="28"/>
        </w:rPr>
      </w:pPr>
      <w:r w:rsidRPr="00CF3328">
        <w:rPr>
          <w:rFonts w:cs="Times New Roman"/>
          <w:b/>
          <w:sz w:val="28"/>
          <w:szCs w:val="28"/>
        </w:rPr>
        <w:t xml:space="preserve">Aizsargāto lietotāju atbalsta turpināšana </w:t>
      </w:r>
    </w:p>
    <w:p w:rsidR="00673375" w:rsidRDefault="00673375" w:rsidP="00CF3328">
      <w:pPr>
        <w:spacing w:after="0" w:line="240" w:lineRule="auto"/>
        <w:ind w:firstLine="851"/>
        <w:rPr>
          <w:sz w:val="28"/>
          <w:szCs w:val="28"/>
        </w:rPr>
      </w:pPr>
      <w:r w:rsidRPr="00440677">
        <w:rPr>
          <w:sz w:val="28"/>
          <w:szCs w:val="28"/>
        </w:rPr>
        <w:t>Aizsargāto lietotāju koncepts ir paredzēts, lai valstī samazinātos enerģētiskā nabadzība un attiecīgi mazinātu to cilvēku skaitu, kas nonākuši šādā situācijā. Līdz ar to enerģētiskās nabadzības mazināšanai pastāv vairāki virzieni, kā piemēram</w:t>
      </w:r>
      <w:r w:rsidR="003B2A1E">
        <w:rPr>
          <w:sz w:val="28"/>
          <w:szCs w:val="28"/>
        </w:rPr>
        <w:t>,</w:t>
      </w:r>
      <w:r w:rsidRPr="00440677">
        <w:rPr>
          <w:sz w:val="28"/>
          <w:szCs w:val="28"/>
        </w:rPr>
        <w:t xml:space="preserve"> elektroenerģijas cenas atbalsts, sistēmas pieslēgumu cenu atbalsts un arī atbalsts pieslēgumiem tām trūcīgām vai maznodrošinātām mājsaimniecībām, kurās ilgstoši dzīvo bez elektrības personas, kurām nav iespējams segt pieslēguma izmaksas. Direktīvā 2009/72/EK par kopīgiem </w:t>
      </w:r>
      <w:r w:rsidRPr="00440677">
        <w:rPr>
          <w:sz w:val="28"/>
          <w:szCs w:val="28"/>
        </w:rPr>
        <w:lastRenderedPageBreak/>
        <w:t>noteikumiem attiecībā uz elektroenerģijas iekšējo tirgu un par Direktīvas 2003/54/EK atcelšanu norādīts, ka dalībvalstīm būtu jānodrošina neaizsargāto lietotāju energoapgāde.</w:t>
      </w:r>
    </w:p>
    <w:p w:rsidR="00CF3328" w:rsidRDefault="00CF3328" w:rsidP="00CF3328">
      <w:pPr>
        <w:spacing w:after="0" w:line="240" w:lineRule="auto"/>
        <w:ind w:firstLine="851"/>
        <w:rPr>
          <w:sz w:val="28"/>
          <w:szCs w:val="28"/>
        </w:rPr>
      </w:pPr>
    </w:p>
    <w:p w:rsidR="00DF1F4E" w:rsidRPr="00DF1F4E" w:rsidRDefault="00DF1F4E" w:rsidP="00CF3328">
      <w:pPr>
        <w:spacing w:after="0" w:line="240" w:lineRule="auto"/>
        <w:ind w:firstLine="851"/>
        <w:rPr>
          <w:b/>
          <w:sz w:val="28"/>
          <w:szCs w:val="28"/>
        </w:rPr>
      </w:pPr>
      <w:r w:rsidRPr="00DF1F4E">
        <w:rPr>
          <w:b/>
          <w:sz w:val="28"/>
          <w:szCs w:val="28"/>
        </w:rPr>
        <w:t>Valsts budžeta ieņēmumu un izdevumu prognoze</w:t>
      </w:r>
    </w:p>
    <w:p w:rsidR="00DF1F4E" w:rsidRDefault="00DF1F4E" w:rsidP="00CF3328">
      <w:pPr>
        <w:spacing w:after="0" w:line="240" w:lineRule="auto"/>
        <w:ind w:firstLine="851"/>
        <w:rPr>
          <w:sz w:val="28"/>
          <w:szCs w:val="28"/>
        </w:rPr>
      </w:pPr>
      <w:r w:rsidRPr="00CF1A20">
        <w:rPr>
          <w:sz w:val="28"/>
          <w:szCs w:val="28"/>
        </w:rPr>
        <w:t xml:space="preserve">Ar Ministru kabineta 2014. gada 19. novembra sēdes protokollēmuma Nr.63 23.§ 2.2.apakšpunktu, Ministru kabinetam pieņemot zināšanai informatīvo ziņojumu “Par subsidētās elektroenerģijas nodokļa izpildes progresu”, Ekonomikas ministrijai tika uzdots valsts budžeta 2016. gadam projekta sagatavošanas procesā iesniegt Ministru kabinetā izvērtējumu par SEN izpildes progresu 2015. gadā un priekšlikumus par nepieciešamo valsts budžeta finansējumu elektroenerģijas lietotāju atbalstam 2016. gadā un turpmākajos gados. Ekonomikas ministrija šajā Konceptuālajā ziņojumā ir sagatavojusi priekšlikumus par nepieciešamo valsts budžeta finansējumu elektroenerģijas lietotāju atbalstam 2016. gadā un turpmākajos gados.  </w:t>
      </w:r>
    </w:p>
    <w:p w:rsidR="0069619C" w:rsidRDefault="00673375" w:rsidP="0069619C">
      <w:pPr>
        <w:spacing w:after="0" w:line="240" w:lineRule="auto"/>
        <w:ind w:firstLine="851"/>
        <w:rPr>
          <w:noProof/>
          <w:sz w:val="28"/>
          <w:szCs w:val="28"/>
          <w:lang w:eastAsia="lv-LV"/>
        </w:rPr>
      </w:pPr>
      <w:r>
        <w:rPr>
          <w:sz w:val="28"/>
          <w:szCs w:val="28"/>
        </w:rPr>
        <w:t>Konceptuāl</w:t>
      </w:r>
      <w:r w:rsidR="00C157CB">
        <w:rPr>
          <w:sz w:val="28"/>
          <w:szCs w:val="28"/>
        </w:rPr>
        <w:t>aj</w:t>
      </w:r>
      <w:r>
        <w:rPr>
          <w:sz w:val="28"/>
          <w:szCs w:val="28"/>
        </w:rPr>
        <w:t xml:space="preserve">ā ziņojumā ir sagatavoti </w:t>
      </w:r>
      <w:r w:rsidR="00F911E8">
        <w:rPr>
          <w:sz w:val="28"/>
          <w:szCs w:val="28"/>
        </w:rPr>
        <w:t>2</w:t>
      </w:r>
      <w:r>
        <w:rPr>
          <w:sz w:val="28"/>
          <w:szCs w:val="28"/>
        </w:rPr>
        <w:t xml:space="preserve"> varianti ar risinājumiem un attiecīgajiem priekšlikumiem 2016.</w:t>
      </w:r>
      <w:r w:rsidR="008B1D61">
        <w:rPr>
          <w:sz w:val="28"/>
          <w:szCs w:val="28"/>
        </w:rPr>
        <w:t xml:space="preserve"> </w:t>
      </w:r>
      <w:r>
        <w:rPr>
          <w:sz w:val="28"/>
          <w:szCs w:val="28"/>
        </w:rPr>
        <w:t>gada budžetam un 2016</w:t>
      </w:r>
      <w:r w:rsidR="00C157CB">
        <w:rPr>
          <w:sz w:val="28"/>
          <w:szCs w:val="28"/>
        </w:rPr>
        <w:t>.</w:t>
      </w:r>
      <w:r>
        <w:rPr>
          <w:sz w:val="28"/>
          <w:szCs w:val="28"/>
        </w:rPr>
        <w:t>-2018.</w:t>
      </w:r>
      <w:r w:rsidR="008B1D61">
        <w:rPr>
          <w:sz w:val="28"/>
          <w:szCs w:val="28"/>
        </w:rPr>
        <w:t xml:space="preserve"> </w:t>
      </w:r>
      <w:r>
        <w:rPr>
          <w:sz w:val="28"/>
          <w:szCs w:val="28"/>
        </w:rPr>
        <w:t xml:space="preserve">gada budžeta ietvaram. </w:t>
      </w:r>
      <w:r w:rsidR="0069619C">
        <w:rPr>
          <w:sz w:val="28"/>
          <w:szCs w:val="28"/>
        </w:rPr>
        <w:t>Vērtējot iespējamās opcijas</w:t>
      </w:r>
      <w:r w:rsidR="00C157CB">
        <w:rPr>
          <w:sz w:val="28"/>
          <w:szCs w:val="28"/>
        </w:rPr>
        <w:t>,</w:t>
      </w:r>
      <w:r w:rsidR="0069619C">
        <w:rPr>
          <w:sz w:val="28"/>
          <w:szCs w:val="28"/>
        </w:rPr>
        <w:t xml:space="preserve"> tika vērtēta AS „Latvenergo” ikgadējo dividenžu novirzīšana OIK atbals</w:t>
      </w:r>
      <w:r w:rsidR="001D5192">
        <w:rPr>
          <w:sz w:val="28"/>
          <w:szCs w:val="28"/>
        </w:rPr>
        <w:t>ta finansēšanai. Starptautiskie</w:t>
      </w:r>
      <w:r w:rsidR="0069619C">
        <w:rPr>
          <w:sz w:val="28"/>
          <w:szCs w:val="28"/>
        </w:rPr>
        <w:t xml:space="preserve"> finanšu konsultanti, izvērtējot Latvenergo koncerna finanšu stāvokli</w:t>
      </w:r>
      <w:r w:rsidR="000D6030">
        <w:rPr>
          <w:sz w:val="28"/>
          <w:szCs w:val="28"/>
        </w:rPr>
        <w:t>, t.sk., ņemot vērā koncerna vidēja termiņa darbības stratēģiju,</w:t>
      </w:r>
      <w:r w:rsidR="0069619C">
        <w:rPr>
          <w:sz w:val="28"/>
          <w:szCs w:val="28"/>
        </w:rPr>
        <w:t xml:space="preserve"> un iespējas vidējā termiņā palielināt dividenžu izmaksu, ir secinājuši, ka bāzes scenārija gadījumā (nenotiek negatīvi regulācijas vides notikumi, kuru rezultātā būtu jāveido uzkrājumi esošo aktīvu vērtību norakstīšanai) uzņēmums ir spējīgs ilgtermiņā izmaksāt līdz pat 60% no neto peļņas, taču</w:t>
      </w:r>
      <w:r w:rsidR="00C157CB">
        <w:rPr>
          <w:sz w:val="28"/>
          <w:szCs w:val="28"/>
        </w:rPr>
        <w:t>,</w:t>
      </w:r>
      <w:r w:rsidR="0069619C">
        <w:rPr>
          <w:sz w:val="28"/>
          <w:szCs w:val="28"/>
        </w:rPr>
        <w:t xml:space="preserve"> ņemot vērā, ka Latvenergo koncerna kapitāla struktūra ir ar palielinātu paša kapitāla īpatsvaru, uzņēmums ir spējīgs ziņojuma pārskata periodā izmaksāt arī līdz pat 100% no neto peļņas. Šāda dividenžu izmaksa atbilstu caurmērā citiem ES nozares uzņēmumiem un ļautu finansēt visus ieplānotos Latvenergo koncerna kapitālieguldījumu projektus.</w:t>
      </w:r>
      <w:r w:rsidR="0069619C">
        <w:rPr>
          <w:noProof/>
          <w:sz w:val="28"/>
          <w:szCs w:val="28"/>
          <w:lang w:eastAsia="lv-LV"/>
        </w:rPr>
        <w:t xml:space="preserve"> </w:t>
      </w:r>
    </w:p>
    <w:p w:rsidR="007B1B2E" w:rsidRDefault="007B1B2E" w:rsidP="0069619C">
      <w:pPr>
        <w:spacing w:after="0" w:line="240" w:lineRule="auto"/>
        <w:ind w:firstLine="851"/>
        <w:rPr>
          <w:noProof/>
          <w:sz w:val="28"/>
          <w:szCs w:val="28"/>
          <w:lang w:eastAsia="lv-LV"/>
        </w:rPr>
      </w:pPr>
      <w:r>
        <w:rPr>
          <w:noProof/>
          <w:sz w:val="28"/>
          <w:szCs w:val="28"/>
          <w:lang w:eastAsia="lv-LV"/>
        </w:rPr>
        <w:t xml:space="preserve">Ministru kabineta </w:t>
      </w:r>
      <w:r w:rsidRPr="007B1B2E">
        <w:rPr>
          <w:noProof/>
          <w:sz w:val="28"/>
          <w:szCs w:val="28"/>
          <w:lang w:eastAsia="lv-LV"/>
        </w:rPr>
        <w:t>2009.</w:t>
      </w:r>
      <w:r>
        <w:rPr>
          <w:noProof/>
          <w:sz w:val="28"/>
          <w:szCs w:val="28"/>
          <w:lang w:eastAsia="lv-LV"/>
        </w:rPr>
        <w:t> </w:t>
      </w:r>
      <w:r w:rsidRPr="007B1B2E">
        <w:rPr>
          <w:noProof/>
          <w:sz w:val="28"/>
          <w:szCs w:val="28"/>
          <w:lang w:eastAsia="lv-LV"/>
        </w:rPr>
        <w:t>gada 15.</w:t>
      </w:r>
      <w:r>
        <w:rPr>
          <w:noProof/>
          <w:sz w:val="28"/>
          <w:szCs w:val="28"/>
          <w:lang w:eastAsia="lv-LV"/>
        </w:rPr>
        <w:t> </w:t>
      </w:r>
      <w:r w:rsidRPr="007B1B2E">
        <w:rPr>
          <w:noProof/>
          <w:sz w:val="28"/>
          <w:szCs w:val="28"/>
          <w:lang w:eastAsia="lv-LV"/>
        </w:rPr>
        <w:t>decembra noteikumu Nr.1471 „Kārtība, kādā tiek noteikta un ieskaitīta valsts budžetā izmaksājamā peļņas daļa pa</w:t>
      </w:r>
      <w:r>
        <w:rPr>
          <w:noProof/>
          <w:sz w:val="28"/>
          <w:szCs w:val="28"/>
          <w:lang w:eastAsia="lv-LV"/>
        </w:rPr>
        <w:t xml:space="preserve">r valsts kapitāla izmantošanu” 3. </w:t>
      </w:r>
      <w:r w:rsidRPr="007B1B2E">
        <w:rPr>
          <w:noProof/>
          <w:sz w:val="28"/>
          <w:szCs w:val="28"/>
          <w:lang w:eastAsia="lv-LV"/>
        </w:rPr>
        <w:t xml:space="preserve">punkts paredz </w:t>
      </w:r>
      <w:r>
        <w:rPr>
          <w:noProof/>
          <w:sz w:val="28"/>
          <w:szCs w:val="28"/>
          <w:lang w:eastAsia="lv-LV"/>
        </w:rPr>
        <w:t xml:space="preserve">nosacījumu, ka izmaksājamā peļņas daļa </w:t>
      </w:r>
      <w:r w:rsidRPr="007B1B2E">
        <w:rPr>
          <w:noProof/>
          <w:sz w:val="28"/>
          <w:szCs w:val="28"/>
          <w:lang w:eastAsia="lv-LV"/>
        </w:rPr>
        <w:t>valsts kapitālsabiedrībām un valsts izšķirošajā ietekmē esošām kapitālsabiedrībām ir 27</w:t>
      </w:r>
      <w:r>
        <w:rPr>
          <w:noProof/>
          <w:sz w:val="28"/>
          <w:szCs w:val="28"/>
          <w:lang w:eastAsia="lv-LV"/>
        </w:rPr>
        <w:t>%</w:t>
      </w:r>
      <w:r w:rsidRPr="007B1B2E">
        <w:rPr>
          <w:noProof/>
          <w:sz w:val="28"/>
          <w:szCs w:val="28"/>
          <w:lang w:eastAsia="lv-LV"/>
        </w:rPr>
        <w:t xml:space="preserve"> no attiecīgās kapitālsabiedrības tīrās peļņas, ja valsts budžeta likumā kārtējam gadam nav noteikts citādi</w:t>
      </w:r>
      <w:r>
        <w:rPr>
          <w:noProof/>
          <w:sz w:val="28"/>
          <w:szCs w:val="28"/>
          <w:lang w:eastAsia="lv-LV"/>
        </w:rPr>
        <w:t xml:space="preserve">. Līdz ar to, lemjot par valsts budžetu 2017. un 2018. gadam, būs nepieciešams noteikt AS “Latvenergo” </w:t>
      </w:r>
      <w:r w:rsidR="00207CB4">
        <w:rPr>
          <w:noProof/>
          <w:sz w:val="28"/>
          <w:szCs w:val="28"/>
          <w:lang w:eastAsia="lv-LV"/>
        </w:rPr>
        <w:t>lielāku valsts budžetā iemaksājamo peļņas daļu.</w:t>
      </w:r>
    </w:p>
    <w:p w:rsidR="0073163E" w:rsidRDefault="00673375" w:rsidP="00CF3328">
      <w:pPr>
        <w:spacing w:after="0" w:line="240" w:lineRule="auto"/>
        <w:ind w:firstLine="851"/>
        <w:rPr>
          <w:sz w:val="28"/>
          <w:szCs w:val="28"/>
        </w:rPr>
      </w:pPr>
      <w:r>
        <w:rPr>
          <w:sz w:val="28"/>
          <w:szCs w:val="28"/>
        </w:rPr>
        <w:t>Kā optimālākais risinājums</w:t>
      </w:r>
      <w:r w:rsidR="008B1D61">
        <w:rPr>
          <w:sz w:val="28"/>
          <w:szCs w:val="28"/>
        </w:rPr>
        <w:t xml:space="preserve"> no valsts budžeta veidošanas skatu punkta</w:t>
      </w:r>
      <w:r>
        <w:rPr>
          <w:sz w:val="28"/>
          <w:szCs w:val="28"/>
        </w:rPr>
        <w:t xml:space="preserve"> tiek piedāvāts </w:t>
      </w:r>
      <w:r w:rsidR="005605DB">
        <w:rPr>
          <w:sz w:val="28"/>
          <w:szCs w:val="28"/>
        </w:rPr>
        <w:t>1</w:t>
      </w:r>
      <w:r>
        <w:rPr>
          <w:sz w:val="28"/>
          <w:szCs w:val="28"/>
        </w:rPr>
        <w:t xml:space="preserve">.variants. </w:t>
      </w:r>
    </w:p>
    <w:p w:rsidR="00730FE4" w:rsidRDefault="00730FE4" w:rsidP="00730FE4">
      <w:pPr>
        <w:spacing w:after="0" w:line="240" w:lineRule="auto"/>
        <w:ind w:firstLine="851"/>
        <w:rPr>
          <w:sz w:val="28"/>
          <w:szCs w:val="28"/>
        </w:rPr>
      </w:pPr>
      <w:r>
        <w:rPr>
          <w:sz w:val="28"/>
          <w:szCs w:val="28"/>
        </w:rPr>
        <w:t>Valsts budžeta apakšprogrammā 29.02.00 “</w:t>
      </w:r>
      <w:r w:rsidRPr="008C06AE">
        <w:rPr>
          <w:sz w:val="28"/>
          <w:szCs w:val="28"/>
        </w:rPr>
        <w:t>Elek</w:t>
      </w:r>
      <w:r>
        <w:rPr>
          <w:sz w:val="28"/>
          <w:szCs w:val="28"/>
        </w:rPr>
        <w:t xml:space="preserve">troenerģijas lietotāju atbalsts” tiek iekļauti līdzekļi no AS “Latvenergo” dividendēm šādā apmērā: 2016. gadā 23 665 609 EUR (papildus bāzes finansējumam – </w:t>
      </w:r>
      <w:r w:rsidRPr="00821C00">
        <w:rPr>
          <w:sz w:val="28"/>
          <w:szCs w:val="28"/>
        </w:rPr>
        <w:t>11</w:t>
      </w:r>
      <w:r>
        <w:rPr>
          <w:sz w:val="28"/>
          <w:szCs w:val="28"/>
        </w:rPr>
        <w:t> </w:t>
      </w:r>
      <w:r w:rsidRPr="00821C00">
        <w:rPr>
          <w:sz w:val="28"/>
          <w:szCs w:val="28"/>
        </w:rPr>
        <w:t>952</w:t>
      </w:r>
      <w:r>
        <w:rPr>
          <w:sz w:val="28"/>
          <w:szCs w:val="28"/>
        </w:rPr>
        <w:t> </w:t>
      </w:r>
      <w:r w:rsidRPr="00821C00">
        <w:rPr>
          <w:sz w:val="28"/>
          <w:szCs w:val="28"/>
        </w:rPr>
        <w:t>123</w:t>
      </w:r>
      <w:r>
        <w:rPr>
          <w:sz w:val="28"/>
          <w:szCs w:val="28"/>
        </w:rPr>
        <w:t xml:space="preserve"> EUR, nepieciešams novirzīt 11 713 486 EUR no AS “Latvenergo” dividendēm), </w:t>
      </w:r>
      <w:r>
        <w:rPr>
          <w:sz w:val="28"/>
          <w:szCs w:val="28"/>
        </w:rPr>
        <w:lastRenderedPageBreak/>
        <w:t xml:space="preserve">2017. gadā </w:t>
      </w:r>
      <w:r w:rsidRPr="00B108D2">
        <w:rPr>
          <w:sz w:val="28"/>
          <w:szCs w:val="28"/>
        </w:rPr>
        <w:t>48 009</w:t>
      </w:r>
      <w:r>
        <w:rPr>
          <w:sz w:val="28"/>
          <w:szCs w:val="28"/>
        </w:rPr>
        <w:t> </w:t>
      </w:r>
      <w:r w:rsidRPr="00B108D2">
        <w:rPr>
          <w:sz w:val="28"/>
          <w:szCs w:val="28"/>
        </w:rPr>
        <w:t>955</w:t>
      </w:r>
      <w:r>
        <w:rPr>
          <w:sz w:val="28"/>
          <w:szCs w:val="28"/>
        </w:rPr>
        <w:t xml:space="preserve"> EUR un 2018. gadā 60 352 620 EUR, kā arī līdzekļi no SEN ieņēmumiem, kas 2016. gadā plānoti 33 </w:t>
      </w:r>
      <w:r w:rsidRPr="002C5571">
        <w:rPr>
          <w:sz w:val="28"/>
          <w:szCs w:val="28"/>
        </w:rPr>
        <w:t>876</w:t>
      </w:r>
      <w:r>
        <w:rPr>
          <w:sz w:val="28"/>
          <w:szCs w:val="28"/>
        </w:rPr>
        <w:t> 000 EUR apmērā, 2017. un 2018. gadā 37 </w:t>
      </w:r>
      <w:r w:rsidRPr="002C5571">
        <w:rPr>
          <w:sz w:val="28"/>
          <w:szCs w:val="28"/>
        </w:rPr>
        <w:t>009</w:t>
      </w:r>
      <w:r>
        <w:rPr>
          <w:sz w:val="28"/>
          <w:szCs w:val="28"/>
        </w:rPr>
        <w:t xml:space="preserve"> 000 EUR apmērā katru gadu. </w:t>
      </w:r>
    </w:p>
    <w:p w:rsidR="0073163E" w:rsidRPr="00007BB1" w:rsidRDefault="0073163E" w:rsidP="00007BB1">
      <w:pPr>
        <w:spacing w:after="0" w:line="240" w:lineRule="auto"/>
        <w:ind w:firstLine="851"/>
        <w:rPr>
          <w:sz w:val="28"/>
          <w:szCs w:val="28"/>
        </w:rPr>
      </w:pPr>
      <w:r>
        <w:rPr>
          <w:sz w:val="28"/>
          <w:szCs w:val="28"/>
        </w:rPr>
        <w:t xml:space="preserve">Ņemot vērā, ka OIK tiek noteikta periodam no kārtējā gada 1. aprīļa līdz nākamā gada 31. martam, valsts budžeta dotāciju publiskajam tirgotājam paredzēts iekļaut valsts budžetā un izmaksāt proporcionāli OIK maksājumiem, </w:t>
      </w:r>
      <w:r w:rsidRPr="00007BB1">
        <w:rPr>
          <w:sz w:val="28"/>
          <w:szCs w:val="28"/>
        </w:rPr>
        <w:t>t.i. ¾ no nepieciešamās subsīdijas izmaksāt no kārtējā gada budžeta, savukārt atlikušo ¼ iekļauj vidēja termiņa budžeta ietvarā nākamajā gadā</w:t>
      </w:r>
      <w:r w:rsidR="00007BB1" w:rsidRPr="00007BB1">
        <w:rPr>
          <w:sz w:val="28"/>
          <w:szCs w:val="28"/>
        </w:rPr>
        <w:t>.</w:t>
      </w:r>
    </w:p>
    <w:p w:rsidR="00007BB1" w:rsidRDefault="00007BB1" w:rsidP="00007BB1">
      <w:pPr>
        <w:spacing w:after="0" w:line="240" w:lineRule="auto"/>
        <w:ind w:firstLine="851"/>
        <w:rPr>
          <w:b/>
          <w:sz w:val="28"/>
          <w:szCs w:val="28"/>
        </w:rPr>
      </w:pPr>
      <w:r>
        <w:rPr>
          <w:sz w:val="28"/>
          <w:szCs w:val="28"/>
        </w:rPr>
        <w:t xml:space="preserve">Šī risinājuma rezultātā no 2016. gada 1. aprīļa </w:t>
      </w:r>
      <w:r w:rsidRPr="00007BB1">
        <w:rPr>
          <w:sz w:val="28"/>
          <w:szCs w:val="28"/>
        </w:rPr>
        <w:t xml:space="preserve">OIK </w:t>
      </w:r>
      <w:r w:rsidR="00730FE4">
        <w:rPr>
          <w:sz w:val="28"/>
          <w:szCs w:val="28"/>
        </w:rPr>
        <w:t>saglabātos</w:t>
      </w:r>
      <w:r w:rsidRPr="00007BB1">
        <w:rPr>
          <w:sz w:val="28"/>
          <w:szCs w:val="28"/>
        </w:rPr>
        <w:t xml:space="preserve"> 2</w:t>
      </w:r>
      <w:r w:rsidR="00730FE4">
        <w:rPr>
          <w:sz w:val="28"/>
          <w:szCs w:val="28"/>
        </w:rPr>
        <w:t>6,79</w:t>
      </w:r>
      <w:r w:rsidRPr="00007BB1">
        <w:rPr>
          <w:sz w:val="28"/>
          <w:szCs w:val="28"/>
        </w:rPr>
        <w:t xml:space="preserve"> EUR/MWh un saglabājas šādā līmenī līdz 2019. gada 31. martam. </w:t>
      </w:r>
    </w:p>
    <w:p w:rsidR="00007BB1" w:rsidRDefault="00007BB1" w:rsidP="00007BB1">
      <w:pPr>
        <w:spacing w:after="0" w:line="240" w:lineRule="auto"/>
        <w:ind w:firstLine="851"/>
        <w:rPr>
          <w:sz w:val="28"/>
          <w:szCs w:val="28"/>
        </w:rPr>
      </w:pPr>
      <w:r>
        <w:rPr>
          <w:sz w:val="28"/>
          <w:szCs w:val="28"/>
        </w:rPr>
        <w:t>Lai ieviestu 1.risinājumu, ir nepieciešami grozījumi Elektroenerģijas tirgus likuma 28., 28</w:t>
      </w:r>
      <w:r w:rsidRPr="005605DB">
        <w:rPr>
          <w:sz w:val="28"/>
          <w:szCs w:val="28"/>
          <w:vertAlign w:val="superscript"/>
        </w:rPr>
        <w:t>1</w:t>
      </w:r>
      <w:r>
        <w:rPr>
          <w:sz w:val="28"/>
          <w:szCs w:val="28"/>
        </w:rPr>
        <w:t>., 29</w:t>
      </w:r>
      <w:r w:rsidRPr="005605DB">
        <w:rPr>
          <w:sz w:val="28"/>
          <w:szCs w:val="28"/>
          <w:vertAlign w:val="superscript"/>
        </w:rPr>
        <w:t>1</w:t>
      </w:r>
      <w:r>
        <w:rPr>
          <w:sz w:val="28"/>
          <w:szCs w:val="28"/>
        </w:rPr>
        <w:t>, 30.pantā, svītrojot to daļu, kas nosaka, ka p</w:t>
      </w:r>
      <w:r w:rsidRPr="005605DB">
        <w:rPr>
          <w:sz w:val="28"/>
          <w:szCs w:val="28"/>
        </w:rPr>
        <w:t>ubliska</w:t>
      </w:r>
      <w:r>
        <w:rPr>
          <w:sz w:val="28"/>
          <w:szCs w:val="28"/>
        </w:rPr>
        <w:t xml:space="preserve">jam </w:t>
      </w:r>
      <w:r w:rsidRPr="005605DB">
        <w:rPr>
          <w:sz w:val="28"/>
          <w:szCs w:val="28"/>
        </w:rPr>
        <w:t>tirgotāj</w:t>
      </w:r>
      <w:r>
        <w:rPr>
          <w:sz w:val="28"/>
          <w:szCs w:val="28"/>
        </w:rPr>
        <w:t>am k</w:t>
      </w:r>
      <w:r w:rsidRPr="005605DB">
        <w:rPr>
          <w:sz w:val="28"/>
          <w:szCs w:val="28"/>
        </w:rPr>
        <w:t xml:space="preserve">ompensējamo izmaksu aprēķinā ņem vērā likumā par valsts budžetu </w:t>
      </w:r>
      <w:r w:rsidRPr="005605DB">
        <w:rPr>
          <w:sz w:val="28"/>
          <w:szCs w:val="28"/>
          <w:u w:val="single"/>
        </w:rPr>
        <w:t>kārtējam gadam</w:t>
      </w:r>
      <w:r w:rsidRPr="008C1780">
        <w:rPr>
          <w:sz w:val="28"/>
          <w:szCs w:val="28"/>
        </w:rPr>
        <w:t xml:space="preserve"> </w:t>
      </w:r>
      <w:r w:rsidRPr="005605DB">
        <w:rPr>
          <w:sz w:val="28"/>
          <w:szCs w:val="28"/>
        </w:rPr>
        <w:t xml:space="preserve">noteikto valsts budžeta </w:t>
      </w:r>
      <w:r w:rsidRPr="00BF181A">
        <w:rPr>
          <w:sz w:val="28"/>
          <w:szCs w:val="28"/>
        </w:rPr>
        <w:t>dotāciju o</w:t>
      </w:r>
      <w:r w:rsidRPr="005605DB">
        <w:rPr>
          <w:sz w:val="28"/>
          <w:szCs w:val="28"/>
        </w:rPr>
        <w:t xml:space="preserve">bligātā iepirkuma komponenšu apmēra mazināšanai. </w:t>
      </w: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Default="00730FE4" w:rsidP="00007BB1">
      <w:pPr>
        <w:spacing w:after="0" w:line="240" w:lineRule="auto"/>
        <w:ind w:firstLine="851"/>
        <w:rPr>
          <w:sz w:val="28"/>
          <w:szCs w:val="28"/>
        </w:rPr>
      </w:pPr>
    </w:p>
    <w:p w:rsidR="00730FE4" w:rsidRPr="005605DB" w:rsidRDefault="00730FE4" w:rsidP="00007BB1">
      <w:pPr>
        <w:spacing w:after="0" w:line="240" w:lineRule="auto"/>
        <w:ind w:firstLine="851"/>
        <w:rPr>
          <w:sz w:val="28"/>
          <w:szCs w:val="28"/>
        </w:rPr>
      </w:pPr>
    </w:p>
    <w:p w:rsidR="0073163E" w:rsidRDefault="0073163E" w:rsidP="0073163E">
      <w:pPr>
        <w:spacing w:after="0" w:line="240" w:lineRule="auto"/>
        <w:ind w:firstLine="851"/>
        <w:rPr>
          <w:sz w:val="28"/>
          <w:szCs w:val="28"/>
        </w:rPr>
      </w:pPr>
    </w:p>
    <w:p w:rsidR="00D564DD" w:rsidRDefault="00D564DD" w:rsidP="00D564DD">
      <w:pPr>
        <w:pStyle w:val="Heading1"/>
        <w:numPr>
          <w:ilvl w:val="0"/>
          <w:numId w:val="19"/>
        </w:numPr>
      </w:pPr>
      <w:bookmarkStart w:id="6" w:name="_Toc428188924"/>
      <w:r>
        <w:lastRenderedPageBreak/>
        <w:t>Situācijas apraksts</w:t>
      </w:r>
      <w:bookmarkEnd w:id="6"/>
    </w:p>
    <w:p w:rsidR="004A0C32" w:rsidRDefault="00D564DD" w:rsidP="00D564DD">
      <w:pPr>
        <w:pStyle w:val="Heading2"/>
      </w:pPr>
      <w:bookmarkStart w:id="7" w:name="_Toc428188925"/>
      <w:r>
        <w:t xml:space="preserve">2.1. </w:t>
      </w:r>
      <w:r w:rsidR="00830E57" w:rsidRPr="00830E57">
        <w:t>Valsts atbalst</w:t>
      </w:r>
      <w:r w:rsidR="00B41498">
        <w:t>s</w:t>
      </w:r>
      <w:r w:rsidR="00830E57" w:rsidRPr="00830E57">
        <w:t xml:space="preserve"> </w:t>
      </w:r>
      <w:r w:rsidR="00830E57" w:rsidRPr="00D564DD">
        <w:t>elektroenerģijas</w:t>
      </w:r>
      <w:r w:rsidR="00830E57" w:rsidRPr="00830E57">
        <w:t xml:space="preserve"> ražošanai</w:t>
      </w:r>
      <w:bookmarkEnd w:id="7"/>
    </w:p>
    <w:p w:rsidR="00FA6897" w:rsidRDefault="003E487B" w:rsidP="00BE60B6">
      <w:pPr>
        <w:spacing w:after="0" w:line="240" w:lineRule="auto"/>
        <w:ind w:firstLine="851"/>
        <w:rPr>
          <w:sz w:val="28"/>
          <w:szCs w:val="28"/>
        </w:rPr>
      </w:pPr>
      <w:r w:rsidRPr="003E487B">
        <w:rPr>
          <w:sz w:val="28"/>
          <w:szCs w:val="28"/>
        </w:rPr>
        <w:t xml:space="preserve">Izpildot likuma “Par valsts budžetu 2014.gadam” 57.pantā noteikto, Ekonomikas ministrija </w:t>
      </w:r>
      <w:r w:rsidR="00FA6897" w:rsidRPr="00FA6897">
        <w:rPr>
          <w:sz w:val="28"/>
          <w:szCs w:val="28"/>
        </w:rPr>
        <w:t>2013.</w:t>
      </w:r>
      <w:r w:rsidR="008961AB">
        <w:rPr>
          <w:sz w:val="28"/>
          <w:szCs w:val="28"/>
        </w:rPr>
        <w:t> </w:t>
      </w:r>
      <w:r w:rsidR="00FA6897" w:rsidRPr="00FA6897">
        <w:rPr>
          <w:sz w:val="28"/>
          <w:szCs w:val="28"/>
        </w:rPr>
        <w:t xml:space="preserve">gada </w:t>
      </w:r>
      <w:r w:rsidR="008961AB">
        <w:rPr>
          <w:sz w:val="28"/>
          <w:szCs w:val="28"/>
        </w:rPr>
        <w:t>17. </w:t>
      </w:r>
      <w:r w:rsidR="00FA6897" w:rsidRPr="00FA6897">
        <w:rPr>
          <w:sz w:val="28"/>
          <w:szCs w:val="28"/>
        </w:rPr>
        <w:t xml:space="preserve">decembrī iesniedza </w:t>
      </w:r>
      <w:r w:rsidR="008B1D61">
        <w:rPr>
          <w:sz w:val="28"/>
          <w:szCs w:val="28"/>
        </w:rPr>
        <w:t>EK</w:t>
      </w:r>
      <w:r w:rsidR="00FA6897" w:rsidRPr="00FA6897">
        <w:rPr>
          <w:sz w:val="28"/>
          <w:szCs w:val="28"/>
        </w:rPr>
        <w:t xml:space="preserve"> paziņojumu „Atbalsts enerģijas r</w:t>
      </w:r>
      <w:r w:rsidR="002D3731">
        <w:rPr>
          <w:sz w:val="28"/>
          <w:szCs w:val="28"/>
        </w:rPr>
        <w:t>ažotājiem” (SA.37970 (2013.P/N)</w:t>
      </w:r>
      <w:r w:rsidR="008961AB">
        <w:rPr>
          <w:sz w:val="28"/>
          <w:szCs w:val="28"/>
        </w:rPr>
        <w:t>)</w:t>
      </w:r>
      <w:r w:rsidR="00520F4C">
        <w:rPr>
          <w:sz w:val="28"/>
          <w:szCs w:val="28"/>
        </w:rPr>
        <w:t>, ar kuru uzsāka pirmspaziņošanas posmu. Novērtējot elektroenerģijas ražošanas izmaksas</w:t>
      </w:r>
      <w:r w:rsidR="00C157CB">
        <w:rPr>
          <w:sz w:val="28"/>
          <w:szCs w:val="28"/>
        </w:rPr>
        <w:t>,</w:t>
      </w:r>
      <w:r w:rsidR="00520F4C">
        <w:rPr>
          <w:sz w:val="28"/>
          <w:szCs w:val="28"/>
        </w:rPr>
        <w:t xml:space="preserve"> par pamatu tika ņemts </w:t>
      </w:r>
      <w:r w:rsidR="00C157CB">
        <w:rPr>
          <w:sz w:val="28"/>
          <w:szCs w:val="28"/>
        </w:rPr>
        <w:t xml:space="preserve">Ekonomikas ministrijas </w:t>
      </w:r>
      <w:r w:rsidR="00520F4C">
        <w:rPr>
          <w:sz w:val="28"/>
          <w:szCs w:val="28"/>
        </w:rPr>
        <w:t xml:space="preserve">pasūtītais pētījums </w:t>
      </w:r>
      <w:r w:rsidR="00520F4C" w:rsidRPr="00520F4C">
        <w:rPr>
          <w:sz w:val="28"/>
          <w:szCs w:val="28"/>
        </w:rPr>
        <w:t xml:space="preserve">“Elektroenerģijas, kas ražota no atjaunojamiem energoresursiem un koģenerācijā, atbalsta izvērtējums un priekšlikumi atbalsta uzlabošanai” (turpmāk – Pētījums), ko, pamatojoties uz līgumu Nr. EM2013/09, kas noslēgts starp Ekonomikas ministriju un SIA “Ekodoma” 2013. gada 11. aprīlī, izstrādāja SIA „Ekodoma”. </w:t>
      </w:r>
      <w:r w:rsidR="00FA6897">
        <w:rPr>
          <w:sz w:val="28"/>
          <w:szCs w:val="28"/>
        </w:rPr>
        <w:t xml:space="preserve">2015. gada jūlijā </w:t>
      </w:r>
      <w:r w:rsidR="008B1D61">
        <w:rPr>
          <w:sz w:val="28"/>
          <w:szCs w:val="28"/>
        </w:rPr>
        <w:t>EK</w:t>
      </w:r>
      <w:r w:rsidR="00520F4C">
        <w:rPr>
          <w:sz w:val="28"/>
          <w:szCs w:val="28"/>
        </w:rPr>
        <w:t xml:space="preserve"> apliecināja, ka drīzumā </w:t>
      </w:r>
      <w:r w:rsidR="00FA6897">
        <w:rPr>
          <w:sz w:val="28"/>
          <w:szCs w:val="28"/>
        </w:rPr>
        <w:t>Latvijas puse</w:t>
      </w:r>
      <w:r w:rsidR="008961AB">
        <w:rPr>
          <w:sz w:val="28"/>
          <w:szCs w:val="28"/>
        </w:rPr>
        <w:t xml:space="preserve"> var</w:t>
      </w:r>
      <w:r w:rsidR="00520F4C">
        <w:rPr>
          <w:sz w:val="28"/>
          <w:szCs w:val="28"/>
        </w:rPr>
        <w:t>ēs</w:t>
      </w:r>
      <w:r w:rsidR="008961AB">
        <w:rPr>
          <w:sz w:val="28"/>
          <w:szCs w:val="28"/>
        </w:rPr>
        <w:t xml:space="preserve"> </w:t>
      </w:r>
      <w:r w:rsidR="00FA6897" w:rsidRPr="00FA6897">
        <w:rPr>
          <w:sz w:val="28"/>
          <w:szCs w:val="28"/>
        </w:rPr>
        <w:t xml:space="preserve">iesniegt </w:t>
      </w:r>
      <w:r w:rsidR="008961AB">
        <w:rPr>
          <w:sz w:val="28"/>
          <w:szCs w:val="28"/>
        </w:rPr>
        <w:t>notifikāciju</w:t>
      </w:r>
      <w:r w:rsidR="00520F4C">
        <w:rPr>
          <w:sz w:val="28"/>
          <w:szCs w:val="28"/>
        </w:rPr>
        <w:t xml:space="preserve">. </w:t>
      </w:r>
    </w:p>
    <w:p w:rsidR="002D3731" w:rsidRDefault="003E487B" w:rsidP="004304CB">
      <w:pPr>
        <w:spacing w:after="0" w:line="240" w:lineRule="auto"/>
        <w:ind w:firstLine="851"/>
        <w:rPr>
          <w:sz w:val="28"/>
          <w:szCs w:val="28"/>
        </w:rPr>
      </w:pPr>
      <w:r>
        <w:rPr>
          <w:sz w:val="28"/>
          <w:szCs w:val="28"/>
        </w:rPr>
        <w:t>J</w:t>
      </w:r>
      <w:r w:rsidR="009B2AEC">
        <w:rPr>
          <w:sz w:val="28"/>
          <w:szCs w:val="28"/>
        </w:rPr>
        <w:t xml:space="preserve">āatzīmē, ka </w:t>
      </w:r>
      <w:r w:rsidR="008B1D61">
        <w:rPr>
          <w:sz w:val="28"/>
          <w:szCs w:val="28"/>
        </w:rPr>
        <w:t>EK</w:t>
      </w:r>
      <w:r w:rsidR="009B2AEC">
        <w:rPr>
          <w:sz w:val="28"/>
          <w:szCs w:val="28"/>
        </w:rPr>
        <w:t xml:space="preserve"> ir norādījusi uz atsevišķu </w:t>
      </w:r>
      <w:r w:rsidR="0004532A">
        <w:rPr>
          <w:sz w:val="28"/>
          <w:szCs w:val="28"/>
        </w:rPr>
        <w:t xml:space="preserve">komersantu grupu </w:t>
      </w:r>
      <w:r w:rsidR="009B2AEC">
        <w:rPr>
          <w:sz w:val="28"/>
          <w:szCs w:val="28"/>
        </w:rPr>
        <w:t>pārsubsidāciju</w:t>
      </w:r>
      <w:r w:rsidR="0004532A">
        <w:rPr>
          <w:sz w:val="28"/>
          <w:szCs w:val="28"/>
        </w:rPr>
        <w:t xml:space="preserve"> (tehnoloģiju grupas)</w:t>
      </w:r>
      <w:r w:rsidR="00B14950">
        <w:rPr>
          <w:sz w:val="28"/>
          <w:szCs w:val="28"/>
        </w:rPr>
        <w:t xml:space="preserve">, tādējādi radot valsts atbalsta mehānisma </w:t>
      </w:r>
      <w:r w:rsidR="009B2AEC">
        <w:rPr>
          <w:sz w:val="28"/>
          <w:szCs w:val="28"/>
        </w:rPr>
        <w:t>neatbilstību</w:t>
      </w:r>
      <w:r w:rsidR="00B14950">
        <w:rPr>
          <w:sz w:val="28"/>
          <w:szCs w:val="28"/>
        </w:rPr>
        <w:t xml:space="preserve"> Eiropas Savienības iekšējam tirgum.</w:t>
      </w:r>
    </w:p>
    <w:p w:rsidR="007915BF" w:rsidRDefault="007915BF" w:rsidP="007915BF">
      <w:pPr>
        <w:pStyle w:val="Heading2"/>
      </w:pPr>
      <w:bookmarkStart w:id="8" w:name="_Toc428188926"/>
      <w:r>
        <w:t>2.2. Obligātā iepirkuma komponente</w:t>
      </w:r>
      <w:bookmarkEnd w:id="8"/>
      <w:r>
        <w:t xml:space="preserve"> </w:t>
      </w:r>
    </w:p>
    <w:p w:rsidR="007915BF" w:rsidRDefault="007915BF" w:rsidP="007915BF">
      <w:pPr>
        <w:spacing w:after="0" w:line="240" w:lineRule="auto"/>
        <w:ind w:firstLine="851"/>
        <w:rPr>
          <w:sz w:val="28"/>
          <w:szCs w:val="28"/>
        </w:rPr>
      </w:pPr>
      <w:r w:rsidRPr="00EF2F9C">
        <w:rPr>
          <w:sz w:val="28"/>
          <w:szCs w:val="28"/>
        </w:rPr>
        <w:t xml:space="preserve">Latvijā izmaksas, kas rodas, atbalstot no </w:t>
      </w:r>
      <w:r w:rsidR="00D90FFB">
        <w:rPr>
          <w:sz w:val="28"/>
          <w:szCs w:val="28"/>
        </w:rPr>
        <w:t xml:space="preserve">atjaunojamajiem energoresursiem </w:t>
      </w:r>
      <w:r w:rsidRPr="00EF2F9C">
        <w:rPr>
          <w:sz w:val="28"/>
          <w:szCs w:val="28"/>
        </w:rPr>
        <w:t xml:space="preserve">vai augstas efektivitātes koģenerācijā saražotu elektroenerģiju, sedz visi Latvijas elektroenerģijas galalietotāji proporcionāli to elektroenerģijas patēriņam, jo cenā iekļauta OIK. Ja 2008.gadā aprēķinātā OIK bija 0,80 centi/kWh, tad jau no 2010.gada 1.aprīļa </w:t>
      </w:r>
      <w:r w:rsidR="008B1D61">
        <w:rPr>
          <w:sz w:val="28"/>
          <w:szCs w:val="28"/>
        </w:rPr>
        <w:t xml:space="preserve">Sabiedrisko pakalpojumu regulēšanas komisijas </w:t>
      </w:r>
      <w:r w:rsidRPr="00EF2F9C">
        <w:rPr>
          <w:sz w:val="28"/>
          <w:szCs w:val="28"/>
        </w:rPr>
        <w:t>aprēķinātā OIK bija 1,63 centi/kWh. 2012.gadā OIK bija</w:t>
      </w:r>
      <w:r>
        <w:rPr>
          <w:sz w:val="28"/>
          <w:szCs w:val="28"/>
        </w:rPr>
        <w:t xml:space="preserve"> </w:t>
      </w:r>
      <w:r w:rsidR="00C157CB">
        <w:rPr>
          <w:sz w:val="28"/>
          <w:szCs w:val="28"/>
        </w:rPr>
        <w:t xml:space="preserve">pieaugusi </w:t>
      </w:r>
      <w:r>
        <w:rPr>
          <w:sz w:val="28"/>
          <w:szCs w:val="28"/>
        </w:rPr>
        <w:t xml:space="preserve">līdz 1,75 centi/kWh </w:t>
      </w:r>
      <w:r w:rsidRPr="00EF2F9C">
        <w:rPr>
          <w:sz w:val="28"/>
          <w:szCs w:val="28"/>
        </w:rPr>
        <w:t>un</w:t>
      </w:r>
      <w:r>
        <w:rPr>
          <w:sz w:val="28"/>
          <w:szCs w:val="28"/>
        </w:rPr>
        <w:t xml:space="preserve"> 2013.gadā līdz 2,69 centi/kWh</w:t>
      </w:r>
      <w:r w:rsidRPr="00EF2F9C">
        <w:rPr>
          <w:sz w:val="28"/>
          <w:szCs w:val="28"/>
        </w:rPr>
        <w:t>. Kopš 2008.gada, kad sāka darboties obligātā iepirkuma atbalsta mehānisms,</w:t>
      </w:r>
      <w:r>
        <w:rPr>
          <w:sz w:val="28"/>
          <w:szCs w:val="28"/>
        </w:rPr>
        <w:t xml:space="preserve"> OIK ir </w:t>
      </w:r>
      <w:r w:rsidR="00C157CB">
        <w:rPr>
          <w:sz w:val="28"/>
          <w:szCs w:val="28"/>
        </w:rPr>
        <w:t xml:space="preserve">pieaugusi </w:t>
      </w:r>
      <w:r>
        <w:rPr>
          <w:sz w:val="28"/>
          <w:szCs w:val="28"/>
        </w:rPr>
        <w:t>par 1,89 </w:t>
      </w:r>
      <w:r w:rsidRPr="00EF2F9C">
        <w:rPr>
          <w:sz w:val="28"/>
          <w:szCs w:val="28"/>
        </w:rPr>
        <w:t>centi/kWh jeb 3,3 reizes. Salīdzinot ar kaimiņvalstīm, Lietuvā 2013. gadā OIK sastādīja 2,72 centi/kWh, bet Igaunijā OIK 0,87 centi/kWh.</w:t>
      </w:r>
    </w:p>
    <w:p w:rsidR="00102952" w:rsidRDefault="005345B4" w:rsidP="00611BA4">
      <w:pPr>
        <w:pStyle w:val="BodyText2"/>
        <w:ind w:firstLine="851"/>
        <w:rPr>
          <w:sz w:val="28"/>
          <w:szCs w:val="28"/>
        </w:rPr>
      </w:pPr>
      <w:r w:rsidRPr="00D67152">
        <w:rPr>
          <w:sz w:val="28"/>
          <w:szCs w:val="28"/>
        </w:rPr>
        <w:t>OIK apmēr</w:t>
      </w:r>
      <w:r>
        <w:rPr>
          <w:sz w:val="28"/>
          <w:szCs w:val="28"/>
        </w:rPr>
        <w:t>a izmaiņas</w:t>
      </w:r>
      <w:r w:rsidRPr="00D67152">
        <w:rPr>
          <w:sz w:val="28"/>
          <w:szCs w:val="28"/>
        </w:rPr>
        <w:t xml:space="preserve"> pa gadiem </w:t>
      </w:r>
      <w:r>
        <w:rPr>
          <w:sz w:val="28"/>
          <w:szCs w:val="28"/>
        </w:rPr>
        <w:t>bez subsīdijas no valsts budžeta s</w:t>
      </w:r>
      <w:r w:rsidRPr="00D67152">
        <w:rPr>
          <w:sz w:val="28"/>
          <w:szCs w:val="28"/>
        </w:rPr>
        <w:t xml:space="preserve">askaņā </w:t>
      </w:r>
      <w:r w:rsidR="007915BF" w:rsidRPr="00D67152">
        <w:rPr>
          <w:sz w:val="28"/>
          <w:szCs w:val="28"/>
        </w:rPr>
        <w:t>ar publiskā tirgotāja prognozēm</w:t>
      </w:r>
      <w:r w:rsidR="00E23E14">
        <w:rPr>
          <w:sz w:val="28"/>
          <w:szCs w:val="28"/>
        </w:rPr>
        <w:t>,</w:t>
      </w:r>
      <w:r w:rsidR="007915BF" w:rsidRPr="00D67152">
        <w:rPr>
          <w:sz w:val="28"/>
          <w:szCs w:val="28"/>
        </w:rPr>
        <w:t xml:space="preserve"> </w:t>
      </w:r>
      <w:r w:rsidR="00E23E14" w:rsidRPr="00E23E14">
        <w:rPr>
          <w:sz w:val="28"/>
          <w:szCs w:val="28"/>
        </w:rPr>
        <w:t>kuras izstrādātas sadarbīb</w:t>
      </w:r>
      <w:r w:rsidR="008B1D61">
        <w:rPr>
          <w:sz w:val="28"/>
          <w:szCs w:val="28"/>
        </w:rPr>
        <w:t>ā</w:t>
      </w:r>
      <w:r w:rsidR="00E23E14" w:rsidRPr="00E23E14">
        <w:rPr>
          <w:sz w:val="28"/>
          <w:szCs w:val="28"/>
        </w:rPr>
        <w:t xml:space="preserve"> ar neatkarīgiem enerģētikas nozares ekspertiem</w:t>
      </w:r>
      <w:r w:rsidR="00E23E14">
        <w:rPr>
          <w:sz w:val="28"/>
          <w:szCs w:val="28"/>
        </w:rPr>
        <w:t xml:space="preserve">, </w:t>
      </w:r>
      <w:r w:rsidR="00252577">
        <w:rPr>
          <w:sz w:val="28"/>
          <w:szCs w:val="28"/>
        </w:rPr>
        <w:t>atspoguļotas 1.</w:t>
      </w:r>
      <w:r>
        <w:rPr>
          <w:sz w:val="28"/>
          <w:szCs w:val="28"/>
        </w:rPr>
        <w:t> </w:t>
      </w:r>
      <w:r w:rsidR="00252577">
        <w:rPr>
          <w:sz w:val="28"/>
          <w:szCs w:val="28"/>
        </w:rPr>
        <w:t>att</w:t>
      </w:r>
      <w:r w:rsidR="008B1D61">
        <w:rPr>
          <w:sz w:val="28"/>
          <w:szCs w:val="28"/>
        </w:rPr>
        <w:t>ēlā</w:t>
      </w:r>
      <w:r w:rsidR="00252577">
        <w:rPr>
          <w:sz w:val="28"/>
          <w:szCs w:val="28"/>
        </w:rPr>
        <w:t xml:space="preserve">. </w:t>
      </w:r>
      <w:r w:rsidR="00102952">
        <w:rPr>
          <w:sz w:val="28"/>
          <w:szCs w:val="28"/>
        </w:rPr>
        <w:t xml:space="preserve">OIK ir tieši atkarīga no </w:t>
      </w:r>
      <w:r w:rsidR="00102952" w:rsidRPr="00102952">
        <w:rPr>
          <w:sz w:val="28"/>
          <w:szCs w:val="28"/>
        </w:rPr>
        <w:t xml:space="preserve">iepriekšējā kalendāra gada </w:t>
      </w:r>
      <w:r w:rsidR="00102952">
        <w:rPr>
          <w:sz w:val="28"/>
          <w:szCs w:val="28"/>
        </w:rPr>
        <w:t xml:space="preserve">faktiskajām izmaksām </w:t>
      </w:r>
      <w:r w:rsidR="00E23E14" w:rsidRPr="00E23E14">
        <w:rPr>
          <w:sz w:val="28"/>
          <w:szCs w:val="28"/>
        </w:rPr>
        <w:t>virs tirgus cenas un garantētās maksas par uzstādīto elektrisko jaudu</w:t>
      </w:r>
      <w:r>
        <w:rPr>
          <w:sz w:val="28"/>
          <w:szCs w:val="28"/>
        </w:rPr>
        <w:t>. P</w:t>
      </w:r>
      <w:r w:rsidRPr="00E23E14">
        <w:rPr>
          <w:sz w:val="28"/>
          <w:szCs w:val="28"/>
        </w:rPr>
        <w:t xml:space="preserve">ieaugums </w:t>
      </w:r>
      <w:r w:rsidR="00E23E14" w:rsidRPr="00E23E14">
        <w:rPr>
          <w:sz w:val="28"/>
          <w:szCs w:val="28"/>
        </w:rPr>
        <w:t>savu maksimumu sasniegs 2017.</w:t>
      </w:r>
      <w:r>
        <w:rPr>
          <w:sz w:val="28"/>
          <w:szCs w:val="28"/>
        </w:rPr>
        <w:t> </w:t>
      </w:r>
      <w:r w:rsidR="00E23E14" w:rsidRPr="00E23E14">
        <w:rPr>
          <w:sz w:val="28"/>
          <w:szCs w:val="28"/>
        </w:rPr>
        <w:t>gadā. Savukārt, ja netiks atsākta jaunu atļauju izsniegšana, tad, sākot ar 2018.</w:t>
      </w:r>
      <w:r>
        <w:rPr>
          <w:sz w:val="28"/>
          <w:szCs w:val="28"/>
        </w:rPr>
        <w:t> </w:t>
      </w:r>
      <w:r w:rsidR="00E23E14" w:rsidRPr="00E23E14">
        <w:rPr>
          <w:sz w:val="28"/>
          <w:szCs w:val="28"/>
        </w:rPr>
        <w:t>gadu</w:t>
      </w:r>
      <w:r w:rsidR="00C157CB">
        <w:rPr>
          <w:sz w:val="28"/>
          <w:szCs w:val="28"/>
        </w:rPr>
        <w:t>,</w:t>
      </w:r>
      <w:r w:rsidR="00E23E14" w:rsidRPr="00E23E14">
        <w:rPr>
          <w:sz w:val="28"/>
          <w:szCs w:val="28"/>
        </w:rPr>
        <w:t xml:space="preserve"> </w:t>
      </w:r>
      <w:r w:rsidR="008B1D61">
        <w:rPr>
          <w:sz w:val="28"/>
          <w:szCs w:val="28"/>
        </w:rPr>
        <w:t>obligātais iepirkums</w:t>
      </w:r>
      <w:r w:rsidR="008B1D61" w:rsidRPr="00E23E14">
        <w:rPr>
          <w:sz w:val="28"/>
          <w:szCs w:val="28"/>
        </w:rPr>
        <w:t xml:space="preserve"> </w:t>
      </w:r>
      <w:r w:rsidR="00E23E14" w:rsidRPr="00E23E14">
        <w:rPr>
          <w:sz w:val="28"/>
          <w:szCs w:val="28"/>
        </w:rPr>
        <w:t>sāks samazināties (skat. 2</w:t>
      </w:r>
      <w:r w:rsidRPr="00E23E14">
        <w:rPr>
          <w:sz w:val="28"/>
          <w:szCs w:val="28"/>
        </w:rPr>
        <w:t>.</w:t>
      </w:r>
      <w:r>
        <w:rPr>
          <w:sz w:val="28"/>
          <w:szCs w:val="28"/>
        </w:rPr>
        <w:t> </w:t>
      </w:r>
      <w:r w:rsidR="00E23E14" w:rsidRPr="00E23E14">
        <w:rPr>
          <w:sz w:val="28"/>
          <w:szCs w:val="28"/>
        </w:rPr>
        <w:t>att</w:t>
      </w:r>
      <w:r w:rsidR="008B1D61">
        <w:rPr>
          <w:sz w:val="28"/>
          <w:szCs w:val="28"/>
        </w:rPr>
        <w:t>ēlu</w:t>
      </w:r>
      <w:r w:rsidR="00E23E14" w:rsidRPr="00E23E14">
        <w:rPr>
          <w:sz w:val="28"/>
          <w:szCs w:val="28"/>
        </w:rPr>
        <w:t>).</w:t>
      </w:r>
      <w:r w:rsidR="00102952">
        <w:rPr>
          <w:sz w:val="28"/>
          <w:szCs w:val="28"/>
        </w:rPr>
        <w:t xml:space="preserve"> </w:t>
      </w:r>
      <w:r>
        <w:rPr>
          <w:sz w:val="28"/>
          <w:szCs w:val="28"/>
        </w:rPr>
        <w:t>Prognozēs ņemts vērā, ka l</w:t>
      </w:r>
      <w:r w:rsidR="00102952" w:rsidRPr="00D67152">
        <w:rPr>
          <w:sz w:val="28"/>
          <w:szCs w:val="28"/>
        </w:rPr>
        <w:t>īdz 2018.</w:t>
      </w:r>
      <w:r>
        <w:rPr>
          <w:sz w:val="28"/>
          <w:szCs w:val="28"/>
        </w:rPr>
        <w:t> </w:t>
      </w:r>
      <w:r w:rsidR="00102952" w:rsidRPr="00D67152">
        <w:rPr>
          <w:sz w:val="28"/>
          <w:szCs w:val="28"/>
        </w:rPr>
        <w:t xml:space="preserve">gadam ekspluatācijā </w:t>
      </w:r>
      <w:r>
        <w:rPr>
          <w:sz w:val="28"/>
          <w:szCs w:val="28"/>
        </w:rPr>
        <w:t>tiks nodotas</w:t>
      </w:r>
      <w:r w:rsidR="00102952" w:rsidRPr="00D67152">
        <w:rPr>
          <w:sz w:val="28"/>
          <w:szCs w:val="28"/>
        </w:rPr>
        <w:t xml:space="preserve"> jaunās biomasas un biogāzes </w:t>
      </w:r>
      <w:r>
        <w:rPr>
          <w:sz w:val="28"/>
          <w:szCs w:val="28"/>
        </w:rPr>
        <w:t>koģenerācijas stacijas</w:t>
      </w:r>
      <w:r w:rsidR="00C157CB">
        <w:rPr>
          <w:sz w:val="28"/>
          <w:szCs w:val="28"/>
        </w:rPr>
        <w:t xml:space="preserve"> </w:t>
      </w:r>
      <w:r w:rsidR="00102952" w:rsidRPr="00D67152">
        <w:rPr>
          <w:sz w:val="28"/>
          <w:szCs w:val="28"/>
        </w:rPr>
        <w:t>ar potenciālo uzstādīto jaudu 24</w:t>
      </w:r>
      <w:r w:rsidR="00102952">
        <w:rPr>
          <w:sz w:val="28"/>
          <w:szCs w:val="28"/>
        </w:rPr>
        <w:t>,</w:t>
      </w:r>
      <w:r w:rsidR="00102952" w:rsidRPr="00D67152">
        <w:rPr>
          <w:sz w:val="28"/>
          <w:szCs w:val="28"/>
        </w:rPr>
        <w:t>4 MW un vēja elektrostacijas ar jaudu 57 MW</w:t>
      </w:r>
      <w:r w:rsidR="00102952">
        <w:rPr>
          <w:sz w:val="28"/>
          <w:szCs w:val="28"/>
        </w:rPr>
        <w:t xml:space="preserve">, kas arī pamatā izsauc OIK pieaugumu. </w:t>
      </w:r>
    </w:p>
    <w:p w:rsidR="00BF4D66" w:rsidRPr="00D67152" w:rsidRDefault="00BF4D66" w:rsidP="00611BA4">
      <w:pPr>
        <w:pStyle w:val="BodyText2"/>
        <w:ind w:firstLine="851"/>
        <w:rPr>
          <w:sz w:val="28"/>
          <w:szCs w:val="28"/>
        </w:rPr>
      </w:pPr>
    </w:p>
    <w:p w:rsidR="007915BF" w:rsidRPr="008C1780" w:rsidRDefault="007915BF" w:rsidP="007915BF">
      <w:pPr>
        <w:pStyle w:val="BodyText2"/>
        <w:ind w:firstLine="851"/>
        <w:rPr>
          <w:sz w:val="16"/>
        </w:rPr>
      </w:pPr>
    </w:p>
    <w:p w:rsidR="007915BF" w:rsidRDefault="001F0C40" w:rsidP="007915BF">
      <w:pPr>
        <w:pStyle w:val="BodyText2"/>
        <w:keepNext/>
        <w:jc w:val="center"/>
      </w:pPr>
      <w:r>
        <w:rPr>
          <w:noProof/>
        </w:rPr>
        <w:lastRenderedPageBreak/>
        <w:drawing>
          <wp:inline distT="0" distB="0" distL="0" distR="0" wp14:anchorId="1B06A073" wp14:editId="68461159">
            <wp:extent cx="5505450" cy="3486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15BF" w:rsidRDefault="007915BF" w:rsidP="007915BF">
      <w:pPr>
        <w:pStyle w:val="BodyText2"/>
      </w:pPr>
    </w:p>
    <w:p w:rsidR="007915BF" w:rsidRPr="00D67152" w:rsidRDefault="00F068F6" w:rsidP="007915BF">
      <w:pPr>
        <w:pStyle w:val="BodyText2"/>
        <w:rPr>
          <w:b/>
          <w:szCs w:val="24"/>
        </w:rPr>
      </w:pPr>
      <w:r>
        <w:rPr>
          <w:b/>
          <w:szCs w:val="24"/>
        </w:rPr>
        <w:t>1</w:t>
      </w:r>
      <w:r w:rsidR="007915BF" w:rsidRPr="00D67152">
        <w:rPr>
          <w:b/>
          <w:szCs w:val="24"/>
        </w:rPr>
        <w:t xml:space="preserve">.attēls. </w:t>
      </w:r>
      <w:r w:rsidR="001F0C40">
        <w:rPr>
          <w:b/>
          <w:szCs w:val="24"/>
        </w:rPr>
        <w:t xml:space="preserve">Faktiskais </w:t>
      </w:r>
      <w:r w:rsidR="007915BF" w:rsidRPr="00D67152">
        <w:rPr>
          <w:b/>
          <w:szCs w:val="24"/>
        </w:rPr>
        <w:t>OIK</w:t>
      </w:r>
      <w:r w:rsidR="001F0C40">
        <w:rPr>
          <w:b/>
          <w:szCs w:val="24"/>
        </w:rPr>
        <w:t xml:space="preserve"> un tā</w:t>
      </w:r>
      <w:r w:rsidR="007915BF" w:rsidRPr="00D67152">
        <w:rPr>
          <w:b/>
          <w:szCs w:val="24"/>
        </w:rPr>
        <w:t xml:space="preserve"> prognoze (EUR/MWh)</w:t>
      </w:r>
      <w:r w:rsidR="007915BF">
        <w:rPr>
          <w:b/>
          <w:szCs w:val="24"/>
        </w:rPr>
        <w:t xml:space="preserve"> (</w:t>
      </w:r>
      <w:r w:rsidR="007915BF" w:rsidRPr="00D67152">
        <w:rPr>
          <w:szCs w:val="24"/>
        </w:rPr>
        <w:t xml:space="preserve">Avots: AS </w:t>
      </w:r>
      <w:r w:rsidR="008B1D61">
        <w:rPr>
          <w:szCs w:val="24"/>
        </w:rPr>
        <w:t>„</w:t>
      </w:r>
      <w:r w:rsidR="007915BF">
        <w:rPr>
          <w:szCs w:val="24"/>
        </w:rPr>
        <w:t>E</w:t>
      </w:r>
      <w:r w:rsidR="007915BF" w:rsidRPr="00D67152">
        <w:rPr>
          <w:szCs w:val="24"/>
        </w:rPr>
        <w:t>nerģijas publiskais tirgotājs</w:t>
      </w:r>
      <w:r w:rsidR="008B1D61">
        <w:rPr>
          <w:szCs w:val="24"/>
        </w:rPr>
        <w:t>”</w:t>
      </w:r>
      <w:r w:rsidR="007915BF">
        <w:rPr>
          <w:szCs w:val="24"/>
        </w:rPr>
        <w:t>)</w:t>
      </w:r>
    </w:p>
    <w:p w:rsidR="007915BF" w:rsidRPr="008C1780" w:rsidRDefault="007915BF" w:rsidP="007915BF">
      <w:pPr>
        <w:pStyle w:val="BodyText"/>
        <w:ind w:firstLine="851"/>
        <w:jc w:val="both"/>
        <w:rPr>
          <w:i w:val="0"/>
          <w:color w:val="000000"/>
          <w:sz w:val="16"/>
          <w:szCs w:val="16"/>
        </w:rPr>
      </w:pPr>
    </w:p>
    <w:p w:rsidR="007915BF" w:rsidRDefault="007915BF" w:rsidP="007915BF">
      <w:pPr>
        <w:pStyle w:val="BodyText"/>
        <w:keepNext/>
        <w:spacing w:before="240"/>
        <w:jc w:val="center"/>
      </w:pPr>
      <w:r>
        <w:rPr>
          <w:noProof/>
        </w:rPr>
        <w:drawing>
          <wp:inline distT="0" distB="0" distL="0" distR="0" wp14:anchorId="63147EAA" wp14:editId="244C18D9">
            <wp:extent cx="4608218" cy="30289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2283" cy="3031622"/>
                    </a:xfrm>
                    <a:prstGeom prst="rect">
                      <a:avLst/>
                    </a:prstGeom>
                    <a:noFill/>
                  </pic:spPr>
                </pic:pic>
              </a:graphicData>
            </a:graphic>
          </wp:inline>
        </w:drawing>
      </w:r>
    </w:p>
    <w:p w:rsidR="007915BF" w:rsidRDefault="007915BF" w:rsidP="007915BF">
      <w:pPr>
        <w:pStyle w:val="BodyText"/>
        <w:jc w:val="both"/>
        <w:rPr>
          <w:i w:val="0"/>
        </w:rPr>
      </w:pPr>
    </w:p>
    <w:p w:rsidR="007915BF" w:rsidRDefault="007915BF" w:rsidP="007915BF">
      <w:pPr>
        <w:pStyle w:val="BodyText"/>
        <w:jc w:val="both"/>
        <w:rPr>
          <w:i w:val="0"/>
        </w:rPr>
      </w:pPr>
      <w:r w:rsidRPr="00D67152">
        <w:rPr>
          <w:b/>
          <w:i w:val="0"/>
        </w:rPr>
        <w:t>2.att</w:t>
      </w:r>
      <w:r w:rsidR="00E72C11">
        <w:rPr>
          <w:b/>
          <w:i w:val="0"/>
        </w:rPr>
        <w:t>ēls</w:t>
      </w:r>
      <w:r w:rsidRPr="00D67152">
        <w:rPr>
          <w:b/>
          <w:i w:val="0"/>
        </w:rPr>
        <w:t xml:space="preserve">. </w:t>
      </w:r>
      <w:r w:rsidRPr="00D67152">
        <w:rPr>
          <w:b/>
          <w:i w:val="0"/>
          <w:color w:val="000000"/>
          <w:szCs w:val="24"/>
        </w:rPr>
        <w:t xml:space="preserve">Prognozētās </w:t>
      </w:r>
      <w:r w:rsidR="00C66DD7">
        <w:rPr>
          <w:b/>
          <w:i w:val="0"/>
          <w:color w:val="000000"/>
          <w:szCs w:val="24"/>
        </w:rPr>
        <w:t xml:space="preserve">atbalsta </w:t>
      </w:r>
      <w:r w:rsidRPr="00D67152">
        <w:rPr>
          <w:b/>
          <w:i w:val="0"/>
          <w:color w:val="000000"/>
          <w:szCs w:val="24"/>
        </w:rPr>
        <w:t xml:space="preserve">izmaksas virs tirgus cenas sadalījumā pa resursu veidiem </w:t>
      </w:r>
      <w:r w:rsidRPr="00031B46">
        <w:rPr>
          <w:i w:val="0"/>
          <w:color w:val="000000"/>
          <w:szCs w:val="24"/>
        </w:rPr>
        <w:t>(</w:t>
      </w:r>
      <w:r>
        <w:rPr>
          <w:i w:val="0"/>
        </w:rPr>
        <w:t xml:space="preserve">Avots: </w:t>
      </w:r>
      <w:r w:rsidR="00ED2595">
        <w:rPr>
          <w:i w:val="0"/>
        </w:rPr>
        <w:t>AS „</w:t>
      </w:r>
      <w:r>
        <w:rPr>
          <w:i w:val="0"/>
        </w:rPr>
        <w:t>Enerģijas publiskais tirgotājs</w:t>
      </w:r>
      <w:r w:rsidR="00ED2595">
        <w:rPr>
          <w:i w:val="0"/>
        </w:rPr>
        <w:t>”</w:t>
      </w:r>
      <w:r>
        <w:rPr>
          <w:i w:val="0"/>
        </w:rPr>
        <w:t xml:space="preserve">) </w:t>
      </w:r>
    </w:p>
    <w:p w:rsidR="007915BF" w:rsidRPr="00D67152" w:rsidRDefault="007915BF" w:rsidP="007915BF">
      <w:pPr>
        <w:pStyle w:val="BodyText"/>
        <w:jc w:val="both"/>
        <w:rPr>
          <w:b/>
          <w:i w:val="0"/>
          <w:color w:val="000000"/>
          <w:szCs w:val="24"/>
        </w:rPr>
      </w:pPr>
    </w:p>
    <w:p w:rsidR="00102952" w:rsidRDefault="00102952" w:rsidP="00102952">
      <w:pPr>
        <w:pStyle w:val="BodyText"/>
        <w:ind w:firstLine="851"/>
        <w:jc w:val="both"/>
        <w:rPr>
          <w:i w:val="0"/>
          <w:color w:val="000000"/>
          <w:sz w:val="28"/>
          <w:szCs w:val="28"/>
        </w:rPr>
      </w:pPr>
      <w:r>
        <w:rPr>
          <w:i w:val="0"/>
          <w:color w:val="000000"/>
          <w:sz w:val="28"/>
          <w:szCs w:val="28"/>
        </w:rPr>
        <w:t>Salīdzinot ar 2013.gada prognozēm</w:t>
      </w:r>
      <w:r w:rsidR="00C157CB">
        <w:rPr>
          <w:i w:val="0"/>
          <w:color w:val="000000"/>
          <w:sz w:val="28"/>
          <w:szCs w:val="28"/>
        </w:rPr>
        <w:t>,</w:t>
      </w:r>
      <w:r>
        <w:rPr>
          <w:i w:val="0"/>
          <w:color w:val="000000"/>
          <w:sz w:val="28"/>
          <w:szCs w:val="28"/>
        </w:rPr>
        <w:t xml:space="preserve"> ir mainījušies pieņēmumi: </w:t>
      </w:r>
    </w:p>
    <w:p w:rsidR="00EF3139" w:rsidRDefault="00102952" w:rsidP="00102952">
      <w:pPr>
        <w:pStyle w:val="BodyText"/>
        <w:ind w:firstLine="851"/>
        <w:jc w:val="both"/>
        <w:rPr>
          <w:i w:val="0"/>
          <w:color w:val="000000"/>
          <w:sz w:val="28"/>
          <w:szCs w:val="28"/>
        </w:rPr>
      </w:pPr>
      <w:r>
        <w:rPr>
          <w:i w:val="0"/>
          <w:color w:val="000000"/>
          <w:sz w:val="28"/>
          <w:szCs w:val="28"/>
        </w:rPr>
        <w:t xml:space="preserve">1) </w:t>
      </w:r>
      <w:r w:rsidRPr="00611BA4">
        <w:rPr>
          <w:color w:val="000000"/>
          <w:sz w:val="28"/>
          <w:szCs w:val="28"/>
        </w:rPr>
        <w:t>mazāks elektroenerģijas patēriņa pieaugums</w:t>
      </w:r>
      <w:r>
        <w:rPr>
          <w:i w:val="0"/>
          <w:color w:val="000000"/>
          <w:sz w:val="28"/>
          <w:szCs w:val="28"/>
        </w:rPr>
        <w:t xml:space="preserve"> (skat.</w:t>
      </w:r>
      <w:r w:rsidR="0046450C">
        <w:rPr>
          <w:i w:val="0"/>
          <w:color w:val="000000"/>
          <w:sz w:val="28"/>
          <w:szCs w:val="28"/>
        </w:rPr>
        <w:t> </w:t>
      </w:r>
      <w:r>
        <w:rPr>
          <w:i w:val="0"/>
          <w:color w:val="000000"/>
          <w:sz w:val="28"/>
          <w:szCs w:val="28"/>
        </w:rPr>
        <w:t>1.tab.);</w:t>
      </w:r>
    </w:p>
    <w:p w:rsidR="00102952" w:rsidRDefault="00102952" w:rsidP="00102952">
      <w:pPr>
        <w:pStyle w:val="BodyText"/>
        <w:ind w:firstLine="851"/>
        <w:jc w:val="both"/>
        <w:rPr>
          <w:i w:val="0"/>
          <w:color w:val="000000"/>
          <w:sz w:val="28"/>
          <w:szCs w:val="28"/>
        </w:rPr>
      </w:pPr>
      <w:r>
        <w:rPr>
          <w:i w:val="0"/>
          <w:color w:val="000000"/>
          <w:sz w:val="28"/>
          <w:szCs w:val="28"/>
        </w:rPr>
        <w:lastRenderedPageBreak/>
        <w:t xml:space="preserve">Samazinoties </w:t>
      </w:r>
      <w:r w:rsidRPr="00102952">
        <w:rPr>
          <w:i w:val="0"/>
          <w:color w:val="000000"/>
          <w:sz w:val="28"/>
          <w:szCs w:val="28"/>
        </w:rPr>
        <w:t xml:space="preserve">elektroenerģijas galapatēriņam, </w:t>
      </w:r>
      <w:r>
        <w:rPr>
          <w:i w:val="0"/>
          <w:color w:val="000000"/>
          <w:sz w:val="28"/>
          <w:szCs w:val="28"/>
        </w:rPr>
        <w:t xml:space="preserve">samazinās </w:t>
      </w:r>
      <w:r w:rsidRPr="00102952">
        <w:rPr>
          <w:i w:val="0"/>
          <w:color w:val="000000"/>
          <w:sz w:val="28"/>
          <w:szCs w:val="28"/>
        </w:rPr>
        <w:t xml:space="preserve">arī elektroenerģijas apjoms, uz kuru izmaksas tiek dalītas (OIK </w:t>
      </w:r>
      <w:r>
        <w:rPr>
          <w:i w:val="0"/>
          <w:color w:val="000000"/>
          <w:sz w:val="28"/>
          <w:szCs w:val="28"/>
        </w:rPr>
        <w:t xml:space="preserve">palielinās), </w:t>
      </w:r>
      <w:r w:rsidRPr="00102952">
        <w:rPr>
          <w:i w:val="0"/>
          <w:color w:val="000000"/>
          <w:sz w:val="28"/>
          <w:szCs w:val="28"/>
        </w:rPr>
        <w:t xml:space="preserve">un otrādi – </w:t>
      </w:r>
      <w:r>
        <w:rPr>
          <w:i w:val="0"/>
          <w:color w:val="000000"/>
          <w:sz w:val="28"/>
          <w:szCs w:val="28"/>
        </w:rPr>
        <w:t xml:space="preserve">palielinoties </w:t>
      </w:r>
      <w:r w:rsidRPr="00102952">
        <w:rPr>
          <w:i w:val="0"/>
          <w:color w:val="000000"/>
          <w:sz w:val="28"/>
          <w:szCs w:val="28"/>
        </w:rPr>
        <w:t xml:space="preserve">gala patēriņam, </w:t>
      </w:r>
      <w:r>
        <w:rPr>
          <w:i w:val="0"/>
          <w:color w:val="000000"/>
          <w:sz w:val="28"/>
          <w:szCs w:val="28"/>
        </w:rPr>
        <w:t xml:space="preserve">samazinās </w:t>
      </w:r>
      <w:r w:rsidRPr="00102952">
        <w:rPr>
          <w:i w:val="0"/>
          <w:color w:val="000000"/>
          <w:sz w:val="28"/>
          <w:szCs w:val="28"/>
        </w:rPr>
        <w:t>OIK.</w:t>
      </w:r>
    </w:p>
    <w:p w:rsidR="00102952" w:rsidRPr="009E280D" w:rsidRDefault="00EF3139" w:rsidP="00102952">
      <w:pPr>
        <w:pStyle w:val="Caption"/>
        <w:keepNext/>
        <w:jc w:val="right"/>
        <w:rPr>
          <w:rFonts w:ascii="Times New Roman" w:hAnsi="Times New Roman"/>
          <w:sz w:val="24"/>
          <w:szCs w:val="24"/>
        </w:rPr>
      </w:pPr>
      <w:r>
        <w:rPr>
          <w:rFonts w:ascii="Times New Roman" w:hAnsi="Times New Roman"/>
          <w:sz w:val="24"/>
          <w:szCs w:val="24"/>
        </w:rPr>
        <w:t>1. t</w:t>
      </w:r>
      <w:r w:rsidR="00102952" w:rsidRPr="009E280D">
        <w:rPr>
          <w:rFonts w:ascii="Times New Roman" w:hAnsi="Times New Roman"/>
          <w:sz w:val="24"/>
          <w:szCs w:val="24"/>
        </w:rPr>
        <w:t>abula</w:t>
      </w:r>
    </w:p>
    <w:p w:rsidR="00102952" w:rsidRPr="009E280D" w:rsidRDefault="00102952" w:rsidP="00102952">
      <w:pPr>
        <w:pStyle w:val="Caption"/>
        <w:keepNext/>
        <w:jc w:val="center"/>
        <w:rPr>
          <w:rFonts w:ascii="Times New Roman" w:hAnsi="Times New Roman"/>
          <w:sz w:val="24"/>
          <w:szCs w:val="24"/>
        </w:rPr>
      </w:pPr>
      <w:r>
        <w:rPr>
          <w:rFonts w:ascii="Times New Roman" w:hAnsi="Times New Roman"/>
          <w:sz w:val="24"/>
          <w:szCs w:val="24"/>
        </w:rPr>
        <w:t>Elektroenerģijas patēriņa prognozes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3"/>
        <w:gridCol w:w="1701"/>
        <w:gridCol w:w="1701"/>
        <w:gridCol w:w="1701"/>
        <w:gridCol w:w="1701"/>
      </w:tblGrid>
      <w:tr w:rsidR="00102952" w:rsidRPr="002D0749" w:rsidTr="00611BA4">
        <w:trPr>
          <w:trHeight w:val="333"/>
        </w:trPr>
        <w:tc>
          <w:tcPr>
            <w:tcW w:w="2263" w:type="dxa"/>
            <w:shd w:val="clear" w:color="auto" w:fill="auto"/>
            <w:hideMark/>
          </w:tcPr>
          <w:p w:rsidR="00102952" w:rsidRPr="00611BA4" w:rsidRDefault="00102952" w:rsidP="006B639C">
            <w:pPr>
              <w:spacing w:after="0" w:line="240" w:lineRule="auto"/>
              <w:jc w:val="center"/>
              <w:rPr>
                <w:rFonts w:eastAsia="Times New Roman" w:cs="Times New Roman"/>
                <w:color w:val="000000"/>
                <w:szCs w:val="28"/>
                <w:lang w:eastAsia="lv-LV"/>
              </w:rPr>
            </w:pP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2015</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2016</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2017</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2018</w:t>
            </w:r>
          </w:p>
        </w:tc>
      </w:tr>
      <w:tr w:rsidR="00102952" w:rsidRPr="002D0749" w:rsidTr="00611BA4">
        <w:trPr>
          <w:trHeight w:val="268"/>
        </w:trPr>
        <w:tc>
          <w:tcPr>
            <w:tcW w:w="2263"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2013.g. prognoze</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 xml:space="preserve">7089 GWh </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7100 GWh</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7300 GWh</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7420 GWh</w:t>
            </w:r>
          </w:p>
        </w:tc>
      </w:tr>
      <w:tr w:rsidR="00102952" w:rsidRPr="002D0749" w:rsidTr="00611BA4">
        <w:trPr>
          <w:trHeight w:val="271"/>
        </w:trPr>
        <w:tc>
          <w:tcPr>
            <w:tcW w:w="2263"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2015.g. prognoze</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6705 GWh</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6798 GWh</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6881 GWh</w:t>
            </w:r>
          </w:p>
        </w:tc>
        <w:tc>
          <w:tcPr>
            <w:tcW w:w="170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6965 GWh</w:t>
            </w:r>
          </w:p>
        </w:tc>
      </w:tr>
    </w:tbl>
    <w:p w:rsidR="00102952" w:rsidRDefault="00102952" w:rsidP="00102952">
      <w:pPr>
        <w:pStyle w:val="Caption"/>
        <w:keepNext/>
        <w:jc w:val="right"/>
        <w:rPr>
          <w:rFonts w:ascii="Times New Roman" w:hAnsi="Times New Roman"/>
          <w:sz w:val="24"/>
          <w:szCs w:val="24"/>
        </w:rPr>
      </w:pPr>
    </w:p>
    <w:p w:rsidR="00EF3139" w:rsidRDefault="00102952" w:rsidP="00102952">
      <w:pPr>
        <w:pStyle w:val="BodyText2"/>
        <w:spacing w:after="120"/>
        <w:ind w:firstLine="567"/>
        <w:rPr>
          <w:i/>
          <w:color w:val="000000"/>
          <w:sz w:val="28"/>
          <w:szCs w:val="28"/>
        </w:rPr>
      </w:pPr>
      <w:r w:rsidRPr="00611BA4">
        <w:rPr>
          <w:color w:val="000000"/>
          <w:sz w:val="28"/>
          <w:szCs w:val="28"/>
        </w:rPr>
        <w:t>2)</w:t>
      </w:r>
      <w:r>
        <w:rPr>
          <w:i/>
          <w:color w:val="000000"/>
          <w:sz w:val="28"/>
          <w:szCs w:val="28"/>
        </w:rPr>
        <w:t xml:space="preserve"> zemāka elektroenerģijas tirgus cenas </w:t>
      </w:r>
      <w:r w:rsidRPr="00285983">
        <w:rPr>
          <w:color w:val="000000"/>
          <w:sz w:val="28"/>
          <w:szCs w:val="28"/>
        </w:rPr>
        <w:t>(skat. 2.tab.)</w:t>
      </w:r>
      <w:r w:rsidR="0046450C" w:rsidRPr="00285983">
        <w:rPr>
          <w:color w:val="000000"/>
          <w:sz w:val="28"/>
          <w:szCs w:val="28"/>
        </w:rPr>
        <w:t>;</w:t>
      </w:r>
    </w:p>
    <w:p w:rsidR="00102952" w:rsidRDefault="00C157CB" w:rsidP="00102952">
      <w:pPr>
        <w:pStyle w:val="BodyText2"/>
        <w:spacing w:after="120"/>
        <w:ind w:firstLine="567"/>
        <w:rPr>
          <w:sz w:val="28"/>
          <w:szCs w:val="28"/>
        </w:rPr>
      </w:pPr>
      <w:r w:rsidRPr="00D67152">
        <w:rPr>
          <w:sz w:val="28"/>
          <w:szCs w:val="28"/>
        </w:rPr>
        <w:t>Elekt</w:t>
      </w:r>
      <w:r>
        <w:rPr>
          <w:sz w:val="28"/>
          <w:szCs w:val="28"/>
        </w:rPr>
        <w:t>roenerģijas</w:t>
      </w:r>
      <w:r w:rsidRPr="00D67152">
        <w:rPr>
          <w:sz w:val="28"/>
          <w:szCs w:val="28"/>
        </w:rPr>
        <w:t xml:space="preserve"> </w:t>
      </w:r>
      <w:r w:rsidR="00102952" w:rsidRPr="00D67152">
        <w:rPr>
          <w:sz w:val="28"/>
          <w:szCs w:val="28"/>
        </w:rPr>
        <w:t>tirgus cenas samazināšanās reģionā par 12 - 19% salīdzinājumā ar 2014.gadu, kā rezultātā iepirktās elektroenerģijas tirgus vērtība kļūst zemāka, bet subsīdijas attiecīgi lielākas.</w:t>
      </w:r>
    </w:p>
    <w:p w:rsidR="00EF3139" w:rsidRPr="009E280D" w:rsidRDefault="00EF3139" w:rsidP="00EF3139">
      <w:pPr>
        <w:pStyle w:val="Caption"/>
        <w:keepNext/>
        <w:jc w:val="right"/>
        <w:rPr>
          <w:rFonts w:ascii="Times New Roman" w:hAnsi="Times New Roman"/>
          <w:sz w:val="24"/>
          <w:szCs w:val="24"/>
        </w:rPr>
      </w:pPr>
      <w:r>
        <w:rPr>
          <w:rFonts w:ascii="Times New Roman" w:hAnsi="Times New Roman"/>
          <w:sz w:val="24"/>
          <w:szCs w:val="24"/>
        </w:rPr>
        <w:t>2. t</w:t>
      </w:r>
      <w:r w:rsidRPr="009E280D">
        <w:rPr>
          <w:rFonts w:ascii="Times New Roman" w:hAnsi="Times New Roman"/>
          <w:sz w:val="24"/>
          <w:szCs w:val="24"/>
        </w:rPr>
        <w:t>abula</w:t>
      </w:r>
    </w:p>
    <w:p w:rsidR="00102952" w:rsidRPr="009E280D" w:rsidRDefault="00102952" w:rsidP="00102952">
      <w:pPr>
        <w:pStyle w:val="Caption"/>
        <w:keepNext/>
        <w:jc w:val="center"/>
        <w:rPr>
          <w:rFonts w:ascii="Times New Roman" w:hAnsi="Times New Roman"/>
          <w:sz w:val="24"/>
          <w:szCs w:val="24"/>
        </w:rPr>
      </w:pPr>
      <w:r>
        <w:rPr>
          <w:rFonts w:ascii="Times New Roman" w:hAnsi="Times New Roman"/>
          <w:sz w:val="24"/>
          <w:szCs w:val="24"/>
        </w:rPr>
        <w:t>Elektroenerģijas tirgus cenas prognoze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51"/>
        <w:gridCol w:w="1527"/>
        <w:gridCol w:w="1528"/>
        <w:gridCol w:w="1528"/>
        <w:gridCol w:w="1528"/>
      </w:tblGrid>
      <w:tr w:rsidR="00102952" w:rsidRPr="002D0749" w:rsidTr="00611BA4">
        <w:trPr>
          <w:trHeight w:val="480"/>
        </w:trPr>
        <w:tc>
          <w:tcPr>
            <w:tcW w:w="2951" w:type="dxa"/>
            <w:shd w:val="clear" w:color="auto" w:fill="auto"/>
            <w:hideMark/>
          </w:tcPr>
          <w:p w:rsidR="00102952" w:rsidRPr="00EF3139" w:rsidRDefault="00102952" w:rsidP="006B639C">
            <w:pPr>
              <w:spacing w:after="0" w:line="240" w:lineRule="auto"/>
              <w:jc w:val="center"/>
              <w:rPr>
                <w:rFonts w:eastAsia="Times New Roman" w:cs="Times New Roman"/>
                <w:color w:val="000000"/>
                <w:szCs w:val="28"/>
                <w:lang w:eastAsia="lv-LV"/>
              </w:rPr>
            </w:pPr>
          </w:p>
        </w:tc>
        <w:tc>
          <w:tcPr>
            <w:tcW w:w="1527"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2015</w:t>
            </w:r>
          </w:p>
        </w:tc>
        <w:tc>
          <w:tcPr>
            <w:tcW w:w="1528"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2016</w:t>
            </w:r>
          </w:p>
        </w:tc>
        <w:tc>
          <w:tcPr>
            <w:tcW w:w="1528"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2017</w:t>
            </w:r>
          </w:p>
        </w:tc>
        <w:tc>
          <w:tcPr>
            <w:tcW w:w="1528"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2018</w:t>
            </w:r>
          </w:p>
        </w:tc>
      </w:tr>
      <w:tr w:rsidR="00102952" w:rsidRPr="002D0749" w:rsidTr="00611BA4">
        <w:trPr>
          <w:trHeight w:val="656"/>
        </w:trPr>
        <w:tc>
          <w:tcPr>
            <w:tcW w:w="2951"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Elektroenerģijas tirgus cena, EUR/MWh</w:t>
            </w:r>
          </w:p>
        </w:tc>
        <w:tc>
          <w:tcPr>
            <w:tcW w:w="1527"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43,26</w:t>
            </w:r>
          </w:p>
        </w:tc>
        <w:tc>
          <w:tcPr>
            <w:tcW w:w="1528"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39,93</w:t>
            </w:r>
          </w:p>
        </w:tc>
        <w:tc>
          <w:tcPr>
            <w:tcW w:w="1528"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40,41</w:t>
            </w:r>
          </w:p>
        </w:tc>
        <w:tc>
          <w:tcPr>
            <w:tcW w:w="1528" w:type="dxa"/>
            <w:shd w:val="clear" w:color="auto" w:fill="auto"/>
            <w:vAlign w:val="center"/>
            <w:hideMark/>
          </w:tcPr>
          <w:p w:rsidR="00102952" w:rsidRPr="00611BA4" w:rsidRDefault="00102952" w:rsidP="006B639C">
            <w:pPr>
              <w:spacing w:after="0" w:line="240" w:lineRule="auto"/>
              <w:jc w:val="center"/>
              <w:rPr>
                <w:rFonts w:eastAsia="Times New Roman" w:cs="Times New Roman"/>
                <w:color w:val="000000"/>
                <w:szCs w:val="28"/>
                <w:lang w:eastAsia="lv-LV"/>
              </w:rPr>
            </w:pPr>
            <w:r w:rsidRPr="00611BA4">
              <w:rPr>
                <w:rFonts w:eastAsia="Times New Roman" w:cs="Times New Roman"/>
                <w:color w:val="000000"/>
                <w:szCs w:val="28"/>
                <w:lang w:eastAsia="lv-LV"/>
              </w:rPr>
              <w:t>40,8</w:t>
            </w:r>
          </w:p>
        </w:tc>
      </w:tr>
    </w:tbl>
    <w:p w:rsidR="007915BF" w:rsidRDefault="007915BF" w:rsidP="007915BF">
      <w:pPr>
        <w:pStyle w:val="BodyText2"/>
        <w:ind w:firstLine="567"/>
        <w:rPr>
          <w:sz w:val="28"/>
          <w:szCs w:val="28"/>
        </w:rPr>
      </w:pPr>
    </w:p>
    <w:p w:rsidR="00ED2595" w:rsidRDefault="00ED2595" w:rsidP="007915BF">
      <w:pPr>
        <w:pStyle w:val="BodyText2"/>
        <w:ind w:firstLine="567"/>
        <w:rPr>
          <w:sz w:val="28"/>
          <w:szCs w:val="28"/>
        </w:rPr>
      </w:pPr>
    </w:p>
    <w:p w:rsidR="00466B48" w:rsidRDefault="00466B48" w:rsidP="0046450C">
      <w:pPr>
        <w:spacing w:after="0" w:line="240" w:lineRule="auto"/>
        <w:ind w:firstLine="851"/>
        <w:rPr>
          <w:i/>
          <w:color w:val="000000"/>
          <w:sz w:val="28"/>
          <w:szCs w:val="28"/>
        </w:rPr>
      </w:pPr>
      <w:r>
        <w:rPr>
          <w:color w:val="000000"/>
          <w:sz w:val="28"/>
          <w:szCs w:val="28"/>
        </w:rPr>
        <w:t>3</w:t>
      </w:r>
      <w:r w:rsidRPr="00611BA4">
        <w:rPr>
          <w:color w:val="000000"/>
          <w:sz w:val="28"/>
          <w:szCs w:val="28"/>
        </w:rPr>
        <w:t>)</w:t>
      </w:r>
      <w:r>
        <w:rPr>
          <w:i/>
          <w:color w:val="000000"/>
          <w:sz w:val="28"/>
          <w:szCs w:val="28"/>
        </w:rPr>
        <w:t xml:space="preserve"> dabasgāzes cenas pazemināšanās;</w:t>
      </w:r>
    </w:p>
    <w:p w:rsidR="0046450C" w:rsidRPr="00F413D7" w:rsidRDefault="0046450C" w:rsidP="00BC6019">
      <w:pPr>
        <w:spacing w:after="0" w:line="240" w:lineRule="auto"/>
        <w:ind w:firstLine="720"/>
        <w:rPr>
          <w:sz w:val="28"/>
          <w:szCs w:val="28"/>
        </w:rPr>
      </w:pPr>
      <w:r>
        <w:rPr>
          <w:sz w:val="28"/>
          <w:szCs w:val="28"/>
        </w:rPr>
        <w:t>2013. gad</w:t>
      </w:r>
      <w:r w:rsidR="00466B48">
        <w:rPr>
          <w:sz w:val="28"/>
          <w:szCs w:val="28"/>
        </w:rPr>
        <w:t>a prognozēs</w:t>
      </w:r>
      <w:r>
        <w:rPr>
          <w:sz w:val="28"/>
          <w:szCs w:val="28"/>
        </w:rPr>
        <w:t xml:space="preserve"> tika pieņemts, ka dabasgāzes tirdzniecības cena būs </w:t>
      </w:r>
      <w:r w:rsidRPr="00F413D7">
        <w:rPr>
          <w:sz w:val="28"/>
          <w:szCs w:val="28"/>
        </w:rPr>
        <w:t>298,80 EUR/t</w:t>
      </w:r>
      <w:r w:rsidR="00ED2595">
        <w:rPr>
          <w:sz w:val="28"/>
          <w:szCs w:val="28"/>
        </w:rPr>
        <w:t>ū</w:t>
      </w:r>
      <w:r w:rsidRPr="00F413D7">
        <w:rPr>
          <w:sz w:val="28"/>
          <w:szCs w:val="28"/>
        </w:rPr>
        <w:t>kst.m</w:t>
      </w:r>
      <w:r w:rsidRPr="00F413D7">
        <w:rPr>
          <w:sz w:val="28"/>
          <w:szCs w:val="28"/>
          <w:vertAlign w:val="superscript"/>
        </w:rPr>
        <w:t>3</w:t>
      </w:r>
      <w:r w:rsidR="0020516A">
        <w:rPr>
          <w:sz w:val="28"/>
          <w:szCs w:val="28"/>
        </w:rPr>
        <w:t>.</w:t>
      </w:r>
      <w:r>
        <w:rPr>
          <w:sz w:val="28"/>
          <w:szCs w:val="28"/>
        </w:rPr>
        <w:t xml:space="preserve"> </w:t>
      </w:r>
      <w:r w:rsidR="0020516A">
        <w:rPr>
          <w:sz w:val="28"/>
          <w:szCs w:val="28"/>
        </w:rPr>
        <w:t xml:space="preserve">Saskaņā ar šobrīd spēkā esošo normatīvo regulējumu, aprēķinot elektroenerģijas, kas tiek iepirkta obligātā iepirkuma ietvaros, cenu, </w:t>
      </w:r>
      <w:r>
        <w:rPr>
          <w:sz w:val="28"/>
          <w:szCs w:val="28"/>
        </w:rPr>
        <w:t>dabasgāzes tirdzniecības cena</w:t>
      </w:r>
      <w:r w:rsidR="0020516A">
        <w:rPr>
          <w:sz w:val="28"/>
          <w:szCs w:val="28"/>
        </w:rPr>
        <w:t>s maksimālais līmenis ir</w:t>
      </w:r>
      <w:r>
        <w:rPr>
          <w:sz w:val="28"/>
          <w:szCs w:val="28"/>
        </w:rPr>
        <w:t xml:space="preserve"> </w:t>
      </w:r>
      <w:r w:rsidRPr="0020516A">
        <w:rPr>
          <w:sz w:val="28"/>
          <w:szCs w:val="28"/>
        </w:rPr>
        <w:t>277,46 EUR/</w:t>
      </w:r>
      <w:r w:rsidRPr="00F413D7">
        <w:rPr>
          <w:sz w:val="28"/>
          <w:szCs w:val="28"/>
        </w:rPr>
        <w:t>t</w:t>
      </w:r>
      <w:r w:rsidR="00ED2595">
        <w:rPr>
          <w:sz w:val="28"/>
          <w:szCs w:val="28"/>
        </w:rPr>
        <w:t>ū</w:t>
      </w:r>
      <w:r w:rsidR="00CC7F41">
        <w:rPr>
          <w:sz w:val="28"/>
          <w:szCs w:val="28"/>
        </w:rPr>
        <w:t>kst.</w:t>
      </w:r>
      <w:r w:rsidRPr="00F413D7">
        <w:rPr>
          <w:sz w:val="28"/>
          <w:szCs w:val="28"/>
        </w:rPr>
        <w:t>m</w:t>
      </w:r>
      <w:r>
        <w:rPr>
          <w:sz w:val="28"/>
          <w:szCs w:val="28"/>
          <w:vertAlign w:val="superscript"/>
        </w:rPr>
        <w:t>3</w:t>
      </w:r>
      <w:r>
        <w:rPr>
          <w:sz w:val="28"/>
          <w:szCs w:val="28"/>
        </w:rPr>
        <w:t xml:space="preserve">. Faktiskā dabasgāzes tirdzniecības cena 2015. gadā ir bijusi diapazonā no </w:t>
      </w:r>
      <w:r w:rsidRPr="00F413D7">
        <w:rPr>
          <w:sz w:val="28"/>
          <w:szCs w:val="28"/>
        </w:rPr>
        <w:t>213,43  EUR/t</w:t>
      </w:r>
      <w:r w:rsidR="00ED2595">
        <w:rPr>
          <w:sz w:val="28"/>
          <w:szCs w:val="28"/>
        </w:rPr>
        <w:t>ū</w:t>
      </w:r>
      <w:r w:rsidRPr="00F413D7">
        <w:rPr>
          <w:sz w:val="28"/>
          <w:szCs w:val="28"/>
        </w:rPr>
        <w:t>kst.m</w:t>
      </w:r>
      <w:r w:rsidRPr="00F413D7">
        <w:rPr>
          <w:sz w:val="28"/>
          <w:szCs w:val="28"/>
          <w:vertAlign w:val="superscript"/>
        </w:rPr>
        <w:t>3</w:t>
      </w:r>
      <w:r>
        <w:rPr>
          <w:sz w:val="28"/>
          <w:szCs w:val="28"/>
        </w:rPr>
        <w:t xml:space="preserve"> (</w:t>
      </w:r>
      <w:r w:rsidRPr="00F413D7">
        <w:rPr>
          <w:sz w:val="28"/>
          <w:szCs w:val="28"/>
        </w:rPr>
        <w:t>2015.gada augustā)</w:t>
      </w:r>
      <w:r>
        <w:rPr>
          <w:sz w:val="28"/>
          <w:szCs w:val="28"/>
        </w:rPr>
        <w:t xml:space="preserve"> līdz </w:t>
      </w:r>
      <w:r w:rsidRPr="00F413D7">
        <w:rPr>
          <w:sz w:val="28"/>
          <w:szCs w:val="28"/>
        </w:rPr>
        <w:t>277,46 EUR/t</w:t>
      </w:r>
      <w:r w:rsidR="00ED2595">
        <w:rPr>
          <w:sz w:val="28"/>
          <w:szCs w:val="28"/>
        </w:rPr>
        <w:t>ū</w:t>
      </w:r>
      <w:r w:rsidRPr="00F413D7">
        <w:rPr>
          <w:sz w:val="28"/>
          <w:szCs w:val="28"/>
        </w:rPr>
        <w:t>kst.m</w:t>
      </w:r>
      <w:r>
        <w:rPr>
          <w:sz w:val="28"/>
          <w:szCs w:val="28"/>
          <w:vertAlign w:val="superscript"/>
        </w:rPr>
        <w:t xml:space="preserve">3 </w:t>
      </w:r>
      <w:r w:rsidRPr="00F413D7">
        <w:rPr>
          <w:sz w:val="28"/>
          <w:szCs w:val="28"/>
        </w:rPr>
        <w:t>(2015. gada janvārī).</w:t>
      </w:r>
    </w:p>
    <w:p w:rsidR="00C66DD7" w:rsidRDefault="00C66DD7" w:rsidP="00C66DD7">
      <w:pPr>
        <w:pStyle w:val="BodyText"/>
        <w:ind w:firstLine="851"/>
        <w:jc w:val="both"/>
        <w:rPr>
          <w:i w:val="0"/>
          <w:color w:val="000000"/>
          <w:sz w:val="28"/>
          <w:szCs w:val="28"/>
        </w:rPr>
      </w:pPr>
      <w:r>
        <w:rPr>
          <w:i w:val="0"/>
          <w:color w:val="000000"/>
          <w:sz w:val="28"/>
          <w:szCs w:val="28"/>
        </w:rPr>
        <w:t xml:space="preserve">Faktiskās </w:t>
      </w:r>
      <w:r w:rsidRPr="00C66DD7">
        <w:rPr>
          <w:i w:val="0"/>
          <w:color w:val="000000"/>
          <w:sz w:val="28"/>
          <w:szCs w:val="28"/>
        </w:rPr>
        <w:t>garantētās maksas par uzstādīto jaudu</w:t>
      </w:r>
      <w:r>
        <w:rPr>
          <w:i w:val="0"/>
          <w:color w:val="000000"/>
          <w:sz w:val="28"/>
          <w:szCs w:val="28"/>
        </w:rPr>
        <w:t xml:space="preserve"> un o</w:t>
      </w:r>
      <w:r w:rsidRPr="00C66DD7">
        <w:rPr>
          <w:i w:val="0"/>
          <w:color w:val="000000"/>
          <w:sz w:val="28"/>
          <w:szCs w:val="28"/>
        </w:rPr>
        <w:t>bligātā iepirkuma</w:t>
      </w:r>
      <w:r>
        <w:rPr>
          <w:i w:val="0"/>
          <w:color w:val="000000"/>
          <w:sz w:val="28"/>
          <w:szCs w:val="28"/>
        </w:rPr>
        <w:t xml:space="preserve"> izmaksas</w:t>
      </w:r>
      <w:r w:rsidRPr="00C66DD7">
        <w:rPr>
          <w:i w:val="0"/>
          <w:color w:val="000000"/>
          <w:sz w:val="28"/>
          <w:szCs w:val="28"/>
        </w:rPr>
        <w:t xml:space="preserve"> </w:t>
      </w:r>
      <w:r>
        <w:rPr>
          <w:i w:val="0"/>
          <w:color w:val="000000"/>
          <w:sz w:val="28"/>
          <w:szCs w:val="28"/>
        </w:rPr>
        <w:t>apkopotas 3. tabulā.</w:t>
      </w:r>
    </w:p>
    <w:p w:rsidR="00E72C11" w:rsidRPr="002860D8" w:rsidRDefault="00E72C11" w:rsidP="00E72C11">
      <w:pPr>
        <w:spacing w:after="0" w:line="240" w:lineRule="auto"/>
        <w:ind w:firstLine="851"/>
        <w:rPr>
          <w:sz w:val="28"/>
          <w:szCs w:val="28"/>
        </w:rPr>
      </w:pPr>
      <w:r w:rsidRPr="002860D8">
        <w:rPr>
          <w:sz w:val="28"/>
          <w:szCs w:val="28"/>
        </w:rPr>
        <w:t xml:space="preserve">No 3.tabulā iekļautās informācijas redzams, ka ar katru gadu pieaug ražotājiem, kas pārdod elektroenerģiju obligātā iepirkuma ietvaros vai saņem garantēto maksu par uzstādīto elektrisko jaudu, izmaksātais kopējais atbalsta apjoms, kā arī šī atbalsta apjoms virs tirgus cenas, kurš tiek iekļauts obligātā iepirkuma komponentē. Ražotājiem, kas elektroenerģiju ražo </w:t>
      </w:r>
      <w:r w:rsidR="00ED2595">
        <w:rPr>
          <w:sz w:val="28"/>
          <w:szCs w:val="28"/>
        </w:rPr>
        <w:t>no</w:t>
      </w:r>
      <w:r w:rsidRPr="002860D8">
        <w:rPr>
          <w:sz w:val="28"/>
          <w:szCs w:val="28"/>
        </w:rPr>
        <w:t xml:space="preserve"> atjaunojamiem energoresursiem un to pārdod obligātā iepirkuma ietvaros, atbalsta apjoms virs tirgus cenas 2014.gadā, salīdzinot ar 2013.gadu, ir pieaudzis par 12,3% (no 73,98 milj. EUR līdz 83,07 milj. EUR), savukārt 2015.gada 1.pusgadā tas sastāda 65% no 2014.gadā izmaksātā atbalsta apjoma virs tirgus cenas. Tāpat pieaug arī koģenerācijas stacijām, kas enerģijas ražošanai izmanto fosilos </w:t>
      </w:r>
      <w:r w:rsidRPr="002860D8">
        <w:rPr>
          <w:sz w:val="28"/>
          <w:szCs w:val="28"/>
        </w:rPr>
        <w:lastRenderedPageBreak/>
        <w:t>energoresursus, izmaksātais atbalsta apjoms virs tirgus cenas, kas 2014.gadā, salīdzinot ar 2013.gadu, ir pieaudzis par 15,9% (no 135,92 milj. EUR līdz 157,50 milj. EUR), savukārt 2015.gada 1.pusgadā tas sastāda 53% no 2014.gadā izmaksātā atbalsta virs tirgus cenas.</w:t>
      </w:r>
    </w:p>
    <w:p w:rsidR="00C66DD7" w:rsidRPr="009E280D" w:rsidRDefault="00C66DD7" w:rsidP="00C66DD7">
      <w:pPr>
        <w:pStyle w:val="Caption"/>
        <w:keepNext/>
        <w:jc w:val="right"/>
        <w:rPr>
          <w:rFonts w:ascii="Times New Roman" w:hAnsi="Times New Roman"/>
          <w:sz w:val="24"/>
          <w:szCs w:val="24"/>
        </w:rPr>
      </w:pPr>
      <w:r>
        <w:rPr>
          <w:rFonts w:ascii="Times New Roman" w:hAnsi="Times New Roman"/>
          <w:sz w:val="24"/>
          <w:szCs w:val="24"/>
        </w:rPr>
        <w:t>3. t</w:t>
      </w:r>
      <w:r w:rsidRPr="009E280D">
        <w:rPr>
          <w:rFonts w:ascii="Times New Roman" w:hAnsi="Times New Roman"/>
          <w:sz w:val="24"/>
          <w:szCs w:val="24"/>
        </w:rPr>
        <w:t>abula</w:t>
      </w:r>
    </w:p>
    <w:p w:rsidR="00C66DD7" w:rsidRDefault="009973B2" w:rsidP="00C66DD7">
      <w:pPr>
        <w:pStyle w:val="Caption"/>
        <w:keepNext/>
        <w:jc w:val="center"/>
        <w:rPr>
          <w:rFonts w:ascii="Times New Roman" w:hAnsi="Times New Roman"/>
          <w:sz w:val="24"/>
          <w:szCs w:val="24"/>
        </w:rPr>
      </w:pPr>
      <w:r>
        <w:rPr>
          <w:rFonts w:ascii="Times New Roman" w:hAnsi="Times New Roman"/>
          <w:sz w:val="24"/>
          <w:szCs w:val="24"/>
        </w:rPr>
        <w:t>Obligātā iepirkuma ietvaros i</w:t>
      </w:r>
      <w:r w:rsidRPr="009973B2">
        <w:rPr>
          <w:rFonts w:ascii="Times New Roman" w:hAnsi="Times New Roman"/>
          <w:sz w:val="24"/>
          <w:szCs w:val="24"/>
        </w:rPr>
        <w:t xml:space="preserve">epirktais elektroenerģijas apjoms </w:t>
      </w:r>
      <w:r>
        <w:rPr>
          <w:rFonts w:ascii="Times New Roman" w:hAnsi="Times New Roman"/>
          <w:sz w:val="24"/>
          <w:szCs w:val="24"/>
        </w:rPr>
        <w:t>un a</w:t>
      </w:r>
      <w:r w:rsidR="00C66DD7">
        <w:rPr>
          <w:rFonts w:ascii="Times New Roman" w:hAnsi="Times New Roman"/>
          <w:sz w:val="24"/>
          <w:szCs w:val="24"/>
        </w:rPr>
        <w:t>tbalsta izmaksas</w:t>
      </w:r>
    </w:p>
    <w:tbl>
      <w:tblPr>
        <w:tblW w:w="9498" w:type="dxa"/>
        <w:tblLayout w:type="fixed"/>
        <w:tblCellMar>
          <w:left w:w="0" w:type="dxa"/>
          <w:right w:w="0" w:type="dxa"/>
        </w:tblCellMar>
        <w:tblLook w:val="04A0" w:firstRow="1" w:lastRow="0" w:firstColumn="1" w:lastColumn="0" w:noHBand="0" w:noVBand="1"/>
      </w:tblPr>
      <w:tblGrid>
        <w:gridCol w:w="2694"/>
        <w:gridCol w:w="708"/>
        <w:gridCol w:w="709"/>
        <w:gridCol w:w="851"/>
        <w:gridCol w:w="709"/>
        <w:gridCol w:w="708"/>
        <w:gridCol w:w="851"/>
        <w:gridCol w:w="709"/>
        <w:gridCol w:w="709"/>
        <w:gridCol w:w="850"/>
      </w:tblGrid>
      <w:tr w:rsidR="00690948" w:rsidRPr="00860749" w:rsidTr="007010A8">
        <w:trPr>
          <w:trHeight w:val="113"/>
        </w:trPr>
        <w:tc>
          <w:tcPr>
            <w:tcW w:w="2694" w:type="dxa"/>
            <w:vMerge w:val="restart"/>
            <w:tcBorders>
              <w:top w:val="nil"/>
              <w:left w:val="nil"/>
              <w:bottom w:val="single" w:sz="8" w:space="0" w:color="auto"/>
              <w:right w:val="single" w:sz="12" w:space="0" w:color="auto"/>
            </w:tcBorders>
            <w:tcMar>
              <w:top w:w="0" w:type="dxa"/>
              <w:left w:w="108" w:type="dxa"/>
              <w:bottom w:w="0" w:type="dxa"/>
              <w:right w:w="108" w:type="dxa"/>
            </w:tcMar>
          </w:tcPr>
          <w:p w:rsidR="00F3184C" w:rsidRPr="00860749" w:rsidRDefault="00F3184C" w:rsidP="008F2676">
            <w:pPr>
              <w:spacing w:after="0" w:line="240" w:lineRule="auto"/>
              <w:rPr>
                <w:rFonts w:cs="Times New Roman"/>
                <w:color w:val="000000"/>
                <w:sz w:val="20"/>
                <w:szCs w:val="20"/>
              </w:rPr>
            </w:pPr>
          </w:p>
        </w:tc>
        <w:tc>
          <w:tcPr>
            <w:tcW w:w="2268" w:type="dxa"/>
            <w:gridSpan w:val="3"/>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hideMark/>
          </w:tcPr>
          <w:p w:rsidR="00F3184C" w:rsidRPr="00860749" w:rsidRDefault="00F3184C" w:rsidP="00C729B5">
            <w:pPr>
              <w:spacing w:after="0" w:line="240" w:lineRule="auto"/>
              <w:jc w:val="center"/>
              <w:rPr>
                <w:rFonts w:cs="Times New Roman"/>
                <w:b/>
                <w:bCs/>
                <w:color w:val="000000"/>
                <w:sz w:val="20"/>
                <w:szCs w:val="20"/>
              </w:rPr>
            </w:pPr>
            <w:r w:rsidRPr="00860749">
              <w:rPr>
                <w:rFonts w:cs="Times New Roman"/>
                <w:color w:val="000000"/>
                <w:sz w:val="20"/>
                <w:szCs w:val="20"/>
              </w:rPr>
              <w:t xml:space="preserve">Iepirktais elektroenerģijas apjoms, </w:t>
            </w:r>
            <w:r w:rsidR="00C729B5" w:rsidRPr="00860749">
              <w:rPr>
                <w:rFonts w:cs="Times New Roman"/>
                <w:color w:val="000000"/>
                <w:sz w:val="20"/>
                <w:szCs w:val="20"/>
              </w:rPr>
              <w:t>G</w:t>
            </w:r>
            <w:r w:rsidRPr="00860749">
              <w:rPr>
                <w:rFonts w:cs="Times New Roman"/>
                <w:color w:val="000000"/>
                <w:sz w:val="20"/>
                <w:szCs w:val="20"/>
              </w:rPr>
              <w:t>Wh</w:t>
            </w:r>
          </w:p>
        </w:tc>
        <w:tc>
          <w:tcPr>
            <w:tcW w:w="2268" w:type="dxa"/>
            <w:gridSpan w:val="3"/>
            <w:tcBorders>
              <w:top w:val="single" w:sz="12" w:space="0" w:color="auto"/>
              <w:left w:val="single" w:sz="12" w:space="0" w:color="auto"/>
              <w:bottom w:val="single" w:sz="4" w:space="0" w:color="auto"/>
              <w:right w:val="single" w:sz="12" w:space="0" w:color="auto"/>
            </w:tcBorders>
          </w:tcPr>
          <w:p w:rsidR="00F3184C" w:rsidRPr="00860749" w:rsidRDefault="00F3184C" w:rsidP="00690948">
            <w:pPr>
              <w:spacing w:after="0" w:line="240" w:lineRule="auto"/>
              <w:jc w:val="center"/>
              <w:rPr>
                <w:rFonts w:cs="Times New Roman"/>
                <w:b/>
                <w:bCs/>
                <w:color w:val="000000"/>
                <w:sz w:val="20"/>
                <w:szCs w:val="20"/>
              </w:rPr>
            </w:pPr>
            <w:r w:rsidRPr="00860749">
              <w:rPr>
                <w:rFonts w:cs="Times New Roman"/>
                <w:bCs/>
                <w:color w:val="000000"/>
                <w:sz w:val="20"/>
                <w:szCs w:val="20"/>
              </w:rPr>
              <w:t>Ražotājiem izmaksātais atbalsts</w:t>
            </w:r>
            <w:r w:rsidRPr="00860749">
              <w:rPr>
                <w:rFonts w:cs="Times New Roman"/>
                <w:color w:val="000000"/>
                <w:sz w:val="20"/>
                <w:szCs w:val="20"/>
              </w:rPr>
              <w:t>,</w:t>
            </w:r>
            <w:r w:rsidR="00690948" w:rsidRPr="00860749">
              <w:rPr>
                <w:rFonts w:cs="Times New Roman"/>
                <w:color w:val="000000"/>
                <w:sz w:val="20"/>
                <w:szCs w:val="20"/>
              </w:rPr>
              <w:br/>
            </w:r>
            <w:r w:rsidRPr="00860749">
              <w:rPr>
                <w:rFonts w:cs="Times New Roman"/>
                <w:color w:val="000000"/>
                <w:sz w:val="20"/>
                <w:szCs w:val="20"/>
              </w:rPr>
              <w:t>milj. EUR</w:t>
            </w:r>
          </w:p>
        </w:tc>
        <w:tc>
          <w:tcPr>
            <w:tcW w:w="2268" w:type="dxa"/>
            <w:gridSpan w:val="3"/>
            <w:tcBorders>
              <w:top w:val="single" w:sz="12" w:space="0" w:color="auto"/>
              <w:left w:val="single" w:sz="12" w:space="0" w:color="auto"/>
              <w:bottom w:val="single" w:sz="4" w:space="0" w:color="auto"/>
              <w:right w:val="single" w:sz="12" w:space="0" w:color="auto"/>
            </w:tcBorders>
          </w:tcPr>
          <w:p w:rsidR="00F3184C" w:rsidRPr="00860749" w:rsidRDefault="00F3184C" w:rsidP="008F2676">
            <w:pPr>
              <w:spacing w:after="0" w:line="240" w:lineRule="auto"/>
              <w:jc w:val="center"/>
              <w:rPr>
                <w:rFonts w:cs="Times New Roman"/>
                <w:bCs/>
                <w:color w:val="000000"/>
                <w:sz w:val="20"/>
                <w:szCs w:val="20"/>
              </w:rPr>
            </w:pPr>
            <w:r w:rsidRPr="00860749">
              <w:rPr>
                <w:rFonts w:cs="Times New Roman"/>
                <w:bCs/>
                <w:color w:val="000000"/>
                <w:sz w:val="20"/>
                <w:szCs w:val="20"/>
              </w:rPr>
              <w:t>Atbals</w:t>
            </w:r>
            <w:r w:rsidR="00690948" w:rsidRPr="00860749">
              <w:rPr>
                <w:rFonts w:cs="Times New Roman"/>
                <w:bCs/>
                <w:color w:val="000000"/>
                <w:sz w:val="20"/>
                <w:szCs w:val="20"/>
              </w:rPr>
              <w:t>ta apjoms virs tirgus cenas,</w:t>
            </w:r>
            <w:r w:rsidR="00690948" w:rsidRPr="00860749">
              <w:rPr>
                <w:rFonts w:cs="Times New Roman"/>
                <w:bCs/>
                <w:color w:val="000000"/>
                <w:sz w:val="20"/>
                <w:szCs w:val="20"/>
              </w:rPr>
              <w:br/>
            </w:r>
            <w:r w:rsidRPr="00860749">
              <w:rPr>
                <w:rFonts w:cs="Times New Roman"/>
                <w:bCs/>
                <w:color w:val="000000"/>
                <w:sz w:val="20"/>
                <w:szCs w:val="20"/>
              </w:rPr>
              <w:t>milj. EUR</w:t>
            </w:r>
          </w:p>
        </w:tc>
      </w:tr>
      <w:tr w:rsidR="00690948" w:rsidRPr="00BE2435" w:rsidTr="007010A8">
        <w:trPr>
          <w:trHeight w:val="113"/>
        </w:trPr>
        <w:tc>
          <w:tcPr>
            <w:tcW w:w="2694" w:type="dxa"/>
            <w:vMerge/>
            <w:tcBorders>
              <w:top w:val="nil"/>
              <w:left w:val="nil"/>
              <w:bottom w:val="single" w:sz="12" w:space="0" w:color="auto"/>
              <w:right w:val="single" w:sz="12" w:space="0" w:color="auto"/>
            </w:tcBorders>
            <w:vAlign w:val="center"/>
            <w:hideMark/>
          </w:tcPr>
          <w:p w:rsidR="00F3184C" w:rsidRPr="00BE2435" w:rsidRDefault="00F3184C" w:rsidP="00F3184C">
            <w:pPr>
              <w:spacing w:after="0" w:line="240" w:lineRule="auto"/>
              <w:rPr>
                <w:rFonts w:cs="Times New Roman"/>
                <w:color w:val="000000"/>
                <w:szCs w:val="24"/>
              </w:rPr>
            </w:pPr>
          </w:p>
        </w:tc>
        <w:tc>
          <w:tcPr>
            <w:tcW w:w="708"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hideMark/>
          </w:tcPr>
          <w:p w:rsidR="00F3184C" w:rsidRPr="007010A8" w:rsidRDefault="00F3184C" w:rsidP="00F3184C">
            <w:pPr>
              <w:spacing w:after="0" w:line="240" w:lineRule="auto"/>
              <w:jc w:val="center"/>
              <w:rPr>
                <w:rFonts w:cs="Times New Roman"/>
                <w:color w:val="000000"/>
                <w:szCs w:val="24"/>
              </w:rPr>
            </w:pPr>
            <w:r w:rsidRPr="007010A8">
              <w:rPr>
                <w:rFonts w:cs="Times New Roman"/>
                <w:color w:val="000000"/>
                <w:sz w:val="22"/>
                <w:szCs w:val="24"/>
              </w:rPr>
              <w:t>2013</w:t>
            </w:r>
          </w:p>
        </w:tc>
        <w:tc>
          <w:tcPr>
            <w:tcW w:w="709"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rsidR="00F3184C" w:rsidRPr="007010A8" w:rsidRDefault="00F3184C" w:rsidP="00F3184C">
            <w:pPr>
              <w:spacing w:after="0" w:line="240" w:lineRule="auto"/>
              <w:jc w:val="center"/>
              <w:rPr>
                <w:rFonts w:cs="Times New Roman"/>
                <w:color w:val="000000"/>
                <w:szCs w:val="24"/>
              </w:rPr>
            </w:pPr>
            <w:r w:rsidRPr="007010A8">
              <w:rPr>
                <w:rFonts w:cs="Times New Roman"/>
                <w:color w:val="000000"/>
                <w:sz w:val="22"/>
                <w:szCs w:val="24"/>
              </w:rPr>
              <w:t>2014</w:t>
            </w:r>
          </w:p>
        </w:tc>
        <w:tc>
          <w:tcPr>
            <w:tcW w:w="851" w:type="dxa"/>
            <w:tcBorders>
              <w:top w:val="single" w:sz="4" w:space="0" w:color="auto"/>
              <w:left w:val="single" w:sz="4" w:space="0" w:color="auto"/>
              <w:bottom w:val="single" w:sz="12" w:space="0" w:color="auto"/>
              <w:right w:val="single" w:sz="12" w:space="0" w:color="auto"/>
            </w:tcBorders>
            <w:vAlign w:val="center"/>
          </w:tcPr>
          <w:p w:rsidR="00F3184C" w:rsidRPr="007010A8" w:rsidRDefault="00F3184C" w:rsidP="00F3184C">
            <w:pPr>
              <w:spacing w:after="0" w:line="240" w:lineRule="auto"/>
              <w:jc w:val="center"/>
              <w:rPr>
                <w:rFonts w:cs="Times New Roman"/>
                <w:color w:val="000000"/>
                <w:szCs w:val="24"/>
              </w:rPr>
            </w:pPr>
            <w:r w:rsidRPr="007010A8">
              <w:rPr>
                <w:rFonts w:cs="Times New Roman"/>
                <w:color w:val="000000"/>
                <w:sz w:val="22"/>
                <w:szCs w:val="24"/>
              </w:rPr>
              <w:t>2015. gada 1. pusgads</w:t>
            </w:r>
          </w:p>
        </w:tc>
        <w:tc>
          <w:tcPr>
            <w:tcW w:w="709" w:type="dxa"/>
            <w:tcBorders>
              <w:top w:val="single" w:sz="4" w:space="0" w:color="auto"/>
              <w:left w:val="single" w:sz="12" w:space="0" w:color="auto"/>
              <w:bottom w:val="single" w:sz="12" w:space="0" w:color="auto"/>
              <w:right w:val="single" w:sz="4" w:space="0" w:color="auto"/>
            </w:tcBorders>
            <w:vAlign w:val="center"/>
          </w:tcPr>
          <w:p w:rsidR="00F3184C" w:rsidRPr="007010A8" w:rsidRDefault="00F3184C" w:rsidP="00F3184C">
            <w:pPr>
              <w:spacing w:after="0" w:line="240" w:lineRule="auto"/>
              <w:jc w:val="center"/>
              <w:rPr>
                <w:rFonts w:cs="Times New Roman"/>
                <w:color w:val="000000"/>
                <w:szCs w:val="24"/>
              </w:rPr>
            </w:pPr>
            <w:r w:rsidRPr="007010A8">
              <w:rPr>
                <w:rFonts w:cs="Times New Roman"/>
                <w:color w:val="000000"/>
                <w:sz w:val="22"/>
                <w:szCs w:val="24"/>
              </w:rPr>
              <w:t>2013</w:t>
            </w:r>
          </w:p>
        </w:tc>
        <w:tc>
          <w:tcPr>
            <w:tcW w:w="708" w:type="dxa"/>
            <w:tcBorders>
              <w:top w:val="single" w:sz="4" w:space="0" w:color="auto"/>
              <w:left w:val="single" w:sz="4" w:space="0" w:color="auto"/>
              <w:bottom w:val="single" w:sz="12" w:space="0" w:color="auto"/>
              <w:right w:val="single" w:sz="4" w:space="0" w:color="auto"/>
            </w:tcBorders>
            <w:vAlign w:val="center"/>
          </w:tcPr>
          <w:p w:rsidR="00F3184C" w:rsidRPr="007010A8" w:rsidRDefault="00F3184C" w:rsidP="00F3184C">
            <w:pPr>
              <w:spacing w:after="0" w:line="240" w:lineRule="auto"/>
              <w:jc w:val="center"/>
              <w:rPr>
                <w:rFonts w:cs="Times New Roman"/>
                <w:color w:val="000000"/>
                <w:szCs w:val="24"/>
              </w:rPr>
            </w:pPr>
            <w:r w:rsidRPr="007010A8">
              <w:rPr>
                <w:rFonts w:cs="Times New Roman"/>
                <w:color w:val="000000"/>
                <w:sz w:val="22"/>
                <w:szCs w:val="24"/>
              </w:rPr>
              <w:t>2014</w:t>
            </w:r>
          </w:p>
        </w:tc>
        <w:tc>
          <w:tcPr>
            <w:tcW w:w="851" w:type="dxa"/>
            <w:tcBorders>
              <w:top w:val="single" w:sz="4" w:space="0" w:color="auto"/>
              <w:left w:val="single" w:sz="4" w:space="0" w:color="auto"/>
              <w:bottom w:val="single" w:sz="12" w:space="0" w:color="auto"/>
              <w:right w:val="single" w:sz="12" w:space="0" w:color="auto"/>
            </w:tcBorders>
            <w:vAlign w:val="center"/>
          </w:tcPr>
          <w:p w:rsidR="00F3184C" w:rsidRPr="007010A8" w:rsidRDefault="00F3184C" w:rsidP="00F3184C">
            <w:pPr>
              <w:spacing w:after="0" w:line="240" w:lineRule="auto"/>
              <w:jc w:val="center"/>
              <w:rPr>
                <w:rFonts w:cs="Times New Roman"/>
                <w:color w:val="000000"/>
                <w:szCs w:val="24"/>
              </w:rPr>
            </w:pPr>
            <w:r w:rsidRPr="007010A8">
              <w:rPr>
                <w:rFonts w:cs="Times New Roman"/>
                <w:color w:val="000000"/>
                <w:sz w:val="22"/>
                <w:szCs w:val="24"/>
              </w:rPr>
              <w:t>2015. gada 1. pusgads</w:t>
            </w:r>
          </w:p>
        </w:tc>
        <w:tc>
          <w:tcPr>
            <w:tcW w:w="709" w:type="dxa"/>
            <w:tcBorders>
              <w:top w:val="single" w:sz="4" w:space="0" w:color="auto"/>
              <w:left w:val="single" w:sz="12" w:space="0" w:color="auto"/>
              <w:bottom w:val="single" w:sz="12" w:space="0" w:color="auto"/>
              <w:right w:val="single" w:sz="4" w:space="0" w:color="auto"/>
            </w:tcBorders>
            <w:vAlign w:val="center"/>
          </w:tcPr>
          <w:p w:rsidR="00F3184C" w:rsidRPr="007010A8" w:rsidRDefault="00F3184C" w:rsidP="00F3184C">
            <w:pPr>
              <w:spacing w:after="0" w:line="240" w:lineRule="auto"/>
              <w:jc w:val="center"/>
              <w:rPr>
                <w:rFonts w:cs="Times New Roman"/>
                <w:color w:val="000000"/>
                <w:szCs w:val="24"/>
              </w:rPr>
            </w:pPr>
            <w:r w:rsidRPr="007010A8">
              <w:rPr>
                <w:rFonts w:cs="Times New Roman"/>
                <w:color w:val="000000"/>
                <w:sz w:val="22"/>
                <w:szCs w:val="24"/>
              </w:rPr>
              <w:t>2013</w:t>
            </w:r>
          </w:p>
        </w:tc>
        <w:tc>
          <w:tcPr>
            <w:tcW w:w="709" w:type="dxa"/>
            <w:tcBorders>
              <w:top w:val="single" w:sz="4" w:space="0" w:color="auto"/>
              <w:left w:val="single" w:sz="4" w:space="0" w:color="auto"/>
              <w:bottom w:val="single" w:sz="12" w:space="0" w:color="auto"/>
              <w:right w:val="single" w:sz="4" w:space="0" w:color="auto"/>
            </w:tcBorders>
            <w:vAlign w:val="center"/>
          </w:tcPr>
          <w:p w:rsidR="00F3184C" w:rsidRPr="007010A8" w:rsidRDefault="00F3184C" w:rsidP="00F3184C">
            <w:pPr>
              <w:spacing w:after="0" w:line="240" w:lineRule="auto"/>
              <w:jc w:val="center"/>
              <w:rPr>
                <w:rFonts w:cs="Times New Roman"/>
                <w:color w:val="000000"/>
                <w:szCs w:val="24"/>
              </w:rPr>
            </w:pPr>
            <w:r w:rsidRPr="007010A8">
              <w:rPr>
                <w:rFonts w:cs="Times New Roman"/>
                <w:color w:val="000000"/>
                <w:sz w:val="22"/>
                <w:szCs w:val="24"/>
              </w:rPr>
              <w:t>2014</w:t>
            </w:r>
          </w:p>
        </w:tc>
        <w:tc>
          <w:tcPr>
            <w:tcW w:w="850" w:type="dxa"/>
            <w:tcBorders>
              <w:top w:val="single" w:sz="4" w:space="0" w:color="auto"/>
              <w:left w:val="single" w:sz="4" w:space="0" w:color="auto"/>
              <w:bottom w:val="single" w:sz="12" w:space="0" w:color="auto"/>
              <w:right w:val="single" w:sz="12" w:space="0" w:color="auto"/>
            </w:tcBorders>
            <w:vAlign w:val="center"/>
          </w:tcPr>
          <w:p w:rsidR="00F3184C" w:rsidRPr="007010A8" w:rsidRDefault="00F3184C" w:rsidP="00F3184C">
            <w:pPr>
              <w:spacing w:after="0" w:line="240" w:lineRule="auto"/>
              <w:jc w:val="center"/>
              <w:rPr>
                <w:rFonts w:cs="Times New Roman"/>
                <w:color w:val="000000"/>
                <w:szCs w:val="24"/>
              </w:rPr>
            </w:pPr>
            <w:r w:rsidRPr="007010A8">
              <w:rPr>
                <w:rFonts w:cs="Times New Roman"/>
                <w:color w:val="000000"/>
                <w:sz w:val="22"/>
                <w:szCs w:val="24"/>
              </w:rPr>
              <w:t>2015. gada 1. pusgads</w:t>
            </w:r>
          </w:p>
        </w:tc>
      </w:tr>
      <w:tr w:rsidR="008B5E59" w:rsidRPr="00BE2435" w:rsidTr="007010A8">
        <w:trPr>
          <w:trHeight w:val="189"/>
        </w:trPr>
        <w:tc>
          <w:tcPr>
            <w:tcW w:w="2694"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8B5E59" w:rsidRPr="00BE2435" w:rsidRDefault="008B5E59" w:rsidP="008B5E59">
            <w:pPr>
              <w:spacing w:after="0" w:line="240" w:lineRule="auto"/>
              <w:jc w:val="left"/>
              <w:rPr>
                <w:rFonts w:cs="Times New Roman"/>
                <w:color w:val="000000"/>
                <w:szCs w:val="24"/>
              </w:rPr>
            </w:pPr>
            <w:r>
              <w:rPr>
                <w:rFonts w:cs="Times New Roman"/>
                <w:color w:val="000000"/>
                <w:szCs w:val="24"/>
              </w:rPr>
              <w:t>AER</w:t>
            </w:r>
          </w:p>
        </w:tc>
        <w:tc>
          <w:tcPr>
            <w:tcW w:w="708"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color w:val="000000"/>
                <w:szCs w:val="24"/>
              </w:rPr>
            </w:pPr>
            <w:r>
              <w:rPr>
                <w:color w:val="000000"/>
                <w:sz w:val="16"/>
                <w:szCs w:val="16"/>
              </w:rPr>
              <w:t>613,6</w:t>
            </w:r>
          </w:p>
        </w:tc>
        <w:tc>
          <w:tcPr>
            <w:tcW w:w="709"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color w:val="000000"/>
                <w:szCs w:val="24"/>
              </w:rPr>
            </w:pPr>
            <w:r>
              <w:rPr>
                <w:color w:val="000000"/>
                <w:sz w:val="16"/>
                <w:szCs w:val="16"/>
              </w:rPr>
              <w:t>685,3</w:t>
            </w:r>
          </w:p>
        </w:tc>
        <w:tc>
          <w:tcPr>
            <w:tcW w:w="851" w:type="dxa"/>
            <w:tcBorders>
              <w:top w:val="single" w:sz="12" w:space="0" w:color="auto"/>
              <w:left w:val="single" w:sz="4" w:space="0" w:color="auto"/>
              <w:bottom w:val="single" w:sz="4" w:space="0" w:color="auto"/>
              <w:right w:val="single" w:sz="12" w:space="0" w:color="auto"/>
            </w:tcBorders>
            <w:vAlign w:val="center"/>
          </w:tcPr>
          <w:p w:rsidR="008B5E59" w:rsidRPr="00E05FBC" w:rsidRDefault="00463D85" w:rsidP="008B5E59">
            <w:pPr>
              <w:spacing w:after="0" w:line="240" w:lineRule="auto"/>
              <w:jc w:val="center"/>
              <w:rPr>
                <w:rFonts w:cs="Times New Roman"/>
                <w:color w:val="000000"/>
                <w:sz w:val="16"/>
                <w:szCs w:val="16"/>
              </w:rPr>
            </w:pPr>
            <w:r>
              <w:rPr>
                <w:rFonts w:cs="Times New Roman"/>
                <w:color w:val="000000"/>
                <w:sz w:val="16"/>
                <w:szCs w:val="16"/>
              </w:rPr>
              <w:t>417,6</w:t>
            </w:r>
          </w:p>
        </w:tc>
        <w:tc>
          <w:tcPr>
            <w:tcW w:w="709" w:type="dxa"/>
            <w:tcBorders>
              <w:top w:val="single" w:sz="12" w:space="0" w:color="auto"/>
              <w:left w:val="single" w:sz="12"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color w:val="000000"/>
                <w:szCs w:val="24"/>
              </w:rPr>
            </w:pPr>
            <w:r w:rsidRPr="00AF6160">
              <w:rPr>
                <w:color w:val="000000"/>
                <w:sz w:val="16"/>
                <w:szCs w:val="16"/>
              </w:rPr>
              <w:t>104,2</w:t>
            </w:r>
            <w:r>
              <w:rPr>
                <w:color w:val="000000"/>
                <w:sz w:val="16"/>
                <w:szCs w:val="16"/>
              </w:rPr>
              <w:t>9</w:t>
            </w:r>
          </w:p>
        </w:tc>
        <w:tc>
          <w:tcPr>
            <w:tcW w:w="708" w:type="dxa"/>
            <w:tcBorders>
              <w:top w:val="single" w:sz="12" w:space="0" w:color="auto"/>
              <w:left w:val="single" w:sz="4"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color w:val="000000"/>
                <w:szCs w:val="24"/>
              </w:rPr>
            </w:pPr>
            <w:r>
              <w:rPr>
                <w:color w:val="000000"/>
                <w:sz w:val="16"/>
                <w:szCs w:val="16"/>
              </w:rPr>
              <w:t>116,73</w:t>
            </w:r>
          </w:p>
        </w:tc>
        <w:tc>
          <w:tcPr>
            <w:tcW w:w="851" w:type="dxa"/>
            <w:tcBorders>
              <w:top w:val="single" w:sz="12" w:space="0" w:color="auto"/>
              <w:left w:val="single" w:sz="4" w:space="0" w:color="auto"/>
              <w:bottom w:val="single" w:sz="4" w:space="0" w:color="auto"/>
              <w:right w:val="single" w:sz="12" w:space="0" w:color="auto"/>
            </w:tcBorders>
            <w:vAlign w:val="center"/>
          </w:tcPr>
          <w:p w:rsidR="008B5E59" w:rsidRPr="00E05FBC" w:rsidRDefault="00463D85" w:rsidP="008B5E59">
            <w:pPr>
              <w:spacing w:after="0" w:line="240" w:lineRule="auto"/>
              <w:jc w:val="center"/>
              <w:rPr>
                <w:bCs/>
                <w:color w:val="000000"/>
                <w:sz w:val="16"/>
                <w:szCs w:val="16"/>
              </w:rPr>
            </w:pPr>
            <w:r>
              <w:rPr>
                <w:bCs/>
                <w:color w:val="000000"/>
                <w:sz w:val="16"/>
                <w:szCs w:val="16"/>
              </w:rPr>
              <w:t>69,50</w:t>
            </w:r>
          </w:p>
        </w:tc>
        <w:tc>
          <w:tcPr>
            <w:tcW w:w="709" w:type="dxa"/>
            <w:tcBorders>
              <w:top w:val="single" w:sz="12" w:space="0" w:color="auto"/>
              <w:left w:val="single" w:sz="12"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color w:val="000000"/>
                <w:szCs w:val="24"/>
              </w:rPr>
            </w:pPr>
            <w:r w:rsidRPr="00AF6160">
              <w:rPr>
                <w:color w:val="000000"/>
                <w:sz w:val="16"/>
                <w:szCs w:val="16"/>
              </w:rPr>
              <w:t>73,</w:t>
            </w:r>
            <w:r>
              <w:rPr>
                <w:color w:val="000000"/>
                <w:sz w:val="16"/>
                <w:szCs w:val="16"/>
              </w:rPr>
              <w:t>98</w:t>
            </w:r>
          </w:p>
        </w:tc>
        <w:tc>
          <w:tcPr>
            <w:tcW w:w="709" w:type="dxa"/>
            <w:tcBorders>
              <w:top w:val="single" w:sz="12" w:space="0" w:color="auto"/>
              <w:left w:val="single" w:sz="4"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color w:val="000000"/>
                <w:szCs w:val="24"/>
              </w:rPr>
            </w:pPr>
            <w:r>
              <w:rPr>
                <w:color w:val="000000"/>
                <w:sz w:val="16"/>
                <w:szCs w:val="16"/>
              </w:rPr>
              <w:t>83,07</w:t>
            </w:r>
          </w:p>
        </w:tc>
        <w:tc>
          <w:tcPr>
            <w:tcW w:w="850" w:type="dxa"/>
            <w:tcBorders>
              <w:top w:val="single" w:sz="12" w:space="0" w:color="auto"/>
              <w:left w:val="single" w:sz="4" w:space="0" w:color="auto"/>
              <w:bottom w:val="single" w:sz="4" w:space="0" w:color="auto"/>
              <w:right w:val="single" w:sz="12" w:space="0" w:color="auto"/>
            </w:tcBorders>
            <w:vAlign w:val="center"/>
          </w:tcPr>
          <w:p w:rsidR="008B5E59" w:rsidRPr="00E05FBC" w:rsidRDefault="00463D85" w:rsidP="008B5E59">
            <w:pPr>
              <w:spacing w:after="0" w:line="240" w:lineRule="auto"/>
              <w:jc w:val="center"/>
              <w:rPr>
                <w:bCs/>
                <w:color w:val="000000"/>
                <w:sz w:val="16"/>
                <w:szCs w:val="16"/>
              </w:rPr>
            </w:pPr>
            <w:r>
              <w:rPr>
                <w:bCs/>
                <w:color w:val="000000"/>
                <w:sz w:val="16"/>
                <w:szCs w:val="16"/>
              </w:rPr>
              <w:t>53,96</w:t>
            </w:r>
          </w:p>
        </w:tc>
      </w:tr>
      <w:tr w:rsidR="008B5E59" w:rsidRPr="00BE2435" w:rsidTr="007010A8">
        <w:trPr>
          <w:trHeight w:val="113"/>
        </w:trPr>
        <w:tc>
          <w:tcPr>
            <w:tcW w:w="2694"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8B5E59" w:rsidRPr="00BE2435" w:rsidRDefault="008B5E59" w:rsidP="008B5E59">
            <w:pPr>
              <w:spacing w:after="0" w:line="240" w:lineRule="auto"/>
              <w:jc w:val="right"/>
              <w:rPr>
                <w:rFonts w:cs="Times New Roman"/>
                <w:color w:val="000000"/>
                <w:szCs w:val="24"/>
              </w:rPr>
            </w:pPr>
            <w:r>
              <w:rPr>
                <w:rFonts w:cs="Times New Roman"/>
                <w:i/>
                <w:iCs/>
                <w:color w:val="000000"/>
                <w:szCs w:val="24"/>
              </w:rPr>
              <w:t>Biogāzes elektrostacijas</w:t>
            </w:r>
          </w:p>
        </w:tc>
        <w:tc>
          <w:tcPr>
            <w:tcW w:w="708"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8B5E59" w:rsidRPr="007010A8" w:rsidRDefault="008B5E59" w:rsidP="008B5E59">
            <w:pPr>
              <w:spacing w:after="0" w:line="240" w:lineRule="auto"/>
              <w:jc w:val="center"/>
              <w:rPr>
                <w:rFonts w:cs="Times New Roman"/>
                <w:i/>
                <w:color w:val="000000"/>
                <w:szCs w:val="24"/>
              </w:rPr>
            </w:pPr>
            <w:r w:rsidRPr="00AF6160">
              <w:rPr>
                <w:color w:val="000000"/>
                <w:sz w:val="16"/>
                <w:szCs w:val="16"/>
              </w:rPr>
              <w:t>281</w:t>
            </w:r>
            <w:r>
              <w:rPr>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335,5</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D11E21" w:rsidP="008B5E59">
            <w:pPr>
              <w:spacing w:after="0" w:line="240" w:lineRule="auto"/>
              <w:jc w:val="center"/>
              <w:rPr>
                <w:rFonts w:cs="Times New Roman"/>
                <w:bCs/>
                <w:color w:val="000000"/>
                <w:sz w:val="16"/>
                <w:szCs w:val="16"/>
              </w:rPr>
            </w:pPr>
            <w:r w:rsidRPr="00E05FBC">
              <w:rPr>
                <w:rFonts w:cs="Times New Roman"/>
                <w:bCs/>
                <w:color w:val="000000"/>
                <w:sz w:val="16"/>
                <w:szCs w:val="16"/>
              </w:rPr>
              <w:t>186,3</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sidRPr="00AF6160">
              <w:rPr>
                <w:bCs/>
                <w:color w:val="000000"/>
                <w:sz w:val="16"/>
                <w:szCs w:val="16"/>
              </w:rPr>
              <w:t>53,3</w:t>
            </w:r>
            <w:r>
              <w:rPr>
                <w:bCs/>
                <w:color w:val="000000"/>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Pr>
                <w:bCs/>
                <w:color w:val="000000"/>
                <w:sz w:val="16"/>
                <w:szCs w:val="16"/>
              </w:rPr>
              <w:t>62,39</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D11E21" w:rsidP="008B5E59">
            <w:pPr>
              <w:spacing w:after="0" w:line="240" w:lineRule="auto"/>
              <w:jc w:val="center"/>
              <w:rPr>
                <w:bCs/>
                <w:color w:val="000000"/>
                <w:sz w:val="16"/>
                <w:szCs w:val="16"/>
              </w:rPr>
            </w:pPr>
            <w:r>
              <w:rPr>
                <w:bCs/>
                <w:color w:val="000000"/>
                <w:sz w:val="16"/>
                <w:szCs w:val="16"/>
              </w:rPr>
              <w:t>33,91</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sidRPr="00AF6160">
              <w:rPr>
                <w:bCs/>
                <w:color w:val="000000"/>
                <w:sz w:val="16"/>
                <w:szCs w:val="16"/>
              </w:rPr>
              <w:t>39,2</w:t>
            </w:r>
            <w:r>
              <w:rPr>
                <w:bCs/>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45,64</w:t>
            </w:r>
          </w:p>
        </w:tc>
        <w:tc>
          <w:tcPr>
            <w:tcW w:w="850" w:type="dxa"/>
            <w:tcBorders>
              <w:top w:val="single" w:sz="4" w:space="0" w:color="auto"/>
              <w:left w:val="single" w:sz="4" w:space="0" w:color="auto"/>
              <w:bottom w:val="single" w:sz="4" w:space="0" w:color="auto"/>
              <w:right w:val="single" w:sz="12" w:space="0" w:color="auto"/>
            </w:tcBorders>
            <w:vAlign w:val="center"/>
          </w:tcPr>
          <w:p w:rsidR="008B5E59" w:rsidRPr="00E05FBC" w:rsidRDefault="00D11E21" w:rsidP="008B5E59">
            <w:pPr>
              <w:spacing w:after="0" w:line="240" w:lineRule="auto"/>
              <w:jc w:val="center"/>
              <w:rPr>
                <w:bCs/>
                <w:color w:val="000000"/>
                <w:sz w:val="16"/>
                <w:szCs w:val="16"/>
              </w:rPr>
            </w:pPr>
            <w:r>
              <w:rPr>
                <w:bCs/>
                <w:color w:val="000000"/>
                <w:sz w:val="16"/>
                <w:szCs w:val="16"/>
              </w:rPr>
              <w:t>26,89</w:t>
            </w:r>
          </w:p>
        </w:tc>
      </w:tr>
      <w:tr w:rsidR="008B5E59" w:rsidRPr="00BE2435" w:rsidTr="007010A8">
        <w:trPr>
          <w:trHeight w:val="113"/>
        </w:trPr>
        <w:tc>
          <w:tcPr>
            <w:tcW w:w="2694"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8B5E59" w:rsidRPr="00BE2435" w:rsidRDefault="008B5E59" w:rsidP="008B5E59">
            <w:pPr>
              <w:spacing w:after="0" w:line="240" w:lineRule="auto"/>
              <w:jc w:val="right"/>
              <w:rPr>
                <w:rFonts w:cs="Times New Roman"/>
                <w:color w:val="000000"/>
                <w:szCs w:val="24"/>
              </w:rPr>
            </w:pPr>
            <w:r>
              <w:rPr>
                <w:rFonts w:cs="Times New Roman"/>
                <w:i/>
                <w:iCs/>
                <w:color w:val="000000"/>
                <w:szCs w:val="24"/>
              </w:rPr>
              <w:t>Biomasas elektrostacijas</w:t>
            </w:r>
          </w:p>
        </w:tc>
        <w:tc>
          <w:tcPr>
            <w:tcW w:w="708"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8B5E59" w:rsidRPr="007010A8" w:rsidRDefault="008B5E59" w:rsidP="008B5E59">
            <w:pPr>
              <w:spacing w:after="0" w:line="240" w:lineRule="auto"/>
              <w:jc w:val="center"/>
              <w:rPr>
                <w:rFonts w:cs="Times New Roman"/>
                <w:i/>
                <w:color w:val="000000"/>
                <w:szCs w:val="24"/>
              </w:rPr>
            </w:pPr>
            <w:r w:rsidRPr="00AF6160">
              <w:rPr>
                <w:color w:val="000000"/>
                <w:sz w:val="16"/>
                <w:szCs w:val="16"/>
              </w:rPr>
              <w:t>163</w:t>
            </w: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195,3</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E439C3" w:rsidP="008B5E59">
            <w:pPr>
              <w:spacing w:after="0" w:line="240" w:lineRule="auto"/>
              <w:jc w:val="center"/>
              <w:rPr>
                <w:rFonts w:cs="Times New Roman"/>
                <w:bCs/>
                <w:color w:val="000000"/>
                <w:sz w:val="16"/>
                <w:szCs w:val="16"/>
              </w:rPr>
            </w:pPr>
            <w:r>
              <w:rPr>
                <w:rFonts w:cs="Times New Roman"/>
                <w:bCs/>
                <w:color w:val="000000"/>
                <w:sz w:val="16"/>
                <w:szCs w:val="16"/>
              </w:rPr>
              <w:t>131,10</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sidRPr="00AF6160">
              <w:rPr>
                <w:bCs/>
                <w:color w:val="000000"/>
                <w:sz w:val="16"/>
                <w:szCs w:val="16"/>
              </w:rPr>
              <w:t>28,56</w:t>
            </w:r>
          </w:p>
        </w:tc>
        <w:tc>
          <w:tcPr>
            <w:tcW w:w="708" w:type="dxa"/>
            <w:tcBorders>
              <w:top w:val="single" w:sz="4" w:space="0" w:color="auto"/>
              <w:left w:val="single" w:sz="4"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Pr>
                <w:bCs/>
                <w:color w:val="000000"/>
                <w:sz w:val="16"/>
                <w:szCs w:val="16"/>
              </w:rPr>
              <w:t>32,92</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E439C3" w:rsidP="008B5E59">
            <w:pPr>
              <w:spacing w:after="0" w:line="240" w:lineRule="auto"/>
              <w:jc w:val="center"/>
              <w:rPr>
                <w:bCs/>
                <w:color w:val="000000"/>
                <w:sz w:val="16"/>
                <w:szCs w:val="16"/>
              </w:rPr>
            </w:pPr>
            <w:r>
              <w:rPr>
                <w:bCs/>
                <w:color w:val="000000"/>
                <w:sz w:val="16"/>
                <w:szCs w:val="16"/>
              </w:rPr>
              <w:t>20,99</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sidRPr="00AF6160">
              <w:rPr>
                <w:bCs/>
                <w:color w:val="000000"/>
                <w:sz w:val="16"/>
                <w:szCs w:val="16"/>
              </w:rPr>
              <w:t>20,4</w:t>
            </w:r>
            <w:r>
              <w:rPr>
                <w:bCs/>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23,24</w:t>
            </w:r>
          </w:p>
        </w:tc>
        <w:tc>
          <w:tcPr>
            <w:tcW w:w="850" w:type="dxa"/>
            <w:tcBorders>
              <w:top w:val="single" w:sz="4" w:space="0" w:color="auto"/>
              <w:left w:val="single" w:sz="4" w:space="0" w:color="auto"/>
              <w:bottom w:val="single" w:sz="4" w:space="0" w:color="auto"/>
              <w:right w:val="single" w:sz="12" w:space="0" w:color="auto"/>
            </w:tcBorders>
            <w:vAlign w:val="center"/>
          </w:tcPr>
          <w:p w:rsidR="008B5E59" w:rsidRPr="00E05FBC" w:rsidRDefault="00E439C3" w:rsidP="008B5E59">
            <w:pPr>
              <w:spacing w:after="0" w:line="240" w:lineRule="auto"/>
              <w:jc w:val="center"/>
              <w:rPr>
                <w:bCs/>
                <w:color w:val="000000"/>
                <w:sz w:val="16"/>
                <w:szCs w:val="16"/>
              </w:rPr>
            </w:pPr>
            <w:r>
              <w:rPr>
                <w:bCs/>
                <w:color w:val="000000"/>
                <w:sz w:val="16"/>
                <w:szCs w:val="16"/>
              </w:rPr>
              <w:t>16,10</w:t>
            </w:r>
          </w:p>
        </w:tc>
      </w:tr>
      <w:tr w:rsidR="008B5E59" w:rsidRPr="00BE2435" w:rsidTr="007010A8">
        <w:trPr>
          <w:trHeight w:val="113"/>
        </w:trPr>
        <w:tc>
          <w:tcPr>
            <w:tcW w:w="2694"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8B5E59" w:rsidRPr="00BE2435" w:rsidRDefault="008B5E59" w:rsidP="008B5E59">
            <w:pPr>
              <w:spacing w:after="0" w:line="240" w:lineRule="auto"/>
              <w:jc w:val="right"/>
              <w:rPr>
                <w:rFonts w:cs="Times New Roman"/>
                <w:color w:val="000000"/>
                <w:szCs w:val="24"/>
              </w:rPr>
            </w:pPr>
            <w:r>
              <w:rPr>
                <w:rFonts w:cs="Times New Roman"/>
                <w:i/>
                <w:iCs/>
                <w:color w:val="000000"/>
                <w:szCs w:val="24"/>
              </w:rPr>
              <w:t>Vēja elektrostacijas</w:t>
            </w:r>
          </w:p>
        </w:tc>
        <w:tc>
          <w:tcPr>
            <w:tcW w:w="708"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8B5E59" w:rsidRPr="007010A8" w:rsidRDefault="008B5E59" w:rsidP="008B5E59">
            <w:pPr>
              <w:spacing w:after="0" w:line="240" w:lineRule="auto"/>
              <w:jc w:val="center"/>
              <w:rPr>
                <w:rFonts w:cs="Times New Roman"/>
                <w:i/>
                <w:color w:val="000000"/>
                <w:szCs w:val="24"/>
              </w:rPr>
            </w:pPr>
            <w:r w:rsidRPr="00AF6160">
              <w:rPr>
                <w:color w:val="000000"/>
                <w:sz w:val="16"/>
                <w:szCs w:val="16"/>
              </w:rPr>
              <w:t>109</w:t>
            </w:r>
            <w:r>
              <w:rPr>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87,8</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463D85" w:rsidP="008B5E59">
            <w:pPr>
              <w:spacing w:after="0" w:line="240" w:lineRule="auto"/>
              <w:jc w:val="center"/>
              <w:rPr>
                <w:rFonts w:cs="Times New Roman"/>
                <w:bCs/>
                <w:color w:val="000000"/>
                <w:sz w:val="16"/>
                <w:szCs w:val="16"/>
              </w:rPr>
            </w:pPr>
            <w:r>
              <w:rPr>
                <w:rFonts w:cs="Times New Roman"/>
                <w:bCs/>
                <w:color w:val="000000"/>
                <w:sz w:val="16"/>
                <w:szCs w:val="16"/>
              </w:rPr>
              <w:t>48,4</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sidRPr="00AF6160">
              <w:rPr>
                <w:bCs/>
                <w:color w:val="000000"/>
                <w:sz w:val="16"/>
                <w:szCs w:val="16"/>
              </w:rPr>
              <w:t>11,71</w:t>
            </w:r>
          </w:p>
        </w:tc>
        <w:tc>
          <w:tcPr>
            <w:tcW w:w="708" w:type="dxa"/>
            <w:tcBorders>
              <w:top w:val="single" w:sz="4" w:space="0" w:color="auto"/>
              <w:left w:val="single" w:sz="4"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Pr>
                <w:bCs/>
                <w:color w:val="000000"/>
                <w:sz w:val="16"/>
                <w:szCs w:val="16"/>
              </w:rPr>
              <w:t>9,42</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463D85" w:rsidP="008B5E59">
            <w:pPr>
              <w:spacing w:after="0" w:line="240" w:lineRule="auto"/>
              <w:jc w:val="center"/>
              <w:rPr>
                <w:bCs/>
                <w:color w:val="000000"/>
                <w:sz w:val="16"/>
                <w:szCs w:val="16"/>
              </w:rPr>
            </w:pPr>
            <w:r>
              <w:rPr>
                <w:bCs/>
                <w:color w:val="000000"/>
                <w:sz w:val="16"/>
                <w:szCs w:val="16"/>
              </w:rPr>
              <w:t>5,27</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sidRPr="00AF6160">
              <w:rPr>
                <w:bCs/>
                <w:color w:val="000000"/>
                <w:sz w:val="16"/>
                <w:szCs w:val="16"/>
              </w:rPr>
              <w:t>6,4</w:t>
            </w:r>
            <w:r>
              <w:rPr>
                <w:bCs/>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5,36</w:t>
            </w:r>
          </w:p>
        </w:tc>
        <w:tc>
          <w:tcPr>
            <w:tcW w:w="850" w:type="dxa"/>
            <w:tcBorders>
              <w:top w:val="single" w:sz="4" w:space="0" w:color="auto"/>
              <w:left w:val="single" w:sz="4" w:space="0" w:color="auto"/>
              <w:bottom w:val="single" w:sz="4" w:space="0" w:color="auto"/>
              <w:right w:val="single" w:sz="12" w:space="0" w:color="auto"/>
            </w:tcBorders>
            <w:vAlign w:val="center"/>
          </w:tcPr>
          <w:p w:rsidR="008B5E59" w:rsidRPr="00E05FBC" w:rsidRDefault="00463D85" w:rsidP="008B5E59">
            <w:pPr>
              <w:spacing w:after="0" w:line="240" w:lineRule="auto"/>
              <w:jc w:val="center"/>
              <w:rPr>
                <w:bCs/>
                <w:color w:val="000000"/>
                <w:sz w:val="16"/>
                <w:szCs w:val="16"/>
              </w:rPr>
            </w:pPr>
            <w:r>
              <w:rPr>
                <w:bCs/>
                <w:color w:val="000000"/>
                <w:sz w:val="16"/>
                <w:szCs w:val="16"/>
              </w:rPr>
              <w:t>3,55</w:t>
            </w:r>
          </w:p>
        </w:tc>
      </w:tr>
      <w:tr w:rsidR="008B5E59" w:rsidRPr="00BE2435" w:rsidTr="007010A8">
        <w:trPr>
          <w:trHeight w:val="113"/>
        </w:trPr>
        <w:tc>
          <w:tcPr>
            <w:tcW w:w="2694"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8B5E59" w:rsidRPr="00BE2435" w:rsidRDefault="008B5E59" w:rsidP="008B5E59">
            <w:pPr>
              <w:spacing w:after="0" w:line="240" w:lineRule="auto"/>
              <w:jc w:val="right"/>
              <w:rPr>
                <w:rFonts w:cs="Times New Roman"/>
                <w:color w:val="000000"/>
                <w:szCs w:val="24"/>
              </w:rPr>
            </w:pPr>
            <w:r>
              <w:rPr>
                <w:rFonts w:cs="Times New Roman"/>
                <w:i/>
                <w:iCs/>
                <w:color w:val="000000"/>
                <w:szCs w:val="24"/>
              </w:rPr>
              <w:t>Hidroelektrostacijas</w:t>
            </w:r>
            <w:r>
              <w:rPr>
                <w:rFonts w:cs="Times New Roman"/>
                <w:i/>
                <w:iCs/>
                <w:color w:val="000000"/>
                <w:szCs w:val="24"/>
              </w:rPr>
              <w:br/>
              <w:t>(līdz 5 MW)</w:t>
            </w:r>
          </w:p>
        </w:tc>
        <w:tc>
          <w:tcPr>
            <w:tcW w:w="708"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8B5E59" w:rsidRPr="007010A8" w:rsidRDefault="008B5E59" w:rsidP="008B5E59">
            <w:pPr>
              <w:spacing w:after="0" w:line="240" w:lineRule="auto"/>
              <w:jc w:val="center"/>
              <w:rPr>
                <w:rFonts w:cs="Times New Roman"/>
                <w:i/>
                <w:color w:val="000000"/>
                <w:szCs w:val="24"/>
              </w:rPr>
            </w:pPr>
            <w:r w:rsidRPr="00AF6160">
              <w:rPr>
                <w:color w:val="000000"/>
                <w:sz w:val="16"/>
                <w:szCs w:val="16"/>
              </w:rPr>
              <w:t>59</w:t>
            </w: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66,6</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E439C3" w:rsidP="008B5E59">
            <w:pPr>
              <w:spacing w:after="0" w:line="240" w:lineRule="auto"/>
              <w:jc w:val="center"/>
              <w:rPr>
                <w:rFonts w:cs="Times New Roman"/>
                <w:bCs/>
                <w:color w:val="000000"/>
                <w:sz w:val="16"/>
                <w:szCs w:val="16"/>
              </w:rPr>
            </w:pPr>
            <w:r>
              <w:rPr>
                <w:rFonts w:cs="Times New Roman"/>
                <w:bCs/>
                <w:color w:val="000000"/>
                <w:sz w:val="16"/>
                <w:szCs w:val="16"/>
              </w:rPr>
              <w:t>51,7</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sidRPr="00AF6160">
              <w:rPr>
                <w:bCs/>
                <w:color w:val="000000"/>
                <w:sz w:val="16"/>
                <w:szCs w:val="16"/>
              </w:rPr>
              <w:t>10,6</w:t>
            </w:r>
            <w:r>
              <w:rPr>
                <w:bCs/>
                <w:color w:val="000000"/>
                <w:sz w:val="16"/>
                <w:szCs w:val="16"/>
              </w:rPr>
              <w:t>7</w:t>
            </w:r>
          </w:p>
        </w:tc>
        <w:tc>
          <w:tcPr>
            <w:tcW w:w="708" w:type="dxa"/>
            <w:tcBorders>
              <w:top w:val="single" w:sz="4" w:space="0" w:color="auto"/>
              <w:left w:val="single" w:sz="4"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Pr>
                <w:bCs/>
                <w:color w:val="000000"/>
                <w:sz w:val="16"/>
                <w:szCs w:val="16"/>
              </w:rPr>
              <w:t>12,00</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E439C3" w:rsidP="008B5E59">
            <w:pPr>
              <w:spacing w:after="0" w:line="240" w:lineRule="auto"/>
              <w:jc w:val="center"/>
              <w:rPr>
                <w:bCs/>
                <w:color w:val="000000"/>
                <w:sz w:val="16"/>
                <w:szCs w:val="16"/>
              </w:rPr>
            </w:pPr>
            <w:r>
              <w:rPr>
                <w:bCs/>
                <w:color w:val="000000"/>
                <w:sz w:val="16"/>
                <w:szCs w:val="16"/>
              </w:rPr>
              <w:t>9,32</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sidRPr="00AF6160">
              <w:rPr>
                <w:bCs/>
                <w:color w:val="000000"/>
                <w:sz w:val="16"/>
                <w:szCs w:val="16"/>
              </w:rPr>
              <w:t>7,8</w:t>
            </w:r>
            <w:r>
              <w:rPr>
                <w:bCs/>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8,83</w:t>
            </w:r>
          </w:p>
        </w:tc>
        <w:tc>
          <w:tcPr>
            <w:tcW w:w="850" w:type="dxa"/>
            <w:tcBorders>
              <w:top w:val="single" w:sz="4" w:space="0" w:color="auto"/>
              <w:left w:val="single" w:sz="4" w:space="0" w:color="auto"/>
              <w:bottom w:val="single" w:sz="4" w:space="0" w:color="auto"/>
              <w:right w:val="single" w:sz="12" w:space="0" w:color="auto"/>
            </w:tcBorders>
            <w:vAlign w:val="center"/>
          </w:tcPr>
          <w:p w:rsidR="008B5E59" w:rsidRPr="00E05FBC" w:rsidRDefault="00E439C3" w:rsidP="008B5E59">
            <w:pPr>
              <w:spacing w:after="0" w:line="240" w:lineRule="auto"/>
              <w:jc w:val="center"/>
              <w:rPr>
                <w:bCs/>
                <w:color w:val="000000"/>
                <w:sz w:val="16"/>
                <w:szCs w:val="16"/>
              </w:rPr>
            </w:pPr>
            <w:r>
              <w:rPr>
                <w:bCs/>
                <w:color w:val="000000"/>
                <w:sz w:val="16"/>
                <w:szCs w:val="16"/>
              </w:rPr>
              <w:t>7,42</w:t>
            </w:r>
          </w:p>
        </w:tc>
      </w:tr>
      <w:tr w:rsidR="008B5E59" w:rsidRPr="00BE2435" w:rsidTr="007010A8">
        <w:trPr>
          <w:trHeight w:val="113"/>
        </w:trPr>
        <w:tc>
          <w:tcPr>
            <w:tcW w:w="2694"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8B5E59" w:rsidRPr="00BE2435" w:rsidRDefault="008B5E59" w:rsidP="008B5E59">
            <w:pPr>
              <w:spacing w:after="0" w:line="240" w:lineRule="auto"/>
              <w:jc w:val="left"/>
              <w:rPr>
                <w:rFonts w:cs="Times New Roman"/>
                <w:i/>
                <w:iCs/>
                <w:color w:val="000000"/>
                <w:szCs w:val="24"/>
              </w:rPr>
            </w:pPr>
            <w:r>
              <w:rPr>
                <w:rFonts w:cs="Times New Roman"/>
                <w:color w:val="000000"/>
                <w:szCs w:val="24"/>
              </w:rPr>
              <w:t>Fosilās koģenerācijas stacijas</w:t>
            </w:r>
          </w:p>
        </w:tc>
        <w:tc>
          <w:tcPr>
            <w:tcW w:w="708"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color w:val="000000"/>
                <w:szCs w:val="24"/>
              </w:rPr>
            </w:pPr>
            <w:r w:rsidRPr="00AF6160">
              <w:rPr>
                <w:color w:val="000000"/>
                <w:sz w:val="16"/>
                <w:szCs w:val="16"/>
              </w:rPr>
              <w:t>1996</w:t>
            </w: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bCs/>
                <w:color w:val="000000"/>
                <w:szCs w:val="24"/>
              </w:rPr>
            </w:pPr>
            <w:r>
              <w:rPr>
                <w:color w:val="000000"/>
                <w:sz w:val="16"/>
                <w:szCs w:val="16"/>
              </w:rPr>
              <w:t>598,3</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DE00CB" w:rsidP="008B5E59">
            <w:pPr>
              <w:spacing w:after="0" w:line="240" w:lineRule="auto"/>
              <w:jc w:val="center"/>
              <w:rPr>
                <w:rFonts w:cs="Times New Roman"/>
                <w:bCs/>
                <w:color w:val="000000"/>
                <w:sz w:val="16"/>
                <w:szCs w:val="16"/>
              </w:rPr>
            </w:pPr>
            <w:r w:rsidRPr="00E05FBC">
              <w:rPr>
                <w:color w:val="000000"/>
                <w:sz w:val="16"/>
                <w:szCs w:val="16"/>
              </w:rPr>
              <w:t>335,1</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sidRPr="00AF6160">
              <w:rPr>
                <w:bCs/>
                <w:color w:val="000000"/>
                <w:sz w:val="16"/>
                <w:szCs w:val="16"/>
              </w:rPr>
              <w:t>236,9</w:t>
            </w:r>
            <w:r>
              <w:rPr>
                <w:bCs/>
                <w:color w:val="000000"/>
                <w:sz w:val="16"/>
                <w:szCs w:val="16"/>
              </w:rPr>
              <w:t>9</w:t>
            </w:r>
          </w:p>
        </w:tc>
        <w:tc>
          <w:tcPr>
            <w:tcW w:w="708" w:type="dxa"/>
            <w:tcBorders>
              <w:top w:val="single" w:sz="4" w:space="0" w:color="auto"/>
              <w:left w:val="single" w:sz="4"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Pr>
                <w:bCs/>
                <w:color w:val="000000"/>
                <w:sz w:val="16"/>
                <w:szCs w:val="16"/>
              </w:rPr>
              <w:t>79,23</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DE00CB" w:rsidP="008B5E59">
            <w:pPr>
              <w:spacing w:after="0" w:line="240" w:lineRule="auto"/>
              <w:jc w:val="center"/>
              <w:rPr>
                <w:bCs/>
                <w:color w:val="000000"/>
                <w:sz w:val="16"/>
                <w:szCs w:val="16"/>
              </w:rPr>
            </w:pPr>
            <w:r w:rsidRPr="00E05FBC">
              <w:rPr>
                <w:bCs/>
                <w:color w:val="000000"/>
                <w:sz w:val="16"/>
                <w:szCs w:val="16"/>
              </w:rPr>
              <w:t>42,</w:t>
            </w:r>
            <w:r w:rsidR="000F7FEA" w:rsidRPr="00E05FBC">
              <w:rPr>
                <w:bCs/>
                <w:color w:val="000000"/>
                <w:sz w:val="16"/>
                <w:szCs w:val="16"/>
              </w:rPr>
              <w:t>26</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color w:val="000000"/>
                <w:szCs w:val="24"/>
              </w:rPr>
            </w:pPr>
            <w:r w:rsidRPr="00AF6160">
              <w:rPr>
                <w:bCs/>
                <w:color w:val="000000"/>
                <w:sz w:val="16"/>
                <w:szCs w:val="16"/>
              </w:rPr>
              <w:t>135,9</w:t>
            </w:r>
            <w:r>
              <w:rPr>
                <w:bCs/>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49,72</w:t>
            </w:r>
          </w:p>
        </w:tc>
        <w:tc>
          <w:tcPr>
            <w:tcW w:w="850" w:type="dxa"/>
            <w:tcBorders>
              <w:top w:val="single" w:sz="4" w:space="0" w:color="auto"/>
              <w:left w:val="single" w:sz="4" w:space="0" w:color="auto"/>
              <w:bottom w:val="single" w:sz="4" w:space="0" w:color="auto"/>
              <w:right w:val="single" w:sz="12" w:space="0" w:color="auto"/>
            </w:tcBorders>
            <w:vAlign w:val="center"/>
          </w:tcPr>
          <w:p w:rsidR="008B5E59" w:rsidRPr="00E05FBC" w:rsidRDefault="000F7FEA" w:rsidP="008B5E59">
            <w:pPr>
              <w:spacing w:after="0" w:line="240" w:lineRule="auto"/>
              <w:jc w:val="center"/>
              <w:rPr>
                <w:bCs/>
                <w:color w:val="000000"/>
                <w:sz w:val="16"/>
                <w:szCs w:val="16"/>
              </w:rPr>
            </w:pPr>
            <w:r>
              <w:rPr>
                <w:bCs/>
                <w:color w:val="000000"/>
                <w:sz w:val="16"/>
                <w:szCs w:val="16"/>
              </w:rPr>
              <w:t>29,67</w:t>
            </w:r>
          </w:p>
        </w:tc>
      </w:tr>
      <w:tr w:rsidR="008B5E59" w:rsidRPr="00BE2435" w:rsidTr="007010A8">
        <w:trPr>
          <w:trHeight w:val="113"/>
        </w:trPr>
        <w:tc>
          <w:tcPr>
            <w:tcW w:w="2694"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8B5E59" w:rsidRDefault="008B5E59" w:rsidP="008B5E59">
            <w:pPr>
              <w:spacing w:after="0" w:line="240" w:lineRule="auto"/>
              <w:jc w:val="left"/>
              <w:rPr>
                <w:rFonts w:cs="Times New Roman"/>
                <w:color w:val="000000"/>
                <w:szCs w:val="24"/>
              </w:rPr>
            </w:pPr>
            <w:r>
              <w:rPr>
                <w:rFonts w:cs="Times New Roman"/>
                <w:color w:val="000000"/>
                <w:szCs w:val="24"/>
              </w:rPr>
              <w:t>Jaudas maksa</w:t>
            </w:r>
            <w:r w:rsidRPr="00BE2435">
              <w:rPr>
                <w:rFonts w:cs="Times New Roman"/>
                <w:color w:val="000000"/>
                <w:szCs w:val="24"/>
              </w:rPr>
              <w:t xml:space="preserve"> (</w:t>
            </w:r>
            <w:r>
              <w:rPr>
                <w:rFonts w:cs="Times New Roman"/>
                <w:color w:val="000000"/>
                <w:szCs w:val="24"/>
              </w:rPr>
              <w:t>AER</w:t>
            </w:r>
            <w:r w:rsidRPr="00BE2435">
              <w:rPr>
                <w:rFonts w:cs="Times New Roman"/>
                <w:color w:val="000000"/>
                <w:szCs w:val="24"/>
              </w:rPr>
              <w:t>)</w:t>
            </w:r>
          </w:p>
        </w:tc>
        <w:tc>
          <w:tcPr>
            <w:tcW w:w="708"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color w:val="000000"/>
                <w:szCs w:val="24"/>
              </w:rPr>
            </w:pPr>
            <w:r w:rsidRPr="00C729B5">
              <w:rPr>
                <w:color w:val="000000"/>
                <w:sz w:val="16"/>
                <w:szCs w:val="16"/>
              </w:rPr>
              <w:t>n/a</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bCs/>
                <w:color w:val="000000"/>
                <w:szCs w:val="24"/>
              </w:rPr>
            </w:pPr>
            <w:r w:rsidRPr="00C729B5">
              <w:rPr>
                <w:color w:val="000000"/>
                <w:sz w:val="16"/>
                <w:szCs w:val="16"/>
              </w:rPr>
              <w:t>n/a</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8B5E59" w:rsidP="008B5E59">
            <w:pPr>
              <w:spacing w:after="0" w:line="240" w:lineRule="auto"/>
              <w:jc w:val="center"/>
              <w:rPr>
                <w:rFonts w:cs="Times New Roman"/>
                <w:bCs/>
                <w:color w:val="000000"/>
                <w:sz w:val="16"/>
                <w:szCs w:val="16"/>
              </w:rPr>
            </w:pPr>
            <w:r w:rsidRPr="00D11E21">
              <w:rPr>
                <w:color w:val="000000"/>
                <w:sz w:val="16"/>
                <w:szCs w:val="16"/>
              </w:rPr>
              <w:t>n/a</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Pr>
                <w:bCs/>
                <w:color w:val="000000"/>
                <w:sz w:val="16"/>
                <w:szCs w:val="16"/>
              </w:rPr>
              <w:t>1,29</w:t>
            </w:r>
          </w:p>
        </w:tc>
        <w:tc>
          <w:tcPr>
            <w:tcW w:w="708" w:type="dxa"/>
            <w:tcBorders>
              <w:top w:val="single" w:sz="4" w:space="0" w:color="auto"/>
              <w:left w:val="single" w:sz="4" w:space="0" w:color="auto"/>
              <w:bottom w:val="single" w:sz="4"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Pr>
                <w:bCs/>
                <w:color w:val="000000"/>
                <w:sz w:val="16"/>
                <w:szCs w:val="16"/>
              </w:rPr>
              <w:t>5,16</w:t>
            </w:r>
          </w:p>
        </w:tc>
        <w:tc>
          <w:tcPr>
            <w:tcW w:w="851" w:type="dxa"/>
            <w:tcBorders>
              <w:top w:val="single" w:sz="4" w:space="0" w:color="auto"/>
              <w:left w:val="single" w:sz="4" w:space="0" w:color="auto"/>
              <w:bottom w:val="single" w:sz="4" w:space="0" w:color="auto"/>
              <w:right w:val="single" w:sz="12" w:space="0" w:color="auto"/>
            </w:tcBorders>
            <w:vAlign w:val="center"/>
          </w:tcPr>
          <w:p w:rsidR="008B5E59" w:rsidRPr="00E05FBC" w:rsidRDefault="000F7FEA" w:rsidP="008B5E59">
            <w:pPr>
              <w:spacing w:after="0" w:line="240" w:lineRule="auto"/>
              <w:jc w:val="center"/>
              <w:rPr>
                <w:bCs/>
                <w:color w:val="000000"/>
                <w:sz w:val="16"/>
                <w:szCs w:val="16"/>
              </w:rPr>
            </w:pPr>
            <w:r>
              <w:rPr>
                <w:bCs/>
                <w:color w:val="000000"/>
                <w:sz w:val="16"/>
                <w:szCs w:val="16"/>
              </w:rPr>
              <w:t>2,58</w:t>
            </w:r>
          </w:p>
        </w:tc>
        <w:tc>
          <w:tcPr>
            <w:tcW w:w="709" w:type="dxa"/>
            <w:tcBorders>
              <w:top w:val="single" w:sz="4" w:space="0" w:color="auto"/>
              <w:left w:val="single" w:sz="12"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color w:val="000000"/>
                <w:szCs w:val="24"/>
              </w:rPr>
            </w:pPr>
            <w:r>
              <w:rPr>
                <w:bCs/>
                <w:color w:val="000000"/>
                <w:sz w:val="16"/>
                <w:szCs w:val="16"/>
              </w:rPr>
              <w:t>1,29</w:t>
            </w:r>
          </w:p>
        </w:tc>
        <w:tc>
          <w:tcPr>
            <w:tcW w:w="709" w:type="dxa"/>
            <w:tcBorders>
              <w:top w:val="single" w:sz="4" w:space="0" w:color="auto"/>
              <w:left w:val="single" w:sz="4" w:space="0" w:color="auto"/>
              <w:bottom w:val="single" w:sz="4"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5,16</w:t>
            </w:r>
          </w:p>
        </w:tc>
        <w:tc>
          <w:tcPr>
            <w:tcW w:w="850" w:type="dxa"/>
            <w:tcBorders>
              <w:top w:val="single" w:sz="4" w:space="0" w:color="auto"/>
              <w:left w:val="single" w:sz="4" w:space="0" w:color="auto"/>
              <w:bottom w:val="single" w:sz="4" w:space="0" w:color="auto"/>
              <w:right w:val="single" w:sz="12" w:space="0" w:color="auto"/>
            </w:tcBorders>
            <w:vAlign w:val="center"/>
          </w:tcPr>
          <w:p w:rsidR="008B5E59" w:rsidRPr="00E05FBC" w:rsidRDefault="000F7FEA" w:rsidP="008B5E59">
            <w:pPr>
              <w:spacing w:after="0" w:line="240" w:lineRule="auto"/>
              <w:jc w:val="center"/>
              <w:rPr>
                <w:bCs/>
                <w:color w:val="000000"/>
                <w:sz w:val="16"/>
                <w:szCs w:val="16"/>
              </w:rPr>
            </w:pPr>
            <w:r>
              <w:rPr>
                <w:bCs/>
                <w:color w:val="000000"/>
                <w:sz w:val="16"/>
                <w:szCs w:val="16"/>
              </w:rPr>
              <w:t>2,58</w:t>
            </w:r>
          </w:p>
        </w:tc>
      </w:tr>
      <w:tr w:rsidR="008B5E59" w:rsidRPr="00BE2435" w:rsidTr="007010A8">
        <w:trPr>
          <w:trHeight w:val="113"/>
        </w:trPr>
        <w:tc>
          <w:tcPr>
            <w:tcW w:w="2694"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8B5E59" w:rsidRDefault="008B5E59" w:rsidP="008B5E59">
            <w:pPr>
              <w:spacing w:after="0" w:line="240" w:lineRule="auto"/>
              <w:jc w:val="left"/>
              <w:rPr>
                <w:rFonts w:cs="Times New Roman"/>
                <w:color w:val="000000"/>
                <w:szCs w:val="24"/>
              </w:rPr>
            </w:pPr>
            <w:r>
              <w:rPr>
                <w:rFonts w:cs="Times New Roman"/>
                <w:color w:val="000000"/>
                <w:szCs w:val="24"/>
              </w:rPr>
              <w:t>Jaudas maksa</w:t>
            </w:r>
            <w:r w:rsidRPr="00BE2435">
              <w:rPr>
                <w:rFonts w:cs="Times New Roman"/>
                <w:color w:val="000000"/>
                <w:szCs w:val="24"/>
              </w:rPr>
              <w:t xml:space="preserve"> (</w:t>
            </w:r>
            <w:r>
              <w:rPr>
                <w:rFonts w:cs="Times New Roman"/>
                <w:color w:val="000000"/>
                <w:szCs w:val="24"/>
              </w:rPr>
              <w:t>fosilās koģenerācijas stacijas</w:t>
            </w:r>
            <w:r w:rsidRPr="00BE2435">
              <w:rPr>
                <w:rFonts w:cs="Times New Roman"/>
                <w:color w:val="000000"/>
                <w:szCs w:val="24"/>
              </w:rPr>
              <w:t>)</w:t>
            </w:r>
          </w:p>
        </w:tc>
        <w:tc>
          <w:tcPr>
            <w:tcW w:w="708"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color w:val="000000"/>
                <w:szCs w:val="24"/>
              </w:rPr>
            </w:pPr>
            <w:r w:rsidRPr="00C729B5">
              <w:rPr>
                <w:color w:val="000000"/>
                <w:sz w:val="16"/>
                <w:szCs w:val="16"/>
              </w:rPr>
              <w:t>n/a</w:t>
            </w:r>
          </w:p>
        </w:tc>
        <w:tc>
          <w:tcPr>
            <w:tcW w:w="709"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rsidR="008B5E59" w:rsidRPr="00BE2435" w:rsidRDefault="008B5E59" w:rsidP="008B5E59">
            <w:pPr>
              <w:spacing w:after="0" w:line="240" w:lineRule="auto"/>
              <w:jc w:val="center"/>
              <w:rPr>
                <w:rFonts w:cs="Times New Roman"/>
                <w:bCs/>
                <w:color w:val="000000"/>
                <w:szCs w:val="24"/>
              </w:rPr>
            </w:pPr>
            <w:r w:rsidRPr="00C729B5">
              <w:rPr>
                <w:color w:val="000000"/>
                <w:sz w:val="16"/>
                <w:szCs w:val="16"/>
              </w:rPr>
              <w:t>n/a</w:t>
            </w:r>
          </w:p>
        </w:tc>
        <w:tc>
          <w:tcPr>
            <w:tcW w:w="851" w:type="dxa"/>
            <w:tcBorders>
              <w:top w:val="single" w:sz="4" w:space="0" w:color="auto"/>
              <w:left w:val="single" w:sz="4" w:space="0" w:color="auto"/>
              <w:bottom w:val="single" w:sz="12" w:space="0" w:color="auto"/>
              <w:right w:val="single" w:sz="12" w:space="0" w:color="auto"/>
            </w:tcBorders>
            <w:vAlign w:val="center"/>
          </w:tcPr>
          <w:p w:rsidR="008B5E59" w:rsidRPr="00E05FBC" w:rsidRDefault="008B5E59" w:rsidP="008B5E59">
            <w:pPr>
              <w:spacing w:after="0" w:line="240" w:lineRule="auto"/>
              <w:jc w:val="center"/>
              <w:rPr>
                <w:rFonts w:cs="Times New Roman"/>
                <w:bCs/>
                <w:color w:val="000000"/>
                <w:sz w:val="16"/>
                <w:szCs w:val="16"/>
              </w:rPr>
            </w:pPr>
            <w:r w:rsidRPr="00D11E21">
              <w:rPr>
                <w:color w:val="000000"/>
                <w:sz w:val="16"/>
                <w:szCs w:val="16"/>
              </w:rPr>
              <w:t>n/a</w:t>
            </w:r>
          </w:p>
        </w:tc>
        <w:tc>
          <w:tcPr>
            <w:tcW w:w="709" w:type="dxa"/>
            <w:tcBorders>
              <w:top w:val="single" w:sz="4" w:space="0" w:color="auto"/>
              <w:left w:val="single" w:sz="12" w:space="0" w:color="auto"/>
              <w:bottom w:val="single" w:sz="12"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Pr>
                <w:bCs/>
                <w:color w:val="000000"/>
                <w:sz w:val="16"/>
                <w:szCs w:val="16"/>
              </w:rPr>
              <w:t>0</w:t>
            </w:r>
          </w:p>
        </w:tc>
        <w:tc>
          <w:tcPr>
            <w:tcW w:w="708" w:type="dxa"/>
            <w:tcBorders>
              <w:top w:val="single" w:sz="4" w:space="0" w:color="auto"/>
              <w:left w:val="single" w:sz="4" w:space="0" w:color="auto"/>
              <w:bottom w:val="single" w:sz="12" w:space="0" w:color="auto"/>
              <w:right w:val="single" w:sz="4" w:space="0" w:color="auto"/>
            </w:tcBorders>
            <w:vAlign w:val="center"/>
          </w:tcPr>
          <w:p w:rsidR="008B5E59" w:rsidRPr="000E688E" w:rsidRDefault="008B5E59" w:rsidP="008B5E59">
            <w:pPr>
              <w:spacing w:after="0" w:line="240" w:lineRule="auto"/>
              <w:jc w:val="center"/>
              <w:rPr>
                <w:rFonts w:cs="Times New Roman"/>
                <w:bCs/>
                <w:color w:val="000000"/>
                <w:szCs w:val="24"/>
              </w:rPr>
            </w:pPr>
            <w:r>
              <w:rPr>
                <w:bCs/>
                <w:color w:val="000000"/>
                <w:sz w:val="16"/>
                <w:szCs w:val="16"/>
              </w:rPr>
              <w:t>107,78</w:t>
            </w:r>
          </w:p>
        </w:tc>
        <w:tc>
          <w:tcPr>
            <w:tcW w:w="851" w:type="dxa"/>
            <w:tcBorders>
              <w:top w:val="single" w:sz="4" w:space="0" w:color="auto"/>
              <w:left w:val="single" w:sz="4" w:space="0" w:color="auto"/>
              <w:bottom w:val="single" w:sz="12" w:space="0" w:color="auto"/>
              <w:right w:val="single" w:sz="12" w:space="0" w:color="auto"/>
            </w:tcBorders>
            <w:vAlign w:val="center"/>
          </w:tcPr>
          <w:p w:rsidR="008B5E59" w:rsidRPr="00E05FBC" w:rsidRDefault="000F7FEA" w:rsidP="008B5E59">
            <w:pPr>
              <w:spacing w:after="0" w:line="240" w:lineRule="auto"/>
              <w:jc w:val="center"/>
              <w:rPr>
                <w:bCs/>
                <w:color w:val="000000"/>
                <w:sz w:val="16"/>
                <w:szCs w:val="16"/>
              </w:rPr>
            </w:pPr>
            <w:r>
              <w:rPr>
                <w:bCs/>
                <w:color w:val="000000"/>
                <w:sz w:val="16"/>
                <w:szCs w:val="16"/>
              </w:rPr>
              <w:t>53,93</w:t>
            </w:r>
          </w:p>
        </w:tc>
        <w:tc>
          <w:tcPr>
            <w:tcW w:w="709" w:type="dxa"/>
            <w:tcBorders>
              <w:top w:val="single" w:sz="4" w:space="0" w:color="auto"/>
              <w:left w:val="single" w:sz="12" w:space="0" w:color="auto"/>
              <w:bottom w:val="single" w:sz="12" w:space="0" w:color="auto"/>
              <w:right w:val="single" w:sz="4" w:space="0" w:color="auto"/>
            </w:tcBorders>
            <w:vAlign w:val="center"/>
          </w:tcPr>
          <w:p w:rsidR="008B5E59" w:rsidRPr="00BE2435" w:rsidRDefault="008B5E59" w:rsidP="008B5E59">
            <w:pPr>
              <w:spacing w:after="0" w:line="240" w:lineRule="auto"/>
              <w:jc w:val="center"/>
              <w:rPr>
                <w:rFonts w:cs="Times New Roman"/>
                <w:color w:val="000000"/>
                <w:szCs w:val="24"/>
              </w:rPr>
            </w:pPr>
            <w:r>
              <w:rPr>
                <w:bCs/>
                <w:color w:val="000000"/>
                <w:sz w:val="16"/>
                <w:szCs w:val="16"/>
              </w:rPr>
              <w:t>0</w:t>
            </w:r>
          </w:p>
        </w:tc>
        <w:tc>
          <w:tcPr>
            <w:tcW w:w="709" w:type="dxa"/>
            <w:tcBorders>
              <w:top w:val="single" w:sz="4" w:space="0" w:color="auto"/>
              <w:left w:val="single" w:sz="4" w:space="0" w:color="auto"/>
              <w:bottom w:val="single" w:sz="12" w:space="0" w:color="auto"/>
              <w:right w:val="single" w:sz="4" w:space="0" w:color="auto"/>
            </w:tcBorders>
            <w:vAlign w:val="center"/>
          </w:tcPr>
          <w:p w:rsidR="008B5E59" w:rsidRPr="00BE2435" w:rsidRDefault="008B5E59" w:rsidP="008B5E59">
            <w:pPr>
              <w:spacing w:after="0" w:line="240" w:lineRule="auto"/>
              <w:jc w:val="center"/>
              <w:rPr>
                <w:rFonts w:cs="Times New Roman"/>
                <w:bCs/>
                <w:color w:val="000000"/>
                <w:szCs w:val="24"/>
              </w:rPr>
            </w:pPr>
            <w:r>
              <w:rPr>
                <w:bCs/>
                <w:color w:val="000000"/>
                <w:sz w:val="16"/>
                <w:szCs w:val="16"/>
              </w:rPr>
              <w:t>107,78</w:t>
            </w:r>
          </w:p>
        </w:tc>
        <w:tc>
          <w:tcPr>
            <w:tcW w:w="850" w:type="dxa"/>
            <w:tcBorders>
              <w:top w:val="single" w:sz="4" w:space="0" w:color="auto"/>
              <w:left w:val="single" w:sz="4" w:space="0" w:color="auto"/>
              <w:bottom w:val="single" w:sz="12" w:space="0" w:color="auto"/>
              <w:right w:val="single" w:sz="12" w:space="0" w:color="auto"/>
            </w:tcBorders>
            <w:vAlign w:val="center"/>
          </w:tcPr>
          <w:p w:rsidR="008B5E59" w:rsidRPr="00E05FBC" w:rsidRDefault="000F7FEA" w:rsidP="008B5E59">
            <w:pPr>
              <w:spacing w:after="0" w:line="240" w:lineRule="auto"/>
              <w:jc w:val="center"/>
              <w:rPr>
                <w:bCs/>
                <w:color w:val="000000"/>
                <w:sz w:val="16"/>
                <w:szCs w:val="16"/>
              </w:rPr>
            </w:pPr>
            <w:r>
              <w:rPr>
                <w:bCs/>
                <w:color w:val="000000"/>
                <w:sz w:val="16"/>
                <w:szCs w:val="16"/>
              </w:rPr>
              <w:t>53,93</w:t>
            </w:r>
          </w:p>
        </w:tc>
      </w:tr>
      <w:tr w:rsidR="008B5E59" w:rsidRPr="00BE2435" w:rsidTr="007010A8">
        <w:trPr>
          <w:trHeight w:val="113"/>
        </w:trPr>
        <w:tc>
          <w:tcPr>
            <w:tcW w:w="269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8B5E59" w:rsidRPr="00BE2435" w:rsidRDefault="008B5E59" w:rsidP="008B5E59">
            <w:pPr>
              <w:spacing w:after="0" w:line="240" w:lineRule="auto"/>
              <w:jc w:val="center"/>
              <w:rPr>
                <w:rFonts w:cs="Times New Roman"/>
                <w:b/>
                <w:bCs/>
                <w:color w:val="000000"/>
                <w:szCs w:val="24"/>
              </w:rPr>
            </w:pPr>
            <w:r>
              <w:rPr>
                <w:rFonts w:cs="Times New Roman"/>
                <w:b/>
                <w:bCs/>
                <w:color w:val="000000"/>
                <w:szCs w:val="24"/>
              </w:rPr>
              <w:t>Kopā</w:t>
            </w:r>
          </w:p>
        </w:tc>
        <w:tc>
          <w:tcPr>
            <w:tcW w:w="708" w:type="dxa"/>
            <w:tcBorders>
              <w:top w:val="single" w:sz="12" w:space="0" w:color="auto"/>
              <w:left w:val="single" w:sz="12" w:space="0" w:color="auto"/>
              <w:bottom w:val="single" w:sz="12" w:space="0" w:color="auto"/>
              <w:right w:val="single" w:sz="4" w:space="0" w:color="auto"/>
            </w:tcBorders>
            <w:tcMar>
              <w:top w:w="0" w:type="dxa"/>
              <w:left w:w="108" w:type="dxa"/>
              <w:bottom w:w="0" w:type="dxa"/>
              <w:right w:w="108" w:type="dxa"/>
            </w:tcMar>
          </w:tcPr>
          <w:p w:rsidR="008B5E59" w:rsidRPr="00BE2435" w:rsidRDefault="008B5E59" w:rsidP="008B5E59">
            <w:pPr>
              <w:spacing w:after="0" w:line="240" w:lineRule="auto"/>
              <w:jc w:val="center"/>
              <w:rPr>
                <w:rFonts w:cs="Times New Roman"/>
                <w:b/>
                <w:bCs/>
                <w:color w:val="000000"/>
                <w:szCs w:val="24"/>
              </w:rPr>
            </w:pPr>
            <w:r>
              <w:rPr>
                <w:rFonts w:cs="Times New Roman"/>
                <w:b/>
                <w:bCs/>
                <w:color w:val="000000"/>
                <w:sz w:val="16"/>
                <w:szCs w:val="24"/>
              </w:rPr>
              <w:t>2609,7</w:t>
            </w:r>
          </w:p>
        </w:tc>
        <w:tc>
          <w:tcPr>
            <w:tcW w:w="709"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tcPr>
          <w:p w:rsidR="008B5E59" w:rsidRPr="00BE2435" w:rsidRDefault="008B5E59" w:rsidP="008B5E59">
            <w:pPr>
              <w:spacing w:after="0" w:line="240" w:lineRule="auto"/>
              <w:jc w:val="center"/>
              <w:rPr>
                <w:rFonts w:cs="Times New Roman"/>
                <w:b/>
                <w:bCs/>
                <w:color w:val="000000"/>
                <w:szCs w:val="24"/>
              </w:rPr>
            </w:pPr>
            <w:r w:rsidRPr="002B05E8">
              <w:rPr>
                <w:rFonts w:cs="Times New Roman"/>
                <w:b/>
                <w:bCs/>
                <w:color w:val="000000"/>
                <w:sz w:val="16"/>
                <w:szCs w:val="24"/>
              </w:rPr>
              <w:t>1283,6</w:t>
            </w:r>
          </w:p>
        </w:tc>
        <w:tc>
          <w:tcPr>
            <w:tcW w:w="851" w:type="dxa"/>
            <w:tcBorders>
              <w:top w:val="single" w:sz="12" w:space="0" w:color="auto"/>
              <w:left w:val="single" w:sz="4" w:space="0" w:color="auto"/>
              <w:bottom w:val="single" w:sz="12" w:space="0" w:color="auto"/>
              <w:right w:val="single" w:sz="12" w:space="0" w:color="auto"/>
            </w:tcBorders>
          </w:tcPr>
          <w:p w:rsidR="008B5E59" w:rsidRPr="00E05FBC" w:rsidRDefault="00F42C47" w:rsidP="008B5E59">
            <w:pPr>
              <w:spacing w:after="0" w:line="240" w:lineRule="auto"/>
              <w:jc w:val="center"/>
              <w:rPr>
                <w:rFonts w:cs="Times New Roman"/>
                <w:b/>
                <w:bCs/>
                <w:color w:val="000000"/>
                <w:sz w:val="16"/>
                <w:szCs w:val="24"/>
              </w:rPr>
            </w:pPr>
            <w:r>
              <w:rPr>
                <w:rFonts w:cs="Times New Roman"/>
                <w:b/>
                <w:bCs/>
                <w:color w:val="000000"/>
                <w:sz w:val="16"/>
                <w:szCs w:val="24"/>
              </w:rPr>
              <w:t>752,6</w:t>
            </w:r>
          </w:p>
        </w:tc>
        <w:tc>
          <w:tcPr>
            <w:tcW w:w="709" w:type="dxa"/>
            <w:tcBorders>
              <w:top w:val="single" w:sz="12" w:space="0" w:color="auto"/>
              <w:left w:val="single" w:sz="12" w:space="0" w:color="auto"/>
              <w:bottom w:val="single" w:sz="12" w:space="0" w:color="auto"/>
              <w:right w:val="single" w:sz="4" w:space="0" w:color="auto"/>
            </w:tcBorders>
          </w:tcPr>
          <w:p w:rsidR="008B5E59" w:rsidRPr="00E05FBC" w:rsidRDefault="008B5E59" w:rsidP="008B5E59">
            <w:pPr>
              <w:spacing w:after="0" w:line="240" w:lineRule="auto"/>
              <w:jc w:val="center"/>
              <w:rPr>
                <w:rFonts w:cs="Times New Roman"/>
                <w:b/>
                <w:bCs/>
                <w:color w:val="000000"/>
                <w:sz w:val="16"/>
                <w:szCs w:val="24"/>
              </w:rPr>
            </w:pPr>
            <w:r w:rsidRPr="00E05FBC">
              <w:rPr>
                <w:rFonts w:cs="Times New Roman"/>
                <w:b/>
                <w:bCs/>
                <w:color w:val="000000"/>
                <w:sz w:val="16"/>
                <w:szCs w:val="24"/>
              </w:rPr>
              <w:t>342.58</w:t>
            </w:r>
          </w:p>
        </w:tc>
        <w:tc>
          <w:tcPr>
            <w:tcW w:w="708" w:type="dxa"/>
            <w:tcBorders>
              <w:top w:val="single" w:sz="12" w:space="0" w:color="auto"/>
              <w:left w:val="single" w:sz="4" w:space="0" w:color="auto"/>
              <w:bottom w:val="single" w:sz="12" w:space="0" w:color="auto"/>
              <w:right w:val="single" w:sz="4" w:space="0" w:color="auto"/>
            </w:tcBorders>
          </w:tcPr>
          <w:p w:rsidR="008B5E59" w:rsidRPr="00E05FBC" w:rsidRDefault="008B5E59" w:rsidP="008B5E59">
            <w:pPr>
              <w:spacing w:after="0" w:line="240" w:lineRule="auto"/>
              <w:jc w:val="center"/>
              <w:rPr>
                <w:rFonts w:cs="Times New Roman"/>
                <w:b/>
                <w:bCs/>
                <w:color w:val="000000"/>
                <w:sz w:val="16"/>
                <w:szCs w:val="24"/>
              </w:rPr>
            </w:pPr>
            <w:r w:rsidRPr="00E05FBC">
              <w:rPr>
                <w:rFonts w:cs="Times New Roman"/>
                <w:b/>
                <w:bCs/>
                <w:color w:val="000000"/>
                <w:sz w:val="16"/>
                <w:szCs w:val="24"/>
              </w:rPr>
              <w:t>308,90</w:t>
            </w:r>
          </w:p>
        </w:tc>
        <w:tc>
          <w:tcPr>
            <w:tcW w:w="851" w:type="dxa"/>
            <w:tcBorders>
              <w:top w:val="single" w:sz="12" w:space="0" w:color="auto"/>
              <w:left w:val="single" w:sz="4" w:space="0" w:color="auto"/>
              <w:bottom w:val="single" w:sz="12" w:space="0" w:color="auto"/>
              <w:right w:val="single" w:sz="12" w:space="0" w:color="auto"/>
            </w:tcBorders>
          </w:tcPr>
          <w:p w:rsidR="008B5E59" w:rsidRPr="00E05FBC" w:rsidRDefault="00F42C47" w:rsidP="008B5E59">
            <w:pPr>
              <w:spacing w:after="0" w:line="240" w:lineRule="auto"/>
              <w:jc w:val="center"/>
              <w:rPr>
                <w:rFonts w:cs="Times New Roman"/>
                <w:b/>
                <w:bCs/>
                <w:color w:val="000000"/>
                <w:sz w:val="16"/>
                <w:szCs w:val="24"/>
              </w:rPr>
            </w:pPr>
            <w:r w:rsidRPr="00E05FBC">
              <w:rPr>
                <w:rFonts w:cs="Times New Roman"/>
                <w:b/>
                <w:bCs/>
                <w:color w:val="000000"/>
                <w:sz w:val="16"/>
                <w:szCs w:val="24"/>
              </w:rPr>
              <w:t>168,27</w:t>
            </w:r>
          </w:p>
        </w:tc>
        <w:tc>
          <w:tcPr>
            <w:tcW w:w="709" w:type="dxa"/>
            <w:tcBorders>
              <w:top w:val="single" w:sz="12" w:space="0" w:color="auto"/>
              <w:left w:val="single" w:sz="12" w:space="0" w:color="auto"/>
              <w:bottom w:val="single" w:sz="12" w:space="0" w:color="auto"/>
              <w:right w:val="single" w:sz="4" w:space="0" w:color="auto"/>
            </w:tcBorders>
          </w:tcPr>
          <w:p w:rsidR="008B5E59" w:rsidRPr="00E05FBC" w:rsidRDefault="008B5E59" w:rsidP="008B5E59">
            <w:pPr>
              <w:spacing w:after="0" w:line="240" w:lineRule="auto"/>
              <w:jc w:val="center"/>
              <w:rPr>
                <w:rFonts w:cs="Times New Roman"/>
                <w:b/>
                <w:bCs/>
                <w:color w:val="000000"/>
                <w:sz w:val="16"/>
                <w:szCs w:val="24"/>
              </w:rPr>
            </w:pPr>
            <w:r w:rsidRPr="00E05FBC">
              <w:rPr>
                <w:rFonts w:cs="Times New Roman"/>
                <w:b/>
                <w:bCs/>
                <w:color w:val="000000"/>
                <w:sz w:val="16"/>
                <w:szCs w:val="24"/>
              </w:rPr>
              <w:t>211.19</w:t>
            </w:r>
          </w:p>
        </w:tc>
        <w:tc>
          <w:tcPr>
            <w:tcW w:w="709" w:type="dxa"/>
            <w:tcBorders>
              <w:top w:val="single" w:sz="12" w:space="0" w:color="auto"/>
              <w:left w:val="single" w:sz="4" w:space="0" w:color="auto"/>
              <w:bottom w:val="single" w:sz="12" w:space="0" w:color="auto"/>
              <w:right w:val="single" w:sz="4" w:space="0" w:color="auto"/>
            </w:tcBorders>
          </w:tcPr>
          <w:p w:rsidR="008B5E59" w:rsidRPr="00E05FBC" w:rsidRDefault="008B5E59" w:rsidP="008B5E59">
            <w:pPr>
              <w:spacing w:after="0" w:line="240" w:lineRule="auto"/>
              <w:jc w:val="center"/>
              <w:rPr>
                <w:rFonts w:cs="Times New Roman"/>
                <w:b/>
                <w:bCs/>
                <w:color w:val="000000"/>
                <w:sz w:val="16"/>
                <w:szCs w:val="24"/>
              </w:rPr>
            </w:pPr>
            <w:r w:rsidRPr="00E05FBC">
              <w:rPr>
                <w:rFonts w:cs="Times New Roman"/>
                <w:b/>
                <w:bCs/>
                <w:color w:val="000000"/>
                <w:sz w:val="16"/>
                <w:szCs w:val="24"/>
              </w:rPr>
              <w:t>245,74</w:t>
            </w:r>
          </w:p>
        </w:tc>
        <w:tc>
          <w:tcPr>
            <w:tcW w:w="850" w:type="dxa"/>
            <w:tcBorders>
              <w:top w:val="single" w:sz="12" w:space="0" w:color="auto"/>
              <w:left w:val="single" w:sz="4" w:space="0" w:color="auto"/>
              <w:bottom w:val="single" w:sz="12" w:space="0" w:color="auto"/>
              <w:right w:val="single" w:sz="12" w:space="0" w:color="auto"/>
            </w:tcBorders>
          </w:tcPr>
          <w:p w:rsidR="008B5E59" w:rsidRPr="00E05FBC" w:rsidRDefault="00F42C47" w:rsidP="008B5E59">
            <w:pPr>
              <w:spacing w:after="0" w:line="240" w:lineRule="auto"/>
              <w:jc w:val="center"/>
              <w:rPr>
                <w:rFonts w:cs="Times New Roman"/>
                <w:b/>
                <w:bCs/>
                <w:color w:val="000000"/>
                <w:sz w:val="16"/>
                <w:szCs w:val="24"/>
              </w:rPr>
            </w:pPr>
            <w:r w:rsidRPr="00E05FBC">
              <w:rPr>
                <w:rFonts w:cs="Times New Roman"/>
                <w:b/>
                <w:bCs/>
                <w:color w:val="000000"/>
                <w:sz w:val="16"/>
                <w:szCs w:val="24"/>
              </w:rPr>
              <w:t>140,15</w:t>
            </w:r>
          </w:p>
        </w:tc>
      </w:tr>
    </w:tbl>
    <w:p w:rsidR="00102952" w:rsidRDefault="00744EC6" w:rsidP="006C33EB">
      <w:pPr>
        <w:spacing w:after="0" w:line="240" w:lineRule="auto"/>
        <w:rPr>
          <w:szCs w:val="28"/>
        </w:rPr>
      </w:pPr>
      <w:r w:rsidRPr="006C33EB">
        <w:rPr>
          <w:szCs w:val="28"/>
        </w:rPr>
        <w:t>Avots: Ekonomikas ministrija</w:t>
      </w:r>
    </w:p>
    <w:p w:rsidR="002860D8" w:rsidRDefault="002860D8" w:rsidP="006C33EB">
      <w:pPr>
        <w:spacing w:after="0" w:line="240" w:lineRule="auto"/>
        <w:rPr>
          <w:szCs w:val="28"/>
        </w:rPr>
      </w:pPr>
    </w:p>
    <w:p w:rsidR="008446D8" w:rsidRPr="00B41498" w:rsidRDefault="008446D8" w:rsidP="00C056E7">
      <w:pPr>
        <w:pStyle w:val="Heading3"/>
        <w:spacing w:after="200" w:line="240" w:lineRule="auto"/>
      </w:pPr>
      <w:bookmarkStart w:id="9" w:name="_Toc428188927"/>
      <w:r>
        <w:t xml:space="preserve">2.2.1. </w:t>
      </w:r>
      <w:r w:rsidR="006B639C">
        <w:t>Atbalsts elektroenerģijas lietotājiem o</w:t>
      </w:r>
      <w:r>
        <w:t xml:space="preserve">bligātā iepirkuma komponentes </w:t>
      </w:r>
      <w:r w:rsidR="006B639C">
        <w:t>mazināšanai</w:t>
      </w:r>
      <w:bookmarkEnd w:id="9"/>
    </w:p>
    <w:p w:rsidR="00D90FFB" w:rsidRPr="00D90FFB" w:rsidRDefault="00D90FFB" w:rsidP="00D90FFB">
      <w:pPr>
        <w:spacing w:after="0" w:line="240" w:lineRule="auto"/>
        <w:ind w:firstLine="851"/>
        <w:rPr>
          <w:sz w:val="28"/>
          <w:szCs w:val="28"/>
        </w:rPr>
      </w:pPr>
      <w:r w:rsidRPr="00D90FFB">
        <w:rPr>
          <w:sz w:val="28"/>
          <w:szCs w:val="28"/>
        </w:rPr>
        <w:t>Saskaņā ar Elektroenerģijas tirgus likuma 28., 28.</w:t>
      </w:r>
      <w:r w:rsidRPr="00D90FFB">
        <w:rPr>
          <w:sz w:val="28"/>
          <w:szCs w:val="28"/>
          <w:vertAlign w:val="superscript"/>
        </w:rPr>
        <w:t>1</w:t>
      </w:r>
      <w:r w:rsidRPr="00D90FFB">
        <w:rPr>
          <w:sz w:val="28"/>
          <w:szCs w:val="28"/>
        </w:rPr>
        <w:t>, 29.</w:t>
      </w:r>
      <w:r w:rsidRPr="00D90FFB">
        <w:rPr>
          <w:sz w:val="28"/>
          <w:szCs w:val="28"/>
          <w:vertAlign w:val="superscript"/>
        </w:rPr>
        <w:t>1</w:t>
      </w:r>
      <w:r w:rsidRPr="00D90FFB">
        <w:rPr>
          <w:sz w:val="28"/>
          <w:szCs w:val="28"/>
        </w:rPr>
        <w:t xml:space="preserve"> un 30.pantu</w:t>
      </w:r>
      <w:r w:rsidRPr="00D90FFB">
        <w:rPr>
          <w:sz w:val="28"/>
          <w:szCs w:val="28"/>
          <w:vertAlign w:val="superscript"/>
        </w:rPr>
        <w:t xml:space="preserve"> </w:t>
      </w:r>
      <w:r w:rsidRPr="00D90FFB">
        <w:rPr>
          <w:sz w:val="28"/>
          <w:szCs w:val="28"/>
        </w:rPr>
        <w:t>elektroenerģijas obligātā iepirkuma izmaksas un izmaksas, ko veido maksājumi par uzstādīto elektrisko jaudu, sedz visi Latvijas elektroenerģijas galalietotāji proporcionāli savam elektroenerģijas patēriņam, kompensējot publiskajam tirgotājam iepirkuma izdevumus. Kompensējamo izmaksu aprēķinā ņem vērā likumā par valsts budžetu kārtējam gadam noteikto valsts budžeta dotāciju obligātā iepirkuma komponenšu apmēra mazināšanai.</w:t>
      </w:r>
    </w:p>
    <w:p w:rsidR="008446D8" w:rsidRDefault="008446D8" w:rsidP="00D90FFB">
      <w:pPr>
        <w:spacing w:after="0" w:line="240" w:lineRule="auto"/>
        <w:ind w:firstLine="851"/>
        <w:rPr>
          <w:sz w:val="28"/>
          <w:szCs w:val="28"/>
        </w:rPr>
      </w:pPr>
      <w:r w:rsidRPr="00EF2F9C">
        <w:rPr>
          <w:sz w:val="28"/>
          <w:szCs w:val="28"/>
        </w:rPr>
        <w:t>Īstenojot pasākumus elektroenerģijas cenu pieauguma risku mazināšanai, kas ir būtiski tautsaimniecības konkurētspējas saglabāšanai</w:t>
      </w:r>
      <w:r>
        <w:rPr>
          <w:sz w:val="28"/>
          <w:szCs w:val="28"/>
        </w:rPr>
        <w:t xml:space="preserve"> un iedzīvotāju maksātspējas saglabāšanai</w:t>
      </w:r>
      <w:r w:rsidRPr="00EF2F9C">
        <w:rPr>
          <w:sz w:val="28"/>
          <w:szCs w:val="28"/>
        </w:rPr>
        <w:t xml:space="preserve">, 2013.gadā tika </w:t>
      </w:r>
      <w:r>
        <w:rPr>
          <w:sz w:val="28"/>
          <w:szCs w:val="28"/>
        </w:rPr>
        <w:t xml:space="preserve">lemts novirzīt valsts budžeta līdzekļus turpmāka OIK pieauguma segšanai līdz 2017.gada 31.martam. </w:t>
      </w:r>
      <w:r w:rsidRPr="00EF2F9C">
        <w:rPr>
          <w:sz w:val="28"/>
          <w:szCs w:val="28"/>
        </w:rPr>
        <w:t xml:space="preserve">Lai to nodrošinātu, </w:t>
      </w:r>
      <w:r>
        <w:rPr>
          <w:sz w:val="28"/>
          <w:szCs w:val="28"/>
        </w:rPr>
        <w:t>vidēja termiņa budžeta ietvarā</w:t>
      </w:r>
      <w:r w:rsidRPr="005227A8">
        <w:rPr>
          <w:sz w:val="28"/>
          <w:szCs w:val="28"/>
        </w:rPr>
        <w:t xml:space="preserve"> 2014., 2015. un 2016.gadam</w:t>
      </w:r>
      <w:r>
        <w:rPr>
          <w:sz w:val="28"/>
          <w:szCs w:val="28"/>
        </w:rPr>
        <w:t xml:space="preserve"> OIK saglabāšanai esošajā apmērā no valsts budžeta tika paredzēti šādi līdzekļi: </w:t>
      </w:r>
      <w:r>
        <w:rPr>
          <w:sz w:val="28"/>
          <w:szCs w:val="28"/>
        </w:rPr>
        <w:br/>
        <w:t xml:space="preserve">2014.g. - 29 264 488 EUR, 2015.g. – 47 747 928 EUR; 2016.g. – 56 142 872 EUR. </w:t>
      </w:r>
      <w:r w:rsidRPr="00EF2F9C">
        <w:rPr>
          <w:sz w:val="28"/>
          <w:szCs w:val="28"/>
        </w:rPr>
        <w:t xml:space="preserve">Savukārt, lai valsts budžetā būtu šāds papildu līdzekļu apjoms un </w:t>
      </w:r>
      <w:r w:rsidRPr="00EF2F9C">
        <w:rPr>
          <w:sz w:val="28"/>
          <w:szCs w:val="28"/>
        </w:rPr>
        <w:lastRenderedPageBreak/>
        <w:t xml:space="preserve">mehānisms būtu fiskāli neitrāls, ar 2014.gada 1.janvāri ir ieviests jauns nodoklis enerģijas ražotājiem, kas saņēmuši atbalstu obligātā iepirkuma ietvaros - SEN. </w:t>
      </w:r>
    </w:p>
    <w:p w:rsidR="00BF4D66" w:rsidRDefault="00BF4D66" w:rsidP="008446D8">
      <w:pPr>
        <w:spacing w:after="0" w:line="240" w:lineRule="auto"/>
        <w:ind w:firstLine="851"/>
        <w:rPr>
          <w:sz w:val="28"/>
          <w:szCs w:val="28"/>
        </w:rPr>
      </w:pPr>
      <w:r w:rsidRPr="00BF4D66">
        <w:rPr>
          <w:sz w:val="28"/>
          <w:szCs w:val="28"/>
        </w:rPr>
        <w:t>Tā kā atbalstu kā OIK maksājuma samazinājumu proporcionāli patērētajai elektroenerģijas daļai saņem visi elektroenerģijas lietotāji, attiecīgais finansējums nesniedz selektīvu priekšrocību, un tādējādi AS „Enerģijas publiskais tirgotājs” saņemtie publiskie līdzekļi nav uzskatāmi par valsts atbalstu.</w:t>
      </w:r>
    </w:p>
    <w:p w:rsidR="008446D8" w:rsidRPr="00B41498" w:rsidRDefault="008446D8" w:rsidP="008446D8">
      <w:pPr>
        <w:spacing w:after="0" w:line="240" w:lineRule="auto"/>
        <w:ind w:firstLine="851"/>
        <w:rPr>
          <w:sz w:val="28"/>
          <w:szCs w:val="28"/>
        </w:rPr>
      </w:pPr>
      <w:r>
        <w:rPr>
          <w:sz w:val="28"/>
          <w:szCs w:val="28"/>
        </w:rPr>
        <w:t xml:space="preserve">Likumā </w:t>
      </w:r>
      <w:r w:rsidR="00ED2595">
        <w:rPr>
          <w:sz w:val="28"/>
          <w:szCs w:val="28"/>
        </w:rPr>
        <w:t>„</w:t>
      </w:r>
      <w:r>
        <w:rPr>
          <w:sz w:val="28"/>
          <w:szCs w:val="28"/>
        </w:rPr>
        <w:t>Par valsts budžetu 2015.gadam</w:t>
      </w:r>
      <w:r w:rsidR="00ED2595">
        <w:rPr>
          <w:sz w:val="28"/>
          <w:szCs w:val="28"/>
        </w:rPr>
        <w:t>”</w:t>
      </w:r>
      <w:r>
        <w:rPr>
          <w:sz w:val="28"/>
          <w:szCs w:val="28"/>
        </w:rPr>
        <w:t xml:space="preserve"> </w:t>
      </w:r>
      <w:r w:rsidRPr="008C06AE">
        <w:rPr>
          <w:sz w:val="28"/>
          <w:szCs w:val="28"/>
        </w:rPr>
        <w:t>Ekonomikas ministrijas b</w:t>
      </w:r>
      <w:r>
        <w:rPr>
          <w:sz w:val="28"/>
          <w:szCs w:val="28"/>
        </w:rPr>
        <w:t>udžeta apakšprogrammā 29.02.00 “</w:t>
      </w:r>
      <w:r w:rsidRPr="008C06AE">
        <w:rPr>
          <w:sz w:val="28"/>
          <w:szCs w:val="28"/>
        </w:rPr>
        <w:t>Elek</w:t>
      </w:r>
      <w:r>
        <w:rPr>
          <w:sz w:val="28"/>
          <w:szCs w:val="28"/>
        </w:rPr>
        <w:t xml:space="preserve">troenerģijas lietotāju atbalsts” OIK saglabāšanai tika paredzēti līdzekļi 27 968 512 EUR apmērā. Faktiski OIK saglabāšanai 2015.gadā publiskajam tirgotājam </w:t>
      </w:r>
      <w:r w:rsidR="00ED2595">
        <w:rPr>
          <w:sz w:val="28"/>
          <w:szCs w:val="28"/>
        </w:rPr>
        <w:t xml:space="preserve">- </w:t>
      </w:r>
      <w:r>
        <w:rPr>
          <w:sz w:val="28"/>
          <w:szCs w:val="28"/>
        </w:rPr>
        <w:t>AS “Enerģijas publiskais tirgotājs” tika izmaksāti 20 335 000 EUR. Savukārt</w:t>
      </w:r>
      <w:r w:rsidR="00ED2595">
        <w:rPr>
          <w:sz w:val="28"/>
          <w:szCs w:val="28"/>
        </w:rPr>
        <w:t>,</w:t>
      </w:r>
      <w:r>
        <w:rPr>
          <w:sz w:val="28"/>
          <w:szCs w:val="28"/>
        </w:rPr>
        <w:t xml:space="preserve"> vidēja termiņa budžeta ietvarā</w:t>
      </w:r>
      <w:r w:rsidRPr="005227A8">
        <w:rPr>
          <w:sz w:val="28"/>
          <w:szCs w:val="28"/>
        </w:rPr>
        <w:t xml:space="preserve"> 201</w:t>
      </w:r>
      <w:r>
        <w:rPr>
          <w:sz w:val="28"/>
          <w:szCs w:val="28"/>
        </w:rPr>
        <w:t>5</w:t>
      </w:r>
      <w:r w:rsidRPr="005227A8">
        <w:rPr>
          <w:sz w:val="28"/>
          <w:szCs w:val="28"/>
        </w:rPr>
        <w:t>., 201</w:t>
      </w:r>
      <w:r>
        <w:rPr>
          <w:sz w:val="28"/>
          <w:szCs w:val="28"/>
        </w:rPr>
        <w:t>6</w:t>
      </w:r>
      <w:r w:rsidRPr="005227A8">
        <w:rPr>
          <w:sz w:val="28"/>
          <w:szCs w:val="28"/>
        </w:rPr>
        <w:t>. un 201</w:t>
      </w:r>
      <w:r>
        <w:rPr>
          <w:sz w:val="28"/>
          <w:szCs w:val="28"/>
        </w:rPr>
        <w:t>7</w:t>
      </w:r>
      <w:r w:rsidRPr="005227A8">
        <w:rPr>
          <w:sz w:val="28"/>
          <w:szCs w:val="28"/>
        </w:rPr>
        <w:t>.gadam</w:t>
      </w:r>
      <w:r>
        <w:rPr>
          <w:sz w:val="28"/>
          <w:szCs w:val="28"/>
        </w:rPr>
        <w:t xml:space="preserve"> </w:t>
      </w:r>
      <w:r w:rsidRPr="008C06AE">
        <w:rPr>
          <w:sz w:val="28"/>
          <w:szCs w:val="28"/>
        </w:rPr>
        <w:t>Ekonomikas ministrijas b</w:t>
      </w:r>
      <w:r>
        <w:rPr>
          <w:sz w:val="28"/>
          <w:szCs w:val="28"/>
        </w:rPr>
        <w:t>udžeta apakšprogrammā 29.02.00 “</w:t>
      </w:r>
      <w:r w:rsidRPr="008C06AE">
        <w:rPr>
          <w:sz w:val="28"/>
          <w:szCs w:val="28"/>
        </w:rPr>
        <w:t>Elek</w:t>
      </w:r>
      <w:r>
        <w:rPr>
          <w:sz w:val="28"/>
          <w:szCs w:val="28"/>
        </w:rPr>
        <w:t>troenerģijas lietotāju atbalsts” no valsts budžeta tika paredzēti šādi līdzekļi: 2016.g. – 61 265 211 EUR (tostarp 56 142 872 EUR  OIK saglabāšanai esošajā līmenī), 2017.g. – 19 635 631 EUR (tostarp 14 513 292 EUR OIK saglabāšanai esošajā līmenī līdz 31.03.2017.).</w:t>
      </w:r>
    </w:p>
    <w:p w:rsidR="004A0C32" w:rsidRDefault="008446D8" w:rsidP="00C056E7">
      <w:pPr>
        <w:pStyle w:val="Heading3"/>
        <w:spacing w:after="200" w:line="240" w:lineRule="auto"/>
      </w:pPr>
      <w:bookmarkStart w:id="10" w:name="_Toc428188928"/>
      <w:r>
        <w:t>2.2.</w:t>
      </w:r>
      <w:r w:rsidR="00D8656A">
        <w:t>2</w:t>
      </w:r>
      <w:r>
        <w:t xml:space="preserve">. </w:t>
      </w:r>
      <w:r w:rsidR="00186EC3">
        <w:t>Atbalsts energointensīviem uzņēmumiem obligātā iepirkuma komponentes mazināšanai</w:t>
      </w:r>
      <w:bookmarkEnd w:id="10"/>
    </w:p>
    <w:p w:rsidR="00D67152" w:rsidRPr="00D67152" w:rsidRDefault="00D67152" w:rsidP="00EA69F1">
      <w:pPr>
        <w:spacing w:after="0" w:line="240" w:lineRule="auto"/>
        <w:ind w:firstLine="851"/>
        <w:rPr>
          <w:bCs/>
          <w:color w:val="000000" w:themeColor="text1"/>
          <w:sz w:val="28"/>
          <w:szCs w:val="28"/>
        </w:rPr>
      </w:pPr>
      <w:r w:rsidRPr="00D67152">
        <w:rPr>
          <w:bCs/>
          <w:color w:val="000000" w:themeColor="text1"/>
          <w:sz w:val="28"/>
          <w:szCs w:val="28"/>
        </w:rPr>
        <w:t xml:space="preserve">Lai </w:t>
      </w:r>
      <w:r w:rsidR="009759C6">
        <w:rPr>
          <w:bCs/>
          <w:color w:val="000000" w:themeColor="text1"/>
          <w:sz w:val="28"/>
          <w:szCs w:val="28"/>
        </w:rPr>
        <w:t>mazinātu</w:t>
      </w:r>
      <w:r w:rsidR="009759C6" w:rsidRPr="00D67152">
        <w:rPr>
          <w:bCs/>
          <w:color w:val="000000" w:themeColor="text1"/>
          <w:sz w:val="28"/>
          <w:szCs w:val="28"/>
        </w:rPr>
        <w:t xml:space="preserve"> </w:t>
      </w:r>
      <w:r w:rsidR="009759C6">
        <w:rPr>
          <w:bCs/>
          <w:color w:val="000000" w:themeColor="text1"/>
          <w:sz w:val="28"/>
          <w:szCs w:val="28"/>
        </w:rPr>
        <w:t>elektroenerģijas obligātā iepirkuma komponentes pieauguma negatīvo efektu uz komersantiem,</w:t>
      </w:r>
      <w:r w:rsidR="009759C6" w:rsidRPr="009759C6">
        <w:rPr>
          <w:bCs/>
          <w:color w:val="000000" w:themeColor="text1"/>
          <w:sz w:val="28"/>
          <w:szCs w:val="28"/>
        </w:rPr>
        <w:t xml:space="preserve"> </w:t>
      </w:r>
      <w:r w:rsidR="009759C6" w:rsidRPr="003D1336">
        <w:rPr>
          <w:bCs/>
          <w:color w:val="000000" w:themeColor="text1"/>
          <w:sz w:val="28"/>
          <w:szCs w:val="28"/>
        </w:rPr>
        <w:t>kas savu pamatdarbību ir izvērsuši energoietilpīgajās nozarēs, tādās kā, metālrūpniecība, šķiedras ražošana, būvmateriālu ražošana</w:t>
      </w:r>
      <w:r w:rsidRPr="00D67152">
        <w:rPr>
          <w:bCs/>
          <w:color w:val="000000" w:themeColor="text1"/>
          <w:sz w:val="28"/>
          <w:szCs w:val="28"/>
        </w:rPr>
        <w:t>, Ministru kabinets š.g. 14.jūlijā pieņēma MK noteikumi Nr.395 ar mērķi noteiktiem apstrādes rūpniecības komersantiem dot tiesības kvalificēties samazinātajam OIK līdzdalības maksājumam.</w:t>
      </w:r>
    </w:p>
    <w:p w:rsidR="00D67152" w:rsidRPr="00D67152" w:rsidRDefault="00D67152" w:rsidP="00EA69F1">
      <w:pPr>
        <w:spacing w:after="0" w:line="240" w:lineRule="auto"/>
        <w:ind w:firstLine="851"/>
        <w:rPr>
          <w:bCs/>
          <w:color w:val="000000" w:themeColor="text1"/>
          <w:sz w:val="28"/>
          <w:szCs w:val="28"/>
        </w:rPr>
      </w:pPr>
      <w:r w:rsidRPr="00D67152">
        <w:rPr>
          <w:bCs/>
          <w:color w:val="000000" w:themeColor="text1"/>
          <w:sz w:val="28"/>
          <w:szCs w:val="28"/>
        </w:rPr>
        <w:t>Samazinātais OIK līdzdalības maksājums ir 85%</w:t>
      </w:r>
      <w:r w:rsidR="00410AC7">
        <w:rPr>
          <w:bCs/>
          <w:color w:val="000000" w:themeColor="text1"/>
          <w:sz w:val="28"/>
          <w:szCs w:val="28"/>
        </w:rPr>
        <w:t xml:space="preserve"> no obligātā iepirkuma komponentes</w:t>
      </w:r>
      <w:r w:rsidRPr="00D67152">
        <w:rPr>
          <w:bCs/>
          <w:color w:val="000000" w:themeColor="text1"/>
          <w:sz w:val="28"/>
          <w:szCs w:val="28"/>
        </w:rPr>
        <w:t>, kas ir aprēķināta obligātaj</w:t>
      </w:r>
      <w:r w:rsidR="00410AC7">
        <w:rPr>
          <w:bCs/>
          <w:color w:val="000000" w:themeColor="text1"/>
          <w:sz w:val="28"/>
          <w:szCs w:val="28"/>
        </w:rPr>
        <w:t>am</w:t>
      </w:r>
      <w:r w:rsidRPr="00D67152">
        <w:rPr>
          <w:bCs/>
          <w:color w:val="000000" w:themeColor="text1"/>
          <w:sz w:val="28"/>
          <w:szCs w:val="28"/>
        </w:rPr>
        <w:t xml:space="preserve"> iepirkumam no ražotājiem, kas ražo elektroenerģiju no atjaunojamiem resursiem. Ar 2015.gada 1.aprīli OIK ir 26,79 EUR par MWh, kur obligātais iepirkums no ražotājiem, kas ražo elektroenerģiju no atjaunojamiem resursiem, ir 10,08 EUR par MWh.</w:t>
      </w:r>
    </w:p>
    <w:p w:rsidR="00D67152" w:rsidRPr="00D116AC" w:rsidRDefault="00D116AC" w:rsidP="00D116AC">
      <w:pPr>
        <w:pStyle w:val="Caption"/>
        <w:keepNext/>
        <w:jc w:val="right"/>
        <w:rPr>
          <w:rFonts w:ascii="Times New Roman" w:hAnsi="Times New Roman"/>
          <w:sz w:val="24"/>
          <w:szCs w:val="24"/>
        </w:rPr>
      </w:pPr>
      <w:r w:rsidRPr="00D116AC">
        <w:rPr>
          <w:rFonts w:ascii="Times New Roman" w:hAnsi="Times New Roman"/>
          <w:sz w:val="24"/>
          <w:szCs w:val="24"/>
        </w:rPr>
        <w:t>4</w:t>
      </w:r>
      <w:r w:rsidR="00D67152" w:rsidRPr="00D116AC">
        <w:rPr>
          <w:rFonts w:ascii="Times New Roman" w:hAnsi="Times New Roman"/>
          <w:sz w:val="24"/>
          <w:szCs w:val="24"/>
        </w:rPr>
        <w:t>.tabula</w:t>
      </w:r>
    </w:p>
    <w:p w:rsidR="00D67152" w:rsidRPr="00D116AC" w:rsidRDefault="00D67152" w:rsidP="00D116AC">
      <w:pPr>
        <w:pStyle w:val="Caption"/>
        <w:keepNext/>
        <w:jc w:val="center"/>
        <w:rPr>
          <w:rFonts w:ascii="Times New Roman" w:hAnsi="Times New Roman"/>
          <w:sz w:val="24"/>
          <w:szCs w:val="24"/>
        </w:rPr>
      </w:pPr>
      <w:r w:rsidRPr="00D116AC">
        <w:rPr>
          <w:rFonts w:ascii="Times New Roman" w:hAnsi="Times New Roman"/>
          <w:sz w:val="24"/>
          <w:szCs w:val="24"/>
        </w:rPr>
        <w:t>Atbalsta mehānisma ietekme uz valsts budžetu</w:t>
      </w:r>
    </w:p>
    <w:tbl>
      <w:tblPr>
        <w:tblStyle w:val="TableGrid"/>
        <w:tblW w:w="0" w:type="auto"/>
        <w:jc w:val="center"/>
        <w:tblLook w:val="04A0" w:firstRow="1" w:lastRow="0" w:firstColumn="1" w:lastColumn="0" w:noHBand="0" w:noVBand="1"/>
      </w:tblPr>
      <w:tblGrid>
        <w:gridCol w:w="988"/>
        <w:gridCol w:w="2439"/>
      </w:tblGrid>
      <w:tr w:rsidR="0061691A" w:rsidRPr="005B4538" w:rsidTr="00956672">
        <w:trPr>
          <w:jc w:val="center"/>
        </w:trPr>
        <w:tc>
          <w:tcPr>
            <w:tcW w:w="988" w:type="dxa"/>
          </w:tcPr>
          <w:p w:rsidR="0061691A" w:rsidRPr="005B4538" w:rsidRDefault="0061691A" w:rsidP="00956672">
            <w:pPr>
              <w:spacing w:line="240" w:lineRule="auto"/>
              <w:jc w:val="center"/>
              <w:rPr>
                <w:rFonts w:eastAsia="Times New Roman"/>
                <w:color w:val="000000" w:themeColor="text1"/>
                <w:szCs w:val="24"/>
                <w:lang w:eastAsia="lv-LV"/>
              </w:rPr>
            </w:pPr>
            <w:r w:rsidRPr="005B4538">
              <w:rPr>
                <w:rFonts w:eastAsia="Times New Roman"/>
                <w:color w:val="000000" w:themeColor="text1"/>
                <w:szCs w:val="24"/>
                <w:lang w:eastAsia="lv-LV"/>
              </w:rPr>
              <w:t>Gads</w:t>
            </w:r>
          </w:p>
        </w:tc>
        <w:tc>
          <w:tcPr>
            <w:tcW w:w="2439" w:type="dxa"/>
          </w:tcPr>
          <w:p w:rsidR="0061691A" w:rsidRPr="005B4538" w:rsidRDefault="0061691A" w:rsidP="00956672">
            <w:pPr>
              <w:spacing w:line="240" w:lineRule="auto"/>
              <w:jc w:val="center"/>
              <w:rPr>
                <w:rFonts w:eastAsia="Times New Roman"/>
                <w:color w:val="000000" w:themeColor="text1"/>
                <w:szCs w:val="24"/>
                <w:lang w:eastAsia="lv-LV"/>
              </w:rPr>
            </w:pPr>
            <w:r w:rsidRPr="005B4538">
              <w:rPr>
                <w:rFonts w:eastAsia="Times New Roman"/>
                <w:color w:val="000000" w:themeColor="text1"/>
                <w:szCs w:val="24"/>
                <w:lang w:eastAsia="lv-LV"/>
              </w:rPr>
              <w:t>Nepieciešamā atbalsta summa</w:t>
            </w:r>
            <w:r>
              <w:rPr>
                <w:rFonts w:eastAsia="Times New Roman"/>
                <w:color w:val="000000" w:themeColor="text1"/>
                <w:szCs w:val="24"/>
                <w:lang w:eastAsia="lv-LV"/>
              </w:rPr>
              <w:t xml:space="preserve"> (EUR)</w:t>
            </w:r>
          </w:p>
        </w:tc>
      </w:tr>
      <w:tr w:rsidR="0061691A" w:rsidRPr="005B4538" w:rsidTr="00956672">
        <w:trPr>
          <w:jc w:val="center"/>
        </w:trPr>
        <w:tc>
          <w:tcPr>
            <w:tcW w:w="988" w:type="dxa"/>
          </w:tcPr>
          <w:p w:rsidR="0061691A" w:rsidRPr="005B4538" w:rsidRDefault="0061691A" w:rsidP="00956672">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2016.</w:t>
            </w:r>
          </w:p>
        </w:tc>
        <w:tc>
          <w:tcPr>
            <w:tcW w:w="2439" w:type="dxa"/>
          </w:tcPr>
          <w:p w:rsidR="0061691A" w:rsidRPr="005B4538" w:rsidRDefault="0061691A" w:rsidP="00956672">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0</w:t>
            </w:r>
          </w:p>
        </w:tc>
      </w:tr>
      <w:tr w:rsidR="0061691A" w:rsidRPr="005B4538" w:rsidTr="00956672">
        <w:trPr>
          <w:jc w:val="center"/>
        </w:trPr>
        <w:tc>
          <w:tcPr>
            <w:tcW w:w="988" w:type="dxa"/>
          </w:tcPr>
          <w:p w:rsidR="0061691A" w:rsidRPr="005B4538" w:rsidRDefault="0061691A" w:rsidP="00956672">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2017.</w:t>
            </w:r>
          </w:p>
        </w:tc>
        <w:tc>
          <w:tcPr>
            <w:tcW w:w="2439" w:type="dxa"/>
          </w:tcPr>
          <w:p w:rsidR="0061691A" w:rsidRPr="005B4538" w:rsidRDefault="009759C6" w:rsidP="00956672">
            <w:pPr>
              <w:spacing w:line="240" w:lineRule="auto"/>
              <w:jc w:val="center"/>
              <w:rPr>
                <w:rFonts w:eastAsia="Times New Roman"/>
                <w:color w:val="000000" w:themeColor="text1"/>
                <w:szCs w:val="24"/>
                <w:lang w:eastAsia="lv-LV"/>
              </w:rPr>
            </w:pPr>
            <w:r>
              <w:rPr>
                <w:color w:val="000000" w:themeColor="text1"/>
                <w:lang w:val="de-DE"/>
              </w:rPr>
              <w:t>3</w:t>
            </w:r>
            <w:r w:rsidR="008C4A83">
              <w:rPr>
                <w:color w:val="000000" w:themeColor="text1"/>
                <w:lang w:val="de-DE"/>
              </w:rPr>
              <w:t> </w:t>
            </w:r>
            <w:r>
              <w:rPr>
                <w:color w:val="000000" w:themeColor="text1"/>
                <w:lang w:val="de-DE"/>
              </w:rPr>
              <w:t>500</w:t>
            </w:r>
            <w:r w:rsidR="008C4A83">
              <w:rPr>
                <w:color w:val="000000" w:themeColor="text1"/>
                <w:lang w:val="de-DE"/>
              </w:rPr>
              <w:t> </w:t>
            </w:r>
            <w:r>
              <w:rPr>
                <w:color w:val="000000" w:themeColor="text1"/>
                <w:lang w:val="de-DE"/>
              </w:rPr>
              <w:t>000</w:t>
            </w:r>
          </w:p>
        </w:tc>
      </w:tr>
      <w:tr w:rsidR="0061691A" w:rsidRPr="005B4538" w:rsidTr="00956672">
        <w:trPr>
          <w:jc w:val="center"/>
        </w:trPr>
        <w:tc>
          <w:tcPr>
            <w:tcW w:w="988" w:type="dxa"/>
          </w:tcPr>
          <w:p w:rsidR="0061691A" w:rsidRPr="005B4538" w:rsidRDefault="0061691A" w:rsidP="00956672">
            <w:pPr>
              <w:spacing w:line="240" w:lineRule="auto"/>
              <w:jc w:val="center"/>
              <w:rPr>
                <w:rFonts w:eastAsia="Times New Roman"/>
                <w:color w:val="000000" w:themeColor="text1"/>
                <w:szCs w:val="24"/>
                <w:lang w:eastAsia="lv-LV"/>
              </w:rPr>
            </w:pPr>
            <w:r>
              <w:rPr>
                <w:rFonts w:eastAsia="Times New Roman"/>
                <w:color w:val="000000" w:themeColor="text1"/>
                <w:szCs w:val="24"/>
                <w:lang w:eastAsia="lv-LV"/>
              </w:rPr>
              <w:t>2018.</w:t>
            </w:r>
          </w:p>
        </w:tc>
        <w:tc>
          <w:tcPr>
            <w:tcW w:w="2439" w:type="dxa"/>
          </w:tcPr>
          <w:p w:rsidR="0061691A" w:rsidRPr="005B4538" w:rsidRDefault="009759C6" w:rsidP="00956672">
            <w:pPr>
              <w:spacing w:line="240" w:lineRule="auto"/>
              <w:jc w:val="center"/>
              <w:rPr>
                <w:rFonts w:eastAsia="Times New Roman"/>
                <w:color w:val="000000" w:themeColor="text1"/>
                <w:szCs w:val="24"/>
                <w:lang w:eastAsia="lv-LV"/>
              </w:rPr>
            </w:pPr>
            <w:r>
              <w:rPr>
                <w:color w:val="000000" w:themeColor="text1"/>
                <w:lang w:val="de-DE"/>
              </w:rPr>
              <w:t>7</w:t>
            </w:r>
            <w:r w:rsidR="008C4A83">
              <w:rPr>
                <w:color w:val="000000" w:themeColor="text1"/>
                <w:lang w:val="de-DE"/>
              </w:rPr>
              <w:t> </w:t>
            </w:r>
            <w:r>
              <w:rPr>
                <w:color w:val="000000" w:themeColor="text1"/>
                <w:lang w:val="de-DE"/>
              </w:rPr>
              <w:t>000</w:t>
            </w:r>
            <w:r w:rsidR="008C4A83">
              <w:rPr>
                <w:color w:val="000000" w:themeColor="text1"/>
                <w:lang w:val="de-DE"/>
              </w:rPr>
              <w:t> </w:t>
            </w:r>
            <w:r>
              <w:rPr>
                <w:color w:val="000000" w:themeColor="text1"/>
                <w:lang w:val="de-DE"/>
              </w:rPr>
              <w:t>000</w:t>
            </w:r>
          </w:p>
        </w:tc>
      </w:tr>
    </w:tbl>
    <w:p w:rsidR="00D67152" w:rsidRDefault="00D67152" w:rsidP="00D67152">
      <w:pPr>
        <w:spacing w:after="0" w:line="240" w:lineRule="auto"/>
        <w:rPr>
          <w:bCs/>
          <w:color w:val="000000" w:themeColor="text1"/>
          <w:sz w:val="28"/>
          <w:szCs w:val="28"/>
        </w:rPr>
      </w:pPr>
    </w:p>
    <w:p w:rsidR="006910C3" w:rsidRPr="00F261DE" w:rsidRDefault="006910C3" w:rsidP="00D67152">
      <w:pPr>
        <w:spacing w:after="0" w:line="240" w:lineRule="auto"/>
        <w:ind w:firstLine="851"/>
        <w:rPr>
          <w:sz w:val="28"/>
          <w:szCs w:val="28"/>
        </w:rPr>
      </w:pPr>
      <w:r w:rsidRPr="00F261DE">
        <w:rPr>
          <w:color w:val="000000" w:themeColor="text1"/>
          <w:sz w:val="28"/>
          <w:szCs w:val="28"/>
        </w:rPr>
        <w:t xml:space="preserve">Valsts pamatbudžetā līdzekļi 2016.gadam netiek plānoti, jo komersanti uz samazināto OIK līdzdalības maksājumu par 2015.gada </w:t>
      </w:r>
      <w:r w:rsidR="00ED2595">
        <w:rPr>
          <w:color w:val="000000" w:themeColor="text1"/>
          <w:sz w:val="28"/>
          <w:szCs w:val="28"/>
        </w:rPr>
        <w:t xml:space="preserve">2. </w:t>
      </w:r>
      <w:r w:rsidRPr="00F261DE">
        <w:rPr>
          <w:color w:val="000000" w:themeColor="text1"/>
          <w:sz w:val="28"/>
          <w:szCs w:val="28"/>
        </w:rPr>
        <w:t xml:space="preserve">pusgadu varēs pieteikties 2016.gadā. MK noteikumi Nr.395 paredz, ka AS „Enerģijas publiskais tirgotājs” visas izmaksas, kas saistītas ar samazināto OIK līdzdalības </w:t>
      </w:r>
      <w:r w:rsidRPr="00F261DE">
        <w:rPr>
          <w:color w:val="000000" w:themeColor="text1"/>
          <w:sz w:val="28"/>
          <w:szCs w:val="28"/>
        </w:rPr>
        <w:lastRenderedPageBreak/>
        <w:t xml:space="preserve">maksājumu, iekļauj OIK aprēķinā un Sabiedrisko pakalpojumu regulēšanas komisija, apstiprinot  OIK apmēru katram nākošajam gadam, ņem vērā iepriekš minētās izmaksas. </w:t>
      </w:r>
      <w:r w:rsidRPr="00F261DE">
        <w:rPr>
          <w:sz w:val="28"/>
          <w:szCs w:val="28"/>
        </w:rPr>
        <w:t xml:space="preserve">Lēmumu par OIK apmēru pieņem reizi gadā. Līdz ar to AS „Enerģijas publiskais tirgotājs” izmaksas par 2015.gada </w:t>
      </w:r>
      <w:r w:rsidR="00ED2595">
        <w:rPr>
          <w:sz w:val="28"/>
          <w:szCs w:val="28"/>
        </w:rPr>
        <w:t xml:space="preserve">2. </w:t>
      </w:r>
      <w:r w:rsidRPr="00F261DE">
        <w:rPr>
          <w:sz w:val="28"/>
          <w:szCs w:val="28"/>
        </w:rPr>
        <w:t>pusgadu iekļaus OIK izmaksu aprēķinā, ko iesniegs Sabiedrisko pakalpojumu regulēšanas komisijai 2017.gada janvārī - februārī un kas stāsies spēkā 2017.gada 1.aprīlī. Ņemot vērā iepriekš minēto, valsts pamatbudžeta līdzekļi atbalsta shēmas darbībai būs nepieciešami 2017.gadā.</w:t>
      </w:r>
    </w:p>
    <w:p w:rsidR="00D67152" w:rsidRPr="00D67152" w:rsidRDefault="00D67152" w:rsidP="00D67152">
      <w:pPr>
        <w:spacing w:after="0" w:line="240" w:lineRule="auto"/>
        <w:ind w:firstLine="851"/>
        <w:rPr>
          <w:bCs/>
          <w:color w:val="000000" w:themeColor="text1"/>
          <w:sz w:val="28"/>
          <w:szCs w:val="28"/>
        </w:rPr>
      </w:pPr>
      <w:r w:rsidRPr="00D67152">
        <w:rPr>
          <w:bCs/>
          <w:color w:val="000000" w:themeColor="text1"/>
          <w:sz w:val="28"/>
          <w:szCs w:val="28"/>
        </w:rPr>
        <w:t xml:space="preserve">MK noteikumi Nr.395 stāsies spēkā tikai pēc </w:t>
      </w:r>
      <w:r w:rsidR="00ED2595">
        <w:rPr>
          <w:bCs/>
          <w:color w:val="000000" w:themeColor="text1"/>
          <w:sz w:val="28"/>
          <w:szCs w:val="28"/>
        </w:rPr>
        <w:t>EK</w:t>
      </w:r>
      <w:r w:rsidRPr="00D67152">
        <w:rPr>
          <w:bCs/>
          <w:color w:val="000000" w:themeColor="text1"/>
          <w:sz w:val="28"/>
          <w:szCs w:val="28"/>
        </w:rPr>
        <w:t xml:space="preserve"> lēmuma saņemšanas par saderību ar Eiropas Savienības iekšējo tirgu. Ekonomikas ministrija š.g. 7.</w:t>
      </w:r>
      <w:r w:rsidR="006457D4" w:rsidRPr="00D67152" w:rsidDel="006457D4">
        <w:rPr>
          <w:bCs/>
          <w:color w:val="000000" w:themeColor="text1"/>
          <w:sz w:val="28"/>
          <w:szCs w:val="28"/>
        </w:rPr>
        <w:t xml:space="preserve"> </w:t>
      </w:r>
      <w:r w:rsidR="006457D4">
        <w:rPr>
          <w:bCs/>
          <w:color w:val="000000" w:themeColor="text1"/>
          <w:sz w:val="28"/>
          <w:szCs w:val="28"/>
        </w:rPr>
        <w:t>augustā</w:t>
      </w:r>
      <w:r w:rsidRPr="00D67152">
        <w:rPr>
          <w:bCs/>
          <w:color w:val="000000" w:themeColor="text1"/>
          <w:sz w:val="28"/>
          <w:szCs w:val="28"/>
        </w:rPr>
        <w:t xml:space="preserve"> iesniedza notifikāciju Eiropas Komisijai tās uzturētajā valsts atbalsta notifikācijas sistēmā.</w:t>
      </w:r>
    </w:p>
    <w:p w:rsidR="00521A4B" w:rsidRDefault="00D564DD" w:rsidP="00D564DD">
      <w:pPr>
        <w:pStyle w:val="Heading2"/>
      </w:pPr>
      <w:bookmarkStart w:id="11" w:name="_Toc428188929"/>
      <w:r>
        <w:t xml:space="preserve">2.3. </w:t>
      </w:r>
      <w:r w:rsidR="00830E57">
        <w:t>Subsidētās elektroenerģijas nodoklis</w:t>
      </w:r>
      <w:bookmarkEnd w:id="11"/>
    </w:p>
    <w:p w:rsidR="00D87AE5" w:rsidRPr="00D87AE5" w:rsidRDefault="00747166" w:rsidP="00EA69F1">
      <w:pPr>
        <w:spacing w:after="0" w:line="240" w:lineRule="auto"/>
        <w:ind w:firstLine="851"/>
        <w:rPr>
          <w:sz w:val="28"/>
          <w:szCs w:val="28"/>
        </w:rPr>
      </w:pPr>
      <w:r w:rsidRPr="000E37C7">
        <w:rPr>
          <w:sz w:val="28"/>
          <w:szCs w:val="28"/>
        </w:rPr>
        <w:t xml:space="preserve">Saeima 2013. gada 6. novembrī pieņēma </w:t>
      </w:r>
      <w:r w:rsidR="00466FB6" w:rsidRPr="000E37C7">
        <w:rPr>
          <w:sz w:val="28"/>
          <w:szCs w:val="28"/>
        </w:rPr>
        <w:t>Subsidētās elektroenerģijas nodokļa</w:t>
      </w:r>
      <w:r w:rsidRPr="000E37C7">
        <w:rPr>
          <w:sz w:val="28"/>
          <w:szCs w:val="28"/>
        </w:rPr>
        <w:t xml:space="preserve"> likumu, kas stājās spēkā 2014. gada 1. janvārī. </w:t>
      </w:r>
      <w:r w:rsidR="000B18D4">
        <w:rPr>
          <w:sz w:val="28"/>
          <w:szCs w:val="28"/>
        </w:rPr>
        <w:t xml:space="preserve">Līdz ar to </w:t>
      </w:r>
      <w:r>
        <w:rPr>
          <w:sz w:val="28"/>
          <w:szCs w:val="28"/>
        </w:rPr>
        <w:t xml:space="preserve">tika ieviests </w:t>
      </w:r>
      <w:r w:rsidR="00ED2595">
        <w:rPr>
          <w:sz w:val="28"/>
          <w:szCs w:val="28"/>
        </w:rPr>
        <w:t>SEN</w:t>
      </w:r>
      <w:r>
        <w:rPr>
          <w:sz w:val="28"/>
          <w:szCs w:val="28"/>
        </w:rPr>
        <w:t xml:space="preserve">, lai ierobežotu straujās izmaksas, kas būtu jākompensē elektroenerģijas lietotājiem. SEN </w:t>
      </w:r>
      <w:r w:rsidR="00D87AE5" w:rsidRPr="00D87AE5">
        <w:rPr>
          <w:sz w:val="28"/>
          <w:szCs w:val="28"/>
        </w:rPr>
        <w:t xml:space="preserve">tika piemērots ieņēmumiem par pārdoto elektroenerģiju OI ietvaros, kā arī ieņēmumiem no garantētās maksas par stacijā uzstādīto elektrisko jaudu. </w:t>
      </w:r>
    </w:p>
    <w:p w:rsidR="00D87AE5" w:rsidRPr="00D87AE5" w:rsidRDefault="00D87AE5" w:rsidP="00EA69F1">
      <w:pPr>
        <w:spacing w:after="0" w:line="240" w:lineRule="auto"/>
        <w:ind w:firstLine="851"/>
        <w:rPr>
          <w:sz w:val="28"/>
          <w:szCs w:val="28"/>
        </w:rPr>
      </w:pPr>
      <w:r w:rsidRPr="00D87AE5">
        <w:rPr>
          <w:sz w:val="28"/>
          <w:szCs w:val="28"/>
        </w:rPr>
        <w:t>Šim nodoklim ir noteiktas trīs dažādas likmes:</w:t>
      </w:r>
    </w:p>
    <w:p w:rsidR="00D87AE5" w:rsidRPr="00D87AE5" w:rsidRDefault="00D87AE5" w:rsidP="00EA69F1">
      <w:pPr>
        <w:spacing w:after="0" w:line="240" w:lineRule="auto"/>
        <w:ind w:firstLine="851"/>
        <w:rPr>
          <w:sz w:val="28"/>
          <w:szCs w:val="28"/>
        </w:rPr>
      </w:pPr>
      <w:r w:rsidRPr="00D87AE5">
        <w:rPr>
          <w:sz w:val="28"/>
          <w:szCs w:val="28"/>
        </w:rPr>
        <w:t>•</w:t>
      </w:r>
      <w:r w:rsidRPr="00D87AE5">
        <w:rPr>
          <w:sz w:val="28"/>
          <w:szCs w:val="28"/>
        </w:rPr>
        <w:tab/>
        <w:t>15% dabasgāzes koģenerācijas stacijām;</w:t>
      </w:r>
    </w:p>
    <w:p w:rsidR="00D87AE5" w:rsidRPr="00D87AE5" w:rsidRDefault="00D87AE5" w:rsidP="00EA69F1">
      <w:pPr>
        <w:spacing w:after="0" w:line="240" w:lineRule="auto"/>
        <w:ind w:firstLine="851"/>
        <w:rPr>
          <w:sz w:val="28"/>
          <w:szCs w:val="28"/>
        </w:rPr>
      </w:pPr>
      <w:r w:rsidRPr="00D87AE5">
        <w:rPr>
          <w:sz w:val="28"/>
          <w:szCs w:val="28"/>
        </w:rPr>
        <w:t>•</w:t>
      </w:r>
      <w:r w:rsidRPr="00D87AE5">
        <w:rPr>
          <w:sz w:val="28"/>
          <w:szCs w:val="28"/>
        </w:rPr>
        <w:tab/>
        <w:t>10% AER izmantojošām stacijām;</w:t>
      </w:r>
    </w:p>
    <w:p w:rsidR="00D87AE5" w:rsidRPr="00D87AE5" w:rsidRDefault="00D87AE5" w:rsidP="00EA69F1">
      <w:pPr>
        <w:spacing w:after="0" w:line="240" w:lineRule="auto"/>
        <w:ind w:firstLine="851"/>
        <w:rPr>
          <w:sz w:val="28"/>
          <w:szCs w:val="28"/>
        </w:rPr>
      </w:pPr>
      <w:r w:rsidRPr="00D87AE5">
        <w:rPr>
          <w:sz w:val="28"/>
          <w:szCs w:val="28"/>
        </w:rPr>
        <w:t>•</w:t>
      </w:r>
      <w:r w:rsidRPr="00D87AE5">
        <w:rPr>
          <w:sz w:val="28"/>
          <w:szCs w:val="28"/>
        </w:rPr>
        <w:tab/>
        <w:t>5% stacijām, kas atbilst noteiktiem nosacījumiem.</w:t>
      </w:r>
    </w:p>
    <w:p w:rsidR="00D87AE5" w:rsidRDefault="00D87AE5" w:rsidP="00EA69F1">
      <w:pPr>
        <w:spacing w:after="0" w:line="240" w:lineRule="auto"/>
        <w:ind w:firstLine="851"/>
        <w:rPr>
          <w:sz w:val="28"/>
          <w:szCs w:val="28"/>
        </w:rPr>
      </w:pPr>
      <w:r w:rsidRPr="00D87AE5">
        <w:rPr>
          <w:sz w:val="28"/>
          <w:szCs w:val="28"/>
        </w:rPr>
        <w:t>SEN piemērošanas laika periods ir no 2014.gada 1.janvāra līdz 2017.gada 31.decembrim.</w:t>
      </w:r>
    </w:p>
    <w:p w:rsidR="000E37C7" w:rsidRPr="000E37C7" w:rsidRDefault="000E37C7" w:rsidP="000E37C7">
      <w:pPr>
        <w:spacing w:after="0" w:line="240" w:lineRule="auto"/>
        <w:ind w:firstLine="851"/>
        <w:rPr>
          <w:sz w:val="28"/>
          <w:szCs w:val="28"/>
        </w:rPr>
      </w:pPr>
      <w:r w:rsidRPr="000E37C7">
        <w:rPr>
          <w:sz w:val="28"/>
          <w:szCs w:val="28"/>
        </w:rPr>
        <w:t>Satversmes tiesa</w:t>
      </w:r>
      <w:r>
        <w:rPr>
          <w:sz w:val="28"/>
          <w:szCs w:val="28"/>
        </w:rPr>
        <w:t xml:space="preserve"> </w:t>
      </w:r>
      <w:r w:rsidRPr="000E37C7">
        <w:rPr>
          <w:sz w:val="28"/>
          <w:szCs w:val="28"/>
        </w:rPr>
        <w:t>2015. gada 3. jūlijā ir pasludinājusi spriedumu lietā Nr. 2014-12-01 „Par Subsidētās elektroenerģijas nodokļa likuma 3. panta 1. un 2. punkta, 4. panta 1. punkta un 5. panta atbilstību Latvijas Republikas Satversmes 1. un 105. pantam”. Subsidētās elektr</w:t>
      </w:r>
      <w:r>
        <w:rPr>
          <w:sz w:val="28"/>
          <w:szCs w:val="28"/>
        </w:rPr>
        <w:t>oenerģijas nodoklis nav atzīst</w:t>
      </w:r>
      <w:r w:rsidRPr="000E37C7">
        <w:rPr>
          <w:sz w:val="28"/>
          <w:szCs w:val="28"/>
        </w:rPr>
        <w:t>s par nesamērīgu slogu tā maksātājiem.</w:t>
      </w:r>
    </w:p>
    <w:p w:rsidR="000E37C7" w:rsidRPr="000E37C7" w:rsidRDefault="000B18D4" w:rsidP="000E37C7">
      <w:pPr>
        <w:spacing w:after="0" w:line="240" w:lineRule="auto"/>
        <w:ind w:firstLine="851"/>
        <w:rPr>
          <w:sz w:val="28"/>
          <w:szCs w:val="28"/>
        </w:rPr>
      </w:pPr>
      <w:r>
        <w:rPr>
          <w:sz w:val="28"/>
          <w:szCs w:val="28"/>
        </w:rPr>
        <w:t xml:space="preserve">Lietas būtība ir tāda, ka </w:t>
      </w:r>
      <w:r w:rsidRPr="000B18D4">
        <w:rPr>
          <w:sz w:val="28"/>
          <w:szCs w:val="28"/>
        </w:rPr>
        <w:t xml:space="preserve">90 pieteikumu iesniedzēji </w:t>
      </w:r>
      <w:r>
        <w:rPr>
          <w:sz w:val="28"/>
          <w:szCs w:val="28"/>
        </w:rPr>
        <w:t xml:space="preserve">uzskatīja SEN par </w:t>
      </w:r>
      <w:r w:rsidRPr="000B18D4">
        <w:rPr>
          <w:sz w:val="28"/>
          <w:szCs w:val="28"/>
        </w:rPr>
        <w:t>pārmērīg</w:t>
      </w:r>
      <w:r>
        <w:rPr>
          <w:sz w:val="28"/>
          <w:szCs w:val="28"/>
        </w:rPr>
        <w:t xml:space="preserve">u </w:t>
      </w:r>
      <w:r w:rsidRPr="000B18D4">
        <w:rPr>
          <w:sz w:val="28"/>
          <w:szCs w:val="28"/>
        </w:rPr>
        <w:t>slog</w:t>
      </w:r>
      <w:r>
        <w:rPr>
          <w:sz w:val="28"/>
          <w:szCs w:val="28"/>
        </w:rPr>
        <w:t>u</w:t>
      </w:r>
      <w:r w:rsidRPr="000B18D4">
        <w:rPr>
          <w:sz w:val="28"/>
          <w:szCs w:val="28"/>
        </w:rPr>
        <w:t xml:space="preserve"> tā maksātājiem, </w:t>
      </w:r>
      <w:r>
        <w:rPr>
          <w:sz w:val="28"/>
          <w:szCs w:val="28"/>
        </w:rPr>
        <w:t xml:space="preserve">kā arī to, ka </w:t>
      </w:r>
      <w:r w:rsidRPr="000B18D4">
        <w:rPr>
          <w:sz w:val="28"/>
          <w:szCs w:val="28"/>
        </w:rPr>
        <w:t>tas ieviests, pārkāpjot tiesiskās paļāvības principu.</w:t>
      </w:r>
    </w:p>
    <w:p w:rsidR="000E37C7" w:rsidRPr="000E37C7" w:rsidRDefault="000E37C7" w:rsidP="0004532A">
      <w:pPr>
        <w:spacing w:after="0" w:line="240" w:lineRule="auto"/>
        <w:ind w:firstLine="851"/>
        <w:rPr>
          <w:sz w:val="28"/>
          <w:szCs w:val="28"/>
        </w:rPr>
      </w:pPr>
      <w:r w:rsidRPr="000E37C7">
        <w:rPr>
          <w:sz w:val="28"/>
          <w:szCs w:val="28"/>
        </w:rPr>
        <w:t xml:space="preserve">Satversmes tiesā par apstrīdēto normu </w:t>
      </w:r>
      <w:r w:rsidR="0004532A">
        <w:rPr>
          <w:sz w:val="28"/>
          <w:szCs w:val="28"/>
        </w:rPr>
        <w:t>atbilstību Satversmei</w:t>
      </w:r>
      <w:r w:rsidR="0004532A" w:rsidRPr="000E37C7">
        <w:rPr>
          <w:sz w:val="28"/>
          <w:szCs w:val="28"/>
        </w:rPr>
        <w:t xml:space="preserve"> </w:t>
      </w:r>
      <w:r w:rsidRPr="000E37C7">
        <w:rPr>
          <w:sz w:val="28"/>
          <w:szCs w:val="28"/>
        </w:rPr>
        <w:t xml:space="preserve">vērsās vairāki desmiti subsidētās elektroenerģijas ražotāji. </w:t>
      </w:r>
      <w:r w:rsidR="0004532A">
        <w:rPr>
          <w:sz w:val="28"/>
          <w:szCs w:val="28"/>
        </w:rPr>
        <w:t xml:space="preserve"> </w:t>
      </w:r>
      <w:r w:rsidRPr="000E37C7">
        <w:rPr>
          <w:sz w:val="28"/>
          <w:szCs w:val="28"/>
        </w:rPr>
        <w:t xml:space="preserve">Satversmes tiesa norādīja, ka regulējums, kas paredz kāda nodokļa maksāšanu, ir jāvērtē kā ierobežojums, kas noteikts tādēļ, lai nodrošinātu valsts budžeta un pašvaldību budžetu veidošanu. Satversmes tiesa atzina, ka apstrīdēto normu leģitīmais mērķis ir sabiedrības labklājības aizsardzība.  </w:t>
      </w:r>
    </w:p>
    <w:p w:rsidR="000E37C7" w:rsidRPr="000E37C7" w:rsidRDefault="000E37C7" w:rsidP="000E37C7">
      <w:pPr>
        <w:spacing w:after="0" w:line="240" w:lineRule="auto"/>
        <w:ind w:firstLine="851"/>
        <w:rPr>
          <w:sz w:val="28"/>
          <w:szCs w:val="28"/>
        </w:rPr>
      </w:pPr>
      <w:r w:rsidRPr="000E37C7">
        <w:rPr>
          <w:sz w:val="28"/>
          <w:szCs w:val="28"/>
        </w:rPr>
        <w:t xml:space="preserve">Attiecībā uz apstrīdēto normu atbilstību tiesiskās paļāvības principam Satversmes tiesas atzina, ka tas prasa līdzsvarot personu tiesisko paļāvību uz reiz </w:t>
      </w:r>
      <w:r w:rsidRPr="000E37C7">
        <w:rPr>
          <w:sz w:val="28"/>
          <w:szCs w:val="28"/>
        </w:rPr>
        <w:lastRenderedPageBreak/>
        <w:t xml:space="preserve">jau iegūtām tiesībām ar sabiedrības interesēm, proti, arī šajā jautājumā izšķiroša nozīme ir tam, vai ievērots samērīguma princips. </w:t>
      </w:r>
    </w:p>
    <w:p w:rsidR="00521A4B" w:rsidRDefault="000E37C7" w:rsidP="000E37C7">
      <w:pPr>
        <w:spacing w:after="0" w:line="240" w:lineRule="auto"/>
        <w:ind w:firstLine="851"/>
        <w:rPr>
          <w:sz w:val="28"/>
          <w:szCs w:val="28"/>
        </w:rPr>
      </w:pPr>
      <w:r w:rsidRPr="000E37C7">
        <w:rPr>
          <w:sz w:val="28"/>
          <w:szCs w:val="28"/>
        </w:rPr>
        <w:t>Līdz ar to, SEN piemērošana tiks turpināta, lai nodrošinātu sabiedrības labklājības aizsardzību, turpinot elektroenerģijas lietotāju atbalsts programmu.</w:t>
      </w:r>
    </w:p>
    <w:p w:rsidR="00120494" w:rsidRPr="00964E69" w:rsidRDefault="00F67624" w:rsidP="00120494">
      <w:pPr>
        <w:pStyle w:val="BodyTextIndent2"/>
        <w:spacing w:line="240" w:lineRule="auto"/>
        <w:ind w:left="0" w:firstLine="851"/>
        <w:rPr>
          <w:color w:val="000000"/>
          <w:sz w:val="28"/>
          <w:szCs w:val="28"/>
        </w:rPr>
      </w:pPr>
      <w:r w:rsidRPr="00964E69">
        <w:rPr>
          <w:sz w:val="28"/>
          <w:szCs w:val="28"/>
        </w:rPr>
        <w:t xml:space="preserve">Pēc Valsts ieņēmumu dienesta publiski pieejamās informācijas </w:t>
      </w:r>
      <w:r w:rsidR="00120494" w:rsidRPr="00964E69">
        <w:rPr>
          <w:sz w:val="28"/>
          <w:szCs w:val="28"/>
        </w:rPr>
        <w:t xml:space="preserve">2015. gada 7 mēnešos </w:t>
      </w:r>
      <w:r w:rsidR="00120494" w:rsidRPr="00964E69">
        <w:rPr>
          <w:color w:val="000000"/>
          <w:sz w:val="28"/>
          <w:szCs w:val="28"/>
        </w:rPr>
        <w:t>SEN faktiski iekasēts 19,035 milj. EUR apmērā</w:t>
      </w:r>
      <w:r w:rsidR="00252577">
        <w:rPr>
          <w:color w:val="000000"/>
          <w:sz w:val="28"/>
          <w:szCs w:val="28"/>
        </w:rPr>
        <w:t xml:space="preserve"> (</w:t>
      </w:r>
      <w:r w:rsidR="00285983">
        <w:rPr>
          <w:color w:val="000000"/>
          <w:sz w:val="28"/>
          <w:szCs w:val="28"/>
        </w:rPr>
        <w:t>skat. 3. att</w:t>
      </w:r>
      <w:r w:rsidR="00ED2595">
        <w:rPr>
          <w:color w:val="000000"/>
          <w:sz w:val="28"/>
          <w:szCs w:val="28"/>
        </w:rPr>
        <w:t>ēlu</w:t>
      </w:r>
      <w:r w:rsidR="00285983">
        <w:rPr>
          <w:color w:val="000000"/>
          <w:sz w:val="28"/>
          <w:szCs w:val="28"/>
        </w:rPr>
        <w:t>)</w:t>
      </w:r>
      <w:r w:rsidR="00120494" w:rsidRPr="00964E69">
        <w:rPr>
          <w:color w:val="000000"/>
          <w:sz w:val="28"/>
          <w:szCs w:val="28"/>
        </w:rPr>
        <w:t xml:space="preserve"> jeb veikti 89,4% no plānotās 7 mēnešu perioda izpildes (53,7% no SEN 2015.gada plānotajiem ieņēmumiem). </w:t>
      </w:r>
    </w:p>
    <w:p w:rsidR="00F413D7" w:rsidRDefault="00120494" w:rsidP="00F413D7">
      <w:pPr>
        <w:spacing w:after="0" w:line="240" w:lineRule="auto"/>
        <w:ind w:firstLine="851"/>
        <w:rPr>
          <w:sz w:val="28"/>
          <w:szCs w:val="28"/>
        </w:rPr>
      </w:pPr>
      <w:r w:rsidRPr="00120494">
        <w:rPr>
          <w:sz w:val="28"/>
          <w:szCs w:val="28"/>
        </w:rPr>
        <w:t>SEN ieņēmumu apjomu katrā mēnesī ietekmē</w:t>
      </w:r>
      <w:r>
        <w:rPr>
          <w:sz w:val="28"/>
          <w:szCs w:val="28"/>
        </w:rPr>
        <w:t xml:space="preserve"> dabasgāzes </w:t>
      </w:r>
      <w:r w:rsidR="00F413D7">
        <w:rPr>
          <w:sz w:val="28"/>
          <w:szCs w:val="28"/>
        </w:rPr>
        <w:t>cena un</w:t>
      </w:r>
      <w:r w:rsidRPr="00120494">
        <w:rPr>
          <w:sz w:val="28"/>
          <w:szCs w:val="28"/>
        </w:rPr>
        <w:t xml:space="preserve"> obligātā iepirkuma ietvaros pārdotās elektroenerģijas apjoms, ko ietekmē Latvijas klimatiskie apstākļi. </w:t>
      </w:r>
      <w:r w:rsidR="00285983">
        <w:rPr>
          <w:sz w:val="28"/>
          <w:szCs w:val="28"/>
        </w:rPr>
        <w:t xml:space="preserve">Iekasētā SEN ieņēmumu apjoms ir mazāks par prognozēto dabasgāzes cenas krituma dēļ. </w:t>
      </w:r>
    </w:p>
    <w:p w:rsidR="00E72C11" w:rsidRPr="0052754F" w:rsidRDefault="00E72C11" w:rsidP="00F413D7">
      <w:pPr>
        <w:spacing w:after="0" w:line="240" w:lineRule="auto"/>
        <w:ind w:firstLine="851"/>
        <w:rPr>
          <w:sz w:val="16"/>
          <w:szCs w:val="28"/>
        </w:rPr>
      </w:pPr>
    </w:p>
    <w:p w:rsidR="00285983" w:rsidRDefault="00285983" w:rsidP="00285983">
      <w:pPr>
        <w:spacing w:after="0" w:line="240" w:lineRule="auto"/>
        <w:ind w:firstLine="851"/>
        <w:rPr>
          <w:sz w:val="28"/>
          <w:szCs w:val="28"/>
        </w:rPr>
      </w:pPr>
      <w:r>
        <w:rPr>
          <w:noProof/>
          <w:lang w:eastAsia="lv-LV"/>
        </w:rPr>
        <w:drawing>
          <wp:inline distT="0" distB="0" distL="0" distR="0" wp14:anchorId="1662158D" wp14:editId="4BE17818">
            <wp:extent cx="4867275" cy="30575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5983" w:rsidRPr="00D67152" w:rsidRDefault="00285983" w:rsidP="00285983">
      <w:pPr>
        <w:pStyle w:val="BodyText2"/>
        <w:rPr>
          <w:b/>
          <w:szCs w:val="24"/>
        </w:rPr>
      </w:pPr>
      <w:r>
        <w:rPr>
          <w:b/>
          <w:szCs w:val="24"/>
        </w:rPr>
        <w:t>3</w:t>
      </w:r>
      <w:r w:rsidRPr="00D67152">
        <w:rPr>
          <w:b/>
          <w:szCs w:val="24"/>
        </w:rPr>
        <w:t xml:space="preserve">.attēls. </w:t>
      </w:r>
      <w:r w:rsidRPr="00120494">
        <w:rPr>
          <w:b/>
          <w:szCs w:val="24"/>
        </w:rPr>
        <w:t>Prognozētie SEN ieņēmumi attiecībā pret faktiskajiem SEN ieņēmumiem 201</w:t>
      </w:r>
      <w:r>
        <w:rPr>
          <w:b/>
          <w:szCs w:val="24"/>
        </w:rPr>
        <w:t>5</w:t>
      </w:r>
      <w:r w:rsidRPr="00120494">
        <w:rPr>
          <w:b/>
          <w:szCs w:val="24"/>
        </w:rPr>
        <w:t>.gad</w:t>
      </w:r>
      <w:r>
        <w:rPr>
          <w:b/>
          <w:szCs w:val="24"/>
        </w:rPr>
        <w:t>a</w:t>
      </w:r>
      <w:r w:rsidRPr="00120494">
        <w:rPr>
          <w:b/>
          <w:szCs w:val="24"/>
        </w:rPr>
        <w:t xml:space="preserve"> </w:t>
      </w:r>
      <w:r>
        <w:rPr>
          <w:b/>
          <w:szCs w:val="24"/>
        </w:rPr>
        <w:t>7 mēnešos</w:t>
      </w:r>
      <w:r w:rsidRPr="00120494">
        <w:rPr>
          <w:b/>
          <w:szCs w:val="24"/>
        </w:rPr>
        <w:t xml:space="preserve">, milj. EUR. </w:t>
      </w:r>
      <w:r w:rsidRPr="00120494">
        <w:rPr>
          <w:szCs w:val="24"/>
        </w:rPr>
        <w:t>(</w:t>
      </w:r>
      <w:r w:rsidRPr="00D67152">
        <w:rPr>
          <w:szCs w:val="24"/>
        </w:rPr>
        <w:t xml:space="preserve">Avots: </w:t>
      </w:r>
      <w:r>
        <w:rPr>
          <w:szCs w:val="24"/>
        </w:rPr>
        <w:t>Ekonomikas ministrija)</w:t>
      </w:r>
    </w:p>
    <w:p w:rsidR="00285983" w:rsidRDefault="00285983" w:rsidP="00285983">
      <w:pPr>
        <w:spacing w:after="0" w:line="240" w:lineRule="auto"/>
        <w:rPr>
          <w:sz w:val="28"/>
          <w:szCs w:val="28"/>
        </w:rPr>
      </w:pPr>
    </w:p>
    <w:p w:rsidR="000E37C7" w:rsidRDefault="00120494" w:rsidP="00120494">
      <w:pPr>
        <w:spacing w:after="0" w:line="240" w:lineRule="auto"/>
        <w:ind w:firstLine="851"/>
        <w:rPr>
          <w:sz w:val="28"/>
          <w:szCs w:val="28"/>
        </w:rPr>
      </w:pPr>
      <w:r w:rsidRPr="00120494">
        <w:rPr>
          <w:sz w:val="28"/>
          <w:szCs w:val="28"/>
        </w:rPr>
        <w:t>Veicot obligātā iepirkuma izmaksu analīzi, tika koriģēta arī SEN ieņēmumu prognoze turpmākiem gadiem. Prognozēs pieņemts, ka savu darbību turpina gan jau ekspluatācijā nodotās elektrostacijas, kā arī pieņemts, ka elektroenerģijas ražošanu obligātā iepirkuma ietvaros vai saņemot garant</w:t>
      </w:r>
      <w:r w:rsidR="000B4228">
        <w:rPr>
          <w:sz w:val="28"/>
          <w:szCs w:val="28"/>
        </w:rPr>
        <w:t xml:space="preserve">ētu maksu, savu darbību uzsāks </w:t>
      </w:r>
      <w:r w:rsidRPr="00120494">
        <w:rPr>
          <w:sz w:val="28"/>
          <w:szCs w:val="28"/>
        </w:rPr>
        <w:t xml:space="preserve">tās elektrostacijas, </w:t>
      </w:r>
      <w:r w:rsidR="000B4228">
        <w:rPr>
          <w:sz w:val="28"/>
          <w:szCs w:val="28"/>
        </w:rPr>
        <w:t>kurām ir spēkā lēmums par tiesību piešķiršanu elektroenerģijas pārdošanai obligātā iepirkuma ietvaros</w:t>
      </w:r>
      <w:r w:rsidRPr="00120494">
        <w:rPr>
          <w:sz w:val="28"/>
          <w:szCs w:val="28"/>
        </w:rPr>
        <w:t>. Ņemot vērā minētos pieņēmumus, izveidot</w:t>
      </w:r>
      <w:r w:rsidR="00410AC7">
        <w:rPr>
          <w:sz w:val="28"/>
          <w:szCs w:val="28"/>
        </w:rPr>
        <w:t>a</w:t>
      </w:r>
      <w:r w:rsidRPr="00120494">
        <w:rPr>
          <w:sz w:val="28"/>
          <w:szCs w:val="28"/>
        </w:rPr>
        <w:t xml:space="preserve"> SEN ieņēmumu</w:t>
      </w:r>
      <w:r w:rsidR="0068007C">
        <w:rPr>
          <w:sz w:val="28"/>
          <w:szCs w:val="28"/>
        </w:rPr>
        <w:t xml:space="preserve"> prognoze ar </w:t>
      </w:r>
      <w:r w:rsidRPr="00120494">
        <w:rPr>
          <w:sz w:val="28"/>
          <w:szCs w:val="28"/>
        </w:rPr>
        <w:t>sadalījumu pa mēnešiem 201</w:t>
      </w:r>
      <w:r w:rsidR="0068007C">
        <w:rPr>
          <w:sz w:val="28"/>
          <w:szCs w:val="28"/>
        </w:rPr>
        <w:t>6</w:t>
      </w:r>
      <w:r w:rsidRPr="00120494">
        <w:rPr>
          <w:sz w:val="28"/>
          <w:szCs w:val="28"/>
        </w:rPr>
        <w:t>. - 201</w:t>
      </w:r>
      <w:r w:rsidR="000B4228">
        <w:rPr>
          <w:sz w:val="28"/>
          <w:szCs w:val="28"/>
        </w:rPr>
        <w:t>8</w:t>
      </w:r>
      <w:r w:rsidRPr="00120494">
        <w:rPr>
          <w:sz w:val="28"/>
          <w:szCs w:val="28"/>
        </w:rPr>
        <w:t xml:space="preserve">.gadam, kas dots </w:t>
      </w:r>
      <w:r w:rsidR="009B1898">
        <w:rPr>
          <w:sz w:val="28"/>
          <w:szCs w:val="28"/>
        </w:rPr>
        <w:t>5</w:t>
      </w:r>
      <w:r w:rsidRPr="00120494">
        <w:rPr>
          <w:sz w:val="28"/>
          <w:szCs w:val="28"/>
        </w:rPr>
        <w:t>.tabulā.</w:t>
      </w:r>
    </w:p>
    <w:p w:rsidR="0052754F" w:rsidRDefault="0052754F" w:rsidP="009B1898">
      <w:pPr>
        <w:pStyle w:val="Caption"/>
        <w:keepNext/>
        <w:jc w:val="right"/>
        <w:rPr>
          <w:rFonts w:ascii="Times New Roman" w:hAnsi="Times New Roman"/>
          <w:sz w:val="24"/>
          <w:szCs w:val="24"/>
        </w:rPr>
      </w:pPr>
    </w:p>
    <w:p w:rsidR="009B1898" w:rsidRPr="00D116AC" w:rsidRDefault="009B1898" w:rsidP="009B1898">
      <w:pPr>
        <w:pStyle w:val="Caption"/>
        <w:keepNext/>
        <w:jc w:val="right"/>
        <w:rPr>
          <w:rFonts w:ascii="Times New Roman" w:hAnsi="Times New Roman"/>
          <w:sz w:val="24"/>
          <w:szCs w:val="24"/>
        </w:rPr>
      </w:pPr>
      <w:r>
        <w:rPr>
          <w:rFonts w:ascii="Times New Roman" w:hAnsi="Times New Roman"/>
          <w:sz w:val="24"/>
          <w:szCs w:val="24"/>
        </w:rPr>
        <w:t>5</w:t>
      </w:r>
      <w:r w:rsidRPr="00D116AC">
        <w:rPr>
          <w:rFonts w:ascii="Times New Roman" w:hAnsi="Times New Roman"/>
          <w:sz w:val="24"/>
          <w:szCs w:val="24"/>
        </w:rPr>
        <w:t>.tabula</w:t>
      </w:r>
    </w:p>
    <w:p w:rsidR="0068007C" w:rsidRPr="009E280D" w:rsidRDefault="0068007C" w:rsidP="0068007C">
      <w:pPr>
        <w:pStyle w:val="Caption"/>
        <w:keepNext/>
        <w:jc w:val="center"/>
        <w:rPr>
          <w:rFonts w:ascii="Times New Roman" w:hAnsi="Times New Roman"/>
          <w:sz w:val="24"/>
          <w:szCs w:val="24"/>
        </w:rPr>
      </w:pPr>
      <w:r w:rsidRPr="0068007C">
        <w:rPr>
          <w:rFonts w:ascii="Times New Roman" w:hAnsi="Times New Roman"/>
          <w:sz w:val="24"/>
          <w:szCs w:val="24"/>
        </w:rPr>
        <w:t>SEN ieņēmum</w:t>
      </w:r>
      <w:r>
        <w:rPr>
          <w:rFonts w:ascii="Times New Roman" w:hAnsi="Times New Roman"/>
          <w:sz w:val="24"/>
          <w:szCs w:val="24"/>
        </w:rPr>
        <w:t>u prognoze, milj. EUR</w:t>
      </w:r>
    </w:p>
    <w:tbl>
      <w:tblPr>
        <w:tblStyle w:val="TableGrid"/>
        <w:tblW w:w="0" w:type="auto"/>
        <w:jc w:val="center"/>
        <w:tblLook w:val="04A0" w:firstRow="1" w:lastRow="0" w:firstColumn="1" w:lastColumn="0" w:noHBand="0" w:noVBand="1"/>
      </w:tblPr>
      <w:tblGrid>
        <w:gridCol w:w="3154"/>
        <w:gridCol w:w="1537"/>
        <w:gridCol w:w="1537"/>
        <w:gridCol w:w="1164"/>
      </w:tblGrid>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Cs/>
                <w:color w:val="000000"/>
                <w:szCs w:val="24"/>
              </w:rPr>
            </w:pPr>
          </w:p>
        </w:tc>
        <w:tc>
          <w:tcPr>
            <w:tcW w:w="1537" w:type="dxa"/>
          </w:tcPr>
          <w:p w:rsidR="000B4228" w:rsidRPr="003A2A3B" w:rsidRDefault="0068007C" w:rsidP="0068007C">
            <w:pPr>
              <w:tabs>
                <w:tab w:val="left" w:pos="709"/>
              </w:tabs>
              <w:spacing w:line="240" w:lineRule="auto"/>
              <w:jc w:val="center"/>
              <w:rPr>
                <w:bCs/>
                <w:color w:val="000000"/>
                <w:szCs w:val="24"/>
              </w:rPr>
            </w:pPr>
            <w:r>
              <w:rPr>
                <w:b/>
                <w:bCs/>
                <w:color w:val="000000"/>
                <w:szCs w:val="24"/>
              </w:rPr>
              <w:t>2016</w:t>
            </w:r>
          </w:p>
        </w:tc>
        <w:tc>
          <w:tcPr>
            <w:tcW w:w="1537" w:type="dxa"/>
            <w:tcBorders>
              <w:bottom w:val="single" w:sz="4" w:space="0" w:color="auto"/>
            </w:tcBorders>
          </w:tcPr>
          <w:p w:rsidR="000B4228" w:rsidRPr="003A2A3B" w:rsidRDefault="0068007C" w:rsidP="0068007C">
            <w:pPr>
              <w:tabs>
                <w:tab w:val="left" w:pos="709"/>
              </w:tabs>
              <w:spacing w:line="240" w:lineRule="auto"/>
              <w:jc w:val="center"/>
              <w:rPr>
                <w:bCs/>
                <w:color w:val="000000"/>
                <w:szCs w:val="24"/>
              </w:rPr>
            </w:pPr>
            <w:r>
              <w:rPr>
                <w:b/>
                <w:bCs/>
                <w:color w:val="000000"/>
                <w:szCs w:val="24"/>
              </w:rPr>
              <w:t>2017</w:t>
            </w:r>
          </w:p>
        </w:tc>
        <w:tc>
          <w:tcPr>
            <w:tcW w:w="1164" w:type="dxa"/>
            <w:tcBorders>
              <w:bottom w:val="single" w:sz="4" w:space="0" w:color="auto"/>
            </w:tcBorders>
          </w:tcPr>
          <w:p w:rsidR="000B4228" w:rsidRPr="003A2A3B" w:rsidRDefault="0068007C" w:rsidP="0068007C">
            <w:pPr>
              <w:tabs>
                <w:tab w:val="left" w:pos="709"/>
              </w:tabs>
              <w:spacing w:line="240" w:lineRule="auto"/>
              <w:jc w:val="center"/>
              <w:rPr>
                <w:b/>
                <w:bCs/>
                <w:color w:val="000000"/>
                <w:szCs w:val="24"/>
              </w:rPr>
            </w:pPr>
            <w:r>
              <w:rPr>
                <w:b/>
                <w:bCs/>
                <w:color w:val="000000"/>
                <w:szCs w:val="24"/>
              </w:rPr>
              <w:t>2018</w:t>
            </w:r>
          </w:p>
        </w:tc>
      </w:tr>
      <w:tr w:rsidR="000B4228" w:rsidRPr="003A2A3B" w:rsidTr="0068007C">
        <w:trPr>
          <w:trHeight w:val="58"/>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Janvāris</w:t>
            </w:r>
          </w:p>
        </w:tc>
        <w:tc>
          <w:tcPr>
            <w:tcW w:w="1537" w:type="dxa"/>
            <w:vAlign w:val="center"/>
          </w:tcPr>
          <w:p w:rsidR="000B4228" w:rsidRPr="003A2A3B" w:rsidRDefault="000B4228" w:rsidP="0068007C">
            <w:pPr>
              <w:spacing w:line="240" w:lineRule="auto"/>
              <w:jc w:val="center"/>
              <w:rPr>
                <w:szCs w:val="24"/>
              </w:rPr>
            </w:pPr>
            <w:r w:rsidRPr="003A2A3B">
              <w:rPr>
                <w:szCs w:val="24"/>
              </w:rPr>
              <w:t>2,829</w:t>
            </w:r>
          </w:p>
        </w:tc>
        <w:tc>
          <w:tcPr>
            <w:tcW w:w="1537" w:type="dxa"/>
            <w:vAlign w:val="center"/>
          </w:tcPr>
          <w:p w:rsidR="000B4228" w:rsidRPr="003A2A3B" w:rsidRDefault="000B4228" w:rsidP="0068007C">
            <w:pPr>
              <w:spacing w:line="240" w:lineRule="auto"/>
              <w:jc w:val="center"/>
              <w:rPr>
                <w:szCs w:val="24"/>
              </w:rPr>
            </w:pPr>
            <w:r w:rsidRPr="003A2A3B">
              <w:rPr>
                <w:szCs w:val="24"/>
              </w:rPr>
              <w:t>3,103</w:t>
            </w:r>
          </w:p>
        </w:tc>
        <w:tc>
          <w:tcPr>
            <w:tcW w:w="1164" w:type="dxa"/>
            <w:tcBorders>
              <w:bottom w:val="single" w:sz="4" w:space="0" w:color="auto"/>
            </w:tcBorders>
            <w:vAlign w:val="center"/>
          </w:tcPr>
          <w:p w:rsidR="000B4228" w:rsidRPr="003A2A3B" w:rsidRDefault="000B4228" w:rsidP="0068007C">
            <w:pPr>
              <w:spacing w:line="240" w:lineRule="auto"/>
              <w:jc w:val="center"/>
              <w:rPr>
                <w:szCs w:val="24"/>
              </w:rPr>
            </w:pPr>
            <w:r w:rsidRPr="003A2A3B">
              <w:rPr>
                <w:szCs w:val="24"/>
              </w:rPr>
              <w:t>3,394*</w:t>
            </w:r>
          </w:p>
        </w:tc>
      </w:tr>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Februāris</w:t>
            </w:r>
          </w:p>
        </w:tc>
        <w:tc>
          <w:tcPr>
            <w:tcW w:w="1537" w:type="dxa"/>
            <w:vAlign w:val="center"/>
          </w:tcPr>
          <w:p w:rsidR="000B4228" w:rsidRPr="003A2A3B" w:rsidRDefault="000B4228" w:rsidP="0068007C">
            <w:pPr>
              <w:spacing w:line="240" w:lineRule="auto"/>
              <w:jc w:val="center"/>
              <w:rPr>
                <w:szCs w:val="24"/>
              </w:rPr>
            </w:pPr>
            <w:r w:rsidRPr="003A2A3B">
              <w:rPr>
                <w:szCs w:val="24"/>
              </w:rPr>
              <w:t>3,297</w:t>
            </w:r>
          </w:p>
        </w:tc>
        <w:tc>
          <w:tcPr>
            <w:tcW w:w="1537" w:type="dxa"/>
            <w:vAlign w:val="center"/>
          </w:tcPr>
          <w:p w:rsidR="000B4228" w:rsidRPr="003A2A3B" w:rsidRDefault="000B4228" w:rsidP="0068007C">
            <w:pPr>
              <w:spacing w:line="240" w:lineRule="auto"/>
              <w:jc w:val="center"/>
              <w:rPr>
                <w:szCs w:val="24"/>
              </w:rPr>
            </w:pPr>
            <w:r w:rsidRPr="003A2A3B">
              <w:rPr>
                <w:szCs w:val="24"/>
              </w:rPr>
              <w:t>3,552</w:t>
            </w:r>
          </w:p>
        </w:tc>
        <w:tc>
          <w:tcPr>
            <w:tcW w:w="1164" w:type="dxa"/>
            <w:tcBorders>
              <w:bottom w:val="single" w:sz="4" w:space="0" w:color="auto"/>
              <w:right w:val="single" w:sz="4" w:space="0" w:color="auto"/>
            </w:tcBorders>
            <w:vAlign w:val="center"/>
          </w:tcPr>
          <w:p w:rsidR="000B4228" w:rsidRPr="003A2A3B" w:rsidRDefault="000B4228" w:rsidP="0068007C">
            <w:pPr>
              <w:spacing w:line="240" w:lineRule="auto"/>
              <w:jc w:val="center"/>
              <w:rPr>
                <w:szCs w:val="24"/>
              </w:rPr>
            </w:pPr>
            <w:r w:rsidRPr="003A2A3B">
              <w:rPr>
                <w:szCs w:val="24"/>
              </w:rPr>
              <w:t>3,592*</w:t>
            </w:r>
          </w:p>
        </w:tc>
      </w:tr>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Marts</w:t>
            </w:r>
          </w:p>
        </w:tc>
        <w:tc>
          <w:tcPr>
            <w:tcW w:w="1537" w:type="dxa"/>
            <w:vAlign w:val="center"/>
          </w:tcPr>
          <w:p w:rsidR="000B4228" w:rsidRPr="003A2A3B" w:rsidRDefault="000B4228" w:rsidP="0068007C">
            <w:pPr>
              <w:spacing w:line="240" w:lineRule="auto"/>
              <w:jc w:val="center"/>
              <w:rPr>
                <w:szCs w:val="24"/>
              </w:rPr>
            </w:pPr>
            <w:r w:rsidRPr="003A2A3B">
              <w:rPr>
                <w:szCs w:val="24"/>
              </w:rPr>
              <w:t>2,973</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szCs w:val="24"/>
              </w:rPr>
              <w:t>3,252</w:t>
            </w:r>
          </w:p>
        </w:tc>
        <w:tc>
          <w:tcPr>
            <w:tcW w:w="1164" w:type="dxa"/>
            <w:tcBorders>
              <w:top w:val="single" w:sz="4" w:space="0" w:color="auto"/>
              <w:left w:val="single" w:sz="4" w:space="0" w:color="auto"/>
              <w:bottom w:val="nil"/>
              <w:right w:val="nil"/>
            </w:tcBorders>
          </w:tcPr>
          <w:p w:rsidR="000B4228" w:rsidRPr="003A2A3B" w:rsidRDefault="000B4228" w:rsidP="0068007C">
            <w:pPr>
              <w:spacing w:line="240" w:lineRule="auto"/>
              <w:jc w:val="center"/>
              <w:rPr>
                <w:szCs w:val="24"/>
              </w:rPr>
            </w:pPr>
          </w:p>
        </w:tc>
      </w:tr>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Aprīlis</w:t>
            </w:r>
          </w:p>
        </w:tc>
        <w:tc>
          <w:tcPr>
            <w:tcW w:w="1537" w:type="dxa"/>
            <w:vAlign w:val="center"/>
          </w:tcPr>
          <w:p w:rsidR="000B4228" w:rsidRPr="003A2A3B" w:rsidRDefault="000B4228" w:rsidP="0068007C">
            <w:pPr>
              <w:spacing w:line="240" w:lineRule="auto"/>
              <w:jc w:val="center"/>
              <w:rPr>
                <w:szCs w:val="24"/>
              </w:rPr>
            </w:pPr>
            <w:r w:rsidRPr="003A2A3B">
              <w:rPr>
                <w:szCs w:val="24"/>
              </w:rPr>
              <w:t>2,734</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szCs w:val="24"/>
              </w:rPr>
              <w:t>2,991</w:t>
            </w:r>
          </w:p>
        </w:tc>
        <w:tc>
          <w:tcPr>
            <w:tcW w:w="1164" w:type="dxa"/>
            <w:tcBorders>
              <w:top w:val="nil"/>
              <w:left w:val="single" w:sz="4" w:space="0" w:color="auto"/>
              <w:bottom w:val="nil"/>
              <w:right w:val="nil"/>
            </w:tcBorders>
          </w:tcPr>
          <w:p w:rsidR="000B4228" w:rsidRPr="003A2A3B" w:rsidRDefault="000B4228" w:rsidP="0068007C">
            <w:pPr>
              <w:spacing w:line="240" w:lineRule="auto"/>
              <w:jc w:val="center"/>
              <w:rPr>
                <w:szCs w:val="24"/>
              </w:rPr>
            </w:pPr>
          </w:p>
        </w:tc>
      </w:tr>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Maijs</w:t>
            </w:r>
          </w:p>
        </w:tc>
        <w:tc>
          <w:tcPr>
            <w:tcW w:w="1537" w:type="dxa"/>
            <w:vAlign w:val="center"/>
          </w:tcPr>
          <w:p w:rsidR="000B4228" w:rsidRPr="003A2A3B" w:rsidRDefault="000B4228" w:rsidP="0068007C">
            <w:pPr>
              <w:spacing w:line="240" w:lineRule="auto"/>
              <w:jc w:val="center"/>
              <w:rPr>
                <w:szCs w:val="24"/>
              </w:rPr>
            </w:pPr>
            <w:r w:rsidRPr="003A2A3B">
              <w:rPr>
                <w:szCs w:val="24"/>
              </w:rPr>
              <w:t>2,953</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szCs w:val="24"/>
              </w:rPr>
              <w:t>3,230</w:t>
            </w:r>
          </w:p>
        </w:tc>
        <w:tc>
          <w:tcPr>
            <w:tcW w:w="1164" w:type="dxa"/>
            <w:tcBorders>
              <w:top w:val="nil"/>
              <w:left w:val="single" w:sz="4" w:space="0" w:color="auto"/>
              <w:bottom w:val="nil"/>
              <w:right w:val="nil"/>
            </w:tcBorders>
          </w:tcPr>
          <w:p w:rsidR="000B4228" w:rsidRPr="003A2A3B" w:rsidRDefault="000B4228" w:rsidP="0068007C">
            <w:pPr>
              <w:spacing w:line="240" w:lineRule="auto"/>
              <w:jc w:val="center"/>
              <w:rPr>
                <w:szCs w:val="24"/>
              </w:rPr>
            </w:pPr>
          </w:p>
        </w:tc>
      </w:tr>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Jūnijs</w:t>
            </w:r>
          </w:p>
        </w:tc>
        <w:tc>
          <w:tcPr>
            <w:tcW w:w="1537" w:type="dxa"/>
            <w:vAlign w:val="center"/>
          </w:tcPr>
          <w:p w:rsidR="000B4228" w:rsidRPr="003A2A3B" w:rsidRDefault="000B4228" w:rsidP="0068007C">
            <w:pPr>
              <w:spacing w:line="240" w:lineRule="auto"/>
              <w:jc w:val="center"/>
              <w:rPr>
                <w:szCs w:val="24"/>
              </w:rPr>
            </w:pPr>
            <w:r w:rsidRPr="003A2A3B">
              <w:rPr>
                <w:szCs w:val="24"/>
              </w:rPr>
              <w:t>2,939</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szCs w:val="24"/>
              </w:rPr>
              <w:t>3,215</w:t>
            </w:r>
          </w:p>
        </w:tc>
        <w:tc>
          <w:tcPr>
            <w:tcW w:w="1164" w:type="dxa"/>
            <w:tcBorders>
              <w:top w:val="nil"/>
              <w:left w:val="single" w:sz="4" w:space="0" w:color="auto"/>
              <w:bottom w:val="nil"/>
              <w:right w:val="nil"/>
            </w:tcBorders>
          </w:tcPr>
          <w:p w:rsidR="000B4228" w:rsidRPr="003A2A3B" w:rsidRDefault="000B4228" w:rsidP="0068007C">
            <w:pPr>
              <w:spacing w:line="240" w:lineRule="auto"/>
              <w:jc w:val="center"/>
              <w:rPr>
                <w:szCs w:val="24"/>
              </w:rPr>
            </w:pPr>
          </w:p>
        </w:tc>
      </w:tr>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Jūlijs</w:t>
            </w:r>
          </w:p>
        </w:tc>
        <w:tc>
          <w:tcPr>
            <w:tcW w:w="1537" w:type="dxa"/>
            <w:vAlign w:val="center"/>
          </w:tcPr>
          <w:p w:rsidR="000B4228" w:rsidRPr="003A2A3B" w:rsidRDefault="000B4228" w:rsidP="0068007C">
            <w:pPr>
              <w:spacing w:line="240" w:lineRule="auto"/>
              <w:jc w:val="center"/>
              <w:rPr>
                <w:szCs w:val="24"/>
              </w:rPr>
            </w:pPr>
            <w:r w:rsidRPr="003A2A3B">
              <w:rPr>
                <w:szCs w:val="24"/>
              </w:rPr>
              <w:t>2,782</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szCs w:val="24"/>
              </w:rPr>
              <w:t>3,043</w:t>
            </w:r>
          </w:p>
        </w:tc>
        <w:tc>
          <w:tcPr>
            <w:tcW w:w="1164" w:type="dxa"/>
            <w:tcBorders>
              <w:top w:val="nil"/>
              <w:left w:val="single" w:sz="4" w:space="0" w:color="auto"/>
              <w:bottom w:val="nil"/>
              <w:right w:val="nil"/>
            </w:tcBorders>
          </w:tcPr>
          <w:p w:rsidR="000B4228" w:rsidRPr="003A2A3B" w:rsidRDefault="000B4228" w:rsidP="0068007C">
            <w:pPr>
              <w:spacing w:line="240" w:lineRule="auto"/>
              <w:jc w:val="center"/>
              <w:rPr>
                <w:szCs w:val="24"/>
              </w:rPr>
            </w:pPr>
          </w:p>
        </w:tc>
      </w:tr>
      <w:tr w:rsidR="000B4228" w:rsidRPr="003A2A3B" w:rsidTr="0068007C">
        <w:trPr>
          <w:trHeight w:val="235"/>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Augusts</w:t>
            </w:r>
          </w:p>
        </w:tc>
        <w:tc>
          <w:tcPr>
            <w:tcW w:w="1537" w:type="dxa"/>
            <w:vAlign w:val="center"/>
          </w:tcPr>
          <w:p w:rsidR="000B4228" w:rsidRPr="003A2A3B" w:rsidRDefault="000B4228" w:rsidP="0068007C">
            <w:pPr>
              <w:spacing w:line="240" w:lineRule="auto"/>
              <w:jc w:val="center"/>
              <w:rPr>
                <w:szCs w:val="24"/>
              </w:rPr>
            </w:pPr>
            <w:r w:rsidRPr="003A2A3B">
              <w:rPr>
                <w:szCs w:val="24"/>
              </w:rPr>
              <w:t>2,591</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szCs w:val="24"/>
              </w:rPr>
              <w:t>2,834</w:t>
            </w:r>
          </w:p>
        </w:tc>
        <w:tc>
          <w:tcPr>
            <w:tcW w:w="1164" w:type="dxa"/>
            <w:tcBorders>
              <w:top w:val="nil"/>
              <w:left w:val="single" w:sz="4" w:space="0" w:color="auto"/>
              <w:bottom w:val="nil"/>
              <w:right w:val="nil"/>
            </w:tcBorders>
          </w:tcPr>
          <w:p w:rsidR="000B4228" w:rsidRPr="003A2A3B" w:rsidRDefault="000B4228" w:rsidP="0068007C">
            <w:pPr>
              <w:spacing w:line="240" w:lineRule="auto"/>
              <w:jc w:val="center"/>
              <w:rPr>
                <w:szCs w:val="24"/>
              </w:rPr>
            </w:pPr>
          </w:p>
        </w:tc>
      </w:tr>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Septembris</w:t>
            </w:r>
          </w:p>
        </w:tc>
        <w:tc>
          <w:tcPr>
            <w:tcW w:w="1537" w:type="dxa"/>
            <w:vAlign w:val="center"/>
          </w:tcPr>
          <w:p w:rsidR="000B4228" w:rsidRPr="003A2A3B" w:rsidRDefault="000B4228" w:rsidP="0068007C">
            <w:pPr>
              <w:spacing w:line="240" w:lineRule="auto"/>
              <w:jc w:val="center"/>
              <w:rPr>
                <w:szCs w:val="24"/>
              </w:rPr>
            </w:pPr>
            <w:r w:rsidRPr="003A2A3B">
              <w:rPr>
                <w:szCs w:val="24"/>
              </w:rPr>
              <w:t>2,540</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szCs w:val="24"/>
              </w:rPr>
              <w:t>2,778</w:t>
            </w:r>
          </w:p>
        </w:tc>
        <w:tc>
          <w:tcPr>
            <w:tcW w:w="1164" w:type="dxa"/>
            <w:tcBorders>
              <w:top w:val="nil"/>
              <w:left w:val="single" w:sz="4" w:space="0" w:color="auto"/>
              <w:bottom w:val="nil"/>
              <w:right w:val="nil"/>
            </w:tcBorders>
          </w:tcPr>
          <w:p w:rsidR="000B4228" w:rsidRPr="003A2A3B" w:rsidRDefault="000B4228" w:rsidP="0068007C">
            <w:pPr>
              <w:spacing w:line="240" w:lineRule="auto"/>
              <w:jc w:val="center"/>
              <w:rPr>
                <w:szCs w:val="24"/>
              </w:rPr>
            </w:pPr>
          </w:p>
        </w:tc>
      </w:tr>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Oktobris</w:t>
            </w:r>
          </w:p>
        </w:tc>
        <w:tc>
          <w:tcPr>
            <w:tcW w:w="1537" w:type="dxa"/>
            <w:vAlign w:val="center"/>
          </w:tcPr>
          <w:p w:rsidR="000B4228" w:rsidRPr="003A2A3B" w:rsidRDefault="000B4228" w:rsidP="0068007C">
            <w:pPr>
              <w:spacing w:line="240" w:lineRule="auto"/>
              <w:jc w:val="center"/>
              <w:rPr>
                <w:szCs w:val="24"/>
              </w:rPr>
            </w:pPr>
            <w:r w:rsidRPr="003A2A3B">
              <w:rPr>
                <w:szCs w:val="24"/>
              </w:rPr>
              <w:t>2,557</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szCs w:val="24"/>
              </w:rPr>
              <w:t>2,797</w:t>
            </w:r>
          </w:p>
        </w:tc>
        <w:tc>
          <w:tcPr>
            <w:tcW w:w="1164" w:type="dxa"/>
            <w:tcBorders>
              <w:top w:val="nil"/>
              <w:left w:val="single" w:sz="4" w:space="0" w:color="auto"/>
              <w:bottom w:val="nil"/>
              <w:right w:val="nil"/>
            </w:tcBorders>
          </w:tcPr>
          <w:p w:rsidR="000B4228" w:rsidRPr="003A2A3B" w:rsidRDefault="000B4228" w:rsidP="0068007C">
            <w:pPr>
              <w:spacing w:line="240" w:lineRule="auto"/>
              <w:jc w:val="center"/>
              <w:rPr>
                <w:szCs w:val="24"/>
              </w:rPr>
            </w:pPr>
          </w:p>
        </w:tc>
      </w:tr>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Novembris</w:t>
            </w:r>
          </w:p>
        </w:tc>
        <w:tc>
          <w:tcPr>
            <w:tcW w:w="1537" w:type="dxa"/>
            <w:vAlign w:val="center"/>
          </w:tcPr>
          <w:p w:rsidR="000B4228" w:rsidRPr="003A2A3B" w:rsidRDefault="000B4228" w:rsidP="0068007C">
            <w:pPr>
              <w:spacing w:line="240" w:lineRule="auto"/>
              <w:jc w:val="center"/>
              <w:rPr>
                <w:szCs w:val="24"/>
              </w:rPr>
            </w:pPr>
            <w:r w:rsidRPr="003A2A3B">
              <w:rPr>
                <w:szCs w:val="24"/>
              </w:rPr>
              <w:t>2,697</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szCs w:val="24"/>
              </w:rPr>
              <w:t>2,950</w:t>
            </w:r>
          </w:p>
        </w:tc>
        <w:tc>
          <w:tcPr>
            <w:tcW w:w="1164" w:type="dxa"/>
            <w:tcBorders>
              <w:top w:val="nil"/>
              <w:left w:val="single" w:sz="4" w:space="0" w:color="auto"/>
              <w:bottom w:val="nil"/>
              <w:right w:val="nil"/>
            </w:tcBorders>
          </w:tcPr>
          <w:p w:rsidR="000B4228" w:rsidRPr="003A2A3B" w:rsidRDefault="000B4228" w:rsidP="0068007C">
            <w:pPr>
              <w:spacing w:line="240" w:lineRule="auto"/>
              <w:jc w:val="center"/>
              <w:rPr>
                <w:szCs w:val="24"/>
              </w:rPr>
            </w:pPr>
          </w:p>
        </w:tc>
      </w:tr>
      <w:tr w:rsidR="000B4228" w:rsidRPr="003A2A3B" w:rsidTr="0068007C">
        <w:trPr>
          <w:trHeight w:val="79"/>
          <w:jc w:val="center"/>
        </w:trPr>
        <w:tc>
          <w:tcPr>
            <w:tcW w:w="3154" w:type="dxa"/>
          </w:tcPr>
          <w:p w:rsidR="000B4228" w:rsidRPr="003A2A3B" w:rsidRDefault="000B4228" w:rsidP="0068007C">
            <w:pPr>
              <w:tabs>
                <w:tab w:val="left" w:pos="709"/>
              </w:tabs>
              <w:spacing w:line="240" w:lineRule="auto"/>
              <w:jc w:val="center"/>
              <w:rPr>
                <w:bCs/>
                <w:color w:val="000000"/>
                <w:szCs w:val="24"/>
              </w:rPr>
            </w:pPr>
            <w:r w:rsidRPr="003A2A3B">
              <w:rPr>
                <w:bCs/>
                <w:color w:val="000000"/>
                <w:szCs w:val="24"/>
              </w:rPr>
              <w:t>Decembris</w:t>
            </w:r>
          </w:p>
        </w:tc>
        <w:tc>
          <w:tcPr>
            <w:tcW w:w="1537" w:type="dxa"/>
            <w:vAlign w:val="center"/>
          </w:tcPr>
          <w:p w:rsidR="000B4228" w:rsidRPr="003A2A3B" w:rsidRDefault="000B4228" w:rsidP="0068007C">
            <w:pPr>
              <w:spacing w:line="240" w:lineRule="auto"/>
              <w:jc w:val="center"/>
              <w:rPr>
                <w:szCs w:val="24"/>
              </w:rPr>
            </w:pPr>
            <w:r w:rsidRPr="003A2A3B">
              <w:rPr>
                <w:szCs w:val="24"/>
              </w:rPr>
              <w:t>2,984</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szCs w:val="24"/>
              </w:rPr>
              <w:t>3,264</w:t>
            </w:r>
          </w:p>
        </w:tc>
        <w:tc>
          <w:tcPr>
            <w:tcW w:w="1164" w:type="dxa"/>
            <w:tcBorders>
              <w:top w:val="nil"/>
              <w:left w:val="single" w:sz="4" w:space="0" w:color="auto"/>
              <w:bottom w:val="single" w:sz="4" w:space="0" w:color="auto"/>
              <w:right w:val="nil"/>
            </w:tcBorders>
          </w:tcPr>
          <w:p w:rsidR="000B4228" w:rsidRPr="003A2A3B" w:rsidRDefault="000B4228" w:rsidP="0068007C">
            <w:pPr>
              <w:spacing w:line="240" w:lineRule="auto"/>
              <w:jc w:val="center"/>
              <w:rPr>
                <w:szCs w:val="24"/>
              </w:rPr>
            </w:pPr>
          </w:p>
        </w:tc>
      </w:tr>
      <w:tr w:rsidR="000B4228" w:rsidRPr="003A2A3B" w:rsidTr="0068007C">
        <w:trPr>
          <w:jc w:val="center"/>
        </w:trPr>
        <w:tc>
          <w:tcPr>
            <w:tcW w:w="3154" w:type="dxa"/>
          </w:tcPr>
          <w:p w:rsidR="000B4228" w:rsidRPr="003A2A3B" w:rsidRDefault="000B4228" w:rsidP="0068007C">
            <w:pPr>
              <w:tabs>
                <w:tab w:val="left" w:pos="709"/>
              </w:tabs>
              <w:spacing w:line="240" w:lineRule="auto"/>
              <w:jc w:val="center"/>
              <w:rPr>
                <w:b/>
                <w:bCs/>
                <w:color w:val="000000"/>
                <w:szCs w:val="24"/>
              </w:rPr>
            </w:pPr>
            <w:r w:rsidRPr="003A2A3B">
              <w:rPr>
                <w:b/>
                <w:bCs/>
                <w:color w:val="000000"/>
                <w:szCs w:val="24"/>
              </w:rPr>
              <w:t>Kopā</w:t>
            </w:r>
          </w:p>
        </w:tc>
        <w:tc>
          <w:tcPr>
            <w:tcW w:w="1537" w:type="dxa"/>
            <w:vAlign w:val="center"/>
          </w:tcPr>
          <w:p w:rsidR="000B4228" w:rsidRPr="003A2A3B" w:rsidRDefault="000B4228" w:rsidP="0068007C">
            <w:pPr>
              <w:spacing w:line="240" w:lineRule="auto"/>
              <w:jc w:val="center"/>
              <w:rPr>
                <w:szCs w:val="24"/>
              </w:rPr>
            </w:pPr>
            <w:r w:rsidRPr="003A2A3B">
              <w:rPr>
                <w:rStyle w:val="Strong"/>
                <w:szCs w:val="24"/>
              </w:rPr>
              <w:t>33,876</w:t>
            </w:r>
          </w:p>
        </w:tc>
        <w:tc>
          <w:tcPr>
            <w:tcW w:w="1537" w:type="dxa"/>
            <w:tcBorders>
              <w:right w:val="single" w:sz="4" w:space="0" w:color="auto"/>
            </w:tcBorders>
            <w:vAlign w:val="center"/>
          </w:tcPr>
          <w:p w:rsidR="000B4228" w:rsidRPr="003A2A3B" w:rsidRDefault="000B4228" w:rsidP="0068007C">
            <w:pPr>
              <w:spacing w:line="240" w:lineRule="auto"/>
              <w:jc w:val="center"/>
              <w:rPr>
                <w:szCs w:val="24"/>
              </w:rPr>
            </w:pPr>
            <w:r w:rsidRPr="003A2A3B">
              <w:rPr>
                <w:rStyle w:val="Strong"/>
                <w:szCs w:val="24"/>
              </w:rPr>
              <w:t>37,009</w:t>
            </w:r>
          </w:p>
        </w:tc>
        <w:tc>
          <w:tcPr>
            <w:tcW w:w="1164" w:type="dxa"/>
            <w:tcBorders>
              <w:top w:val="single" w:sz="4" w:space="0" w:color="auto"/>
              <w:left w:val="single" w:sz="4" w:space="0" w:color="auto"/>
              <w:bottom w:val="single" w:sz="4" w:space="0" w:color="auto"/>
              <w:right w:val="single" w:sz="4" w:space="0" w:color="auto"/>
            </w:tcBorders>
          </w:tcPr>
          <w:p w:rsidR="000B4228" w:rsidRPr="003A2A3B" w:rsidRDefault="000B4228" w:rsidP="0068007C">
            <w:pPr>
              <w:spacing w:line="240" w:lineRule="auto"/>
              <w:jc w:val="center"/>
              <w:rPr>
                <w:b/>
                <w:szCs w:val="24"/>
              </w:rPr>
            </w:pPr>
            <w:r w:rsidRPr="003A2A3B">
              <w:rPr>
                <w:b/>
                <w:szCs w:val="24"/>
              </w:rPr>
              <w:t>6,986</w:t>
            </w:r>
          </w:p>
        </w:tc>
      </w:tr>
    </w:tbl>
    <w:p w:rsidR="00F10770" w:rsidRPr="00674ABE" w:rsidRDefault="00F10770" w:rsidP="00F10770">
      <w:pPr>
        <w:rPr>
          <w:rFonts w:eastAsia="Calibri" w:cs="Times New Roman"/>
          <w:bCs/>
          <w:color w:val="000000"/>
          <w:sz w:val="20"/>
          <w:szCs w:val="20"/>
        </w:rPr>
      </w:pPr>
      <w:r w:rsidRPr="00674ABE">
        <w:rPr>
          <w:rFonts w:eastAsia="Calibri" w:cs="Times New Roman"/>
          <w:bCs/>
          <w:color w:val="000000"/>
          <w:sz w:val="20"/>
          <w:szCs w:val="20"/>
        </w:rPr>
        <w:t>*Prognozētie ieņēmumi par 2017.gada novembrī un decembrī saražoto elektroenerģiju.</w:t>
      </w:r>
    </w:p>
    <w:p w:rsidR="000B4228" w:rsidRPr="00B41498" w:rsidRDefault="000B4228" w:rsidP="00120494">
      <w:pPr>
        <w:spacing w:after="0" w:line="240" w:lineRule="auto"/>
        <w:ind w:firstLine="851"/>
        <w:rPr>
          <w:sz w:val="28"/>
          <w:szCs w:val="28"/>
        </w:rPr>
      </w:pPr>
      <w:r>
        <w:rPr>
          <w:sz w:val="28"/>
          <w:szCs w:val="28"/>
        </w:rPr>
        <w:t>Taču, ņemot vērā nepieciešamību nodrošināt ieņēmumus OIK pieauguma segšanai arī turpmākajos gados</w:t>
      </w:r>
      <w:r w:rsidR="009F1E38">
        <w:rPr>
          <w:sz w:val="28"/>
          <w:szCs w:val="28"/>
        </w:rPr>
        <w:t xml:space="preserve">, nepieciešams izvērtēt </w:t>
      </w:r>
      <w:r>
        <w:rPr>
          <w:sz w:val="28"/>
          <w:szCs w:val="28"/>
        </w:rPr>
        <w:t>SEN</w:t>
      </w:r>
      <w:r w:rsidR="009F1E38">
        <w:rPr>
          <w:sz w:val="28"/>
          <w:szCs w:val="28"/>
        </w:rPr>
        <w:t xml:space="preserve"> </w:t>
      </w:r>
      <w:r w:rsidR="009F1E38" w:rsidRPr="009F1E38">
        <w:rPr>
          <w:sz w:val="28"/>
          <w:szCs w:val="28"/>
        </w:rPr>
        <w:t>termiņa pagarināšanu tiem ražotājiem, kuriem</w:t>
      </w:r>
      <w:r w:rsidR="009F1E38">
        <w:rPr>
          <w:sz w:val="28"/>
          <w:szCs w:val="28"/>
        </w:rPr>
        <w:t xml:space="preserve">, skaņojot valsts atbalstu ar </w:t>
      </w:r>
      <w:r w:rsidR="00ED2595">
        <w:rPr>
          <w:sz w:val="28"/>
          <w:szCs w:val="28"/>
        </w:rPr>
        <w:t>EK</w:t>
      </w:r>
      <w:r w:rsidR="009F1E38">
        <w:rPr>
          <w:sz w:val="28"/>
          <w:szCs w:val="28"/>
        </w:rPr>
        <w:t xml:space="preserve">, </w:t>
      </w:r>
      <w:r w:rsidR="009F1E38" w:rsidRPr="009F1E38">
        <w:rPr>
          <w:sz w:val="28"/>
          <w:szCs w:val="28"/>
        </w:rPr>
        <w:t>tik</w:t>
      </w:r>
      <w:r w:rsidR="009F1E38">
        <w:rPr>
          <w:sz w:val="28"/>
          <w:szCs w:val="28"/>
        </w:rPr>
        <w:t>s</w:t>
      </w:r>
      <w:r w:rsidR="009F1E38" w:rsidRPr="009F1E38">
        <w:rPr>
          <w:sz w:val="28"/>
          <w:szCs w:val="28"/>
        </w:rPr>
        <w:t xml:space="preserve"> konstatēts pārsubsidēšanas risks</w:t>
      </w:r>
      <w:r w:rsidR="009F1E38" w:rsidRPr="0077685D">
        <w:rPr>
          <w:sz w:val="28"/>
          <w:szCs w:val="28"/>
        </w:rPr>
        <w:t xml:space="preserve">. </w:t>
      </w:r>
      <w:r w:rsidR="00ED2595">
        <w:rPr>
          <w:sz w:val="28"/>
          <w:szCs w:val="28"/>
        </w:rPr>
        <w:t>P</w:t>
      </w:r>
      <w:r w:rsidR="0004532A" w:rsidRPr="0077685D">
        <w:rPr>
          <w:sz w:val="28"/>
          <w:szCs w:val="28"/>
        </w:rPr>
        <w:t>ēc atsevišķas analīzes veikšanas</w:t>
      </w:r>
      <w:r w:rsidR="00ED2595">
        <w:rPr>
          <w:sz w:val="28"/>
          <w:szCs w:val="28"/>
        </w:rPr>
        <w:t xml:space="preserve"> būs nepieciešams</w:t>
      </w:r>
      <w:r w:rsidR="0004532A" w:rsidRPr="0077685D">
        <w:rPr>
          <w:sz w:val="28"/>
          <w:szCs w:val="28"/>
        </w:rPr>
        <w:t xml:space="preserve"> lemt par SEN pagarināšanu uz gadu vai ilgāku laika periodu atsevišķām nodokļa maksātāju grupām</w:t>
      </w:r>
      <w:r w:rsidR="00BF4D66">
        <w:rPr>
          <w:sz w:val="28"/>
          <w:szCs w:val="28"/>
        </w:rPr>
        <w:t xml:space="preserve"> (tehnoloģiju grupām ar pārsubsidāciju)</w:t>
      </w:r>
      <w:r w:rsidR="0004532A" w:rsidRPr="0077685D">
        <w:rPr>
          <w:sz w:val="28"/>
          <w:szCs w:val="28"/>
        </w:rPr>
        <w:t>. Šādus priekšlikumus</w:t>
      </w:r>
      <w:r w:rsidR="0004532A">
        <w:rPr>
          <w:sz w:val="28"/>
          <w:szCs w:val="28"/>
        </w:rPr>
        <w:t xml:space="preserve"> Ekonomikas ministrija varētu piedāvāt 2016.gadā.</w:t>
      </w:r>
    </w:p>
    <w:p w:rsidR="00521A4B" w:rsidRDefault="00D564DD" w:rsidP="00D564DD">
      <w:pPr>
        <w:pStyle w:val="Heading2"/>
      </w:pPr>
      <w:bookmarkStart w:id="12" w:name="_Toc428188930"/>
      <w:r>
        <w:t xml:space="preserve">2.4. </w:t>
      </w:r>
      <w:r w:rsidR="00580625">
        <w:t xml:space="preserve"> </w:t>
      </w:r>
      <w:r w:rsidR="00580625" w:rsidRPr="00580625">
        <w:rPr>
          <w:szCs w:val="28"/>
        </w:rPr>
        <w:t xml:space="preserve">Sadales </w:t>
      </w:r>
      <w:r w:rsidR="00580625" w:rsidRPr="00992F41">
        <w:rPr>
          <w:rFonts w:cs="Times New Roman"/>
          <w:szCs w:val="28"/>
        </w:rPr>
        <w:t>sistēmas pakalpojumu tarif</w:t>
      </w:r>
      <w:r w:rsidR="00992F41">
        <w:rPr>
          <w:rFonts w:cs="Times New Roman"/>
          <w:szCs w:val="28"/>
        </w:rPr>
        <w:t>i</w:t>
      </w:r>
      <w:bookmarkEnd w:id="12"/>
      <w:r w:rsidR="00992F41">
        <w:rPr>
          <w:rFonts w:cs="Times New Roman"/>
          <w:szCs w:val="28"/>
        </w:rPr>
        <w:t xml:space="preserve"> </w:t>
      </w:r>
    </w:p>
    <w:p w:rsidR="00C86F19" w:rsidRPr="00580625" w:rsidRDefault="00C86F19" w:rsidP="00C86F19">
      <w:pPr>
        <w:spacing w:line="240" w:lineRule="auto"/>
        <w:ind w:firstLine="567"/>
        <w:rPr>
          <w:rFonts w:cs="Times New Roman"/>
          <w:sz w:val="28"/>
          <w:szCs w:val="28"/>
        </w:rPr>
      </w:pPr>
      <w:r>
        <w:rPr>
          <w:rFonts w:cs="Times New Roman"/>
          <w:sz w:val="28"/>
          <w:szCs w:val="28"/>
        </w:rPr>
        <w:t xml:space="preserve">Saskaņā ar </w:t>
      </w:r>
      <w:r w:rsidRPr="00580625">
        <w:rPr>
          <w:rFonts w:cs="Times New Roman"/>
          <w:sz w:val="28"/>
          <w:szCs w:val="28"/>
        </w:rPr>
        <w:t>spēkā esoš</w:t>
      </w:r>
      <w:r>
        <w:rPr>
          <w:rFonts w:cs="Times New Roman"/>
          <w:sz w:val="28"/>
          <w:szCs w:val="28"/>
        </w:rPr>
        <w:t xml:space="preserve">o </w:t>
      </w:r>
      <w:r w:rsidRPr="00580625">
        <w:rPr>
          <w:rFonts w:cs="Times New Roman"/>
          <w:sz w:val="28"/>
          <w:szCs w:val="28"/>
        </w:rPr>
        <w:t>sistēmas tarifu struktūr</w:t>
      </w:r>
      <w:r>
        <w:rPr>
          <w:rFonts w:cs="Times New Roman"/>
          <w:sz w:val="28"/>
          <w:szCs w:val="28"/>
        </w:rPr>
        <w:t>u</w:t>
      </w:r>
      <w:r w:rsidRPr="00580625">
        <w:rPr>
          <w:rFonts w:cs="Times New Roman"/>
          <w:sz w:val="28"/>
          <w:szCs w:val="28"/>
        </w:rPr>
        <w:t xml:space="preserve">, lietotājam, mainot elektroenerģijas patēriņu, viņa izmaksas par sistēmas pieslēgumu mainās </w:t>
      </w:r>
      <w:r>
        <w:rPr>
          <w:rFonts w:cs="Times New Roman"/>
          <w:sz w:val="28"/>
          <w:szCs w:val="28"/>
        </w:rPr>
        <w:t xml:space="preserve">tuvu </w:t>
      </w:r>
      <w:r w:rsidRPr="00580625">
        <w:rPr>
          <w:rFonts w:cs="Times New Roman"/>
          <w:sz w:val="28"/>
          <w:szCs w:val="28"/>
        </w:rPr>
        <w:t>proporcionāli elektroenerģijas patēriņam, lai gan sistēmas operatora izmaksas nemainās attiecīgi</w:t>
      </w:r>
      <w:r w:rsidRPr="00580625">
        <w:rPr>
          <w:rStyle w:val="FootnoteReference"/>
          <w:rFonts w:cs="Times New Roman"/>
          <w:sz w:val="28"/>
          <w:szCs w:val="28"/>
        </w:rPr>
        <w:footnoteReference w:id="1"/>
      </w:r>
      <w:r w:rsidRPr="00580625">
        <w:rPr>
          <w:rFonts w:cs="Times New Roman"/>
          <w:sz w:val="28"/>
          <w:szCs w:val="28"/>
        </w:rPr>
        <w:t xml:space="preserve">. Savukārt lietotāji, kuri neizmanto savus sistēmas pieslēgumus vai tajos ļoti minimāli izmanto elektroenerģiju (aptuveni 100 tūkstoši objektu), savu pieslēgumu uzturēšanas izmaksas attiecina uz elektroenerģiju patērējošiem lietotājiem. Vidēji 1 mājsaimniecības pieslēguma izmaksas par sistēmas pakalpojumiem pie spēkā esošajiem sistēmas tarifiem ir 8,75 EUR mēnesī, kas atbilst 155 kWh patēriņam mēnesī. Tikai 30,6% mājsaimniecību mēnesī patērē 155 kWh un vairāk. Tas nozīmē, ka vairāk patērējošas mājsaimniecības </w:t>
      </w:r>
      <w:r>
        <w:rPr>
          <w:rFonts w:cs="Times New Roman"/>
          <w:sz w:val="28"/>
          <w:szCs w:val="28"/>
        </w:rPr>
        <w:t xml:space="preserve">šobrīd daļēji apmaksā </w:t>
      </w:r>
      <w:r w:rsidRPr="00580625">
        <w:rPr>
          <w:rFonts w:cs="Times New Roman"/>
          <w:sz w:val="28"/>
          <w:szCs w:val="28"/>
        </w:rPr>
        <w:t>pārēj</w:t>
      </w:r>
      <w:r>
        <w:rPr>
          <w:rFonts w:cs="Times New Roman"/>
          <w:sz w:val="28"/>
          <w:szCs w:val="28"/>
        </w:rPr>
        <w:t>o</w:t>
      </w:r>
      <w:r w:rsidRPr="00580625">
        <w:rPr>
          <w:rFonts w:cs="Times New Roman"/>
          <w:sz w:val="28"/>
          <w:szCs w:val="28"/>
        </w:rPr>
        <w:t xml:space="preserve"> 69,4% mājsaimniecības pieslēgumus.</w:t>
      </w:r>
    </w:p>
    <w:p w:rsidR="00C86F19" w:rsidRPr="00952597" w:rsidRDefault="00C86F19" w:rsidP="0077685D">
      <w:pPr>
        <w:spacing w:line="240" w:lineRule="auto"/>
        <w:ind w:firstLine="567"/>
        <w:rPr>
          <w:rFonts w:cs="Times New Roman"/>
          <w:sz w:val="28"/>
          <w:szCs w:val="28"/>
        </w:rPr>
      </w:pPr>
      <w:r w:rsidRPr="00992F41">
        <w:rPr>
          <w:rFonts w:cs="Times New Roman"/>
          <w:sz w:val="28"/>
          <w:szCs w:val="28"/>
        </w:rPr>
        <w:lastRenderedPageBreak/>
        <w:t>Patreizējie sistēmas tarifi mājsaimniecībām balstās uz elektroenerģijas patēriņu, bet pārējiem lietotājiem galvenokārt uz elektroenerģijas patēriņu un uz pieprasīto jaudu. Šāda tarifu struktūra nav vērsta uz efektīvu sistēmas infrastruktūras izmantošanu, jo tīkla vidējā noslodze (vidējā stundas tīkla slodze pret sistēmā uzstādīto kopējo jaudu) 2014. gadā bija 12,5%, bet maksimālās stundas slodzes izmantošana – 19,9%. Šobrīd lietotāji netiek iedrošināti optimāli izmantot sadales sistēmas infr</w:t>
      </w:r>
      <w:r w:rsidRPr="00580625">
        <w:rPr>
          <w:rFonts w:cs="Times New Roman"/>
          <w:sz w:val="28"/>
          <w:szCs w:val="28"/>
        </w:rPr>
        <w:t>astruktūru.</w:t>
      </w:r>
      <w:r w:rsidR="0004532A">
        <w:rPr>
          <w:rFonts w:cs="Times New Roman"/>
          <w:sz w:val="28"/>
          <w:szCs w:val="28"/>
        </w:rPr>
        <w:t xml:space="preserve"> </w:t>
      </w:r>
      <w:r>
        <w:rPr>
          <w:rFonts w:cs="Times New Roman"/>
          <w:sz w:val="28"/>
          <w:szCs w:val="28"/>
        </w:rPr>
        <w:t xml:space="preserve">Pēc informācijas no </w:t>
      </w:r>
      <w:r w:rsidRPr="00952597">
        <w:rPr>
          <w:rFonts w:cs="Times New Roman"/>
          <w:sz w:val="28"/>
          <w:szCs w:val="28"/>
        </w:rPr>
        <w:t>AS „Sadales tīkls” 85% izmaksu pastāv arī gadījumā, kad nevi</w:t>
      </w:r>
      <w:r w:rsidRPr="00E9324F">
        <w:rPr>
          <w:rFonts w:cs="Times New Roman"/>
          <w:sz w:val="28"/>
          <w:szCs w:val="28"/>
        </w:rPr>
        <w:t>ens nepatērētu elektroenerģiju</w:t>
      </w:r>
      <w:r>
        <w:rPr>
          <w:rFonts w:cs="Times New Roman"/>
          <w:sz w:val="28"/>
          <w:szCs w:val="28"/>
        </w:rPr>
        <w:t xml:space="preserve">, savukārt 15% izmaksu ir tieši atkarīgas no sadalītās elektroenerģijas apjoma. </w:t>
      </w:r>
    </w:p>
    <w:p w:rsidR="00C86F19" w:rsidRPr="00580625" w:rsidRDefault="00C86F19" w:rsidP="00C86F19">
      <w:pPr>
        <w:spacing w:line="240" w:lineRule="auto"/>
        <w:ind w:firstLine="567"/>
        <w:rPr>
          <w:rFonts w:cs="Times New Roman"/>
          <w:sz w:val="28"/>
          <w:szCs w:val="28"/>
        </w:rPr>
      </w:pPr>
      <w:r>
        <w:rPr>
          <w:rFonts w:cs="Times New Roman"/>
          <w:sz w:val="28"/>
          <w:szCs w:val="28"/>
        </w:rPr>
        <w:t>N</w:t>
      </w:r>
      <w:r w:rsidRPr="00580625">
        <w:rPr>
          <w:rFonts w:cs="Times New Roman"/>
          <w:sz w:val="28"/>
          <w:szCs w:val="28"/>
        </w:rPr>
        <w:t xml:space="preserve">ākotnē sagaidāma izkliedētās ģenerācijas attīstība un mikroģeneratoru pieejamība katrai mājsaimniecībai. Šāda situācija jau ir vairākās Eiropas valstīs – Itālijā, Grieķijā, Vācijā, Spānijā, Francijā, Beļģijā, Lielbritānijā. Mikroģeneratori ar akumulatoru palīdzību samazinās iepirktās elektroenerģijas apjomu, kas pie esošās sistēmas tarifu struktūras nozīmē sistēmas uzturēšanas izmaksu pārdali uz pārējiem lietotājiem.  Izkliedētas ģenerācijas elektrostacijas šobrīd 100 % apmaksā sistēmas pieslēguma izbūvi, bet tās neveido pietiekošus ieņēmumus, kas būs nepieciešami no elektrostacijām atejošo elektrolīniju atjaunošanai. </w:t>
      </w:r>
      <w:r>
        <w:rPr>
          <w:rFonts w:cs="Times New Roman"/>
          <w:sz w:val="28"/>
          <w:szCs w:val="28"/>
        </w:rPr>
        <w:t>Būtu loģiski, ka šādā gadījumā tās apmaksātu sistēmas uzturēšanu caur pieslēguma jaudas maksu (kā potenciāla iespēja izmanto tīklu)</w:t>
      </w:r>
      <w:r w:rsidRPr="00580625">
        <w:rPr>
          <w:rFonts w:cs="Times New Roman"/>
          <w:sz w:val="28"/>
          <w:szCs w:val="28"/>
        </w:rPr>
        <w:t>.</w:t>
      </w:r>
    </w:p>
    <w:p w:rsidR="001D5192" w:rsidRDefault="001D5192" w:rsidP="001D5192">
      <w:pPr>
        <w:spacing w:line="240" w:lineRule="auto"/>
        <w:ind w:firstLine="567"/>
        <w:rPr>
          <w:rFonts w:cs="Times New Roman"/>
          <w:sz w:val="28"/>
          <w:szCs w:val="28"/>
        </w:rPr>
      </w:pPr>
      <w:r w:rsidRPr="00387EB5">
        <w:rPr>
          <w:rFonts w:cs="Times New Roman"/>
          <w:sz w:val="28"/>
          <w:szCs w:val="28"/>
        </w:rPr>
        <w:t>Lai sistēmas tarifi atspoguļotu elektrotīkla infrastruktūras uzturēšanas un atjaunošanas izmaksas, veicinātu sistēmas izmantošanas efektivitāti un virzītu lietotājus energoefektivitātes paaugstināšanai kopumā, ir nepieciešamas izmaiņas esošajā sistēmas tarifu struktūrā.</w:t>
      </w:r>
    </w:p>
    <w:p w:rsidR="00C86F19" w:rsidRDefault="00C86F19" w:rsidP="00C86F19">
      <w:pPr>
        <w:spacing w:line="240" w:lineRule="auto"/>
        <w:ind w:firstLine="567"/>
        <w:rPr>
          <w:rFonts w:cs="Times New Roman"/>
          <w:sz w:val="28"/>
          <w:szCs w:val="28"/>
        </w:rPr>
      </w:pPr>
      <w:r w:rsidRPr="00952597">
        <w:rPr>
          <w:rFonts w:cs="Times New Roman"/>
          <w:sz w:val="28"/>
          <w:szCs w:val="28"/>
        </w:rPr>
        <w:t xml:space="preserve">Sistēmas tarifiem būtu jāatbilst dažādiem principiem, kas sistēmas operatoram sniegtu īstermiņa un ilgtermiņa signālus sistēmas attīstībai un ilgtspējīgai sistēmas operatora darbībai, kā arī aizsargātu lietotājus. </w:t>
      </w:r>
    </w:p>
    <w:p w:rsidR="00C86F19" w:rsidRDefault="00C86F19" w:rsidP="00C86F19">
      <w:pPr>
        <w:pStyle w:val="ListParagraph"/>
        <w:numPr>
          <w:ilvl w:val="0"/>
          <w:numId w:val="27"/>
        </w:numPr>
        <w:spacing w:line="240" w:lineRule="auto"/>
        <w:rPr>
          <w:rFonts w:cs="Times New Roman"/>
          <w:sz w:val="28"/>
          <w:szCs w:val="28"/>
        </w:rPr>
      </w:pPr>
      <w:r w:rsidRPr="00AA0F56">
        <w:rPr>
          <w:rFonts w:cs="Times New Roman"/>
          <w:sz w:val="28"/>
          <w:szCs w:val="28"/>
          <w:u w:val="single"/>
        </w:rPr>
        <w:t>Sistēmas ilgtspējas princip</w:t>
      </w:r>
      <w:r>
        <w:rPr>
          <w:rFonts w:cs="Times New Roman"/>
          <w:sz w:val="28"/>
          <w:szCs w:val="28"/>
          <w:u w:val="single"/>
        </w:rPr>
        <w:t>s</w:t>
      </w:r>
      <w:r w:rsidRPr="00AA0F56">
        <w:rPr>
          <w:rFonts w:cs="Times New Roman"/>
          <w:sz w:val="28"/>
          <w:szCs w:val="28"/>
        </w:rPr>
        <w:t xml:space="preserve">: tarifi ļauj sasniegt nepieciešamos ieņēmumus un pamatotu kapitāla atdevi; </w:t>
      </w:r>
    </w:p>
    <w:p w:rsidR="00C86F19" w:rsidRDefault="00C86F19" w:rsidP="00C86F19">
      <w:pPr>
        <w:pStyle w:val="ListParagraph"/>
        <w:numPr>
          <w:ilvl w:val="0"/>
          <w:numId w:val="27"/>
        </w:numPr>
        <w:spacing w:line="240" w:lineRule="auto"/>
        <w:rPr>
          <w:rFonts w:cs="Times New Roman"/>
          <w:sz w:val="28"/>
          <w:szCs w:val="28"/>
        </w:rPr>
      </w:pPr>
      <w:r w:rsidRPr="00AA0F56">
        <w:rPr>
          <w:rFonts w:cs="Times New Roman"/>
          <w:sz w:val="28"/>
          <w:szCs w:val="28"/>
          <w:u w:val="single"/>
        </w:rPr>
        <w:t>ekonomiskās efektivitātes princip</w:t>
      </w:r>
      <w:r>
        <w:rPr>
          <w:rFonts w:cs="Times New Roman"/>
          <w:sz w:val="28"/>
          <w:szCs w:val="28"/>
          <w:u w:val="single"/>
        </w:rPr>
        <w:t>s</w:t>
      </w:r>
      <w:r w:rsidRPr="00AA0F56">
        <w:rPr>
          <w:rFonts w:cs="Times New Roman"/>
          <w:sz w:val="28"/>
          <w:szCs w:val="28"/>
        </w:rPr>
        <w:t>: sistēmas pakalpojumiem ir jābūt lietotājam pieejamiem par zemāko iespējamo samaksu, tarifiem ir jāstimulē lietotājus efektīvi izmantot tīklu</w:t>
      </w:r>
      <w:r>
        <w:rPr>
          <w:rFonts w:cs="Times New Roman"/>
          <w:sz w:val="28"/>
          <w:szCs w:val="28"/>
        </w:rPr>
        <w:t xml:space="preserve"> un arī izmantot vairāk elektroenerģiju, kas vienlaikus samazinās OIK apjomu uz izlietoto kWh. Vienlaikus tiktu radītas priekšrocības citu energoiekārtu izmantošanai, kā piemēram, siltumsūkņi, kas vienlaikus uzlabotu </w:t>
      </w:r>
      <w:r w:rsidR="00ED2595">
        <w:rPr>
          <w:rFonts w:cs="Times New Roman"/>
          <w:sz w:val="28"/>
          <w:szCs w:val="28"/>
        </w:rPr>
        <w:t xml:space="preserve">atjaunojamo energoresursu </w:t>
      </w:r>
      <w:r>
        <w:rPr>
          <w:rFonts w:cs="Times New Roman"/>
          <w:sz w:val="28"/>
          <w:szCs w:val="28"/>
        </w:rPr>
        <w:t xml:space="preserve">daļu primārajā bilancē. Papildu lietotājs tiks motivēts izmantot to enerģijas veidu, kur ir lielāki energoefektivitātes ietaupījumi. </w:t>
      </w:r>
    </w:p>
    <w:p w:rsidR="00C86F19" w:rsidRPr="00AA0F56" w:rsidRDefault="00C86F19" w:rsidP="00C86F19">
      <w:pPr>
        <w:pStyle w:val="ListParagraph"/>
        <w:numPr>
          <w:ilvl w:val="0"/>
          <w:numId w:val="27"/>
        </w:numPr>
        <w:spacing w:line="240" w:lineRule="auto"/>
        <w:rPr>
          <w:rFonts w:cs="Times New Roman"/>
          <w:sz w:val="28"/>
          <w:szCs w:val="28"/>
        </w:rPr>
      </w:pPr>
      <w:r>
        <w:rPr>
          <w:rFonts w:cs="Times New Roman"/>
          <w:sz w:val="28"/>
          <w:szCs w:val="28"/>
          <w:u w:val="single"/>
        </w:rPr>
        <w:lastRenderedPageBreak/>
        <w:t xml:space="preserve">vienlīdzības princips: </w:t>
      </w:r>
      <w:r w:rsidRPr="00AA0F56">
        <w:rPr>
          <w:rFonts w:cs="Times New Roman"/>
          <w:sz w:val="28"/>
          <w:szCs w:val="28"/>
        </w:rPr>
        <w:t>visiem lietotājiem, kuriem ir nepieciešami vienādi sistēmas pakalpojumi, par tiem būtu jāmaksā vienādi, neatkarīgi no elektroenerģijas patēriņa.</w:t>
      </w:r>
      <w:r w:rsidRPr="00372D95">
        <w:rPr>
          <w:rStyle w:val="FootnoteReference"/>
          <w:rFonts w:cs="Times New Roman"/>
          <w:sz w:val="28"/>
          <w:szCs w:val="28"/>
        </w:rPr>
        <w:t xml:space="preserve"> </w:t>
      </w:r>
      <w:r w:rsidRPr="00952597">
        <w:rPr>
          <w:rStyle w:val="FootnoteReference"/>
          <w:rFonts w:cs="Times New Roman"/>
          <w:sz w:val="28"/>
          <w:szCs w:val="28"/>
        </w:rPr>
        <w:footnoteReference w:id="2"/>
      </w:r>
      <w:r w:rsidRPr="00AA0F56">
        <w:rPr>
          <w:rFonts w:cs="Times New Roman"/>
          <w:sz w:val="28"/>
          <w:szCs w:val="28"/>
        </w:rPr>
        <w:t xml:space="preserve"> </w:t>
      </w:r>
    </w:p>
    <w:p w:rsidR="00830E57" w:rsidRDefault="00D564DD" w:rsidP="00D564DD">
      <w:pPr>
        <w:pStyle w:val="Heading2"/>
      </w:pPr>
      <w:bookmarkStart w:id="13" w:name="_Toc428188931"/>
      <w:r>
        <w:t xml:space="preserve">2.5. </w:t>
      </w:r>
      <w:r w:rsidR="0037197B">
        <w:t>Elektroenerģijas tirgus a</w:t>
      </w:r>
      <w:r w:rsidR="00830E57">
        <w:t>izsargātie lietotāji</w:t>
      </w:r>
      <w:bookmarkEnd w:id="13"/>
    </w:p>
    <w:p w:rsidR="00CF6EE4" w:rsidRDefault="00CF6EE4" w:rsidP="00C86F19">
      <w:pPr>
        <w:spacing w:after="0" w:line="240" w:lineRule="auto"/>
        <w:ind w:firstLine="851"/>
        <w:rPr>
          <w:sz w:val="28"/>
          <w:szCs w:val="28"/>
        </w:rPr>
      </w:pPr>
    </w:p>
    <w:p w:rsidR="00C86F19" w:rsidRDefault="00C86F19" w:rsidP="00C86F19">
      <w:pPr>
        <w:spacing w:after="0" w:line="240" w:lineRule="auto"/>
        <w:ind w:firstLine="851"/>
        <w:rPr>
          <w:sz w:val="28"/>
          <w:szCs w:val="28"/>
        </w:rPr>
      </w:pPr>
      <w:r w:rsidRPr="00793779">
        <w:rPr>
          <w:sz w:val="28"/>
          <w:szCs w:val="28"/>
        </w:rPr>
        <w:t xml:space="preserve">Aizsargāto </w:t>
      </w:r>
      <w:r>
        <w:rPr>
          <w:sz w:val="28"/>
          <w:szCs w:val="28"/>
        </w:rPr>
        <w:t xml:space="preserve">lietotāju koncepts ir paredzēts, lai valstī samazinātos enerģētiskā nabadzība un attiecīgi </w:t>
      </w:r>
      <w:r w:rsidRPr="00793779">
        <w:rPr>
          <w:sz w:val="28"/>
          <w:szCs w:val="28"/>
        </w:rPr>
        <w:t xml:space="preserve">mazinātu </w:t>
      </w:r>
      <w:r>
        <w:rPr>
          <w:sz w:val="28"/>
          <w:szCs w:val="28"/>
        </w:rPr>
        <w:t>to cilvēku skaitu, kas nonākuši šādā situācijā. Līdz ar to enerģētiskās nabadzības mazināšanai pastāv vairāki virzieni, kā piemēram</w:t>
      </w:r>
      <w:r w:rsidR="00BC6019">
        <w:rPr>
          <w:sz w:val="28"/>
          <w:szCs w:val="28"/>
        </w:rPr>
        <w:t>,</w:t>
      </w:r>
      <w:r>
        <w:rPr>
          <w:sz w:val="28"/>
          <w:szCs w:val="28"/>
        </w:rPr>
        <w:t xml:space="preserve"> elektroenerģijas cenas atbalsts, sistēmas pieslēgumu cenu atbalsts un arī atbalsts pieslēgumiem tām </w:t>
      </w:r>
      <w:r w:rsidRPr="006617A6">
        <w:rPr>
          <w:sz w:val="28"/>
          <w:szCs w:val="28"/>
        </w:rPr>
        <w:t>trūcīg</w:t>
      </w:r>
      <w:r>
        <w:rPr>
          <w:sz w:val="28"/>
          <w:szCs w:val="28"/>
        </w:rPr>
        <w:t xml:space="preserve">ām </w:t>
      </w:r>
      <w:r w:rsidRPr="006617A6">
        <w:rPr>
          <w:sz w:val="28"/>
          <w:szCs w:val="28"/>
        </w:rPr>
        <w:t>vai maznodrošināt</w:t>
      </w:r>
      <w:r>
        <w:rPr>
          <w:sz w:val="28"/>
          <w:szCs w:val="28"/>
        </w:rPr>
        <w:t xml:space="preserve">ām mājsaimniecībām, </w:t>
      </w:r>
      <w:r w:rsidRPr="006617A6">
        <w:rPr>
          <w:sz w:val="28"/>
          <w:szCs w:val="28"/>
        </w:rPr>
        <w:t xml:space="preserve">kurās ilgstoši dzīvo </w:t>
      </w:r>
      <w:r>
        <w:rPr>
          <w:sz w:val="28"/>
          <w:szCs w:val="28"/>
        </w:rPr>
        <w:t>bez elektrības</w:t>
      </w:r>
      <w:r w:rsidRPr="006617A6">
        <w:rPr>
          <w:sz w:val="28"/>
          <w:szCs w:val="28"/>
        </w:rPr>
        <w:t xml:space="preserve"> personas, kurām nav iespējams segt pieslēguma izmaksas. Direktīvā 2009/72/EK par kopīgiem noteikumiem attiecībā uz elektroenerģijas iekšējo tirgu un par Direktīvas 2003/54/EK atcelšanu norādīts, ka dalībvalstīm būtu jānodrošina neaizsargāto lietotāju energoapgāde. </w:t>
      </w:r>
    </w:p>
    <w:p w:rsidR="00CF6EE4" w:rsidRPr="000841F8" w:rsidRDefault="00CF6EE4" w:rsidP="00C86F19">
      <w:pPr>
        <w:spacing w:after="0" w:line="240" w:lineRule="auto"/>
        <w:ind w:firstLine="851"/>
        <w:rPr>
          <w:sz w:val="16"/>
          <w:szCs w:val="28"/>
        </w:rPr>
      </w:pPr>
    </w:p>
    <w:p w:rsidR="00B16273" w:rsidRPr="00CF6EE4" w:rsidRDefault="00B16273" w:rsidP="00B16273">
      <w:pPr>
        <w:spacing w:after="0" w:line="240" w:lineRule="auto"/>
        <w:jc w:val="center"/>
        <w:rPr>
          <w:sz w:val="28"/>
          <w:szCs w:val="28"/>
        </w:rPr>
      </w:pPr>
      <w:r>
        <w:rPr>
          <w:noProof/>
          <w:sz w:val="28"/>
          <w:szCs w:val="28"/>
          <w:lang w:eastAsia="lv-LV"/>
        </w:rPr>
        <mc:AlternateContent>
          <mc:Choice Requires="wps">
            <w:drawing>
              <wp:anchor distT="0" distB="0" distL="114300" distR="114300" simplePos="0" relativeHeight="251659264" behindDoc="0" locked="0" layoutInCell="1" allowOverlap="1" wp14:anchorId="23C92190" wp14:editId="761959EA">
                <wp:simplePos x="0" y="0"/>
                <wp:positionH relativeFrom="column">
                  <wp:posOffset>3127798</wp:posOffset>
                </wp:positionH>
                <wp:positionV relativeFrom="paragraph">
                  <wp:posOffset>1667509</wp:posOffset>
                </wp:positionV>
                <wp:extent cx="1845734" cy="76201"/>
                <wp:effectExtent l="0" t="19050" r="40640" b="38100"/>
                <wp:wrapNone/>
                <wp:docPr id="13" name="Left Arrow 13"/>
                <wp:cNvGraphicFramePr/>
                <a:graphic xmlns:a="http://schemas.openxmlformats.org/drawingml/2006/main">
                  <a:graphicData uri="http://schemas.microsoft.com/office/word/2010/wordprocessingShape">
                    <wps:wsp>
                      <wps:cNvSpPr/>
                      <wps:spPr>
                        <a:xfrm rot="10800000" flipV="1">
                          <a:off x="0" y="0"/>
                          <a:ext cx="1845734" cy="76201"/>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5D3E9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246.3pt;margin-top:131.3pt;width:145.35pt;height:6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qRowIAAM4FAAAOAAAAZHJzL2Uyb0RvYy54bWysVE1v2zAMvQ/YfxB0X52k6ceCOkWQosOA&#10;oA3Wbj0rshQLkCWNUuJkv36UZLtdV+xQzAdDFMlH8onk1fWh0WQvwCtrSjo+GVEiDLeVMtuSfn+8&#10;/XRJiQ/MVExbI0p6FJ5ezz9+uGrdTExsbXUlgCCI8bPWlbQOwc2KwvNaNMyfWCcMKqWFhgUUYVtU&#10;wFpEb3QxGY3Oi9ZC5cBy4T3e3mQlnSd8KQUP91J6EYguKeYW0h/SfxP/xfyKzbbAXK14lwZ7RxYN&#10;UwaDDlA3LDCyA/UXVKM4WG9lOOG2KayUiotUA1YzHr2q5qFmTqRakBzvBpr8/4Pld/s1EFXh251S&#10;YliDb7QSMpAFgG0JXiJDrfMzNHxwa+gkj8dY7kFCQ8AirePR5Sh+lEit3A+8SHxgheSQ6D4OdItD&#10;IBwvx5fTs4vTKSUcdRfnSEAMVmTUiO7Ahy/CNiQeSqoxr5RWQmb7lQ/ZvreLPt5qVd0qrZMA281S&#10;A9kzfP5lzi+7/GGmzfs8MdXoWkR+MiPpFI5aREBtvgmJ3GKpk5Ry6moxJMQ4FyZknnzNKpHzPEs0&#10;dmnGOYgeiZcEGJEl1jdgdwC9ZQbpsTNMZx9dRRqKwXn0r8Sy8+CRIlsTBudGGQtvAWisqouc7XuS&#10;MjWRpY2tjth5qXewabzjtwpfecV8WDPAGcRL3CvhHn9S27aktjtRUlv49dZ9tMfRQC0lLc50Sf3P&#10;HQNBif5qcGg+j6fTuASSgL03QQFeajYvNWbXLC32zThll47RPuj+KME2T7h+FjEqqpjhGLukPEAv&#10;LEPeNbjAuFgskhkOvmNhZR4c76ckNvDj4YmB61o94Izc2X7+2exVs2fb+B7GLnbBSpUm4ZnXjm9c&#10;GqlxugUXt9JLOVk9r+H5bwAAAP//AwBQSwMEFAAGAAgAAAAhAIRzpxfjAAAACwEAAA8AAABkcnMv&#10;ZG93bnJldi54bWxMj01Lw0AQhu+C/2EZwUtpN6Y1bWM2RQRBWhSaitLbNjsmwexsyG7b+O+dnvQ2&#10;Hw/vPJOtBtuKE/a+caTgbhKBQCqdaahS8L57Hi9A+KDJ6NYRKvhBD6v8+irTqXFn2uKpCJXgEPKp&#10;VlCH0KVS+rJGq/3EdUi8+3K91YHbvpKm12cOt62MoyiRVjfEF2rd4VON5XdxtAr6D7u2m8/75X5U&#10;vcR+vX/bvhYjpW5vhscHEAGH8AfDRZ/VIWengzuS8aJVMFvGCaMK4uRSMDFfTKcgDjyZzxKQeSb/&#10;/5D/AgAA//8DAFBLAQItABQABgAIAAAAIQC2gziS/gAAAOEBAAATAAAAAAAAAAAAAAAAAAAAAABb&#10;Q29udGVudF9UeXBlc10ueG1sUEsBAi0AFAAGAAgAAAAhADj9If/WAAAAlAEAAAsAAAAAAAAAAAAA&#10;AAAALwEAAF9yZWxzLy5yZWxzUEsBAi0AFAAGAAgAAAAhAJwZGpGjAgAAzgUAAA4AAAAAAAAAAAAA&#10;AAAALgIAAGRycy9lMm9Eb2MueG1sUEsBAi0AFAAGAAgAAAAhAIRzpxfjAAAACwEAAA8AAAAAAAAA&#10;AAAAAAAA/QQAAGRycy9kb3ducmV2LnhtbFBLBQYAAAAABAAEAPMAAAANBgAAAAA=&#10;" adj="446" fillcolor="#c00000" strokecolor="#c00000" strokeweight="1pt"/>
            </w:pict>
          </mc:Fallback>
        </mc:AlternateContent>
      </w:r>
      <w:r>
        <w:rPr>
          <w:noProof/>
          <w:lang w:eastAsia="lv-LV"/>
        </w:rPr>
        <w:drawing>
          <wp:inline distT="0" distB="0" distL="0" distR="0" wp14:anchorId="459B6696" wp14:editId="75BB56A4">
            <wp:extent cx="5547360" cy="2659380"/>
            <wp:effectExtent l="0" t="0" r="1524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6EE4" w:rsidRPr="00D67152" w:rsidRDefault="00CF6EE4" w:rsidP="00CF6EE4">
      <w:pPr>
        <w:pStyle w:val="BodyText2"/>
        <w:rPr>
          <w:b/>
          <w:szCs w:val="24"/>
        </w:rPr>
      </w:pPr>
      <w:r>
        <w:rPr>
          <w:b/>
          <w:szCs w:val="24"/>
        </w:rPr>
        <w:t>4</w:t>
      </w:r>
      <w:r w:rsidRPr="00D67152">
        <w:rPr>
          <w:b/>
          <w:szCs w:val="24"/>
        </w:rPr>
        <w:t xml:space="preserve">.attēls. </w:t>
      </w:r>
      <w:r>
        <w:rPr>
          <w:b/>
          <w:szCs w:val="24"/>
        </w:rPr>
        <w:t>1.kvintiles</w:t>
      </w:r>
      <w:r w:rsidR="00BC6019">
        <w:rPr>
          <w:rStyle w:val="FootnoteReference"/>
          <w:b/>
          <w:szCs w:val="24"/>
        </w:rPr>
        <w:footnoteReference w:id="3"/>
      </w:r>
      <w:r>
        <w:rPr>
          <w:b/>
          <w:szCs w:val="24"/>
        </w:rPr>
        <w:t xml:space="preserve"> iedzīvotāju ienākumi pret elektroenerģijas cenu</w:t>
      </w:r>
    </w:p>
    <w:p w:rsidR="00CF6EE4" w:rsidRPr="000841F8" w:rsidRDefault="00CF6EE4" w:rsidP="00CF6EE4">
      <w:pPr>
        <w:spacing w:after="0" w:line="240" w:lineRule="auto"/>
        <w:ind w:firstLine="851"/>
        <w:rPr>
          <w:sz w:val="16"/>
          <w:szCs w:val="16"/>
        </w:rPr>
      </w:pPr>
    </w:p>
    <w:p w:rsidR="00CF6EE4" w:rsidRPr="00CF6EE4" w:rsidRDefault="00CF6EE4" w:rsidP="00CF6EE4">
      <w:pPr>
        <w:spacing w:after="0" w:line="240" w:lineRule="auto"/>
        <w:ind w:firstLine="851"/>
        <w:rPr>
          <w:sz w:val="28"/>
          <w:szCs w:val="28"/>
        </w:rPr>
      </w:pPr>
      <w:r w:rsidRPr="00CF6EE4">
        <w:rPr>
          <w:sz w:val="28"/>
          <w:szCs w:val="28"/>
        </w:rPr>
        <w:t xml:space="preserve">Pateicoties </w:t>
      </w:r>
      <w:r w:rsidR="00BC6019">
        <w:rPr>
          <w:sz w:val="28"/>
          <w:szCs w:val="28"/>
        </w:rPr>
        <w:t>a</w:t>
      </w:r>
      <w:r w:rsidRPr="00CF6EE4">
        <w:rPr>
          <w:sz w:val="28"/>
          <w:szCs w:val="28"/>
        </w:rPr>
        <w:t xml:space="preserve">izsargātā lietotāja instrumentam, Latvijā trūcīgajām mājsaimniecībām tiek nodrošināta subsidēta elektroenerģijas </w:t>
      </w:r>
      <w:r w:rsidR="00BC6019">
        <w:rPr>
          <w:sz w:val="28"/>
          <w:szCs w:val="28"/>
        </w:rPr>
        <w:t>gala</w:t>
      </w:r>
      <w:r w:rsidRPr="00CF6EE4">
        <w:rPr>
          <w:sz w:val="28"/>
          <w:szCs w:val="28"/>
        </w:rPr>
        <w:t>cena, tādējādi samazinot enerģētiskās nabadzības riskus. Savukārt</w:t>
      </w:r>
      <w:r>
        <w:rPr>
          <w:sz w:val="28"/>
          <w:szCs w:val="28"/>
        </w:rPr>
        <w:t>,</w:t>
      </w:r>
      <w:r w:rsidR="00BC6019">
        <w:rPr>
          <w:sz w:val="28"/>
          <w:szCs w:val="28"/>
        </w:rPr>
        <w:t xml:space="preserve"> atceļot OIK atbalstu un īpaši a</w:t>
      </w:r>
      <w:r w:rsidRPr="00CF6EE4">
        <w:rPr>
          <w:sz w:val="28"/>
          <w:szCs w:val="28"/>
        </w:rPr>
        <w:t>izsargātā lietotāja budžeta subsīdiju, Latvijas trūcīgo mājsaimniecību elektroenerģijas nabadzības indekss tuvotos E</w:t>
      </w:r>
      <w:r>
        <w:rPr>
          <w:sz w:val="28"/>
          <w:szCs w:val="28"/>
        </w:rPr>
        <w:t xml:space="preserve">iropas </w:t>
      </w:r>
      <w:r w:rsidRPr="00CF6EE4">
        <w:rPr>
          <w:sz w:val="28"/>
          <w:szCs w:val="28"/>
        </w:rPr>
        <w:t>S</w:t>
      </w:r>
      <w:r>
        <w:rPr>
          <w:sz w:val="28"/>
          <w:szCs w:val="28"/>
        </w:rPr>
        <w:t>avienības</w:t>
      </w:r>
      <w:r w:rsidRPr="00CF6EE4">
        <w:rPr>
          <w:sz w:val="28"/>
          <w:szCs w:val="28"/>
        </w:rPr>
        <w:t xml:space="preserve"> nabadzīgajām valstīm. Gadījumā</w:t>
      </w:r>
      <w:r w:rsidR="00BC6019">
        <w:rPr>
          <w:sz w:val="28"/>
          <w:szCs w:val="28"/>
        </w:rPr>
        <w:t>,</w:t>
      </w:r>
      <w:r w:rsidRPr="00CF6EE4">
        <w:rPr>
          <w:sz w:val="28"/>
          <w:szCs w:val="28"/>
        </w:rPr>
        <w:t xml:space="preserve"> ja neeksistē efektīva sociālā atbalsta sistēma, šād</w:t>
      </w:r>
      <w:r>
        <w:rPr>
          <w:sz w:val="28"/>
          <w:szCs w:val="28"/>
        </w:rPr>
        <w:t>a izdevumu palielināšanās var ra</w:t>
      </w:r>
      <w:r w:rsidRPr="00CF6EE4">
        <w:rPr>
          <w:sz w:val="28"/>
          <w:szCs w:val="28"/>
        </w:rPr>
        <w:t>dīt nopietnus sociālos riskus, kā piemēram</w:t>
      </w:r>
      <w:r w:rsidR="00BC6019">
        <w:rPr>
          <w:sz w:val="28"/>
          <w:szCs w:val="28"/>
        </w:rPr>
        <w:t>,</w:t>
      </w:r>
      <w:r w:rsidRPr="00CF6EE4">
        <w:rPr>
          <w:sz w:val="28"/>
          <w:szCs w:val="28"/>
        </w:rPr>
        <w:t xml:space="preserve"> Bulgārijā </w:t>
      </w:r>
      <w:r w:rsidRPr="00CF6EE4">
        <w:rPr>
          <w:sz w:val="28"/>
          <w:szCs w:val="28"/>
        </w:rPr>
        <w:lastRenderedPageBreak/>
        <w:t>2013.</w:t>
      </w:r>
      <w:r>
        <w:rPr>
          <w:sz w:val="28"/>
          <w:szCs w:val="28"/>
        </w:rPr>
        <w:t> </w:t>
      </w:r>
      <w:r w:rsidRPr="00CF6EE4">
        <w:rPr>
          <w:sz w:val="28"/>
          <w:szCs w:val="28"/>
        </w:rPr>
        <w:t>gadā. Vairākās valstīs arī pēc tam ir bijis vērojams, ka tieši elektroenerģijas izmaksu pieaugums var destabilizēt situāciju valstī</w:t>
      </w:r>
      <w:r w:rsidR="00BC6019">
        <w:rPr>
          <w:sz w:val="28"/>
          <w:szCs w:val="28"/>
        </w:rPr>
        <w:t>,</w:t>
      </w:r>
      <w:r w:rsidRPr="00CF6EE4">
        <w:rPr>
          <w:sz w:val="28"/>
          <w:szCs w:val="28"/>
        </w:rPr>
        <w:t xml:space="preserve"> un kā piemēru var minēt Armēnijas nemierus 2015.gadā. </w:t>
      </w:r>
      <w:r w:rsidR="00AD7C9B">
        <w:rPr>
          <w:sz w:val="28"/>
          <w:szCs w:val="28"/>
        </w:rPr>
        <w:t>B</w:t>
      </w:r>
      <w:r w:rsidR="00BC6019">
        <w:rPr>
          <w:sz w:val="28"/>
          <w:szCs w:val="28"/>
        </w:rPr>
        <w:t>ez OIK atbalsta un a</w:t>
      </w:r>
      <w:r w:rsidRPr="00CF6EE4">
        <w:rPr>
          <w:sz w:val="28"/>
          <w:szCs w:val="28"/>
        </w:rPr>
        <w:t xml:space="preserve">izsargātā lietotāja budžeta, </w:t>
      </w:r>
      <w:r w:rsidR="008E5081">
        <w:rPr>
          <w:sz w:val="28"/>
          <w:szCs w:val="28"/>
        </w:rPr>
        <w:t>1.kvintiles iedzīvotāju ienākumi atbilstu 15,7 MWh gadā un Latvija ievērojami pasliktin</w:t>
      </w:r>
      <w:r w:rsidR="00DE3D01">
        <w:rPr>
          <w:sz w:val="28"/>
          <w:szCs w:val="28"/>
        </w:rPr>
        <w:t xml:space="preserve">ātu </w:t>
      </w:r>
      <w:r w:rsidR="008E5081">
        <w:rPr>
          <w:sz w:val="28"/>
          <w:szCs w:val="28"/>
        </w:rPr>
        <w:t>pašreizējo stāvokli, paaugstinot enerģētiskās nabadzības risku</w:t>
      </w:r>
      <w:r w:rsidR="00BC6019">
        <w:rPr>
          <w:sz w:val="28"/>
          <w:szCs w:val="28"/>
        </w:rPr>
        <w:t xml:space="preserve"> (4.attēls</w:t>
      </w:r>
      <w:r w:rsidR="00DE3D01">
        <w:rPr>
          <w:sz w:val="28"/>
          <w:szCs w:val="28"/>
        </w:rPr>
        <w:t>)</w:t>
      </w:r>
      <w:r w:rsidR="008E5081">
        <w:rPr>
          <w:sz w:val="28"/>
          <w:szCs w:val="28"/>
        </w:rPr>
        <w:t>.</w:t>
      </w:r>
    </w:p>
    <w:p w:rsidR="008E5081" w:rsidRPr="00DE3D01" w:rsidRDefault="008E5081" w:rsidP="00CF6EE4">
      <w:pPr>
        <w:spacing w:after="0" w:line="240" w:lineRule="auto"/>
        <w:ind w:firstLine="851"/>
        <w:rPr>
          <w:sz w:val="16"/>
          <w:szCs w:val="16"/>
        </w:rPr>
      </w:pPr>
    </w:p>
    <w:p w:rsidR="00487D3C" w:rsidRPr="00CF6EE4" w:rsidRDefault="00487D3C" w:rsidP="00487D3C">
      <w:pPr>
        <w:spacing w:after="0" w:line="240" w:lineRule="auto"/>
        <w:jc w:val="center"/>
        <w:rPr>
          <w:sz w:val="28"/>
          <w:szCs w:val="28"/>
        </w:rPr>
      </w:pPr>
      <w:r>
        <w:rPr>
          <w:noProof/>
          <w:lang w:eastAsia="lv-LV"/>
        </w:rPr>
        <w:drawing>
          <wp:inline distT="0" distB="0" distL="0" distR="0" wp14:anchorId="2EF7BCBA" wp14:editId="710FFBAA">
            <wp:extent cx="4572000" cy="2659380"/>
            <wp:effectExtent l="0" t="0" r="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3D01" w:rsidRPr="00D67152" w:rsidRDefault="00DE3D01" w:rsidP="00DE3D01">
      <w:pPr>
        <w:pStyle w:val="BodyText2"/>
        <w:rPr>
          <w:b/>
          <w:szCs w:val="24"/>
        </w:rPr>
      </w:pPr>
      <w:r>
        <w:rPr>
          <w:b/>
          <w:szCs w:val="24"/>
        </w:rPr>
        <w:t>5</w:t>
      </w:r>
      <w:r w:rsidRPr="00D67152">
        <w:rPr>
          <w:b/>
          <w:szCs w:val="24"/>
        </w:rPr>
        <w:t xml:space="preserve">.attēls. </w:t>
      </w:r>
      <w:r>
        <w:rPr>
          <w:b/>
          <w:szCs w:val="24"/>
        </w:rPr>
        <w:t xml:space="preserve">Elektroenerģijas izmaksas virs tirgus cenas vidēji lieliem apstrādes rūpniecības uzņēmumiem (20 – 70 GWh) </w:t>
      </w:r>
      <w:r w:rsidRPr="00DE3D01">
        <w:rPr>
          <w:szCs w:val="24"/>
        </w:rPr>
        <w:t>(Avots: Eurostat)</w:t>
      </w:r>
    </w:p>
    <w:p w:rsidR="00DE3D01" w:rsidRPr="000841F8" w:rsidRDefault="00DE3D01" w:rsidP="00DE3D01">
      <w:pPr>
        <w:spacing w:after="0" w:line="240" w:lineRule="auto"/>
        <w:ind w:firstLine="851"/>
        <w:rPr>
          <w:sz w:val="16"/>
          <w:szCs w:val="16"/>
        </w:rPr>
      </w:pPr>
    </w:p>
    <w:p w:rsidR="00CF6EE4" w:rsidRPr="00CF6EE4" w:rsidRDefault="00CF6EE4" w:rsidP="00DE3D01">
      <w:pPr>
        <w:spacing w:after="0" w:line="240" w:lineRule="auto"/>
        <w:ind w:firstLine="851"/>
        <w:rPr>
          <w:sz w:val="28"/>
          <w:szCs w:val="28"/>
        </w:rPr>
      </w:pPr>
      <w:r w:rsidRPr="00CF6EE4">
        <w:rPr>
          <w:sz w:val="28"/>
          <w:szCs w:val="28"/>
        </w:rPr>
        <w:t>Salīdzinot Baltijas jūras valstis un Austrumeiropas valstis, Latvijā 2014.gadā bija augstākās izmaksas virs elektroenerģijas tirgus cenas energointesīviem apstrādes uzņēmumiem ar patēriņu 20-70GWh</w:t>
      </w:r>
      <w:r w:rsidR="00DE3D01">
        <w:rPr>
          <w:sz w:val="28"/>
          <w:szCs w:val="28"/>
        </w:rPr>
        <w:t xml:space="preserve"> (5.att</w:t>
      </w:r>
      <w:r w:rsidR="00BC6019">
        <w:rPr>
          <w:sz w:val="28"/>
          <w:szCs w:val="28"/>
        </w:rPr>
        <w:t>ēls</w:t>
      </w:r>
      <w:r w:rsidR="00DE3D01">
        <w:rPr>
          <w:sz w:val="28"/>
          <w:szCs w:val="28"/>
        </w:rPr>
        <w:t>)</w:t>
      </w:r>
      <w:r w:rsidRPr="00CF6EE4">
        <w:rPr>
          <w:sz w:val="28"/>
          <w:szCs w:val="28"/>
        </w:rPr>
        <w:t>, kas</w:t>
      </w:r>
      <w:r w:rsidR="00BC6019">
        <w:rPr>
          <w:sz w:val="28"/>
          <w:szCs w:val="28"/>
        </w:rPr>
        <w:t>,</w:t>
      </w:r>
      <w:r w:rsidRPr="00CF6EE4">
        <w:rPr>
          <w:sz w:val="28"/>
          <w:szCs w:val="28"/>
        </w:rPr>
        <w:t xml:space="preserve"> savukārt</w:t>
      </w:r>
      <w:r w:rsidR="00BC6019">
        <w:rPr>
          <w:sz w:val="28"/>
          <w:szCs w:val="28"/>
        </w:rPr>
        <w:t>,</w:t>
      </w:r>
      <w:r w:rsidRPr="00CF6EE4">
        <w:rPr>
          <w:sz w:val="28"/>
          <w:szCs w:val="28"/>
        </w:rPr>
        <w:t xml:space="preserve"> rada būtiskus riskus jaunu investīciju piesaistei rūpniecībā un ierobežo no jauna radītu darbavietu skaitu.</w:t>
      </w:r>
      <w:r w:rsidR="00DE3D01">
        <w:rPr>
          <w:sz w:val="28"/>
          <w:szCs w:val="28"/>
        </w:rPr>
        <w:t xml:space="preserve"> </w:t>
      </w:r>
      <w:r w:rsidRPr="00CF6EE4">
        <w:rPr>
          <w:sz w:val="28"/>
          <w:szCs w:val="28"/>
        </w:rPr>
        <w:t>Esošie uzņēmumi, lai kompensētu augstās elektroenerģijas cenas</w:t>
      </w:r>
      <w:r w:rsidR="00BC6019">
        <w:rPr>
          <w:sz w:val="28"/>
          <w:szCs w:val="28"/>
        </w:rPr>
        <w:t>,</w:t>
      </w:r>
      <w:r w:rsidRPr="00CF6EE4">
        <w:rPr>
          <w:sz w:val="28"/>
          <w:szCs w:val="28"/>
        </w:rPr>
        <w:t xml:space="preserve"> ierobežo </w:t>
      </w:r>
      <w:r w:rsidR="00BC6019">
        <w:rPr>
          <w:sz w:val="28"/>
          <w:szCs w:val="28"/>
        </w:rPr>
        <w:t xml:space="preserve">esošo investīciju paplašināšanos un </w:t>
      </w:r>
      <w:r w:rsidRPr="00CF6EE4">
        <w:rPr>
          <w:sz w:val="28"/>
          <w:szCs w:val="28"/>
        </w:rPr>
        <w:t>jaunus kapitālieguldījumus/investīcijas</w:t>
      </w:r>
      <w:r w:rsidR="00BC6019">
        <w:rPr>
          <w:sz w:val="28"/>
          <w:szCs w:val="28"/>
        </w:rPr>
        <w:t>,</w:t>
      </w:r>
      <w:r w:rsidRPr="00CF6EE4">
        <w:rPr>
          <w:sz w:val="28"/>
          <w:szCs w:val="28"/>
        </w:rPr>
        <w:t xml:space="preserve"> kā arī cenšas kompensēt to ar samazinātām personāla izmaksām, kā rezultātā </w:t>
      </w:r>
      <w:r w:rsidR="00DE3D01">
        <w:rPr>
          <w:sz w:val="28"/>
          <w:szCs w:val="28"/>
        </w:rPr>
        <w:t xml:space="preserve">tiek </w:t>
      </w:r>
      <w:r w:rsidRPr="00CF6EE4">
        <w:rPr>
          <w:sz w:val="28"/>
          <w:szCs w:val="28"/>
        </w:rPr>
        <w:t>ierobežota ekonomikas produktivitātes izaugsme.</w:t>
      </w:r>
    </w:p>
    <w:p w:rsidR="00CF6EE4" w:rsidRPr="00CF6EE4" w:rsidRDefault="00CF6EE4" w:rsidP="00CF6EE4">
      <w:pPr>
        <w:spacing w:after="0" w:line="240" w:lineRule="auto"/>
        <w:ind w:firstLine="851"/>
        <w:rPr>
          <w:sz w:val="28"/>
          <w:szCs w:val="28"/>
        </w:rPr>
      </w:pPr>
      <w:r w:rsidRPr="00CF6EE4">
        <w:rPr>
          <w:sz w:val="28"/>
          <w:szCs w:val="28"/>
        </w:rPr>
        <w:t>Ņemot vērā Latvijas iekšējā tirgus niecīgos izmērus, jaunu investīciju lēmumos dominē infrastruktūras pieejamība, personāla izmaksas un enerģijas izmaksas. Tieši augstās enerģijas izmaksas samazina Latvijas kā investīciju mērķa valsts pievilcību, jo pārējās pozīcijās mūsu iespējas panākt būtiskas atšķirības ar citām Austrumeiropas valstīm ir ierobežotas.</w:t>
      </w:r>
    </w:p>
    <w:p w:rsidR="00CF6EE4" w:rsidRPr="00CF6EE4" w:rsidRDefault="00BC6019" w:rsidP="00CF6EE4">
      <w:pPr>
        <w:spacing w:after="0" w:line="240" w:lineRule="auto"/>
        <w:ind w:firstLine="851"/>
        <w:rPr>
          <w:sz w:val="28"/>
          <w:szCs w:val="28"/>
        </w:rPr>
      </w:pPr>
      <w:r>
        <w:rPr>
          <w:sz w:val="28"/>
          <w:szCs w:val="28"/>
        </w:rPr>
        <w:t>R</w:t>
      </w:r>
      <w:r w:rsidRPr="00CF6EE4">
        <w:rPr>
          <w:sz w:val="28"/>
          <w:szCs w:val="28"/>
        </w:rPr>
        <w:t xml:space="preserve">augoties </w:t>
      </w:r>
      <w:r>
        <w:rPr>
          <w:sz w:val="28"/>
          <w:szCs w:val="28"/>
        </w:rPr>
        <w:t>n</w:t>
      </w:r>
      <w:r w:rsidR="00CF6EE4" w:rsidRPr="00CF6EE4">
        <w:rPr>
          <w:sz w:val="28"/>
          <w:szCs w:val="28"/>
        </w:rPr>
        <w:t>o sociālās nevienlīdzības faktora</w:t>
      </w:r>
      <w:r>
        <w:rPr>
          <w:sz w:val="28"/>
          <w:szCs w:val="28"/>
        </w:rPr>
        <w:t>,</w:t>
      </w:r>
      <w:r w:rsidR="00CF6EE4" w:rsidRPr="00CF6EE4">
        <w:rPr>
          <w:sz w:val="28"/>
          <w:szCs w:val="28"/>
        </w:rPr>
        <w:t xml:space="preserve"> zemais darba </w:t>
      </w:r>
      <w:r>
        <w:rPr>
          <w:sz w:val="28"/>
          <w:szCs w:val="28"/>
        </w:rPr>
        <w:t>algu un produktivitātes līmenis</w:t>
      </w:r>
      <w:r w:rsidR="00CF6EE4" w:rsidRPr="00CF6EE4">
        <w:rPr>
          <w:sz w:val="28"/>
          <w:szCs w:val="28"/>
        </w:rPr>
        <w:t xml:space="preserve"> vidējā termiņā neļauj cerēt uz pirmo divu kvintiļu ienākumu palielinājumu.</w:t>
      </w:r>
    </w:p>
    <w:p w:rsidR="00C86F19" w:rsidRDefault="00C86F19" w:rsidP="00C86F19">
      <w:pPr>
        <w:spacing w:after="0" w:line="240" w:lineRule="auto"/>
        <w:ind w:firstLine="851"/>
      </w:pPr>
      <w:r w:rsidRPr="0037197B">
        <w:rPr>
          <w:sz w:val="28"/>
          <w:szCs w:val="28"/>
        </w:rPr>
        <w:t>Pēc elektroenerģijas tirgus pilnīgas atvēršanas un subsidēto elektroenerģijas ta</w:t>
      </w:r>
      <w:r w:rsidR="00BC6019">
        <w:rPr>
          <w:sz w:val="28"/>
          <w:szCs w:val="28"/>
        </w:rPr>
        <w:t>rifu atcelšanas mājsaimniecībām</w:t>
      </w:r>
      <w:r w:rsidRPr="0037197B">
        <w:rPr>
          <w:sz w:val="28"/>
          <w:szCs w:val="28"/>
        </w:rPr>
        <w:t xml:space="preserve"> no 2015.</w:t>
      </w:r>
      <w:r w:rsidR="00BC6019">
        <w:rPr>
          <w:sz w:val="28"/>
          <w:szCs w:val="28"/>
        </w:rPr>
        <w:t xml:space="preserve"> </w:t>
      </w:r>
      <w:r w:rsidRPr="0037197B">
        <w:rPr>
          <w:sz w:val="28"/>
          <w:szCs w:val="28"/>
        </w:rPr>
        <w:t>gada 1.</w:t>
      </w:r>
      <w:r w:rsidR="00BC6019">
        <w:rPr>
          <w:sz w:val="28"/>
          <w:szCs w:val="28"/>
        </w:rPr>
        <w:t xml:space="preserve"> </w:t>
      </w:r>
      <w:r w:rsidRPr="0037197B">
        <w:rPr>
          <w:sz w:val="28"/>
          <w:szCs w:val="28"/>
        </w:rPr>
        <w:t xml:space="preserve">janvāra cena par elektroenerģiju veidojas brīva tirgus apstākļos. Tā rezultātā </w:t>
      </w:r>
      <w:r w:rsidRPr="0037197B">
        <w:rPr>
          <w:sz w:val="28"/>
          <w:szCs w:val="28"/>
        </w:rPr>
        <w:lastRenderedPageBreak/>
        <w:t>mājsaimniecību izmaksas par elektroenerģiju ir pieaugušas</w:t>
      </w:r>
      <w:r w:rsidR="00BC6019">
        <w:rPr>
          <w:sz w:val="28"/>
          <w:szCs w:val="28"/>
        </w:rPr>
        <w:t>,</w:t>
      </w:r>
      <w:r>
        <w:rPr>
          <w:sz w:val="28"/>
          <w:szCs w:val="28"/>
        </w:rPr>
        <w:t xml:space="preserve"> salīdzinot ar regulēto tarifu, kas bija spēkā kopš 2011.</w:t>
      </w:r>
      <w:r w:rsidR="00BC6019">
        <w:rPr>
          <w:sz w:val="28"/>
          <w:szCs w:val="28"/>
        </w:rPr>
        <w:t xml:space="preserve"> </w:t>
      </w:r>
      <w:r>
        <w:rPr>
          <w:sz w:val="28"/>
          <w:szCs w:val="28"/>
        </w:rPr>
        <w:t>gada.</w:t>
      </w:r>
    </w:p>
    <w:p w:rsidR="00C86F19" w:rsidRDefault="00C86F19" w:rsidP="00C86F19">
      <w:pPr>
        <w:spacing w:after="0" w:line="240" w:lineRule="auto"/>
        <w:ind w:firstLine="851"/>
        <w:rPr>
          <w:sz w:val="28"/>
          <w:szCs w:val="28"/>
        </w:rPr>
      </w:pPr>
      <w:r w:rsidRPr="00AA0F56">
        <w:rPr>
          <w:sz w:val="28"/>
          <w:szCs w:val="28"/>
        </w:rPr>
        <w:t>Saskaņā ar Elektroenerģijas tirgus likuma grozījumiem, kas stājās spēkā 2015.</w:t>
      </w:r>
      <w:r w:rsidR="00BC6019">
        <w:rPr>
          <w:sz w:val="28"/>
          <w:szCs w:val="28"/>
        </w:rPr>
        <w:t xml:space="preserve"> </w:t>
      </w:r>
      <w:r w:rsidRPr="00AA0F56">
        <w:rPr>
          <w:sz w:val="28"/>
          <w:szCs w:val="28"/>
        </w:rPr>
        <w:t>gada 1.</w:t>
      </w:r>
      <w:r w:rsidR="00BC6019">
        <w:rPr>
          <w:sz w:val="28"/>
          <w:szCs w:val="28"/>
        </w:rPr>
        <w:t xml:space="preserve"> </w:t>
      </w:r>
      <w:r w:rsidRPr="00AA0F56">
        <w:rPr>
          <w:sz w:val="28"/>
          <w:szCs w:val="28"/>
        </w:rPr>
        <w:t>janvārī</w:t>
      </w:r>
      <w:r w:rsidR="00BC6019">
        <w:rPr>
          <w:sz w:val="28"/>
          <w:szCs w:val="28"/>
        </w:rPr>
        <w:t>,</w:t>
      </w:r>
      <w:r w:rsidRPr="00AA0F56">
        <w:rPr>
          <w:sz w:val="28"/>
          <w:szCs w:val="28"/>
        </w:rPr>
        <w:t xml:space="preserve"> </w:t>
      </w:r>
      <w:r w:rsidRPr="00AA0F56">
        <w:rPr>
          <w:b/>
          <w:sz w:val="28"/>
          <w:szCs w:val="28"/>
        </w:rPr>
        <w:t>aizsargātais lietotājs</w:t>
      </w:r>
      <w:r w:rsidRPr="00AA0F56">
        <w:rPr>
          <w:sz w:val="28"/>
          <w:szCs w:val="28"/>
        </w:rPr>
        <w:t xml:space="preserve"> ir trūcīga vai maznodrošināta ģimene (persona) vai daudzbērnu ģimene, kura izlieto elektroenerģiju savā mājsaimniecībā pašas vajadzībām (galapatēriņam). </w:t>
      </w:r>
    </w:p>
    <w:p w:rsidR="00C86F19" w:rsidRPr="00857D4A" w:rsidRDefault="00BC6019" w:rsidP="00C86F19">
      <w:pPr>
        <w:spacing w:after="0" w:line="240" w:lineRule="auto"/>
        <w:ind w:firstLine="851"/>
        <w:rPr>
          <w:sz w:val="28"/>
          <w:szCs w:val="28"/>
        </w:rPr>
      </w:pPr>
      <w:r>
        <w:rPr>
          <w:sz w:val="28"/>
          <w:szCs w:val="28"/>
        </w:rPr>
        <w:t>Pašlaik Saeimā 3.lasījumā</w:t>
      </w:r>
      <w:r w:rsidR="00C86F19" w:rsidRPr="00857D4A">
        <w:rPr>
          <w:sz w:val="28"/>
          <w:szCs w:val="28"/>
        </w:rPr>
        <w:t xml:space="preserve"> tiek virzīti </w:t>
      </w:r>
      <w:r>
        <w:rPr>
          <w:sz w:val="28"/>
          <w:szCs w:val="28"/>
        </w:rPr>
        <w:t>g</w:t>
      </w:r>
      <w:r w:rsidR="00C86F19" w:rsidRPr="00857D4A">
        <w:rPr>
          <w:sz w:val="28"/>
          <w:szCs w:val="28"/>
        </w:rPr>
        <w:t xml:space="preserve">rozījumi Elektroenerģijas tirgus likumā, kas paredz paplašināt aizsargāto lietotāju loku ar ģimenēm, kuru apgādībā ir bērns ar invaliditāti. Papildus ir iesniegts priekšlikums likumprojektam, kas paredz </w:t>
      </w:r>
      <w:r w:rsidR="001D5192" w:rsidRPr="0098795F">
        <w:rPr>
          <w:rFonts w:cs="Times New Roman"/>
          <w:color w:val="000000" w:themeColor="text1"/>
          <w:sz w:val="28"/>
          <w:szCs w:val="28"/>
        </w:rPr>
        <w:t>daudzbērnu ģimenes statusa saglabāšanu līdz bērna 24 gadu vecuma sasniegšanas, ja bērns turpina mācības.</w:t>
      </w:r>
      <w:r w:rsidR="00C86F19">
        <w:rPr>
          <w:sz w:val="28"/>
          <w:szCs w:val="28"/>
        </w:rPr>
        <w:t xml:space="preserve"> Tātad</w:t>
      </w:r>
      <w:r>
        <w:rPr>
          <w:sz w:val="28"/>
          <w:szCs w:val="28"/>
        </w:rPr>
        <w:t>,</w:t>
      </w:r>
      <w:r w:rsidR="00C86F19">
        <w:rPr>
          <w:sz w:val="28"/>
          <w:szCs w:val="28"/>
        </w:rPr>
        <w:t xml:space="preserve"> nenoliedzot jau iepriekšminēto grupu īpašās vajadzības</w:t>
      </w:r>
      <w:r>
        <w:rPr>
          <w:sz w:val="28"/>
          <w:szCs w:val="28"/>
        </w:rPr>
        <w:t>,</w:t>
      </w:r>
      <w:r w:rsidR="00C86F19">
        <w:rPr>
          <w:sz w:val="28"/>
          <w:szCs w:val="28"/>
        </w:rPr>
        <w:t xml:space="preserve"> aizsargāto lietotāju definīcija nav skaidra, kas attiecīgi ietekmē nepieciešamos budžeta līdzekļus 2016.</w:t>
      </w:r>
      <w:r>
        <w:rPr>
          <w:sz w:val="28"/>
          <w:szCs w:val="28"/>
        </w:rPr>
        <w:t xml:space="preserve"> </w:t>
      </w:r>
      <w:r w:rsidR="00C86F19">
        <w:rPr>
          <w:sz w:val="28"/>
          <w:szCs w:val="28"/>
        </w:rPr>
        <w:t>-</w:t>
      </w:r>
      <w:r>
        <w:rPr>
          <w:sz w:val="28"/>
          <w:szCs w:val="28"/>
        </w:rPr>
        <w:t xml:space="preserve"> </w:t>
      </w:r>
      <w:r w:rsidR="00C86F19">
        <w:rPr>
          <w:sz w:val="28"/>
          <w:szCs w:val="28"/>
        </w:rPr>
        <w:t>2018.</w:t>
      </w:r>
      <w:r>
        <w:rPr>
          <w:sz w:val="28"/>
          <w:szCs w:val="28"/>
        </w:rPr>
        <w:t xml:space="preserve"> </w:t>
      </w:r>
      <w:r w:rsidR="00C86F19">
        <w:rPr>
          <w:sz w:val="28"/>
          <w:szCs w:val="28"/>
        </w:rPr>
        <w:t xml:space="preserve">gadā. </w:t>
      </w:r>
    </w:p>
    <w:p w:rsidR="00C86F19" w:rsidRPr="00AA0F56" w:rsidRDefault="00C86F19" w:rsidP="00C86F19">
      <w:pPr>
        <w:spacing w:after="0" w:line="240" w:lineRule="auto"/>
        <w:ind w:firstLine="851"/>
        <w:rPr>
          <w:sz w:val="28"/>
          <w:szCs w:val="28"/>
        </w:rPr>
      </w:pPr>
      <w:r w:rsidRPr="00AA0F56">
        <w:rPr>
          <w:sz w:val="28"/>
          <w:szCs w:val="28"/>
        </w:rPr>
        <w:t>Saskaņā ar Elektroenerģijas tirgus likuma grozījumiem, kas stājās spēkā 2015.gada 1.janvārī</w:t>
      </w:r>
      <w:r w:rsidR="00EE4744">
        <w:rPr>
          <w:sz w:val="28"/>
          <w:szCs w:val="28"/>
        </w:rPr>
        <w:t>,</w:t>
      </w:r>
      <w:r w:rsidRPr="00AA0F56">
        <w:rPr>
          <w:sz w:val="28"/>
          <w:szCs w:val="28"/>
        </w:rPr>
        <w:t xml:space="preserve"> </w:t>
      </w:r>
      <w:r w:rsidRPr="00AA0F56">
        <w:rPr>
          <w:b/>
          <w:sz w:val="28"/>
          <w:szCs w:val="28"/>
        </w:rPr>
        <w:t>aizsargātā lietotāja tirdzniecības pakalpojums</w:t>
      </w:r>
      <w:r w:rsidRPr="00AA0F56">
        <w:rPr>
          <w:sz w:val="28"/>
          <w:szCs w:val="28"/>
        </w:rPr>
        <w:t xml:space="preserve"> ir elektroenerģijas tirdzniecība aizsargātajam lietotājam</w:t>
      </w:r>
      <w:r>
        <w:rPr>
          <w:sz w:val="28"/>
          <w:szCs w:val="28"/>
        </w:rPr>
        <w:t xml:space="preserve">. </w:t>
      </w:r>
      <w:r w:rsidRPr="00794437">
        <w:rPr>
          <w:sz w:val="28"/>
          <w:szCs w:val="28"/>
        </w:rPr>
        <w:t xml:space="preserve">Elektroenerģijas tirgus likums paredz trūcīgām vai maznodrošinātām personām (ģimenēm), kā arī daudzbērnu ģimenēm, tiesības saņemt noteiktu elektrības daudzumu par samazinātu cenu.  </w:t>
      </w:r>
      <w:r>
        <w:rPr>
          <w:sz w:val="28"/>
          <w:szCs w:val="28"/>
        </w:rPr>
        <w:t>Ņemot vērā instrumenta pamatfunkciju mazināt enerģētisko nabadzību valstī</w:t>
      </w:r>
      <w:r w:rsidR="00EE4744">
        <w:rPr>
          <w:sz w:val="28"/>
          <w:szCs w:val="28"/>
        </w:rPr>
        <w:t>,</w:t>
      </w:r>
      <w:r>
        <w:rPr>
          <w:sz w:val="28"/>
          <w:szCs w:val="28"/>
        </w:rPr>
        <w:t xml:space="preserve"> vienlaikus ir jāapsver iespēja gan mazināt izmaksas par elektroenerģijas cenas </w:t>
      </w:r>
      <w:r w:rsidR="00EE4744">
        <w:rPr>
          <w:sz w:val="28"/>
          <w:szCs w:val="28"/>
        </w:rPr>
        <w:t xml:space="preserve">vai OIK </w:t>
      </w:r>
      <w:r>
        <w:rPr>
          <w:sz w:val="28"/>
          <w:szCs w:val="28"/>
        </w:rPr>
        <w:t xml:space="preserve">pieaugumu, gan par sistēmas pakalpojumu cenas pieaugumu. </w:t>
      </w:r>
    </w:p>
    <w:p w:rsidR="00C86F19" w:rsidRDefault="00C86F19" w:rsidP="00C86F19">
      <w:pPr>
        <w:spacing w:after="0" w:line="240" w:lineRule="auto"/>
        <w:ind w:firstLine="851"/>
        <w:rPr>
          <w:sz w:val="28"/>
          <w:szCs w:val="28"/>
        </w:rPr>
      </w:pPr>
      <w:r>
        <w:rPr>
          <w:sz w:val="28"/>
          <w:szCs w:val="28"/>
        </w:rPr>
        <w:t xml:space="preserve">Elektroenerģijas </w:t>
      </w:r>
      <w:r w:rsidR="00EE4744">
        <w:rPr>
          <w:sz w:val="28"/>
          <w:szCs w:val="28"/>
        </w:rPr>
        <w:t>tirgus</w:t>
      </w:r>
      <w:r>
        <w:rPr>
          <w:sz w:val="28"/>
          <w:szCs w:val="28"/>
        </w:rPr>
        <w:t xml:space="preserve"> likums paredz, ka a</w:t>
      </w:r>
      <w:r w:rsidRPr="00C75888">
        <w:rPr>
          <w:sz w:val="28"/>
          <w:szCs w:val="28"/>
        </w:rPr>
        <w:t xml:space="preserve">izsargātā lietotāja tirdzniecības pakalpojuma sniegšanu no 2015.gada 1.janvāra līdz 31.decembrim nodrošina </w:t>
      </w:r>
      <w:r w:rsidR="00EE4744">
        <w:rPr>
          <w:sz w:val="28"/>
          <w:szCs w:val="28"/>
        </w:rPr>
        <w:t>AS</w:t>
      </w:r>
      <w:r w:rsidRPr="00C75888">
        <w:rPr>
          <w:sz w:val="28"/>
          <w:szCs w:val="28"/>
        </w:rPr>
        <w:t xml:space="preserve"> </w:t>
      </w:r>
      <w:r w:rsidR="00EE4744">
        <w:rPr>
          <w:sz w:val="28"/>
          <w:szCs w:val="28"/>
        </w:rPr>
        <w:t>„</w:t>
      </w:r>
      <w:r w:rsidRPr="00C75888">
        <w:rPr>
          <w:sz w:val="28"/>
          <w:szCs w:val="28"/>
        </w:rPr>
        <w:t>Latvenergo</w:t>
      </w:r>
      <w:r w:rsidR="00EE4744">
        <w:rPr>
          <w:sz w:val="28"/>
          <w:szCs w:val="28"/>
        </w:rPr>
        <w:t>”</w:t>
      </w:r>
      <w:r w:rsidRPr="00C75888">
        <w:rPr>
          <w:sz w:val="28"/>
          <w:szCs w:val="28"/>
        </w:rPr>
        <w:t>.</w:t>
      </w:r>
      <w:r w:rsidRPr="00AA0F56">
        <w:rPr>
          <w:sz w:val="28"/>
          <w:szCs w:val="28"/>
        </w:rPr>
        <w:t xml:space="preserve"> Sākot ar 2016.gadu būtu jārīko konkurss, lai izraudzītos tirgotāju, kurš nodrošina aizsargātā lietotāja tirdzniecības pakalpojuma sniegšanu ar viszemāko valsts budžeta līdzfinansējumu. Līgumu par aizsargātā lietotāja tirdzniecības pakalpojuma sniegšanu slēdz uz diviem gadiem. Lai savlaicīgi rīkotu konkursu, līdz 2015.gada 1.jūnijam bija jāizdod Ministru kabineta noteikumi, kas nosaka aizsargātā lietotāja tirdzniecības pakalpojuma sniegšanas nosacījumus, finansēšanas apjomu un kārtību, kā arī kārtību, kādā pašvaldība aizsargātā lietotāja tirdzniecības pakalpojuma sniedzēju informē par trūcīgām vai maznodrošinātām ģimenēm (personām), kuras ir tiesīgas saņemt aizsargātā lietotāja tirdzniecības pakalpojumu. Ņemot vērā, ka likumdevējs vēl nav definējis aizsargāto lietotāju loku, kuri</w:t>
      </w:r>
      <w:r w:rsidR="00EE4744">
        <w:rPr>
          <w:sz w:val="28"/>
          <w:szCs w:val="28"/>
        </w:rPr>
        <w:t>,</w:t>
      </w:r>
      <w:r w:rsidRPr="00AA0F56">
        <w:rPr>
          <w:sz w:val="28"/>
          <w:szCs w:val="28"/>
        </w:rPr>
        <w:t xml:space="preserve"> sākot ar 2016.gada 1.janvāri</w:t>
      </w:r>
      <w:r w:rsidR="00EE4744">
        <w:rPr>
          <w:sz w:val="28"/>
          <w:szCs w:val="28"/>
        </w:rPr>
        <w:t>,</w:t>
      </w:r>
      <w:r w:rsidRPr="00AA0F56">
        <w:rPr>
          <w:sz w:val="28"/>
          <w:szCs w:val="28"/>
        </w:rPr>
        <w:t xml:space="preserve"> būtu tiesīgi saņemt aizsargātā lietotāja pakalpojumu, laika grafiks konkursa izsludināšanai un aizsargātā pakalpojuma sniedzēja atlasei ir ļoti īss</w:t>
      </w:r>
      <w:r>
        <w:rPr>
          <w:sz w:val="28"/>
          <w:szCs w:val="28"/>
        </w:rPr>
        <w:t xml:space="preserve">. Pastāv risinājums, kad AS „Latvenergo” </w:t>
      </w:r>
      <w:r w:rsidR="003773DD">
        <w:rPr>
          <w:sz w:val="28"/>
          <w:szCs w:val="28"/>
        </w:rPr>
        <w:t>tehniski nodrošina</w:t>
      </w:r>
      <w:r>
        <w:rPr>
          <w:sz w:val="28"/>
          <w:szCs w:val="28"/>
        </w:rPr>
        <w:t xml:space="preserve"> aizsargātā lietotāja </w:t>
      </w:r>
      <w:r w:rsidR="00EE4744">
        <w:rPr>
          <w:sz w:val="28"/>
          <w:szCs w:val="28"/>
        </w:rPr>
        <w:t>pakalpojumu arī 2016.gadā</w:t>
      </w:r>
      <w:r>
        <w:rPr>
          <w:sz w:val="28"/>
          <w:szCs w:val="28"/>
        </w:rPr>
        <w:t>, līdz ar to nepieciešami grozījumi Elektroenerģijas tirgus likuma pārejas noteikumu 44.</w:t>
      </w:r>
      <w:r w:rsidR="00EE4744">
        <w:rPr>
          <w:sz w:val="28"/>
          <w:szCs w:val="28"/>
        </w:rPr>
        <w:t xml:space="preserve"> </w:t>
      </w:r>
      <w:r>
        <w:rPr>
          <w:sz w:val="28"/>
          <w:szCs w:val="28"/>
        </w:rPr>
        <w:t>-</w:t>
      </w:r>
      <w:r w:rsidR="00EE4744">
        <w:rPr>
          <w:sz w:val="28"/>
          <w:szCs w:val="28"/>
        </w:rPr>
        <w:t xml:space="preserve"> </w:t>
      </w:r>
      <w:r>
        <w:rPr>
          <w:sz w:val="28"/>
          <w:szCs w:val="28"/>
        </w:rPr>
        <w:t>47.</w:t>
      </w:r>
      <w:r w:rsidR="00EE4744">
        <w:rPr>
          <w:sz w:val="28"/>
          <w:szCs w:val="28"/>
        </w:rPr>
        <w:t xml:space="preserve"> </w:t>
      </w:r>
      <w:r>
        <w:rPr>
          <w:sz w:val="28"/>
          <w:szCs w:val="28"/>
        </w:rPr>
        <w:t xml:space="preserve">punktos. </w:t>
      </w:r>
    </w:p>
    <w:p w:rsidR="003773DD" w:rsidRPr="0037197B" w:rsidRDefault="003773DD" w:rsidP="003773DD">
      <w:pPr>
        <w:spacing w:after="0" w:line="240" w:lineRule="auto"/>
        <w:ind w:firstLine="851"/>
        <w:rPr>
          <w:sz w:val="28"/>
          <w:szCs w:val="28"/>
        </w:rPr>
      </w:pPr>
      <w:r>
        <w:rPr>
          <w:sz w:val="28"/>
          <w:szCs w:val="28"/>
        </w:rPr>
        <w:t>Vērtējot nepieciešamos finansiālos līdzekļus aizsargātā pakalpojuma sniegšanai</w:t>
      </w:r>
      <w:r w:rsidR="00EE4744">
        <w:rPr>
          <w:sz w:val="28"/>
          <w:szCs w:val="28"/>
        </w:rPr>
        <w:t>,</w:t>
      </w:r>
      <w:r>
        <w:rPr>
          <w:sz w:val="28"/>
          <w:szCs w:val="28"/>
        </w:rPr>
        <w:t xml:space="preserve"> par pamatu tiek ņemta aktuālā informācija no AS „Latvenergo”. </w:t>
      </w:r>
      <w:r w:rsidRPr="00C75888">
        <w:rPr>
          <w:sz w:val="28"/>
          <w:szCs w:val="28"/>
        </w:rPr>
        <w:lastRenderedPageBreak/>
        <w:t>2015.</w:t>
      </w:r>
      <w:r w:rsidR="00EE4744">
        <w:rPr>
          <w:sz w:val="28"/>
          <w:szCs w:val="28"/>
        </w:rPr>
        <w:t xml:space="preserve"> gada pirmajā </w:t>
      </w:r>
      <w:r w:rsidRPr="00C75888">
        <w:rPr>
          <w:sz w:val="28"/>
          <w:szCs w:val="28"/>
        </w:rPr>
        <w:t>pusē AS „Latvenergo” ir piešķīr</w:t>
      </w:r>
      <w:r>
        <w:rPr>
          <w:sz w:val="28"/>
          <w:szCs w:val="28"/>
        </w:rPr>
        <w:t xml:space="preserve">usi </w:t>
      </w:r>
      <w:r w:rsidR="00AE1993">
        <w:rPr>
          <w:sz w:val="28"/>
          <w:szCs w:val="28"/>
        </w:rPr>
        <w:t>atbalstu</w:t>
      </w:r>
      <w:r w:rsidRPr="00C75888">
        <w:rPr>
          <w:sz w:val="28"/>
          <w:szCs w:val="28"/>
        </w:rPr>
        <w:t xml:space="preserve"> </w:t>
      </w:r>
      <w:r>
        <w:rPr>
          <w:sz w:val="28"/>
          <w:szCs w:val="28"/>
        </w:rPr>
        <w:t>maksimāli 55 </w:t>
      </w:r>
      <w:r w:rsidRPr="00C75888">
        <w:rPr>
          <w:sz w:val="28"/>
          <w:szCs w:val="28"/>
        </w:rPr>
        <w:t>328 trūcīgajām</w:t>
      </w:r>
      <w:r>
        <w:rPr>
          <w:sz w:val="28"/>
          <w:szCs w:val="28"/>
        </w:rPr>
        <w:t xml:space="preserve"> vai </w:t>
      </w:r>
      <w:r w:rsidRPr="00C75888">
        <w:rPr>
          <w:sz w:val="28"/>
          <w:szCs w:val="28"/>
        </w:rPr>
        <w:t>maznodrošinātajām ģimenēm un 14</w:t>
      </w:r>
      <w:r>
        <w:rPr>
          <w:sz w:val="28"/>
          <w:szCs w:val="28"/>
        </w:rPr>
        <w:t> </w:t>
      </w:r>
      <w:r w:rsidRPr="00C75888">
        <w:rPr>
          <w:sz w:val="28"/>
          <w:szCs w:val="28"/>
        </w:rPr>
        <w:t>300 daudzbērnu ģimenēm</w:t>
      </w:r>
      <w:r w:rsidR="00AE1993">
        <w:rPr>
          <w:sz w:val="28"/>
          <w:szCs w:val="28"/>
        </w:rPr>
        <w:t xml:space="preserve"> vienā mēnesī</w:t>
      </w:r>
      <w:r>
        <w:rPr>
          <w:sz w:val="28"/>
          <w:szCs w:val="28"/>
        </w:rPr>
        <w:t>, kopā 2015.</w:t>
      </w:r>
      <w:r w:rsidR="00AE1993">
        <w:rPr>
          <w:sz w:val="28"/>
          <w:szCs w:val="28"/>
        </w:rPr>
        <w:t xml:space="preserve"> gada pirmajā </w:t>
      </w:r>
      <w:r>
        <w:rPr>
          <w:sz w:val="28"/>
          <w:szCs w:val="28"/>
        </w:rPr>
        <w:t xml:space="preserve">pusē </w:t>
      </w:r>
      <w:r w:rsidR="003B1D59">
        <w:rPr>
          <w:sz w:val="28"/>
          <w:szCs w:val="28"/>
        </w:rPr>
        <w:t>izlietojot 1 </w:t>
      </w:r>
      <w:r w:rsidRPr="00C75888">
        <w:rPr>
          <w:sz w:val="28"/>
          <w:szCs w:val="28"/>
        </w:rPr>
        <w:t>591</w:t>
      </w:r>
      <w:r w:rsidR="003B1D59">
        <w:rPr>
          <w:sz w:val="28"/>
          <w:szCs w:val="28"/>
        </w:rPr>
        <w:t> </w:t>
      </w:r>
      <w:r w:rsidRPr="00C75888">
        <w:rPr>
          <w:sz w:val="28"/>
          <w:szCs w:val="28"/>
        </w:rPr>
        <w:t>085 EUR (bez PVN)</w:t>
      </w:r>
      <w:r>
        <w:rPr>
          <w:sz w:val="28"/>
          <w:szCs w:val="28"/>
        </w:rPr>
        <w:t xml:space="preserve">. Ja pieņem, ka gada otrajā pusē vērojams līdzīgs pieaugums, tad nepieciešamā summa būtu </w:t>
      </w:r>
      <w:r w:rsidR="003B1D59">
        <w:rPr>
          <w:sz w:val="28"/>
          <w:szCs w:val="28"/>
        </w:rPr>
        <w:t>5 </w:t>
      </w:r>
      <w:r w:rsidRPr="00146144">
        <w:rPr>
          <w:sz w:val="28"/>
          <w:szCs w:val="28"/>
        </w:rPr>
        <w:t>122</w:t>
      </w:r>
      <w:r>
        <w:rPr>
          <w:sz w:val="28"/>
          <w:szCs w:val="28"/>
        </w:rPr>
        <w:t> </w:t>
      </w:r>
      <w:r w:rsidRPr="00146144">
        <w:rPr>
          <w:sz w:val="28"/>
          <w:szCs w:val="28"/>
        </w:rPr>
        <w:t>339</w:t>
      </w:r>
      <w:r>
        <w:rPr>
          <w:sz w:val="28"/>
          <w:szCs w:val="28"/>
        </w:rPr>
        <w:t xml:space="preserve"> EUR, ieskaitot PVN. </w:t>
      </w:r>
      <w:r w:rsidRPr="0037197B">
        <w:rPr>
          <w:sz w:val="28"/>
          <w:szCs w:val="28"/>
        </w:rPr>
        <w:t>Saskaņā ar Labklājības ministrijas sniegto informāciju Latvijā 2014. gadā aizsargāto lietotāju statusam atbilda 146</w:t>
      </w:r>
      <w:r w:rsidR="003B1D59">
        <w:rPr>
          <w:sz w:val="28"/>
          <w:szCs w:val="28"/>
        </w:rPr>
        <w:t> </w:t>
      </w:r>
      <w:r w:rsidRPr="0037197B">
        <w:rPr>
          <w:sz w:val="28"/>
          <w:szCs w:val="28"/>
        </w:rPr>
        <w:t>630 personas, tajā skaitā trūcīgas un maznodrošināt</w:t>
      </w:r>
      <w:r w:rsidR="003B1D59">
        <w:rPr>
          <w:sz w:val="28"/>
          <w:szCs w:val="28"/>
        </w:rPr>
        <w:t xml:space="preserve">as </w:t>
      </w:r>
      <w:r>
        <w:rPr>
          <w:sz w:val="28"/>
          <w:szCs w:val="28"/>
        </w:rPr>
        <w:t>ģimenes (personas) – 107</w:t>
      </w:r>
      <w:r w:rsidR="003B1D59">
        <w:rPr>
          <w:sz w:val="28"/>
          <w:szCs w:val="28"/>
        </w:rPr>
        <w:t> </w:t>
      </w:r>
      <w:r>
        <w:rPr>
          <w:sz w:val="28"/>
          <w:szCs w:val="28"/>
        </w:rPr>
        <w:t>667.</w:t>
      </w:r>
    </w:p>
    <w:p w:rsidR="00C86F19" w:rsidRPr="0037197B" w:rsidRDefault="00C86F19" w:rsidP="00C86F19">
      <w:pPr>
        <w:spacing w:after="0" w:line="240" w:lineRule="auto"/>
        <w:ind w:firstLine="851"/>
        <w:rPr>
          <w:sz w:val="28"/>
          <w:szCs w:val="28"/>
        </w:rPr>
      </w:pPr>
      <w:r w:rsidRPr="0037197B">
        <w:rPr>
          <w:sz w:val="28"/>
          <w:szCs w:val="28"/>
        </w:rPr>
        <w:t>Likumā “Par vidēja termiņa budžeta ietvaru 2015., 2016. un 2017.gadam” Ekonomikas ministrijas budžeta apakšprogrammā 29.02.00 “Elektroenerģijas lietotāju atbalsts”  2016. un 2017.</w:t>
      </w:r>
      <w:r w:rsidR="00AE1993">
        <w:rPr>
          <w:sz w:val="28"/>
          <w:szCs w:val="28"/>
        </w:rPr>
        <w:t xml:space="preserve"> </w:t>
      </w:r>
      <w:r w:rsidRPr="0037197B">
        <w:rPr>
          <w:sz w:val="28"/>
          <w:szCs w:val="28"/>
        </w:rPr>
        <w:t>gadam ik gadu ir apstiprināts valsts budžeta finansējums aizsargātā lietotāja tirdzniecības pakalpojuma nodrošināšanai 5</w:t>
      </w:r>
      <w:r w:rsidR="003B1D59">
        <w:rPr>
          <w:sz w:val="28"/>
          <w:szCs w:val="28"/>
        </w:rPr>
        <w:t> 122 339 </w:t>
      </w:r>
      <w:r w:rsidRPr="0037197B">
        <w:rPr>
          <w:sz w:val="28"/>
          <w:szCs w:val="28"/>
        </w:rPr>
        <w:t xml:space="preserve">EUR bez PVN </w:t>
      </w:r>
      <w:r w:rsidR="003B1D59">
        <w:rPr>
          <w:sz w:val="28"/>
          <w:szCs w:val="28"/>
        </w:rPr>
        <w:t>apmērā. Ministru kabinets 2015. gada 17. </w:t>
      </w:r>
      <w:r w:rsidRPr="0037197B">
        <w:rPr>
          <w:sz w:val="28"/>
          <w:szCs w:val="28"/>
        </w:rPr>
        <w:t>martā (prot.nr.15 30§) ir apstiprinājis ministriju un citu centrālo valsts iestāžu valsts pamatbudžeta un valsts speciālā budžeta bāzi 2016., 2017. un 2018.</w:t>
      </w:r>
      <w:r w:rsidR="00AE1993">
        <w:rPr>
          <w:sz w:val="28"/>
          <w:szCs w:val="28"/>
        </w:rPr>
        <w:t xml:space="preserve"> </w:t>
      </w:r>
      <w:r w:rsidRPr="0037197B">
        <w:rPr>
          <w:sz w:val="28"/>
          <w:szCs w:val="28"/>
        </w:rPr>
        <w:t>gadam, paredzot arī 2018.</w:t>
      </w:r>
      <w:r w:rsidR="00AE1993">
        <w:rPr>
          <w:sz w:val="28"/>
          <w:szCs w:val="28"/>
        </w:rPr>
        <w:t xml:space="preserve"> </w:t>
      </w:r>
      <w:r w:rsidRPr="0037197B">
        <w:rPr>
          <w:sz w:val="28"/>
          <w:szCs w:val="28"/>
        </w:rPr>
        <w:t>gadā minētajam mērķim valst</w:t>
      </w:r>
      <w:r w:rsidR="003B1D59">
        <w:rPr>
          <w:sz w:val="28"/>
          <w:szCs w:val="28"/>
        </w:rPr>
        <w:t>s budžeta līdzekļus 5 122 </w:t>
      </w:r>
      <w:r w:rsidRPr="0037197B">
        <w:rPr>
          <w:sz w:val="28"/>
          <w:szCs w:val="28"/>
        </w:rPr>
        <w:t>339 EUR apmērā</w:t>
      </w:r>
      <w:r>
        <w:rPr>
          <w:sz w:val="28"/>
          <w:szCs w:val="28"/>
        </w:rPr>
        <w:t xml:space="preserve">. Vienlaikus jāatzīmē, ka elektroenerģijas </w:t>
      </w:r>
      <w:r w:rsidR="00AE1993">
        <w:rPr>
          <w:sz w:val="28"/>
          <w:szCs w:val="28"/>
        </w:rPr>
        <w:t>gala cena</w:t>
      </w:r>
      <w:r>
        <w:rPr>
          <w:sz w:val="28"/>
          <w:szCs w:val="28"/>
        </w:rPr>
        <w:t xml:space="preserve"> aizsargātajam lietotājam kā mājsaimniecībai tiek kompensēta ieskaitot </w:t>
      </w:r>
      <w:r w:rsidR="00AE1993">
        <w:rPr>
          <w:sz w:val="28"/>
          <w:szCs w:val="28"/>
        </w:rPr>
        <w:t>PVN</w:t>
      </w:r>
      <w:r>
        <w:rPr>
          <w:sz w:val="28"/>
          <w:szCs w:val="28"/>
        </w:rPr>
        <w:t xml:space="preserve">, jo arī kompensējamā daļa tiek aplikta ar PVN. Līdz ar to arī budžeta ienākumu daļa </w:t>
      </w:r>
      <w:r w:rsidR="00AE1993">
        <w:rPr>
          <w:sz w:val="28"/>
          <w:szCs w:val="28"/>
        </w:rPr>
        <w:t>papildinās</w:t>
      </w:r>
      <w:r>
        <w:rPr>
          <w:sz w:val="28"/>
          <w:szCs w:val="28"/>
        </w:rPr>
        <w:t xml:space="preserve"> ar papildus PVN maksājumiem. </w:t>
      </w:r>
    </w:p>
    <w:p w:rsidR="00C86F19" w:rsidRDefault="00C86F19" w:rsidP="00C86F19">
      <w:pPr>
        <w:spacing w:after="0" w:line="240" w:lineRule="auto"/>
        <w:ind w:firstLine="851"/>
        <w:rPr>
          <w:sz w:val="28"/>
          <w:szCs w:val="28"/>
        </w:rPr>
      </w:pPr>
      <w:r>
        <w:rPr>
          <w:sz w:val="28"/>
          <w:szCs w:val="28"/>
        </w:rPr>
        <w:t xml:space="preserve">Ņemot vērā aizsargāto lietotāju instrumenta mērķi, jau savlaicīgi ir jānovērš </w:t>
      </w:r>
      <w:r w:rsidR="003773DD">
        <w:rPr>
          <w:sz w:val="28"/>
          <w:szCs w:val="28"/>
        </w:rPr>
        <w:t>iespēj</w:t>
      </w:r>
      <w:r>
        <w:rPr>
          <w:sz w:val="28"/>
          <w:szCs w:val="28"/>
        </w:rPr>
        <w:t>amie nākotnes riski. Paredzams, ka 2016.</w:t>
      </w:r>
      <w:r w:rsidR="00AE1993">
        <w:rPr>
          <w:sz w:val="28"/>
          <w:szCs w:val="28"/>
        </w:rPr>
        <w:t xml:space="preserve"> </w:t>
      </w:r>
      <w:r>
        <w:rPr>
          <w:sz w:val="28"/>
          <w:szCs w:val="28"/>
        </w:rPr>
        <w:t>gadā tiks apstiprināti jauni sadales sistēmas tarifi, ieviešot visām elektro</w:t>
      </w:r>
      <w:r w:rsidR="00AE1993">
        <w:rPr>
          <w:sz w:val="28"/>
          <w:szCs w:val="28"/>
        </w:rPr>
        <w:t>enerģijas lietotāju grupām, t.</w:t>
      </w:r>
      <w:r>
        <w:rPr>
          <w:sz w:val="28"/>
          <w:szCs w:val="28"/>
        </w:rPr>
        <w:t xml:space="preserve"> sk</w:t>
      </w:r>
      <w:r w:rsidR="00AE1993">
        <w:rPr>
          <w:sz w:val="28"/>
          <w:szCs w:val="28"/>
        </w:rPr>
        <w:t>.</w:t>
      </w:r>
      <w:r>
        <w:rPr>
          <w:sz w:val="28"/>
          <w:szCs w:val="28"/>
        </w:rPr>
        <w:t xml:space="preserve"> visām mājsaimniecībām, fiksēto un mainīgo maksājumu daļu. Līdz ar to mājsaimniecībām ar mazu elektroenerģijas patēriņu varētu pieaugt kopējā elektroenerģijas maksa, kā rezultātā būs nepieciešams papildus kompensēt arī </w:t>
      </w:r>
      <w:r w:rsidR="00AE1993">
        <w:rPr>
          <w:sz w:val="28"/>
          <w:szCs w:val="28"/>
        </w:rPr>
        <w:t xml:space="preserve">sadales </w:t>
      </w:r>
      <w:r>
        <w:rPr>
          <w:sz w:val="28"/>
          <w:szCs w:val="28"/>
        </w:rPr>
        <w:t xml:space="preserve">sistēmas tarifa pieaugumu daļēji </w:t>
      </w:r>
      <w:r w:rsidR="00AE1993">
        <w:rPr>
          <w:sz w:val="28"/>
          <w:szCs w:val="28"/>
        </w:rPr>
        <w:t xml:space="preserve">jau </w:t>
      </w:r>
      <w:r>
        <w:rPr>
          <w:sz w:val="28"/>
          <w:szCs w:val="28"/>
        </w:rPr>
        <w:t>2016.</w:t>
      </w:r>
      <w:r w:rsidR="00AE1993">
        <w:rPr>
          <w:sz w:val="28"/>
          <w:szCs w:val="28"/>
        </w:rPr>
        <w:t xml:space="preserve"> </w:t>
      </w:r>
      <w:r>
        <w:rPr>
          <w:sz w:val="28"/>
          <w:szCs w:val="28"/>
        </w:rPr>
        <w:t>gadā. Pieņemot, ka jaunais sadales</w:t>
      </w:r>
      <w:r w:rsidR="00AE1993">
        <w:rPr>
          <w:sz w:val="28"/>
          <w:szCs w:val="28"/>
        </w:rPr>
        <w:t xml:space="preserve"> sistēmas</w:t>
      </w:r>
      <w:r>
        <w:rPr>
          <w:sz w:val="28"/>
          <w:szCs w:val="28"/>
        </w:rPr>
        <w:t xml:space="preserve"> tarifs tiek ieviests no 2016.gada 1.jūlija un pēc iepriekšēja novērtējuma trūcīgajām vai maznodrošinātajām mājsaimniecībām ar mazu elektroenerģijas </w:t>
      </w:r>
      <w:r w:rsidR="00AE1993">
        <w:rPr>
          <w:sz w:val="28"/>
          <w:szCs w:val="28"/>
        </w:rPr>
        <w:t xml:space="preserve">gala </w:t>
      </w:r>
      <w:r>
        <w:rPr>
          <w:sz w:val="28"/>
          <w:szCs w:val="28"/>
        </w:rPr>
        <w:t xml:space="preserve">patēriņu maksājums par </w:t>
      </w:r>
      <w:r w:rsidR="00AE1993">
        <w:rPr>
          <w:sz w:val="28"/>
          <w:szCs w:val="28"/>
        </w:rPr>
        <w:t xml:space="preserve">sadales </w:t>
      </w:r>
      <w:r>
        <w:rPr>
          <w:sz w:val="28"/>
          <w:szCs w:val="28"/>
        </w:rPr>
        <w:t>sistēmas pakalpojumiem varētu pieaugt par 3</w:t>
      </w:r>
      <w:r w:rsidR="00AE1993">
        <w:rPr>
          <w:sz w:val="28"/>
          <w:szCs w:val="28"/>
        </w:rPr>
        <w:t xml:space="preserve"> </w:t>
      </w:r>
      <w:r>
        <w:rPr>
          <w:sz w:val="28"/>
          <w:szCs w:val="28"/>
        </w:rPr>
        <w:t xml:space="preserve">EUR mēnesī, papildus budžetā būs nepieciešami 2 500 000 EUR. </w:t>
      </w:r>
    </w:p>
    <w:p w:rsidR="00C86F19" w:rsidRDefault="00C86F19" w:rsidP="00C86F19">
      <w:pPr>
        <w:spacing w:after="0" w:line="240" w:lineRule="auto"/>
        <w:ind w:firstLine="851"/>
        <w:rPr>
          <w:sz w:val="28"/>
          <w:szCs w:val="28"/>
        </w:rPr>
      </w:pPr>
      <w:r>
        <w:rPr>
          <w:sz w:val="28"/>
          <w:szCs w:val="28"/>
        </w:rPr>
        <w:t xml:space="preserve">Aizvien pastāv mājsaimniecības, kurās ilgstoši dzīvo trūcīgas vai maznodrošinātas personas, kurām nav iespējams segt pieslēguma izmaksas. Direktīvā </w:t>
      </w:r>
      <w:r w:rsidRPr="004C07C8">
        <w:rPr>
          <w:sz w:val="28"/>
          <w:szCs w:val="28"/>
        </w:rPr>
        <w:t>2009/72/EK</w:t>
      </w:r>
      <w:r>
        <w:rPr>
          <w:sz w:val="28"/>
          <w:szCs w:val="28"/>
        </w:rPr>
        <w:t xml:space="preserve"> </w:t>
      </w:r>
      <w:r w:rsidRPr="004C07C8">
        <w:rPr>
          <w:sz w:val="28"/>
          <w:szCs w:val="28"/>
        </w:rPr>
        <w:t>par kopīgiem noteikumiem attiecībā uz elektroenerģijas iekšējo tirgu un par Direktīvas 2003/54/EK atcelšanu</w:t>
      </w:r>
      <w:r>
        <w:rPr>
          <w:sz w:val="28"/>
          <w:szCs w:val="28"/>
        </w:rPr>
        <w:t xml:space="preserve"> norādīts, ka </w:t>
      </w:r>
      <w:r w:rsidRPr="004C07C8">
        <w:rPr>
          <w:sz w:val="28"/>
          <w:szCs w:val="28"/>
        </w:rPr>
        <w:t xml:space="preserve">dalībvalstīm būtu jānodrošina neaizsargāto lietotāju energoapgāde. </w:t>
      </w:r>
      <w:r>
        <w:rPr>
          <w:sz w:val="28"/>
          <w:szCs w:val="28"/>
        </w:rPr>
        <w:t>Līdz ar to papildus līdzekļ</w:t>
      </w:r>
      <w:r w:rsidR="003773DD">
        <w:rPr>
          <w:sz w:val="28"/>
          <w:szCs w:val="28"/>
        </w:rPr>
        <w:t>i</w:t>
      </w:r>
      <w:r>
        <w:rPr>
          <w:sz w:val="28"/>
          <w:szCs w:val="28"/>
        </w:rPr>
        <w:t xml:space="preserve"> būs nepieciešami, lai kompensētu pieslēgumus trūcīgajām un maznodrošinātajām mājsaimniecībām. Pēc iepriekšējas informācijas apkopošanas šādu izmaksu segšanai būs nepieciešams</w:t>
      </w:r>
      <w:r w:rsidR="00CC7F41">
        <w:rPr>
          <w:sz w:val="28"/>
          <w:szCs w:val="28"/>
        </w:rPr>
        <w:t xml:space="preserve"> aptuveni</w:t>
      </w:r>
      <w:r>
        <w:rPr>
          <w:sz w:val="28"/>
          <w:szCs w:val="28"/>
        </w:rPr>
        <w:t xml:space="preserve"> 1 milj. EUR. </w:t>
      </w:r>
    </w:p>
    <w:p w:rsidR="00C86F19" w:rsidRDefault="00C86F19" w:rsidP="00C86F19">
      <w:pPr>
        <w:spacing w:after="0" w:line="240" w:lineRule="auto"/>
        <w:ind w:firstLine="851"/>
        <w:rPr>
          <w:sz w:val="28"/>
          <w:szCs w:val="28"/>
        </w:rPr>
      </w:pPr>
    </w:p>
    <w:p w:rsidR="0077060C" w:rsidRPr="00D116AC" w:rsidRDefault="0077060C" w:rsidP="0077060C">
      <w:pPr>
        <w:pStyle w:val="Caption"/>
        <w:keepNext/>
        <w:jc w:val="right"/>
        <w:rPr>
          <w:rFonts w:ascii="Times New Roman" w:hAnsi="Times New Roman"/>
          <w:sz w:val="24"/>
          <w:szCs w:val="24"/>
        </w:rPr>
      </w:pPr>
      <w:r>
        <w:rPr>
          <w:rFonts w:ascii="Times New Roman" w:hAnsi="Times New Roman"/>
          <w:sz w:val="24"/>
          <w:szCs w:val="24"/>
        </w:rPr>
        <w:lastRenderedPageBreak/>
        <w:t>6</w:t>
      </w:r>
      <w:r w:rsidRPr="00D116AC">
        <w:rPr>
          <w:rFonts w:ascii="Times New Roman" w:hAnsi="Times New Roman"/>
          <w:sz w:val="24"/>
          <w:szCs w:val="24"/>
        </w:rPr>
        <w:t>.tabula</w:t>
      </w:r>
    </w:p>
    <w:p w:rsidR="0077060C" w:rsidRPr="009E280D" w:rsidRDefault="0077060C" w:rsidP="0077060C">
      <w:pPr>
        <w:pStyle w:val="Caption"/>
        <w:keepNext/>
        <w:jc w:val="center"/>
        <w:rPr>
          <w:rFonts w:ascii="Times New Roman" w:hAnsi="Times New Roman"/>
          <w:sz w:val="24"/>
          <w:szCs w:val="24"/>
        </w:rPr>
      </w:pPr>
      <w:r w:rsidRPr="0077060C">
        <w:rPr>
          <w:rFonts w:ascii="Times New Roman" w:hAnsi="Times New Roman"/>
          <w:sz w:val="24"/>
          <w:szCs w:val="24"/>
        </w:rPr>
        <w:t>Finanšu līdzekļu nepieciešamība aizsargātajiem lietotājiem</w:t>
      </w:r>
      <w:r>
        <w:rPr>
          <w:rFonts w:ascii="Times New Roman" w:hAnsi="Times New Roman"/>
          <w:sz w:val="24"/>
          <w:szCs w:val="24"/>
        </w:rPr>
        <w:t>, EUR</w:t>
      </w:r>
    </w:p>
    <w:tbl>
      <w:tblPr>
        <w:tblW w:w="9322" w:type="dxa"/>
        <w:tblLook w:val="04A0" w:firstRow="1" w:lastRow="0" w:firstColumn="1" w:lastColumn="0" w:noHBand="0" w:noVBand="1"/>
      </w:tblPr>
      <w:tblGrid>
        <w:gridCol w:w="3794"/>
        <w:gridCol w:w="1701"/>
        <w:gridCol w:w="1984"/>
        <w:gridCol w:w="1843"/>
      </w:tblGrid>
      <w:tr w:rsidR="000F573F" w:rsidRPr="009B40C6" w:rsidTr="0077060C">
        <w:trPr>
          <w:trHeight w:val="615"/>
        </w:trPr>
        <w:tc>
          <w:tcPr>
            <w:tcW w:w="3794" w:type="dxa"/>
            <w:tcBorders>
              <w:top w:val="single" w:sz="12" w:space="0" w:color="auto"/>
              <w:left w:val="single" w:sz="12" w:space="0" w:color="auto"/>
              <w:bottom w:val="single" w:sz="12" w:space="0" w:color="auto"/>
              <w:right w:val="single" w:sz="12" w:space="0" w:color="auto"/>
            </w:tcBorders>
            <w:shd w:val="clear" w:color="auto" w:fill="auto"/>
            <w:vAlign w:val="bottom"/>
          </w:tcPr>
          <w:p w:rsidR="000F573F" w:rsidRPr="0077060C" w:rsidRDefault="000F573F" w:rsidP="00B8231E">
            <w:pPr>
              <w:spacing w:after="0" w:line="240" w:lineRule="auto"/>
              <w:jc w:val="left"/>
              <w:rPr>
                <w:szCs w:val="28"/>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0F573F" w:rsidRPr="0077060C" w:rsidRDefault="000F573F" w:rsidP="00B8231E">
            <w:pPr>
              <w:spacing w:after="0" w:line="240" w:lineRule="auto"/>
              <w:jc w:val="center"/>
              <w:rPr>
                <w:szCs w:val="28"/>
              </w:rPr>
            </w:pPr>
            <w:r w:rsidRPr="0077060C">
              <w:rPr>
                <w:szCs w:val="28"/>
              </w:rPr>
              <w:t>2016</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0F573F" w:rsidRPr="0077060C" w:rsidRDefault="000F573F" w:rsidP="00B8231E">
            <w:pPr>
              <w:spacing w:after="0" w:line="240" w:lineRule="auto"/>
              <w:jc w:val="center"/>
              <w:rPr>
                <w:szCs w:val="28"/>
              </w:rPr>
            </w:pPr>
            <w:r w:rsidRPr="0077060C">
              <w:rPr>
                <w:szCs w:val="28"/>
              </w:rPr>
              <w:t>2017</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F573F" w:rsidRPr="0077060C" w:rsidRDefault="000F573F" w:rsidP="00B8231E">
            <w:pPr>
              <w:spacing w:after="0" w:line="240" w:lineRule="auto"/>
              <w:jc w:val="center"/>
              <w:rPr>
                <w:szCs w:val="28"/>
              </w:rPr>
            </w:pPr>
            <w:r w:rsidRPr="0077060C">
              <w:rPr>
                <w:szCs w:val="28"/>
              </w:rPr>
              <w:t>2018</w:t>
            </w:r>
          </w:p>
        </w:tc>
      </w:tr>
      <w:tr w:rsidR="000F573F" w:rsidRPr="009B40C6" w:rsidTr="0077060C">
        <w:trPr>
          <w:trHeight w:val="615"/>
        </w:trPr>
        <w:tc>
          <w:tcPr>
            <w:tcW w:w="3794" w:type="dxa"/>
            <w:tcBorders>
              <w:top w:val="single" w:sz="12" w:space="0" w:color="auto"/>
              <w:left w:val="single" w:sz="12" w:space="0" w:color="auto"/>
              <w:bottom w:val="dashSmallGap" w:sz="4" w:space="0" w:color="auto"/>
              <w:right w:val="single" w:sz="12" w:space="0" w:color="auto"/>
            </w:tcBorders>
            <w:shd w:val="clear" w:color="auto" w:fill="auto"/>
            <w:vAlign w:val="bottom"/>
            <w:hideMark/>
          </w:tcPr>
          <w:p w:rsidR="000F573F" w:rsidRPr="0077060C" w:rsidRDefault="000F573F" w:rsidP="00B8231E">
            <w:pPr>
              <w:spacing w:after="0" w:line="240" w:lineRule="auto"/>
              <w:jc w:val="left"/>
              <w:rPr>
                <w:szCs w:val="28"/>
              </w:rPr>
            </w:pPr>
            <w:r w:rsidRPr="0077060C">
              <w:rPr>
                <w:szCs w:val="28"/>
              </w:rPr>
              <w:t>Aizsargātie lietotāji (iesk. PVN</w:t>
            </w:r>
            <w:r w:rsidR="00314977" w:rsidRPr="0077060C">
              <w:rPr>
                <w:szCs w:val="28"/>
              </w:rPr>
              <w:t>, trūcīgie/maznodrošinātie, daudzbērnu ģimenes</w:t>
            </w:r>
            <w:r w:rsidRPr="0077060C">
              <w:rPr>
                <w:szCs w:val="28"/>
              </w:rPr>
              <w:t>)</w:t>
            </w:r>
          </w:p>
        </w:tc>
        <w:tc>
          <w:tcPr>
            <w:tcW w:w="1701" w:type="dxa"/>
            <w:tcBorders>
              <w:top w:val="single" w:sz="12" w:space="0" w:color="auto"/>
              <w:left w:val="single" w:sz="12" w:space="0" w:color="auto"/>
              <w:bottom w:val="dashSmallGap" w:sz="4"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5 122 339</w:t>
            </w:r>
          </w:p>
        </w:tc>
        <w:tc>
          <w:tcPr>
            <w:tcW w:w="1984" w:type="dxa"/>
            <w:tcBorders>
              <w:top w:val="single" w:sz="12" w:space="0" w:color="auto"/>
              <w:left w:val="single" w:sz="12" w:space="0" w:color="auto"/>
              <w:bottom w:val="dashSmallGap" w:sz="4"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5 122 339</w:t>
            </w:r>
          </w:p>
        </w:tc>
        <w:tc>
          <w:tcPr>
            <w:tcW w:w="1843" w:type="dxa"/>
            <w:tcBorders>
              <w:top w:val="single" w:sz="12" w:space="0" w:color="auto"/>
              <w:left w:val="single" w:sz="12" w:space="0" w:color="auto"/>
              <w:bottom w:val="dashSmallGap" w:sz="4"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5 122 339</w:t>
            </w:r>
          </w:p>
        </w:tc>
      </w:tr>
      <w:tr w:rsidR="000F573F" w:rsidRPr="009B40C6" w:rsidTr="0077060C">
        <w:trPr>
          <w:trHeight w:val="690"/>
        </w:trPr>
        <w:tc>
          <w:tcPr>
            <w:tcW w:w="3794"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0F573F" w:rsidRPr="0077060C" w:rsidRDefault="000F573F" w:rsidP="00576BBE">
            <w:pPr>
              <w:spacing w:after="0" w:line="240" w:lineRule="auto"/>
              <w:jc w:val="left"/>
              <w:rPr>
                <w:szCs w:val="28"/>
              </w:rPr>
            </w:pPr>
            <w:r w:rsidRPr="0077060C">
              <w:rPr>
                <w:szCs w:val="28"/>
              </w:rPr>
              <w:t>Aizsargātie lietotāji (</w:t>
            </w:r>
            <w:r w:rsidR="00314977" w:rsidRPr="0077060C">
              <w:rPr>
                <w:szCs w:val="28"/>
              </w:rPr>
              <w:t xml:space="preserve">iesk. PVN, </w:t>
            </w:r>
            <w:r w:rsidRPr="0077060C">
              <w:rPr>
                <w:szCs w:val="28"/>
              </w:rPr>
              <w:t xml:space="preserve">pieslēgumi, sistēmas tarifa atbalsts) </w:t>
            </w:r>
          </w:p>
        </w:tc>
        <w:tc>
          <w:tcPr>
            <w:tcW w:w="1701" w:type="dxa"/>
            <w:tcBorders>
              <w:top w:val="dashSmallGap" w:sz="4" w:space="0" w:color="auto"/>
              <w:left w:val="single" w:sz="12" w:space="0" w:color="auto"/>
              <w:bottom w:val="dashSmallGap" w:sz="4"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3 500 000</w:t>
            </w:r>
          </w:p>
        </w:tc>
        <w:tc>
          <w:tcPr>
            <w:tcW w:w="1984" w:type="dxa"/>
            <w:tcBorders>
              <w:top w:val="dashSmallGap" w:sz="4" w:space="0" w:color="auto"/>
              <w:left w:val="single" w:sz="12" w:space="0" w:color="auto"/>
              <w:bottom w:val="dashSmallGap" w:sz="4"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5 639 666</w:t>
            </w:r>
          </w:p>
        </w:tc>
        <w:tc>
          <w:tcPr>
            <w:tcW w:w="1843" w:type="dxa"/>
            <w:tcBorders>
              <w:top w:val="dashSmallGap" w:sz="4" w:space="0" w:color="auto"/>
              <w:left w:val="single" w:sz="12" w:space="0" w:color="auto"/>
              <w:bottom w:val="dashSmallGap" w:sz="4"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5 639 666</w:t>
            </w:r>
          </w:p>
        </w:tc>
      </w:tr>
      <w:tr w:rsidR="000F573F" w:rsidRPr="009B40C6" w:rsidTr="0077060C">
        <w:trPr>
          <w:trHeight w:val="345"/>
        </w:trPr>
        <w:tc>
          <w:tcPr>
            <w:tcW w:w="3794"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0F573F" w:rsidRPr="0077060C" w:rsidRDefault="000F573F" w:rsidP="00B8231E">
            <w:pPr>
              <w:spacing w:after="0" w:line="240" w:lineRule="auto"/>
              <w:jc w:val="left"/>
              <w:rPr>
                <w:szCs w:val="28"/>
              </w:rPr>
            </w:pPr>
            <w:r w:rsidRPr="0077060C">
              <w:rPr>
                <w:szCs w:val="28"/>
              </w:rPr>
              <w:t>Aizsarg</w:t>
            </w:r>
            <w:r w:rsidR="00CC7F41">
              <w:rPr>
                <w:szCs w:val="28"/>
              </w:rPr>
              <w:t>ātie lietotāji (bērni līdz 24</w:t>
            </w:r>
            <w:r w:rsidR="00576BBE">
              <w:rPr>
                <w:szCs w:val="28"/>
              </w:rPr>
              <w:t>, iesk. PVN</w:t>
            </w:r>
            <w:r w:rsidR="00CC7F41">
              <w:rPr>
                <w:szCs w:val="28"/>
              </w:rPr>
              <w:t>)*</w:t>
            </w:r>
          </w:p>
        </w:tc>
        <w:tc>
          <w:tcPr>
            <w:tcW w:w="1701" w:type="dxa"/>
            <w:tcBorders>
              <w:top w:val="dashSmallGap" w:sz="4" w:space="0" w:color="auto"/>
              <w:left w:val="single" w:sz="12" w:space="0" w:color="auto"/>
              <w:bottom w:val="dashSmallGap" w:sz="4"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p>
        </w:tc>
        <w:tc>
          <w:tcPr>
            <w:tcW w:w="1984" w:type="dxa"/>
            <w:tcBorders>
              <w:top w:val="dashSmallGap" w:sz="4" w:space="0" w:color="auto"/>
              <w:left w:val="single" w:sz="12" w:space="0" w:color="auto"/>
              <w:bottom w:val="dashSmallGap" w:sz="4"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1 031 458</w:t>
            </w:r>
          </w:p>
        </w:tc>
        <w:tc>
          <w:tcPr>
            <w:tcW w:w="1843" w:type="dxa"/>
            <w:tcBorders>
              <w:top w:val="dashSmallGap" w:sz="4" w:space="0" w:color="auto"/>
              <w:left w:val="single" w:sz="12" w:space="0" w:color="auto"/>
              <w:bottom w:val="dashSmallGap" w:sz="4"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1 031 458</w:t>
            </w:r>
          </w:p>
        </w:tc>
      </w:tr>
      <w:tr w:rsidR="000F573F" w:rsidRPr="009B40C6" w:rsidTr="0077060C">
        <w:trPr>
          <w:trHeight w:val="435"/>
        </w:trPr>
        <w:tc>
          <w:tcPr>
            <w:tcW w:w="3794" w:type="dxa"/>
            <w:tcBorders>
              <w:top w:val="dashSmallGap" w:sz="4" w:space="0" w:color="auto"/>
              <w:left w:val="single" w:sz="12" w:space="0" w:color="auto"/>
              <w:bottom w:val="single" w:sz="12" w:space="0" w:color="auto"/>
              <w:right w:val="single" w:sz="12" w:space="0" w:color="auto"/>
            </w:tcBorders>
            <w:shd w:val="clear" w:color="auto" w:fill="auto"/>
            <w:vAlign w:val="bottom"/>
            <w:hideMark/>
          </w:tcPr>
          <w:p w:rsidR="000F573F" w:rsidRPr="0077060C" w:rsidRDefault="000F573F" w:rsidP="00576BBE">
            <w:pPr>
              <w:spacing w:after="0" w:line="240" w:lineRule="auto"/>
              <w:jc w:val="left"/>
              <w:rPr>
                <w:szCs w:val="28"/>
              </w:rPr>
            </w:pPr>
            <w:r w:rsidRPr="0077060C">
              <w:rPr>
                <w:szCs w:val="28"/>
              </w:rPr>
              <w:t xml:space="preserve">Aizsargātie lietotāji (bērni </w:t>
            </w:r>
            <w:r w:rsidR="00314977" w:rsidRPr="0077060C">
              <w:rPr>
                <w:szCs w:val="28"/>
              </w:rPr>
              <w:t>ar invaliditāti</w:t>
            </w:r>
            <w:r w:rsidR="00576BBE">
              <w:rPr>
                <w:szCs w:val="28"/>
              </w:rPr>
              <w:t>, iesk. PVN</w:t>
            </w:r>
            <w:r w:rsidR="00314977" w:rsidRPr="0077060C">
              <w:rPr>
                <w:szCs w:val="28"/>
              </w:rPr>
              <w:t xml:space="preserve">) </w:t>
            </w:r>
            <w:r w:rsidR="00CC7F41">
              <w:rPr>
                <w:szCs w:val="28"/>
              </w:rPr>
              <w:t>**</w:t>
            </w:r>
          </w:p>
        </w:tc>
        <w:tc>
          <w:tcPr>
            <w:tcW w:w="1701" w:type="dxa"/>
            <w:tcBorders>
              <w:top w:val="dashSmallGap" w:sz="4" w:space="0" w:color="auto"/>
              <w:left w:val="single" w:sz="12" w:space="0" w:color="auto"/>
              <w:bottom w:val="single" w:sz="12"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309 161</w:t>
            </w:r>
          </w:p>
        </w:tc>
        <w:tc>
          <w:tcPr>
            <w:tcW w:w="1984" w:type="dxa"/>
            <w:tcBorders>
              <w:top w:val="dashSmallGap" w:sz="4" w:space="0" w:color="auto"/>
              <w:left w:val="single" w:sz="12" w:space="0" w:color="auto"/>
              <w:bottom w:val="single" w:sz="12"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309 161</w:t>
            </w:r>
          </w:p>
        </w:tc>
        <w:tc>
          <w:tcPr>
            <w:tcW w:w="1843" w:type="dxa"/>
            <w:tcBorders>
              <w:top w:val="dashSmallGap" w:sz="4" w:space="0" w:color="auto"/>
              <w:left w:val="single" w:sz="12" w:space="0" w:color="auto"/>
              <w:bottom w:val="single" w:sz="12" w:space="0" w:color="auto"/>
              <w:right w:val="single" w:sz="12" w:space="0" w:color="auto"/>
            </w:tcBorders>
            <w:shd w:val="clear" w:color="auto" w:fill="auto"/>
            <w:vAlign w:val="center"/>
            <w:hideMark/>
          </w:tcPr>
          <w:p w:rsidR="000F573F" w:rsidRPr="0077060C" w:rsidRDefault="000F573F" w:rsidP="00B8231E">
            <w:pPr>
              <w:spacing w:after="0" w:line="240" w:lineRule="auto"/>
              <w:jc w:val="center"/>
              <w:rPr>
                <w:szCs w:val="28"/>
              </w:rPr>
            </w:pPr>
            <w:r w:rsidRPr="0077060C">
              <w:rPr>
                <w:szCs w:val="28"/>
              </w:rPr>
              <w:t>309 161</w:t>
            </w:r>
          </w:p>
        </w:tc>
      </w:tr>
    </w:tbl>
    <w:p w:rsidR="003773DD" w:rsidRPr="0098795F" w:rsidRDefault="00CC7F41" w:rsidP="003773DD">
      <w:pPr>
        <w:spacing w:after="0" w:line="240" w:lineRule="auto"/>
        <w:rPr>
          <w:szCs w:val="24"/>
        </w:rPr>
      </w:pPr>
      <w:r>
        <w:rPr>
          <w:szCs w:val="24"/>
        </w:rPr>
        <w:t>* - likumprojekts tiek virzīts Saeimā 2.lasījumā</w:t>
      </w:r>
    </w:p>
    <w:p w:rsidR="003773DD" w:rsidRPr="0098795F" w:rsidRDefault="00CC7F41" w:rsidP="003773DD">
      <w:pPr>
        <w:spacing w:after="0" w:line="240" w:lineRule="auto"/>
        <w:rPr>
          <w:szCs w:val="24"/>
        </w:rPr>
      </w:pPr>
      <w:r>
        <w:rPr>
          <w:szCs w:val="24"/>
        </w:rPr>
        <w:t>** - likumprojekts tiek virzīts Saeimā 3.lasījumā</w:t>
      </w:r>
    </w:p>
    <w:p w:rsidR="00B8231E" w:rsidRDefault="00B8231E" w:rsidP="0037197B">
      <w:pPr>
        <w:spacing w:after="0" w:line="240" w:lineRule="auto"/>
        <w:ind w:firstLine="851"/>
        <w:rPr>
          <w:sz w:val="28"/>
          <w:szCs w:val="28"/>
        </w:rPr>
      </w:pPr>
    </w:p>
    <w:p w:rsidR="00C86F19" w:rsidRDefault="00C86F19" w:rsidP="00C86F19">
      <w:pPr>
        <w:spacing w:after="0" w:line="240" w:lineRule="auto"/>
        <w:ind w:firstLine="851"/>
        <w:rPr>
          <w:sz w:val="28"/>
          <w:szCs w:val="28"/>
        </w:rPr>
      </w:pPr>
      <w:r>
        <w:rPr>
          <w:sz w:val="28"/>
          <w:szCs w:val="28"/>
        </w:rPr>
        <w:t xml:space="preserve">Finansiālajos aprēķinos </w:t>
      </w:r>
      <w:r w:rsidRPr="0037197B">
        <w:rPr>
          <w:sz w:val="28"/>
          <w:szCs w:val="28"/>
        </w:rPr>
        <w:t xml:space="preserve">tirdzniecības pakalpojuma </w:t>
      </w:r>
      <w:r>
        <w:rPr>
          <w:sz w:val="28"/>
          <w:szCs w:val="28"/>
        </w:rPr>
        <w:t xml:space="preserve">cena tiek pielīdzināta </w:t>
      </w:r>
      <w:r w:rsidR="00CC7F41">
        <w:rPr>
          <w:sz w:val="28"/>
          <w:szCs w:val="28"/>
        </w:rPr>
        <w:t>AS „Latvenergo”</w:t>
      </w:r>
      <w:r w:rsidRPr="0037197B">
        <w:rPr>
          <w:sz w:val="28"/>
          <w:szCs w:val="28"/>
        </w:rPr>
        <w:t xml:space="preserve"> universālā pakalpojuma elektroenerģijas pārdošanas cenai 2015. gadā: 0,05648 EUR/kWh (bez PVN)</w:t>
      </w:r>
      <w:r>
        <w:rPr>
          <w:sz w:val="28"/>
          <w:szCs w:val="28"/>
        </w:rPr>
        <w:t xml:space="preserve">. </w:t>
      </w:r>
      <w:r w:rsidRPr="0037197B">
        <w:rPr>
          <w:sz w:val="28"/>
          <w:szCs w:val="28"/>
        </w:rPr>
        <w:tab/>
        <w:t>Aizsargātā lietotāja pakalpojuma cena</w:t>
      </w:r>
      <w:r>
        <w:rPr>
          <w:sz w:val="28"/>
          <w:szCs w:val="28"/>
        </w:rPr>
        <w:t xml:space="preserve"> 2015. -</w:t>
      </w:r>
      <w:r w:rsidR="00CC7F41">
        <w:rPr>
          <w:sz w:val="28"/>
          <w:szCs w:val="28"/>
        </w:rPr>
        <w:t xml:space="preserve"> </w:t>
      </w:r>
      <w:r>
        <w:rPr>
          <w:sz w:val="28"/>
          <w:szCs w:val="28"/>
        </w:rPr>
        <w:t>2017.</w:t>
      </w:r>
      <w:r w:rsidR="00CC7F41">
        <w:rPr>
          <w:sz w:val="28"/>
          <w:szCs w:val="28"/>
        </w:rPr>
        <w:t xml:space="preserve"> </w:t>
      </w:r>
      <w:r>
        <w:rPr>
          <w:sz w:val="28"/>
          <w:szCs w:val="28"/>
        </w:rPr>
        <w:t xml:space="preserve">gadam tiek pieņemta </w:t>
      </w:r>
      <w:r w:rsidRPr="0037197B">
        <w:rPr>
          <w:sz w:val="28"/>
          <w:szCs w:val="28"/>
        </w:rPr>
        <w:t>0,0131 EUR/kWh (bez PVN)</w:t>
      </w:r>
      <w:r>
        <w:rPr>
          <w:sz w:val="28"/>
          <w:szCs w:val="28"/>
        </w:rPr>
        <w:t>. Secīgi kompensācija tiek aprēķināta</w:t>
      </w:r>
      <w:r w:rsidR="00CC7F41">
        <w:rPr>
          <w:sz w:val="28"/>
          <w:szCs w:val="28"/>
        </w:rPr>
        <w:t>,</w:t>
      </w:r>
      <w:r>
        <w:rPr>
          <w:sz w:val="28"/>
          <w:szCs w:val="28"/>
        </w:rPr>
        <w:t xml:space="preserve"> atņemot no tirdzniecības pakalpojuma cenas aizsargātā lietotāja pakalpojuma cenu, kas rezultātā ir 0</w:t>
      </w:r>
      <w:r w:rsidRPr="0037197B">
        <w:rPr>
          <w:sz w:val="28"/>
          <w:szCs w:val="28"/>
        </w:rPr>
        <w:t>,04338 EUR/kWh (bez PVN)</w:t>
      </w:r>
      <w:r>
        <w:rPr>
          <w:sz w:val="28"/>
          <w:szCs w:val="28"/>
        </w:rPr>
        <w:t xml:space="preserve">. </w:t>
      </w:r>
    </w:p>
    <w:p w:rsidR="00C86F19" w:rsidRPr="00314977" w:rsidRDefault="00C86F19" w:rsidP="00C86F19">
      <w:pPr>
        <w:spacing w:after="0" w:line="240" w:lineRule="auto"/>
        <w:ind w:firstLine="851"/>
        <w:rPr>
          <w:sz w:val="28"/>
          <w:szCs w:val="28"/>
        </w:rPr>
      </w:pPr>
      <w:r w:rsidRPr="00314977">
        <w:rPr>
          <w:sz w:val="28"/>
          <w:szCs w:val="28"/>
        </w:rPr>
        <w:t xml:space="preserve">Pašlaik </w:t>
      </w:r>
      <w:r w:rsidR="00CC7F41">
        <w:rPr>
          <w:sz w:val="28"/>
          <w:szCs w:val="28"/>
        </w:rPr>
        <w:t xml:space="preserve">Saeimā tiek skatīti </w:t>
      </w:r>
      <w:r w:rsidRPr="00314977">
        <w:rPr>
          <w:sz w:val="28"/>
          <w:szCs w:val="28"/>
        </w:rPr>
        <w:t xml:space="preserve">divi likumprojekti </w:t>
      </w:r>
      <w:r w:rsidR="00CC7F41">
        <w:rPr>
          <w:sz w:val="28"/>
          <w:szCs w:val="28"/>
        </w:rPr>
        <w:t>(</w:t>
      </w:r>
      <w:r w:rsidRPr="00314977">
        <w:rPr>
          <w:sz w:val="28"/>
          <w:szCs w:val="28"/>
        </w:rPr>
        <w:t>dažādās apstiprināšanas stadijās</w:t>
      </w:r>
      <w:r w:rsidR="00CC7F41">
        <w:rPr>
          <w:sz w:val="28"/>
          <w:szCs w:val="28"/>
        </w:rPr>
        <w:t>)</w:t>
      </w:r>
      <w:r w:rsidRPr="00314977">
        <w:rPr>
          <w:sz w:val="28"/>
          <w:szCs w:val="28"/>
        </w:rPr>
        <w:t xml:space="preserve">, kas potenciāli varētu ietekmēt aizsargātajiem lietotājiem nepieciešamo atbalsta summu: </w:t>
      </w:r>
    </w:p>
    <w:p w:rsidR="00C86F19" w:rsidRPr="00314977" w:rsidRDefault="00CC7F41" w:rsidP="00C86F19">
      <w:pPr>
        <w:spacing w:after="0" w:line="240" w:lineRule="auto"/>
        <w:ind w:firstLine="851"/>
        <w:rPr>
          <w:sz w:val="28"/>
          <w:szCs w:val="28"/>
        </w:rPr>
      </w:pPr>
      <w:r>
        <w:rPr>
          <w:sz w:val="28"/>
          <w:szCs w:val="28"/>
        </w:rPr>
        <w:t>1)</w:t>
      </w:r>
      <w:r>
        <w:rPr>
          <w:sz w:val="28"/>
          <w:szCs w:val="28"/>
        </w:rPr>
        <w:tab/>
        <w:t>Saeimā 3.lasījumā</w:t>
      </w:r>
      <w:r w:rsidR="00C86F19" w:rsidRPr="00314977">
        <w:rPr>
          <w:sz w:val="28"/>
          <w:szCs w:val="28"/>
        </w:rPr>
        <w:t xml:space="preserve"> tiek virzīts likumprojekts “Grozījumi Elektroenerģijas tirgus likumā” (Nr. 209/Lp12), iekļaujot aizsargāto lietotāju sarakstā arī ģimenes (personas), kuru aprūpē </w:t>
      </w:r>
      <w:r>
        <w:rPr>
          <w:sz w:val="28"/>
          <w:szCs w:val="28"/>
        </w:rPr>
        <w:t>ir bērns ar invaliditāti. Pēc Labklājības ministrijas</w:t>
      </w:r>
      <w:r w:rsidR="00C86F19" w:rsidRPr="00314977">
        <w:rPr>
          <w:sz w:val="28"/>
          <w:szCs w:val="28"/>
        </w:rPr>
        <w:t xml:space="preserve"> informācijas Latvijā ir 5 939 bērni ar invaliditāti. Vienlaikus tiek sniegti dažādi priekšlikumi aizsargāto lietotāju grupas paplašināšanai, kā piemēram</w:t>
      </w:r>
      <w:r>
        <w:rPr>
          <w:sz w:val="28"/>
          <w:szCs w:val="28"/>
        </w:rPr>
        <w:t>,</w:t>
      </w:r>
      <w:r w:rsidR="00C86F19" w:rsidRPr="00314977">
        <w:rPr>
          <w:sz w:val="28"/>
          <w:szCs w:val="28"/>
        </w:rPr>
        <w:t xml:space="preserve"> personas ar invaliditāti, pensionāri u.c.</w:t>
      </w:r>
      <w:r w:rsidR="00C86F19">
        <w:rPr>
          <w:sz w:val="28"/>
          <w:szCs w:val="28"/>
        </w:rPr>
        <w:t xml:space="preserve">, kas attiecīgi palielinās atbalstam nepieciešamos līdzekļus. </w:t>
      </w:r>
      <w:r w:rsidR="00C86F19" w:rsidRPr="00314977">
        <w:rPr>
          <w:sz w:val="28"/>
          <w:szCs w:val="28"/>
        </w:rPr>
        <w:t xml:space="preserve">Ja tiek apstiprināti </w:t>
      </w:r>
      <w:r>
        <w:rPr>
          <w:sz w:val="28"/>
          <w:szCs w:val="28"/>
        </w:rPr>
        <w:t xml:space="preserve">minētie </w:t>
      </w:r>
      <w:r w:rsidR="00C86F19" w:rsidRPr="00314977">
        <w:rPr>
          <w:sz w:val="28"/>
          <w:szCs w:val="28"/>
        </w:rPr>
        <w:t>grozījumi</w:t>
      </w:r>
      <w:r>
        <w:rPr>
          <w:sz w:val="28"/>
          <w:szCs w:val="28"/>
        </w:rPr>
        <w:t xml:space="preserve"> Elektroenerģijas tirgus likumā</w:t>
      </w:r>
      <w:r w:rsidR="00C86F19" w:rsidRPr="00314977">
        <w:rPr>
          <w:sz w:val="28"/>
          <w:szCs w:val="28"/>
        </w:rPr>
        <w:t>, iekļaujot aizsargāto lietotāju sarakstā arī ģimenes (personas), kuru aprūpē ir bērns ar invaliditāti, tad papildus aizsargātā lietotāja izdevumu kompensācijai būs vajadzīgi 309 161 EUR gadā.</w:t>
      </w:r>
    </w:p>
    <w:p w:rsidR="00C86F19" w:rsidRDefault="00CC7F41" w:rsidP="00C86F19">
      <w:pPr>
        <w:spacing w:after="0" w:line="240" w:lineRule="auto"/>
        <w:ind w:firstLine="851"/>
        <w:rPr>
          <w:sz w:val="28"/>
          <w:szCs w:val="28"/>
        </w:rPr>
      </w:pPr>
      <w:r>
        <w:rPr>
          <w:sz w:val="28"/>
          <w:szCs w:val="28"/>
        </w:rPr>
        <w:t>2)</w:t>
      </w:r>
      <w:r>
        <w:rPr>
          <w:sz w:val="28"/>
          <w:szCs w:val="28"/>
        </w:rPr>
        <w:tab/>
        <w:t>Saeimā 2.lasījumā</w:t>
      </w:r>
      <w:r w:rsidR="00C86F19" w:rsidRPr="00314977">
        <w:rPr>
          <w:sz w:val="28"/>
          <w:szCs w:val="28"/>
        </w:rPr>
        <w:t xml:space="preserve"> tiek virzīti grozījumi Bērnu tiesību aizsardzības likumā (Nr.215/Lp12), kas paredz, ka daudzbērnu ģimene – ģimene, kuras aprūpē ir trīs bērni vai vairāk, tai skaitā audžuģimenē ievietoti un aizbildnībā esoši bērni. Par aprūpē esošiem uzskatāmi arī pilngadību sasniegušie bērni, kamēr viņi turpina vispārējās, profesionālās vai augstākās izglītības iegūšanu, bet ne ilgāk kā līdz dienai, kad viņi sasniedz 24 gadu vecumu. Šīs iniciatīvas rezultātā saskaņā ar Labklājības ministrijas aprēķiniem daudzbērnu ģimeņu </w:t>
      </w:r>
      <w:r w:rsidR="00C86F19" w:rsidRPr="00314977">
        <w:rPr>
          <w:sz w:val="28"/>
          <w:szCs w:val="28"/>
        </w:rPr>
        <w:lastRenderedPageBreak/>
        <w:t>skaits varētu pieaugt par aptuveni 20%, kas attiecīgi ietekmēs aizsargātā lietotāja tirdzniecības pakalpojuma atbalsta apmēru</w:t>
      </w:r>
      <w:r w:rsidR="00C86F19">
        <w:rPr>
          <w:sz w:val="28"/>
          <w:szCs w:val="28"/>
        </w:rPr>
        <w:t>. J</w:t>
      </w:r>
      <w:r w:rsidR="00C86F19" w:rsidRPr="00314977">
        <w:rPr>
          <w:sz w:val="28"/>
          <w:szCs w:val="28"/>
        </w:rPr>
        <w:t>a tiek apstiprināti grozījumi Bērnu tiesību aizsardzības likumā, tad papildus nepieciešamā summa sastāda 1 031 458 EUR.</w:t>
      </w:r>
    </w:p>
    <w:p w:rsidR="00407C0D" w:rsidRPr="00C476B5" w:rsidRDefault="00407C0D" w:rsidP="00407C0D">
      <w:pPr>
        <w:pStyle w:val="Heading2"/>
      </w:pPr>
      <w:bookmarkStart w:id="14" w:name="_Toc428188932"/>
      <w:r>
        <w:t xml:space="preserve">2.6. </w:t>
      </w:r>
      <w:r w:rsidRPr="00C476B5">
        <w:t xml:space="preserve">Elektrības cenu palielinājuma ietekmes izvērtējums saistībā ar </w:t>
      </w:r>
      <w:r w:rsidR="00860749">
        <w:t>obligātā iepirkuma komponentes</w:t>
      </w:r>
      <w:r w:rsidRPr="00C476B5">
        <w:t xml:space="preserve"> izmaiņu scenārijiem</w:t>
      </w:r>
      <w:bookmarkEnd w:id="14"/>
    </w:p>
    <w:p w:rsidR="00407C0D" w:rsidRPr="00B8231E" w:rsidRDefault="00407C0D" w:rsidP="00407C0D">
      <w:pPr>
        <w:spacing w:line="240" w:lineRule="auto"/>
        <w:ind w:firstLine="567"/>
        <w:rPr>
          <w:rFonts w:cs="Times New Roman"/>
          <w:sz w:val="28"/>
          <w:szCs w:val="28"/>
        </w:rPr>
      </w:pPr>
      <w:r w:rsidRPr="00B8231E">
        <w:rPr>
          <w:rFonts w:cs="Times New Roman"/>
          <w:sz w:val="28"/>
          <w:szCs w:val="28"/>
        </w:rPr>
        <w:t xml:space="preserve">Atbilstoši OIK scenārijam (skatīt </w:t>
      </w:r>
      <w:r w:rsidR="00DE3D01">
        <w:rPr>
          <w:rFonts w:cs="Times New Roman"/>
          <w:sz w:val="28"/>
          <w:szCs w:val="28"/>
        </w:rPr>
        <w:t>6</w:t>
      </w:r>
      <w:r w:rsidR="00E72C11">
        <w:rPr>
          <w:rFonts w:cs="Times New Roman"/>
          <w:sz w:val="28"/>
          <w:szCs w:val="28"/>
        </w:rPr>
        <w:t>. </w:t>
      </w:r>
      <w:r w:rsidRPr="00B8231E">
        <w:rPr>
          <w:rFonts w:cs="Times New Roman"/>
          <w:sz w:val="28"/>
          <w:szCs w:val="28"/>
        </w:rPr>
        <w:t>att</w:t>
      </w:r>
      <w:r w:rsidR="00E72C11">
        <w:rPr>
          <w:rFonts w:cs="Times New Roman"/>
          <w:sz w:val="28"/>
          <w:szCs w:val="28"/>
        </w:rPr>
        <w:t>.</w:t>
      </w:r>
      <w:r w:rsidRPr="00B8231E">
        <w:rPr>
          <w:rFonts w:cs="Times New Roman"/>
          <w:sz w:val="28"/>
          <w:szCs w:val="28"/>
        </w:rPr>
        <w:t>) ir veikts salīdzinājums par to ietekmi uz tautsaimniecību attiecībā pret bāzes scenāriju, ja OIK vidējā termiņā paliek nemainīga. Aprēķini veikti, pamatojoties uz pašreizējo elektroenerģijas patēriņa struktūru un 2014.gada obligātā iepirkuma neto izmaksām.</w:t>
      </w:r>
    </w:p>
    <w:p w:rsidR="00407C0D" w:rsidRDefault="00407C0D" w:rsidP="00407C0D">
      <w:pPr>
        <w:jc w:val="center"/>
        <w:rPr>
          <w:b/>
        </w:rPr>
      </w:pPr>
      <w:r>
        <w:rPr>
          <w:b/>
        </w:rPr>
        <w:t>Obligātā iepirkuma komponente</w:t>
      </w:r>
      <w:r w:rsidRPr="00F3779D">
        <w:rPr>
          <w:b/>
        </w:rPr>
        <w:t xml:space="preserve"> </w:t>
      </w:r>
    </w:p>
    <w:p w:rsidR="0020516A" w:rsidRDefault="0020516A" w:rsidP="0020516A">
      <w:pPr>
        <w:jc w:val="center"/>
      </w:pPr>
      <w:r>
        <w:rPr>
          <w:noProof/>
          <w:lang w:eastAsia="lv-LV"/>
        </w:rPr>
        <w:drawing>
          <wp:inline distT="0" distB="0" distL="0" distR="0" wp14:anchorId="0D36AFA2" wp14:editId="05FC8B88">
            <wp:extent cx="5537411" cy="2404533"/>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1BB5" w:rsidRPr="00D67152" w:rsidRDefault="00DE3D01" w:rsidP="00D71BB5">
      <w:pPr>
        <w:pStyle w:val="BodyText2"/>
        <w:rPr>
          <w:b/>
          <w:szCs w:val="24"/>
        </w:rPr>
      </w:pPr>
      <w:r>
        <w:rPr>
          <w:b/>
          <w:szCs w:val="24"/>
        </w:rPr>
        <w:t>6</w:t>
      </w:r>
      <w:r w:rsidR="00D71BB5" w:rsidRPr="00D67152">
        <w:rPr>
          <w:b/>
          <w:szCs w:val="24"/>
        </w:rPr>
        <w:t xml:space="preserve">.attēls. </w:t>
      </w:r>
      <w:r w:rsidR="00D71BB5">
        <w:rPr>
          <w:b/>
          <w:szCs w:val="24"/>
        </w:rPr>
        <w:t>OIK</w:t>
      </w:r>
      <w:r w:rsidR="00E72C11">
        <w:rPr>
          <w:b/>
          <w:szCs w:val="24"/>
        </w:rPr>
        <w:t xml:space="preserve"> </w:t>
      </w:r>
      <w:r w:rsidR="00D71BB5">
        <w:rPr>
          <w:b/>
          <w:szCs w:val="24"/>
        </w:rPr>
        <w:t>scenārijs</w:t>
      </w:r>
    </w:p>
    <w:p w:rsidR="00E72C11" w:rsidRPr="00DE3D01" w:rsidRDefault="00E72C11" w:rsidP="00E72C11">
      <w:pPr>
        <w:spacing w:after="0" w:line="240" w:lineRule="auto"/>
        <w:ind w:firstLine="567"/>
        <w:rPr>
          <w:rFonts w:cs="Times New Roman"/>
          <w:sz w:val="16"/>
          <w:szCs w:val="16"/>
        </w:rPr>
      </w:pPr>
    </w:p>
    <w:p w:rsidR="00407C0D" w:rsidRPr="00B8231E" w:rsidRDefault="00407C0D" w:rsidP="00407C0D">
      <w:pPr>
        <w:spacing w:line="240" w:lineRule="auto"/>
        <w:ind w:firstLine="567"/>
        <w:rPr>
          <w:rFonts w:cs="Times New Roman"/>
          <w:sz w:val="28"/>
          <w:szCs w:val="28"/>
        </w:rPr>
      </w:pPr>
      <w:r w:rsidRPr="00B8231E">
        <w:rPr>
          <w:rFonts w:cs="Times New Roman"/>
          <w:sz w:val="28"/>
          <w:szCs w:val="28"/>
        </w:rPr>
        <w:t>Potenciālais elektroenerģijas izmaksu pieaugums samazina peļņu un palielina ražotāju cenas. Pie tam pakalpojumu nozarēs lielākā daļa izmaksu palielinājuma kompensējas ar pakalpojumu cenu pieaugumu, bet rūpniecībā tas notiek</w:t>
      </w:r>
      <w:r w:rsidR="00CC7F41">
        <w:rPr>
          <w:rFonts w:cs="Times New Roman"/>
          <w:sz w:val="28"/>
          <w:szCs w:val="28"/>
        </w:rPr>
        <w:t>,</w:t>
      </w:r>
      <w:r w:rsidRPr="00B8231E">
        <w:rPr>
          <w:rFonts w:cs="Times New Roman"/>
          <w:sz w:val="28"/>
          <w:szCs w:val="28"/>
        </w:rPr>
        <w:t xml:space="preserve"> galvenokārt</w:t>
      </w:r>
      <w:r w:rsidR="00CC7F41">
        <w:rPr>
          <w:rFonts w:cs="Times New Roman"/>
          <w:sz w:val="28"/>
          <w:szCs w:val="28"/>
        </w:rPr>
        <w:t>,</w:t>
      </w:r>
      <w:r w:rsidRPr="00B8231E">
        <w:rPr>
          <w:rFonts w:cs="Times New Roman"/>
          <w:sz w:val="28"/>
          <w:szCs w:val="28"/>
        </w:rPr>
        <w:t xml:space="preserve"> ar peļņas samazinājumu un konkurētspējas kritumu, jo tā sauktās tirgojamās nozarēs, t.i., nozares, kuru produkciju var brīvi eksportēt un importēt, ražotāji nav cenu noteicēji, bet ir cenu ņēmēji un ir atkarīgi no pasaules tirgus cenām.</w:t>
      </w:r>
    </w:p>
    <w:p w:rsidR="00407C0D" w:rsidRPr="00B8231E" w:rsidRDefault="00407C0D" w:rsidP="00407C0D">
      <w:pPr>
        <w:spacing w:line="240" w:lineRule="auto"/>
        <w:ind w:firstLine="567"/>
        <w:rPr>
          <w:rFonts w:cs="Times New Roman"/>
          <w:sz w:val="28"/>
          <w:szCs w:val="28"/>
        </w:rPr>
      </w:pPr>
      <w:r w:rsidRPr="00B8231E">
        <w:rPr>
          <w:rFonts w:cs="Times New Roman"/>
          <w:sz w:val="28"/>
          <w:szCs w:val="28"/>
        </w:rPr>
        <w:t>OIK pieauguma gadījumā starppatēriņa izmaksu pieaugums kopumā tautsaimniecībai var būt par 0,2</w:t>
      </w:r>
      <w:r w:rsidR="00CC7F41">
        <w:rPr>
          <w:rFonts w:cs="Times New Roman"/>
          <w:sz w:val="28"/>
          <w:szCs w:val="28"/>
        </w:rPr>
        <w:t xml:space="preserve"> </w:t>
      </w:r>
      <w:r w:rsidRPr="00B8231E">
        <w:rPr>
          <w:rFonts w:cs="Times New Roman"/>
          <w:sz w:val="28"/>
          <w:szCs w:val="28"/>
        </w:rPr>
        <w:t>-</w:t>
      </w:r>
      <w:r w:rsidR="00CC7F41">
        <w:rPr>
          <w:rFonts w:cs="Times New Roman"/>
          <w:sz w:val="28"/>
          <w:szCs w:val="28"/>
        </w:rPr>
        <w:t xml:space="preserve"> </w:t>
      </w:r>
      <w:r w:rsidRPr="00B8231E">
        <w:rPr>
          <w:rFonts w:cs="Times New Roman"/>
          <w:sz w:val="28"/>
          <w:szCs w:val="28"/>
        </w:rPr>
        <w:t>0,3% (salīdzinājumā ar bāzes situāciju 2014.</w:t>
      </w:r>
      <w:r w:rsidR="00CC7F41">
        <w:rPr>
          <w:rFonts w:cs="Times New Roman"/>
          <w:sz w:val="28"/>
          <w:szCs w:val="28"/>
        </w:rPr>
        <w:t xml:space="preserve"> </w:t>
      </w:r>
      <w:r w:rsidRPr="00B8231E">
        <w:rPr>
          <w:rFonts w:cs="Times New Roman"/>
          <w:sz w:val="28"/>
          <w:szCs w:val="28"/>
        </w:rPr>
        <w:t>gadā), kas var samazināt uzņēmēju peļņu par 0,3</w:t>
      </w:r>
      <w:r w:rsidR="00CC7F41">
        <w:rPr>
          <w:rFonts w:cs="Times New Roman"/>
          <w:sz w:val="28"/>
          <w:szCs w:val="28"/>
        </w:rPr>
        <w:t xml:space="preserve"> </w:t>
      </w:r>
      <w:r w:rsidRPr="00B8231E">
        <w:rPr>
          <w:rFonts w:cs="Times New Roman"/>
          <w:sz w:val="28"/>
          <w:szCs w:val="28"/>
        </w:rPr>
        <w:t>-</w:t>
      </w:r>
      <w:r w:rsidR="00CC7F41">
        <w:rPr>
          <w:rFonts w:cs="Times New Roman"/>
          <w:sz w:val="28"/>
          <w:szCs w:val="28"/>
        </w:rPr>
        <w:t xml:space="preserve"> </w:t>
      </w:r>
      <w:r w:rsidRPr="00B8231E">
        <w:rPr>
          <w:rFonts w:cs="Times New Roman"/>
          <w:sz w:val="28"/>
          <w:szCs w:val="28"/>
        </w:rPr>
        <w:t>0,4% un palielināt ražotāju cenas par 0,06</w:t>
      </w:r>
      <w:r w:rsidR="00CC7F41">
        <w:rPr>
          <w:rFonts w:cs="Times New Roman"/>
          <w:sz w:val="28"/>
          <w:szCs w:val="28"/>
        </w:rPr>
        <w:t xml:space="preserve"> </w:t>
      </w:r>
      <w:r w:rsidRPr="00B8231E">
        <w:rPr>
          <w:rFonts w:cs="Times New Roman"/>
          <w:sz w:val="28"/>
          <w:szCs w:val="28"/>
        </w:rPr>
        <w:t>-</w:t>
      </w:r>
      <w:r w:rsidR="00CC7F41">
        <w:rPr>
          <w:rFonts w:cs="Times New Roman"/>
          <w:sz w:val="28"/>
          <w:szCs w:val="28"/>
        </w:rPr>
        <w:t xml:space="preserve"> </w:t>
      </w:r>
      <w:r w:rsidRPr="00B8231E">
        <w:rPr>
          <w:rFonts w:cs="Times New Roman"/>
          <w:sz w:val="28"/>
          <w:szCs w:val="28"/>
        </w:rPr>
        <w:t>0,08%. Rūpnieciskiem patērētājiem (apstrādes rūpniecība, būvniecība) peļņa samazināsies par 1,1</w:t>
      </w:r>
      <w:r w:rsidR="00CC7F41">
        <w:rPr>
          <w:rFonts w:cs="Times New Roman"/>
          <w:sz w:val="28"/>
          <w:szCs w:val="28"/>
        </w:rPr>
        <w:t xml:space="preserve"> </w:t>
      </w:r>
      <w:r w:rsidRPr="00B8231E">
        <w:rPr>
          <w:rFonts w:cs="Times New Roman"/>
          <w:sz w:val="28"/>
          <w:szCs w:val="28"/>
        </w:rPr>
        <w:t>-</w:t>
      </w:r>
      <w:r w:rsidR="00CC7F41">
        <w:rPr>
          <w:rFonts w:cs="Times New Roman"/>
          <w:sz w:val="28"/>
          <w:szCs w:val="28"/>
        </w:rPr>
        <w:t xml:space="preserve"> </w:t>
      </w:r>
      <w:r w:rsidRPr="00B8231E">
        <w:rPr>
          <w:rFonts w:cs="Times New Roman"/>
          <w:sz w:val="28"/>
          <w:szCs w:val="28"/>
        </w:rPr>
        <w:t>1,6%, bet ražotāju cenas varētu pieaugt par 0,05</w:t>
      </w:r>
      <w:r w:rsidR="00CC7F41">
        <w:rPr>
          <w:rFonts w:cs="Times New Roman"/>
          <w:sz w:val="28"/>
          <w:szCs w:val="28"/>
        </w:rPr>
        <w:t xml:space="preserve"> </w:t>
      </w:r>
      <w:r w:rsidRPr="00B8231E">
        <w:rPr>
          <w:rFonts w:cs="Times New Roman"/>
          <w:sz w:val="28"/>
          <w:szCs w:val="28"/>
        </w:rPr>
        <w:t>-</w:t>
      </w:r>
      <w:r w:rsidR="00CC7F41">
        <w:rPr>
          <w:rFonts w:cs="Times New Roman"/>
          <w:sz w:val="28"/>
          <w:szCs w:val="28"/>
        </w:rPr>
        <w:t xml:space="preserve"> </w:t>
      </w:r>
      <w:r w:rsidRPr="00B8231E">
        <w:rPr>
          <w:rFonts w:cs="Times New Roman"/>
          <w:sz w:val="28"/>
          <w:szCs w:val="28"/>
        </w:rPr>
        <w:t>0,06%. Savukārt</w:t>
      </w:r>
      <w:r w:rsidR="00CC7F41">
        <w:rPr>
          <w:rFonts w:cs="Times New Roman"/>
          <w:sz w:val="28"/>
          <w:szCs w:val="28"/>
        </w:rPr>
        <w:t>,</w:t>
      </w:r>
      <w:r w:rsidRPr="00B8231E">
        <w:rPr>
          <w:rFonts w:cs="Times New Roman"/>
          <w:sz w:val="28"/>
          <w:szCs w:val="28"/>
        </w:rPr>
        <w:t xml:space="preserve"> nozarēs ar paaugstinātu energointensitāti (elektroenerģijas izmaksu īpatsvaru starppatēriņā) zaudējumi jau ir būtiskāki. Piemēram, rūpnieciskiem patērētājiem ar 5% energointensitāti (vidējā Latvijas </w:t>
      </w:r>
      <w:r w:rsidRPr="00B8231E">
        <w:rPr>
          <w:rFonts w:cs="Times New Roman"/>
          <w:sz w:val="28"/>
          <w:szCs w:val="28"/>
        </w:rPr>
        <w:lastRenderedPageBreak/>
        <w:t>rūpniecībā 2013.gadā bija 3,7%) peļņas samazinājums jau ir par 1,5</w:t>
      </w:r>
      <w:r w:rsidR="00CC7F41">
        <w:rPr>
          <w:rFonts w:cs="Times New Roman"/>
          <w:sz w:val="28"/>
          <w:szCs w:val="28"/>
        </w:rPr>
        <w:t xml:space="preserve"> </w:t>
      </w:r>
      <w:r w:rsidRPr="00B8231E">
        <w:rPr>
          <w:rFonts w:cs="Times New Roman"/>
          <w:sz w:val="28"/>
          <w:szCs w:val="28"/>
        </w:rPr>
        <w:t>-</w:t>
      </w:r>
      <w:r w:rsidR="00CC7F41">
        <w:rPr>
          <w:rFonts w:cs="Times New Roman"/>
          <w:sz w:val="28"/>
          <w:szCs w:val="28"/>
        </w:rPr>
        <w:t xml:space="preserve"> </w:t>
      </w:r>
      <w:r w:rsidRPr="00B8231E">
        <w:rPr>
          <w:rFonts w:cs="Times New Roman"/>
          <w:sz w:val="28"/>
          <w:szCs w:val="28"/>
        </w:rPr>
        <w:t>2%, bet uzņēmumiem ar 7,7% energointensitāti atbilstoši par 2,4</w:t>
      </w:r>
      <w:r w:rsidR="00CC7F41">
        <w:rPr>
          <w:rFonts w:cs="Times New Roman"/>
          <w:sz w:val="28"/>
          <w:szCs w:val="28"/>
        </w:rPr>
        <w:t xml:space="preserve"> </w:t>
      </w:r>
      <w:r w:rsidRPr="00B8231E">
        <w:rPr>
          <w:rFonts w:cs="Times New Roman"/>
          <w:sz w:val="28"/>
          <w:szCs w:val="28"/>
        </w:rPr>
        <w:t>-</w:t>
      </w:r>
      <w:r w:rsidR="00CC7F41">
        <w:rPr>
          <w:rFonts w:cs="Times New Roman"/>
          <w:sz w:val="28"/>
          <w:szCs w:val="28"/>
        </w:rPr>
        <w:t xml:space="preserve"> 3,2%</w:t>
      </w:r>
      <w:r w:rsidRPr="00B8231E">
        <w:rPr>
          <w:rFonts w:cs="Times New Roman"/>
          <w:sz w:val="28"/>
          <w:szCs w:val="28"/>
        </w:rPr>
        <w:t>.</w:t>
      </w:r>
    </w:p>
    <w:p w:rsidR="00407C0D" w:rsidRPr="00B8231E" w:rsidRDefault="00407C0D" w:rsidP="00407C0D">
      <w:pPr>
        <w:spacing w:line="240" w:lineRule="auto"/>
        <w:ind w:firstLine="567"/>
        <w:rPr>
          <w:rFonts w:cs="Times New Roman"/>
          <w:sz w:val="28"/>
          <w:szCs w:val="28"/>
        </w:rPr>
      </w:pPr>
      <w:r w:rsidRPr="00B8231E">
        <w:rPr>
          <w:rFonts w:cs="Times New Roman"/>
          <w:sz w:val="28"/>
          <w:szCs w:val="28"/>
        </w:rPr>
        <w:t>Savukārt</w:t>
      </w:r>
      <w:r w:rsidR="00CC7F41">
        <w:rPr>
          <w:rFonts w:cs="Times New Roman"/>
          <w:sz w:val="28"/>
          <w:szCs w:val="28"/>
        </w:rPr>
        <w:t>,</w:t>
      </w:r>
      <w:r w:rsidRPr="00B8231E">
        <w:rPr>
          <w:rFonts w:cs="Times New Roman"/>
          <w:sz w:val="28"/>
          <w:szCs w:val="28"/>
        </w:rPr>
        <w:t xml:space="preserve"> pārējiem patērētājiem (transports, lauksaimniecība, mežsaimniecība,  komercpakalpojumi, sabiedriskie pakalpojumi) peļņa samazināsies par  0,15</w:t>
      </w:r>
      <w:r w:rsidR="00CC7F41">
        <w:rPr>
          <w:rFonts w:cs="Times New Roman"/>
          <w:sz w:val="28"/>
          <w:szCs w:val="28"/>
        </w:rPr>
        <w:t xml:space="preserve"> </w:t>
      </w:r>
      <w:r w:rsidRPr="00B8231E">
        <w:rPr>
          <w:rFonts w:cs="Times New Roman"/>
          <w:sz w:val="28"/>
          <w:szCs w:val="28"/>
        </w:rPr>
        <w:t>-</w:t>
      </w:r>
      <w:r w:rsidR="00CC7F41">
        <w:rPr>
          <w:rFonts w:cs="Times New Roman"/>
          <w:sz w:val="28"/>
          <w:szCs w:val="28"/>
        </w:rPr>
        <w:t xml:space="preserve"> </w:t>
      </w:r>
      <w:r w:rsidRPr="00B8231E">
        <w:rPr>
          <w:rFonts w:cs="Times New Roman"/>
          <w:sz w:val="28"/>
          <w:szCs w:val="28"/>
        </w:rPr>
        <w:t>0,22% un preču/pakalpojumu cenas var pieaugt par 0,07</w:t>
      </w:r>
      <w:r w:rsidR="00CC7F41">
        <w:rPr>
          <w:rFonts w:cs="Times New Roman"/>
          <w:sz w:val="28"/>
          <w:szCs w:val="28"/>
        </w:rPr>
        <w:t xml:space="preserve"> </w:t>
      </w:r>
      <w:r w:rsidRPr="00B8231E">
        <w:rPr>
          <w:rFonts w:cs="Times New Roman"/>
          <w:sz w:val="28"/>
          <w:szCs w:val="28"/>
        </w:rPr>
        <w:t>-</w:t>
      </w:r>
      <w:r w:rsidR="00CC7F41">
        <w:rPr>
          <w:rFonts w:cs="Times New Roman"/>
          <w:sz w:val="28"/>
          <w:szCs w:val="28"/>
        </w:rPr>
        <w:t xml:space="preserve"> 0,09%</w:t>
      </w:r>
      <w:r w:rsidRPr="00B8231E">
        <w:rPr>
          <w:rFonts w:cs="Times New Roman"/>
          <w:sz w:val="28"/>
          <w:szCs w:val="28"/>
        </w:rPr>
        <w:t xml:space="preserve">. </w:t>
      </w:r>
    </w:p>
    <w:p w:rsidR="00407C0D" w:rsidRPr="00B8231E" w:rsidRDefault="00407C0D" w:rsidP="00407C0D">
      <w:pPr>
        <w:spacing w:line="240" w:lineRule="auto"/>
        <w:ind w:firstLine="567"/>
        <w:rPr>
          <w:rFonts w:cs="Times New Roman"/>
          <w:sz w:val="28"/>
          <w:szCs w:val="28"/>
        </w:rPr>
      </w:pPr>
      <w:r w:rsidRPr="00B8231E">
        <w:rPr>
          <w:rFonts w:cs="Times New Roman"/>
          <w:sz w:val="28"/>
          <w:szCs w:val="28"/>
        </w:rPr>
        <w:t xml:space="preserve">OIK pieauguma gadījumā ietekme uz patēriņa </w:t>
      </w:r>
      <w:r w:rsidR="00CC7F41">
        <w:rPr>
          <w:rFonts w:cs="Times New Roman"/>
          <w:sz w:val="28"/>
          <w:szCs w:val="28"/>
        </w:rPr>
        <w:t>cenām var sasniegt 0,3%</w:t>
      </w:r>
      <w:r w:rsidRPr="00B8231E">
        <w:rPr>
          <w:rFonts w:cs="Times New Roman"/>
          <w:sz w:val="28"/>
          <w:szCs w:val="28"/>
        </w:rPr>
        <w:t>.</w:t>
      </w:r>
    </w:p>
    <w:p w:rsidR="002B53C9" w:rsidRPr="00D116AC" w:rsidRDefault="002B53C9" w:rsidP="002B53C9">
      <w:pPr>
        <w:pStyle w:val="Caption"/>
        <w:keepNext/>
        <w:jc w:val="right"/>
        <w:rPr>
          <w:rFonts w:ascii="Times New Roman" w:hAnsi="Times New Roman"/>
          <w:sz w:val="24"/>
          <w:szCs w:val="24"/>
        </w:rPr>
      </w:pPr>
      <w:r>
        <w:rPr>
          <w:rFonts w:ascii="Times New Roman" w:hAnsi="Times New Roman"/>
          <w:sz w:val="24"/>
          <w:szCs w:val="24"/>
        </w:rPr>
        <w:t>7</w:t>
      </w:r>
      <w:r w:rsidRPr="00D116AC">
        <w:rPr>
          <w:rFonts w:ascii="Times New Roman" w:hAnsi="Times New Roman"/>
          <w:sz w:val="24"/>
          <w:szCs w:val="24"/>
        </w:rPr>
        <w:t>.tabula</w:t>
      </w:r>
    </w:p>
    <w:p w:rsidR="00407C0D" w:rsidRPr="002B53C9" w:rsidRDefault="002B53C9" w:rsidP="002B53C9">
      <w:pPr>
        <w:pStyle w:val="Caption"/>
        <w:keepNext/>
        <w:jc w:val="center"/>
        <w:rPr>
          <w:rFonts w:ascii="Times New Roman" w:hAnsi="Times New Roman"/>
          <w:sz w:val="24"/>
          <w:szCs w:val="24"/>
        </w:rPr>
      </w:pPr>
      <w:r w:rsidRPr="002B53C9">
        <w:rPr>
          <w:rFonts w:ascii="Times New Roman" w:hAnsi="Times New Roman"/>
          <w:sz w:val="24"/>
          <w:szCs w:val="24"/>
        </w:rPr>
        <w:t>Elektrības cenu palielinājuma ietekmes izvērtējums saistībā ar OIK izmaiņām (%)</w:t>
      </w:r>
    </w:p>
    <w:tbl>
      <w:tblPr>
        <w:tblStyle w:val="TableGrid"/>
        <w:tblW w:w="0" w:type="auto"/>
        <w:jc w:val="center"/>
        <w:tblLook w:val="04A0" w:firstRow="1" w:lastRow="0" w:firstColumn="1" w:lastColumn="0" w:noHBand="0" w:noVBand="1"/>
      </w:tblPr>
      <w:tblGrid>
        <w:gridCol w:w="5739"/>
        <w:gridCol w:w="3015"/>
      </w:tblGrid>
      <w:tr w:rsidR="00407C0D" w:rsidRPr="00B8231E" w:rsidTr="005605DB">
        <w:trPr>
          <w:jc w:val="center"/>
        </w:trPr>
        <w:tc>
          <w:tcPr>
            <w:tcW w:w="5739" w:type="dxa"/>
          </w:tcPr>
          <w:p w:rsidR="00407C0D" w:rsidRPr="002B53C9" w:rsidRDefault="00407C0D" w:rsidP="00962023">
            <w:pPr>
              <w:spacing w:before="40" w:after="40" w:line="240" w:lineRule="auto"/>
              <w:rPr>
                <w:szCs w:val="28"/>
              </w:rPr>
            </w:pPr>
          </w:p>
        </w:tc>
        <w:tc>
          <w:tcPr>
            <w:tcW w:w="3015" w:type="dxa"/>
          </w:tcPr>
          <w:p w:rsidR="00407C0D" w:rsidRPr="002B53C9" w:rsidRDefault="00407C0D" w:rsidP="00962023">
            <w:pPr>
              <w:spacing w:before="40" w:after="40" w:line="240" w:lineRule="auto"/>
              <w:jc w:val="center"/>
              <w:rPr>
                <w:b/>
                <w:color w:val="0070C0"/>
                <w:szCs w:val="28"/>
              </w:rPr>
            </w:pPr>
            <w:r w:rsidRPr="002B53C9">
              <w:rPr>
                <w:b/>
                <w:szCs w:val="28"/>
              </w:rPr>
              <w:t>OIK bez dotācijas</w:t>
            </w:r>
          </w:p>
        </w:tc>
      </w:tr>
      <w:tr w:rsidR="00407C0D" w:rsidRPr="00B8231E" w:rsidTr="005605DB">
        <w:trPr>
          <w:jc w:val="center"/>
        </w:trPr>
        <w:tc>
          <w:tcPr>
            <w:tcW w:w="5739" w:type="dxa"/>
          </w:tcPr>
          <w:p w:rsidR="00407C0D" w:rsidRPr="002B53C9" w:rsidRDefault="00407C0D" w:rsidP="00962023">
            <w:pPr>
              <w:spacing w:before="40" w:after="40" w:line="240" w:lineRule="auto"/>
              <w:rPr>
                <w:szCs w:val="28"/>
              </w:rPr>
            </w:pPr>
            <w:r w:rsidRPr="002B53C9">
              <w:rPr>
                <w:szCs w:val="28"/>
              </w:rPr>
              <w:t>starppatēriņa izmaksu izmaiņas tautsaimniecībā OIK izmaiņu dēļ (salīdzinot ar 2014.gadu)</w:t>
            </w:r>
          </w:p>
        </w:tc>
        <w:tc>
          <w:tcPr>
            <w:tcW w:w="3015" w:type="dxa"/>
            <w:vAlign w:val="bottom"/>
          </w:tcPr>
          <w:p w:rsidR="00407C0D" w:rsidRPr="002B53C9" w:rsidRDefault="00407C0D" w:rsidP="00962023">
            <w:pPr>
              <w:spacing w:before="40" w:after="40" w:line="240" w:lineRule="auto"/>
              <w:jc w:val="center"/>
              <w:rPr>
                <w:szCs w:val="28"/>
              </w:rPr>
            </w:pPr>
            <w:r w:rsidRPr="002B53C9">
              <w:rPr>
                <w:szCs w:val="28"/>
              </w:rPr>
              <w:t>+0,2..+0,3</w:t>
            </w:r>
          </w:p>
        </w:tc>
      </w:tr>
      <w:tr w:rsidR="00407C0D" w:rsidRPr="00B8231E" w:rsidTr="005605DB">
        <w:trPr>
          <w:jc w:val="center"/>
        </w:trPr>
        <w:tc>
          <w:tcPr>
            <w:tcW w:w="5739" w:type="dxa"/>
          </w:tcPr>
          <w:p w:rsidR="00407C0D" w:rsidRPr="002B53C9" w:rsidRDefault="00407C0D" w:rsidP="00962023">
            <w:pPr>
              <w:spacing w:before="40" w:after="40" w:line="240" w:lineRule="auto"/>
              <w:rPr>
                <w:szCs w:val="28"/>
              </w:rPr>
            </w:pPr>
            <w:r w:rsidRPr="002B53C9">
              <w:rPr>
                <w:szCs w:val="28"/>
              </w:rPr>
              <w:t>uzņēmēju peļņas izmaiņas, tai skaitā:</w:t>
            </w:r>
          </w:p>
        </w:tc>
        <w:tc>
          <w:tcPr>
            <w:tcW w:w="3015" w:type="dxa"/>
            <w:vAlign w:val="bottom"/>
          </w:tcPr>
          <w:p w:rsidR="00407C0D" w:rsidRPr="002B53C9" w:rsidRDefault="00407C0D" w:rsidP="00962023">
            <w:pPr>
              <w:spacing w:before="40" w:after="40" w:line="240" w:lineRule="auto"/>
              <w:jc w:val="center"/>
              <w:rPr>
                <w:szCs w:val="28"/>
              </w:rPr>
            </w:pPr>
            <w:r w:rsidRPr="002B53C9">
              <w:rPr>
                <w:szCs w:val="28"/>
              </w:rPr>
              <w:t>-0,3..-0,4</w:t>
            </w:r>
          </w:p>
        </w:tc>
      </w:tr>
      <w:tr w:rsidR="00407C0D" w:rsidRPr="00B8231E" w:rsidTr="005605DB">
        <w:trPr>
          <w:jc w:val="center"/>
        </w:trPr>
        <w:tc>
          <w:tcPr>
            <w:tcW w:w="5739" w:type="dxa"/>
          </w:tcPr>
          <w:p w:rsidR="00407C0D" w:rsidRPr="002B53C9" w:rsidRDefault="00407C0D" w:rsidP="00962023">
            <w:pPr>
              <w:spacing w:before="40" w:after="40" w:line="240" w:lineRule="auto"/>
              <w:rPr>
                <w:szCs w:val="28"/>
              </w:rPr>
            </w:pPr>
            <w:r w:rsidRPr="002B53C9">
              <w:rPr>
                <w:szCs w:val="28"/>
              </w:rPr>
              <w:t>rūpnieciskie patērētāji*</w:t>
            </w:r>
          </w:p>
        </w:tc>
        <w:tc>
          <w:tcPr>
            <w:tcW w:w="3015" w:type="dxa"/>
            <w:vAlign w:val="bottom"/>
          </w:tcPr>
          <w:p w:rsidR="00407C0D" w:rsidRPr="002B53C9" w:rsidRDefault="00407C0D" w:rsidP="00962023">
            <w:pPr>
              <w:spacing w:before="40" w:after="40" w:line="240" w:lineRule="auto"/>
              <w:jc w:val="center"/>
              <w:rPr>
                <w:szCs w:val="28"/>
              </w:rPr>
            </w:pPr>
            <w:r w:rsidRPr="002B53C9">
              <w:rPr>
                <w:szCs w:val="28"/>
              </w:rPr>
              <w:t>-1,1..-1,6</w:t>
            </w:r>
          </w:p>
        </w:tc>
      </w:tr>
      <w:tr w:rsidR="00407C0D" w:rsidRPr="00B8231E" w:rsidTr="005605DB">
        <w:trPr>
          <w:jc w:val="center"/>
        </w:trPr>
        <w:tc>
          <w:tcPr>
            <w:tcW w:w="5739" w:type="dxa"/>
          </w:tcPr>
          <w:p w:rsidR="00407C0D" w:rsidRPr="002B53C9" w:rsidRDefault="00407C0D" w:rsidP="00962023">
            <w:pPr>
              <w:spacing w:before="40" w:after="40" w:line="240" w:lineRule="auto"/>
              <w:rPr>
                <w:szCs w:val="28"/>
              </w:rPr>
            </w:pPr>
            <w:r w:rsidRPr="002B53C9">
              <w:rPr>
                <w:szCs w:val="28"/>
              </w:rPr>
              <w:t>pārējie patērētāji**</w:t>
            </w:r>
          </w:p>
        </w:tc>
        <w:tc>
          <w:tcPr>
            <w:tcW w:w="3015" w:type="dxa"/>
            <w:vAlign w:val="bottom"/>
          </w:tcPr>
          <w:p w:rsidR="00407C0D" w:rsidRPr="002B53C9" w:rsidRDefault="00407C0D" w:rsidP="00962023">
            <w:pPr>
              <w:spacing w:before="40" w:after="40" w:line="240" w:lineRule="auto"/>
              <w:jc w:val="center"/>
              <w:rPr>
                <w:szCs w:val="28"/>
              </w:rPr>
            </w:pPr>
            <w:r w:rsidRPr="002B53C9">
              <w:rPr>
                <w:szCs w:val="28"/>
              </w:rPr>
              <w:t>-0,15..-0,22</w:t>
            </w:r>
          </w:p>
        </w:tc>
      </w:tr>
      <w:tr w:rsidR="00407C0D" w:rsidRPr="00B8231E" w:rsidTr="005605DB">
        <w:trPr>
          <w:jc w:val="center"/>
        </w:trPr>
        <w:tc>
          <w:tcPr>
            <w:tcW w:w="5739" w:type="dxa"/>
          </w:tcPr>
          <w:p w:rsidR="00407C0D" w:rsidRPr="002B53C9" w:rsidRDefault="00407C0D" w:rsidP="00962023">
            <w:pPr>
              <w:spacing w:before="40" w:after="40" w:line="240" w:lineRule="auto"/>
              <w:rPr>
                <w:szCs w:val="28"/>
              </w:rPr>
            </w:pPr>
            <w:r w:rsidRPr="002B53C9">
              <w:rPr>
                <w:szCs w:val="28"/>
              </w:rPr>
              <w:t>ražotāju/pakalpojumu cenu izmaiņas, tai skaitā:</w:t>
            </w:r>
          </w:p>
        </w:tc>
        <w:tc>
          <w:tcPr>
            <w:tcW w:w="3015" w:type="dxa"/>
            <w:vAlign w:val="bottom"/>
          </w:tcPr>
          <w:p w:rsidR="00407C0D" w:rsidRPr="002B53C9" w:rsidRDefault="00407C0D" w:rsidP="00962023">
            <w:pPr>
              <w:spacing w:before="40" w:after="40" w:line="240" w:lineRule="auto"/>
              <w:jc w:val="center"/>
              <w:rPr>
                <w:szCs w:val="28"/>
              </w:rPr>
            </w:pPr>
            <w:r w:rsidRPr="002B53C9">
              <w:rPr>
                <w:szCs w:val="28"/>
              </w:rPr>
              <w:t>+0,06..+0,08</w:t>
            </w:r>
          </w:p>
        </w:tc>
      </w:tr>
      <w:tr w:rsidR="00407C0D" w:rsidRPr="00B8231E" w:rsidTr="005605DB">
        <w:trPr>
          <w:jc w:val="center"/>
        </w:trPr>
        <w:tc>
          <w:tcPr>
            <w:tcW w:w="5739" w:type="dxa"/>
          </w:tcPr>
          <w:p w:rsidR="00407C0D" w:rsidRPr="002B53C9" w:rsidRDefault="00407C0D" w:rsidP="00962023">
            <w:pPr>
              <w:spacing w:before="40" w:after="40" w:line="240" w:lineRule="auto"/>
              <w:rPr>
                <w:szCs w:val="28"/>
              </w:rPr>
            </w:pPr>
            <w:r w:rsidRPr="002B53C9">
              <w:rPr>
                <w:szCs w:val="28"/>
              </w:rPr>
              <w:t>rūpnieciskie patērētāji*</w:t>
            </w:r>
          </w:p>
        </w:tc>
        <w:tc>
          <w:tcPr>
            <w:tcW w:w="3015" w:type="dxa"/>
            <w:vAlign w:val="bottom"/>
          </w:tcPr>
          <w:p w:rsidR="00407C0D" w:rsidRPr="002B53C9" w:rsidRDefault="00407C0D" w:rsidP="00962023">
            <w:pPr>
              <w:spacing w:before="40" w:after="40" w:line="240" w:lineRule="auto"/>
              <w:jc w:val="center"/>
              <w:rPr>
                <w:szCs w:val="28"/>
              </w:rPr>
            </w:pPr>
            <w:r w:rsidRPr="002B53C9">
              <w:rPr>
                <w:szCs w:val="28"/>
              </w:rPr>
              <w:t>+0,05..+0,06</w:t>
            </w:r>
          </w:p>
        </w:tc>
      </w:tr>
      <w:tr w:rsidR="00407C0D" w:rsidRPr="00B8231E" w:rsidTr="005605DB">
        <w:trPr>
          <w:jc w:val="center"/>
        </w:trPr>
        <w:tc>
          <w:tcPr>
            <w:tcW w:w="5739" w:type="dxa"/>
          </w:tcPr>
          <w:p w:rsidR="00407C0D" w:rsidRPr="002B53C9" w:rsidRDefault="00407C0D" w:rsidP="00962023">
            <w:pPr>
              <w:spacing w:before="40" w:after="40" w:line="240" w:lineRule="auto"/>
              <w:rPr>
                <w:szCs w:val="28"/>
              </w:rPr>
            </w:pPr>
            <w:r w:rsidRPr="002B53C9">
              <w:rPr>
                <w:szCs w:val="28"/>
              </w:rPr>
              <w:t>pārējie patērētāji**</w:t>
            </w:r>
          </w:p>
        </w:tc>
        <w:tc>
          <w:tcPr>
            <w:tcW w:w="3015" w:type="dxa"/>
            <w:vAlign w:val="bottom"/>
          </w:tcPr>
          <w:p w:rsidR="00407C0D" w:rsidRPr="002B53C9" w:rsidRDefault="00407C0D" w:rsidP="00962023">
            <w:pPr>
              <w:spacing w:before="40" w:after="40" w:line="240" w:lineRule="auto"/>
              <w:jc w:val="center"/>
              <w:rPr>
                <w:szCs w:val="28"/>
              </w:rPr>
            </w:pPr>
            <w:r w:rsidRPr="002B53C9">
              <w:rPr>
                <w:szCs w:val="28"/>
              </w:rPr>
              <w:t>+0,07..+0,09</w:t>
            </w:r>
          </w:p>
        </w:tc>
      </w:tr>
      <w:tr w:rsidR="00407C0D" w:rsidRPr="00B8231E" w:rsidTr="005605DB">
        <w:trPr>
          <w:jc w:val="center"/>
        </w:trPr>
        <w:tc>
          <w:tcPr>
            <w:tcW w:w="5739" w:type="dxa"/>
          </w:tcPr>
          <w:p w:rsidR="00407C0D" w:rsidRPr="002B53C9" w:rsidRDefault="00407C0D" w:rsidP="00962023">
            <w:pPr>
              <w:spacing w:before="40" w:after="40" w:line="240" w:lineRule="auto"/>
              <w:rPr>
                <w:szCs w:val="28"/>
              </w:rPr>
            </w:pPr>
            <w:r w:rsidRPr="002B53C9">
              <w:rPr>
                <w:szCs w:val="28"/>
              </w:rPr>
              <w:t>patēriņa cenu izmaiņas</w:t>
            </w:r>
          </w:p>
        </w:tc>
        <w:tc>
          <w:tcPr>
            <w:tcW w:w="3015" w:type="dxa"/>
            <w:vAlign w:val="bottom"/>
          </w:tcPr>
          <w:p w:rsidR="00407C0D" w:rsidRPr="002B53C9" w:rsidRDefault="00407C0D" w:rsidP="00962023">
            <w:pPr>
              <w:spacing w:before="40" w:after="40" w:line="240" w:lineRule="auto"/>
              <w:jc w:val="center"/>
              <w:rPr>
                <w:szCs w:val="28"/>
              </w:rPr>
            </w:pPr>
            <w:r w:rsidRPr="002B53C9">
              <w:rPr>
                <w:szCs w:val="28"/>
              </w:rPr>
              <w:t>+0,3</w:t>
            </w:r>
          </w:p>
        </w:tc>
      </w:tr>
    </w:tbl>
    <w:p w:rsidR="00407C0D" w:rsidRPr="00B8231E" w:rsidRDefault="00407C0D" w:rsidP="00407C0D">
      <w:pPr>
        <w:spacing w:after="0" w:line="240" w:lineRule="auto"/>
        <w:rPr>
          <w:i/>
          <w:szCs w:val="24"/>
        </w:rPr>
      </w:pPr>
      <w:r w:rsidRPr="00B8231E">
        <w:rPr>
          <w:i/>
          <w:szCs w:val="24"/>
        </w:rPr>
        <w:t>* - apstrādes rūpniecība, būvniecība</w:t>
      </w:r>
    </w:p>
    <w:p w:rsidR="00407C0D" w:rsidRPr="00B8231E" w:rsidRDefault="00407C0D" w:rsidP="00407C0D">
      <w:pPr>
        <w:spacing w:after="0" w:line="240" w:lineRule="auto"/>
        <w:rPr>
          <w:i/>
          <w:szCs w:val="24"/>
        </w:rPr>
      </w:pPr>
      <w:r w:rsidRPr="00B8231E">
        <w:rPr>
          <w:i/>
          <w:szCs w:val="24"/>
        </w:rPr>
        <w:t>** - transports, lauksaimniecība, mežsaimniecība, komercpakalpojumi, sabiedriskie pakalpojumi</w:t>
      </w:r>
    </w:p>
    <w:p w:rsidR="00E67E1C" w:rsidRDefault="00E67E1C" w:rsidP="00E67E1C">
      <w:pPr>
        <w:spacing w:line="259" w:lineRule="auto"/>
        <w:jc w:val="left"/>
        <w:rPr>
          <w:sz w:val="28"/>
          <w:szCs w:val="28"/>
        </w:rPr>
      </w:pPr>
      <w:r>
        <w:rPr>
          <w:sz w:val="28"/>
          <w:szCs w:val="28"/>
        </w:rPr>
        <w:br w:type="page"/>
      </w:r>
    </w:p>
    <w:p w:rsidR="00B41498" w:rsidRDefault="00D564DD" w:rsidP="00D564DD">
      <w:pPr>
        <w:pStyle w:val="Heading1"/>
        <w:numPr>
          <w:ilvl w:val="0"/>
          <w:numId w:val="19"/>
        </w:numPr>
      </w:pPr>
      <w:bookmarkStart w:id="15" w:name="_Toc428188933"/>
      <w:r>
        <w:lastRenderedPageBreak/>
        <w:t>Risinājumi</w:t>
      </w:r>
      <w:bookmarkEnd w:id="15"/>
      <w:r>
        <w:t xml:space="preserve"> </w:t>
      </w:r>
    </w:p>
    <w:p w:rsidR="003226C5" w:rsidRDefault="003226C5" w:rsidP="003226C5">
      <w:pPr>
        <w:pStyle w:val="Heading2"/>
      </w:pPr>
      <w:bookmarkStart w:id="16" w:name="_Toc428188934"/>
      <w:r>
        <w:t xml:space="preserve">3.1. </w:t>
      </w:r>
      <w:r w:rsidR="00860749">
        <w:t>Obligātā iepirkuma komponetes</w:t>
      </w:r>
      <w:r w:rsidR="00BE60B6">
        <w:t xml:space="preserve"> kompensācijai nepieciešamais atbalsts</w:t>
      </w:r>
      <w:bookmarkEnd w:id="16"/>
      <w:r w:rsidR="00BE60B6">
        <w:t xml:space="preserve"> </w:t>
      </w:r>
    </w:p>
    <w:p w:rsidR="0068007C" w:rsidRPr="009E280D" w:rsidRDefault="0068007C" w:rsidP="0068007C">
      <w:pPr>
        <w:pStyle w:val="BodyText2"/>
        <w:ind w:firstLine="851"/>
        <w:rPr>
          <w:sz w:val="28"/>
          <w:szCs w:val="28"/>
        </w:rPr>
      </w:pPr>
      <w:r w:rsidRPr="00D67152">
        <w:rPr>
          <w:sz w:val="28"/>
          <w:szCs w:val="28"/>
        </w:rPr>
        <w:t xml:space="preserve">Kā redzams no 3.attēla, tad OIK nākotnes prognoze līdz 2023.gadam pārsniedz </w:t>
      </w:r>
      <w:r>
        <w:rPr>
          <w:sz w:val="28"/>
          <w:szCs w:val="28"/>
        </w:rPr>
        <w:t>spēkā esošo</w:t>
      </w:r>
      <w:r w:rsidRPr="00D67152">
        <w:rPr>
          <w:sz w:val="28"/>
          <w:szCs w:val="28"/>
        </w:rPr>
        <w:t xml:space="preserve"> OIK 26,79 EUR/MWh apmērā, tāpēc OIK ierobežošanai ir nepieciešama valsts budžeta dotācija</w:t>
      </w:r>
      <w:r>
        <w:rPr>
          <w:sz w:val="28"/>
          <w:szCs w:val="28"/>
        </w:rPr>
        <w:t xml:space="preserve"> (</w:t>
      </w:r>
      <w:r>
        <w:rPr>
          <w:color w:val="000000"/>
          <w:sz w:val="28"/>
          <w:szCs w:val="28"/>
        </w:rPr>
        <w:t xml:space="preserve">skat. </w:t>
      </w:r>
      <w:r w:rsidR="00874271">
        <w:rPr>
          <w:color w:val="000000"/>
          <w:sz w:val="28"/>
          <w:szCs w:val="28"/>
        </w:rPr>
        <w:t>8</w:t>
      </w:r>
      <w:r>
        <w:rPr>
          <w:color w:val="000000"/>
          <w:sz w:val="28"/>
          <w:szCs w:val="28"/>
        </w:rPr>
        <w:t>.tab</w:t>
      </w:r>
      <w:r w:rsidR="00CC7F41">
        <w:rPr>
          <w:color w:val="000000"/>
          <w:sz w:val="28"/>
          <w:szCs w:val="28"/>
        </w:rPr>
        <w:t>ulu</w:t>
      </w:r>
      <w:r>
        <w:rPr>
          <w:color w:val="000000"/>
          <w:sz w:val="28"/>
          <w:szCs w:val="28"/>
        </w:rPr>
        <w:t>)</w:t>
      </w:r>
      <w:r w:rsidRPr="00D67152">
        <w:rPr>
          <w:sz w:val="28"/>
          <w:szCs w:val="28"/>
        </w:rPr>
        <w:t xml:space="preserve">. Nepieciešamā dotācija ir aprēķināta, ņemot vērā publiskā tirgotāja izmaksas un attiecīgā perioda ieņēmumus no elektroenerģija lietotāju maksājumiem, ja OIK saglabājas </w:t>
      </w:r>
      <w:r w:rsidR="00CC7F41">
        <w:rPr>
          <w:sz w:val="28"/>
          <w:szCs w:val="28"/>
        </w:rPr>
        <w:t>tuvu esošajam līmenim</w:t>
      </w:r>
      <w:r w:rsidRPr="00D67152">
        <w:rPr>
          <w:sz w:val="28"/>
          <w:szCs w:val="28"/>
        </w:rPr>
        <w:t>.</w:t>
      </w:r>
    </w:p>
    <w:p w:rsidR="0068007C" w:rsidRPr="00576C66" w:rsidRDefault="00874271" w:rsidP="0068007C">
      <w:pPr>
        <w:pStyle w:val="Caption"/>
        <w:keepNext/>
        <w:jc w:val="right"/>
        <w:rPr>
          <w:rFonts w:ascii="Times New Roman" w:hAnsi="Times New Roman"/>
          <w:sz w:val="24"/>
          <w:szCs w:val="24"/>
        </w:rPr>
      </w:pPr>
      <w:r>
        <w:rPr>
          <w:rFonts w:ascii="Times New Roman" w:hAnsi="Times New Roman"/>
          <w:sz w:val="24"/>
          <w:szCs w:val="24"/>
        </w:rPr>
        <w:t>8</w:t>
      </w:r>
      <w:r w:rsidRPr="00D116AC">
        <w:rPr>
          <w:rFonts w:ascii="Times New Roman" w:hAnsi="Times New Roman"/>
          <w:sz w:val="24"/>
          <w:szCs w:val="24"/>
        </w:rPr>
        <w:t>.tabula</w:t>
      </w:r>
    </w:p>
    <w:p w:rsidR="0068007C" w:rsidRPr="009E280D" w:rsidRDefault="0068007C" w:rsidP="0068007C">
      <w:pPr>
        <w:pStyle w:val="Caption"/>
        <w:keepNext/>
        <w:jc w:val="center"/>
        <w:rPr>
          <w:rFonts w:ascii="Times New Roman" w:hAnsi="Times New Roman"/>
          <w:sz w:val="24"/>
          <w:szCs w:val="24"/>
        </w:rPr>
      </w:pPr>
      <w:r w:rsidRPr="009E280D">
        <w:rPr>
          <w:rFonts w:ascii="Times New Roman" w:hAnsi="Times New Roman"/>
          <w:sz w:val="24"/>
          <w:szCs w:val="24"/>
        </w:rPr>
        <w:t xml:space="preserve">Valsts budžeta līdzfinansējuma apjoms, lai saglabātu OIK </w:t>
      </w:r>
      <w:r w:rsidRPr="00001D64">
        <w:rPr>
          <w:rFonts w:ascii="Times New Roman" w:hAnsi="Times New Roman"/>
          <w:sz w:val="24"/>
          <w:szCs w:val="24"/>
        </w:rPr>
        <w:t>26,79 EUR/MWh</w:t>
      </w:r>
      <w:r w:rsidRPr="009E280D">
        <w:rPr>
          <w:rFonts w:ascii="Times New Roman" w:hAnsi="Times New Roman"/>
          <w:sz w:val="24"/>
          <w:szCs w:val="24"/>
        </w:rPr>
        <w:t>, milj.EUR</w:t>
      </w:r>
    </w:p>
    <w:tbl>
      <w:tblPr>
        <w:tblStyle w:val="TableGrid"/>
        <w:tblW w:w="9180" w:type="dxa"/>
        <w:tblLayout w:type="fixed"/>
        <w:tblLook w:val="04A0" w:firstRow="1" w:lastRow="0" w:firstColumn="1" w:lastColumn="0" w:noHBand="0" w:noVBand="1"/>
      </w:tblPr>
      <w:tblGrid>
        <w:gridCol w:w="3510"/>
        <w:gridCol w:w="1701"/>
        <w:gridCol w:w="2127"/>
        <w:gridCol w:w="1842"/>
      </w:tblGrid>
      <w:tr w:rsidR="00E67E1C" w:rsidRPr="005605DB" w:rsidTr="00E67E1C">
        <w:trPr>
          <w:trHeight w:val="219"/>
        </w:trPr>
        <w:tc>
          <w:tcPr>
            <w:tcW w:w="3510" w:type="dxa"/>
          </w:tcPr>
          <w:p w:rsidR="00E67E1C" w:rsidRPr="005605DB" w:rsidRDefault="00E67E1C" w:rsidP="0068007C">
            <w:pPr>
              <w:spacing w:line="240" w:lineRule="auto"/>
              <w:jc w:val="right"/>
              <w:rPr>
                <w:rFonts w:cs="Times New Roman"/>
                <w:bCs/>
                <w:szCs w:val="24"/>
              </w:rPr>
            </w:pPr>
          </w:p>
        </w:tc>
        <w:tc>
          <w:tcPr>
            <w:tcW w:w="1701" w:type="dxa"/>
            <w:noWrap/>
          </w:tcPr>
          <w:p w:rsidR="00E67E1C" w:rsidRPr="005605DB" w:rsidRDefault="00E67E1C" w:rsidP="0068007C">
            <w:pPr>
              <w:spacing w:line="240" w:lineRule="auto"/>
              <w:jc w:val="center"/>
              <w:rPr>
                <w:rFonts w:cs="Times New Roman"/>
                <w:b/>
                <w:bCs/>
                <w:szCs w:val="24"/>
              </w:rPr>
            </w:pPr>
            <w:r w:rsidRPr="005605DB">
              <w:rPr>
                <w:rFonts w:cs="Times New Roman"/>
                <w:b/>
                <w:bCs/>
                <w:szCs w:val="24"/>
              </w:rPr>
              <w:t>2016</w:t>
            </w:r>
          </w:p>
        </w:tc>
        <w:tc>
          <w:tcPr>
            <w:tcW w:w="2127" w:type="dxa"/>
            <w:noWrap/>
          </w:tcPr>
          <w:p w:rsidR="00E67E1C" w:rsidRPr="005605DB" w:rsidRDefault="00E67E1C" w:rsidP="0068007C">
            <w:pPr>
              <w:spacing w:line="240" w:lineRule="auto"/>
              <w:jc w:val="center"/>
              <w:rPr>
                <w:rFonts w:cs="Times New Roman"/>
                <w:b/>
                <w:bCs/>
                <w:szCs w:val="24"/>
              </w:rPr>
            </w:pPr>
            <w:r w:rsidRPr="005605DB">
              <w:rPr>
                <w:rFonts w:cs="Times New Roman"/>
                <w:b/>
                <w:bCs/>
                <w:szCs w:val="24"/>
              </w:rPr>
              <w:t>2017</w:t>
            </w:r>
          </w:p>
        </w:tc>
        <w:tc>
          <w:tcPr>
            <w:tcW w:w="1842" w:type="dxa"/>
            <w:noWrap/>
          </w:tcPr>
          <w:p w:rsidR="00E67E1C" w:rsidRPr="005605DB" w:rsidRDefault="00E67E1C" w:rsidP="0068007C">
            <w:pPr>
              <w:spacing w:line="240" w:lineRule="auto"/>
              <w:jc w:val="center"/>
              <w:rPr>
                <w:rFonts w:cs="Times New Roman"/>
                <w:b/>
                <w:bCs/>
                <w:szCs w:val="24"/>
              </w:rPr>
            </w:pPr>
            <w:r w:rsidRPr="005605DB">
              <w:rPr>
                <w:rFonts w:cs="Times New Roman"/>
                <w:b/>
                <w:bCs/>
                <w:szCs w:val="24"/>
              </w:rPr>
              <w:t>2018</w:t>
            </w:r>
          </w:p>
        </w:tc>
      </w:tr>
      <w:tr w:rsidR="00E67E1C" w:rsidRPr="005605DB" w:rsidTr="00E67E1C">
        <w:trPr>
          <w:trHeight w:val="219"/>
        </w:trPr>
        <w:tc>
          <w:tcPr>
            <w:tcW w:w="3510" w:type="dxa"/>
          </w:tcPr>
          <w:p w:rsidR="00E67E1C" w:rsidRPr="005605DB" w:rsidRDefault="00E67E1C" w:rsidP="005605DB">
            <w:pPr>
              <w:spacing w:line="240" w:lineRule="auto"/>
              <w:jc w:val="left"/>
              <w:rPr>
                <w:rFonts w:cs="Times New Roman"/>
                <w:bCs/>
                <w:szCs w:val="24"/>
              </w:rPr>
            </w:pPr>
            <w:r w:rsidRPr="005605DB">
              <w:rPr>
                <w:rFonts w:cs="Times New Roman"/>
                <w:bCs/>
                <w:szCs w:val="24"/>
              </w:rPr>
              <w:t>Lietotāju atbalsts (OIK pieauguma kompensēšana visiem lietotājiem)</w:t>
            </w:r>
          </w:p>
        </w:tc>
        <w:tc>
          <w:tcPr>
            <w:tcW w:w="1701" w:type="dxa"/>
            <w:noWrap/>
            <w:vAlign w:val="center"/>
            <w:hideMark/>
          </w:tcPr>
          <w:p w:rsidR="00E67E1C" w:rsidRPr="005605DB" w:rsidRDefault="00E67E1C" w:rsidP="0068007C">
            <w:pPr>
              <w:spacing w:line="240" w:lineRule="auto"/>
              <w:jc w:val="center"/>
              <w:rPr>
                <w:rFonts w:cs="Times New Roman"/>
                <w:bCs/>
                <w:szCs w:val="24"/>
              </w:rPr>
            </w:pPr>
            <w:r w:rsidRPr="005605DB">
              <w:rPr>
                <w:rFonts w:cs="Times New Roman"/>
                <w:szCs w:val="24"/>
              </w:rPr>
              <w:t>79,591</w:t>
            </w:r>
          </w:p>
        </w:tc>
        <w:tc>
          <w:tcPr>
            <w:tcW w:w="2127" w:type="dxa"/>
            <w:noWrap/>
            <w:vAlign w:val="center"/>
            <w:hideMark/>
          </w:tcPr>
          <w:p w:rsidR="00E67E1C" w:rsidRPr="005605DB" w:rsidRDefault="00E67E1C" w:rsidP="0068007C">
            <w:pPr>
              <w:spacing w:line="240" w:lineRule="auto"/>
              <w:jc w:val="center"/>
              <w:rPr>
                <w:rFonts w:cs="Times New Roman"/>
                <w:bCs/>
                <w:szCs w:val="24"/>
              </w:rPr>
            </w:pPr>
            <w:r w:rsidRPr="005605DB">
              <w:rPr>
                <w:rFonts w:cs="Times New Roman"/>
                <w:szCs w:val="24"/>
              </w:rPr>
              <w:t>81,536</w:t>
            </w:r>
          </w:p>
        </w:tc>
        <w:tc>
          <w:tcPr>
            <w:tcW w:w="1842" w:type="dxa"/>
            <w:noWrap/>
            <w:vAlign w:val="center"/>
            <w:hideMark/>
          </w:tcPr>
          <w:p w:rsidR="00E67E1C" w:rsidRPr="005605DB" w:rsidRDefault="00E67E1C" w:rsidP="0068007C">
            <w:pPr>
              <w:spacing w:line="240" w:lineRule="auto"/>
              <w:jc w:val="center"/>
              <w:rPr>
                <w:rFonts w:cs="Times New Roman"/>
                <w:bCs/>
                <w:szCs w:val="24"/>
              </w:rPr>
            </w:pPr>
            <w:r w:rsidRPr="005605DB">
              <w:rPr>
                <w:rFonts w:cs="Times New Roman"/>
                <w:szCs w:val="24"/>
              </w:rPr>
              <w:t>92,678</w:t>
            </w:r>
          </w:p>
        </w:tc>
      </w:tr>
      <w:tr w:rsidR="00E67E1C" w:rsidRPr="005605DB" w:rsidTr="00E67E1C">
        <w:trPr>
          <w:trHeight w:val="219"/>
        </w:trPr>
        <w:tc>
          <w:tcPr>
            <w:tcW w:w="3510" w:type="dxa"/>
          </w:tcPr>
          <w:p w:rsidR="00E67E1C" w:rsidRPr="005605DB" w:rsidRDefault="00E67E1C" w:rsidP="005605DB">
            <w:pPr>
              <w:spacing w:line="240" w:lineRule="auto"/>
              <w:jc w:val="left"/>
              <w:rPr>
                <w:rFonts w:cs="Times New Roman"/>
                <w:bCs/>
                <w:szCs w:val="24"/>
              </w:rPr>
            </w:pPr>
            <w:r w:rsidRPr="005605DB">
              <w:rPr>
                <w:rFonts w:cs="Times New Roman"/>
                <w:bCs/>
                <w:szCs w:val="24"/>
              </w:rPr>
              <w:t>Lietotāju atbalsts (kompensācija energointensīvai apstrādes rūpniecībai)</w:t>
            </w:r>
          </w:p>
        </w:tc>
        <w:tc>
          <w:tcPr>
            <w:tcW w:w="1701" w:type="dxa"/>
            <w:noWrap/>
            <w:vAlign w:val="center"/>
          </w:tcPr>
          <w:p w:rsidR="00E67E1C" w:rsidRPr="005605DB" w:rsidRDefault="00E67E1C" w:rsidP="0068007C">
            <w:pPr>
              <w:spacing w:line="240" w:lineRule="auto"/>
              <w:jc w:val="center"/>
              <w:rPr>
                <w:rFonts w:cs="Times New Roman"/>
                <w:bCs/>
                <w:szCs w:val="24"/>
              </w:rPr>
            </w:pPr>
            <w:r w:rsidRPr="005605DB">
              <w:rPr>
                <w:rFonts w:cs="Times New Roman"/>
                <w:bCs/>
                <w:szCs w:val="24"/>
              </w:rPr>
              <w:t>0</w:t>
            </w:r>
          </w:p>
        </w:tc>
        <w:tc>
          <w:tcPr>
            <w:tcW w:w="2127" w:type="dxa"/>
            <w:noWrap/>
            <w:vAlign w:val="center"/>
          </w:tcPr>
          <w:p w:rsidR="00E67E1C" w:rsidRPr="005605DB" w:rsidRDefault="00E67E1C" w:rsidP="0068007C">
            <w:pPr>
              <w:spacing w:line="240" w:lineRule="auto"/>
              <w:jc w:val="center"/>
              <w:rPr>
                <w:rFonts w:cs="Times New Roman"/>
                <w:bCs/>
                <w:szCs w:val="24"/>
              </w:rPr>
            </w:pPr>
            <w:r w:rsidRPr="005605DB">
              <w:rPr>
                <w:rFonts w:cs="Times New Roman"/>
                <w:bCs/>
                <w:szCs w:val="24"/>
              </w:rPr>
              <w:t>3,5</w:t>
            </w:r>
          </w:p>
        </w:tc>
        <w:tc>
          <w:tcPr>
            <w:tcW w:w="1842" w:type="dxa"/>
            <w:noWrap/>
            <w:vAlign w:val="center"/>
          </w:tcPr>
          <w:p w:rsidR="00E67E1C" w:rsidRPr="005605DB" w:rsidRDefault="00E67E1C" w:rsidP="0068007C">
            <w:pPr>
              <w:spacing w:line="240" w:lineRule="auto"/>
              <w:jc w:val="center"/>
              <w:rPr>
                <w:rFonts w:cs="Times New Roman"/>
                <w:bCs/>
                <w:szCs w:val="24"/>
              </w:rPr>
            </w:pPr>
            <w:r w:rsidRPr="005605DB">
              <w:rPr>
                <w:rFonts w:cs="Times New Roman"/>
                <w:bCs/>
                <w:szCs w:val="24"/>
              </w:rPr>
              <w:t>7</w:t>
            </w:r>
          </w:p>
        </w:tc>
      </w:tr>
    </w:tbl>
    <w:p w:rsidR="0068007C" w:rsidRDefault="0068007C" w:rsidP="0068007C">
      <w:pPr>
        <w:autoSpaceDE w:val="0"/>
        <w:autoSpaceDN w:val="0"/>
        <w:adjustRightInd w:val="0"/>
        <w:spacing w:after="0" w:line="240" w:lineRule="auto"/>
        <w:rPr>
          <w:rFonts w:ascii="Calibri" w:hAnsi="Calibri" w:cs="Calibri"/>
          <w:color w:val="000000"/>
        </w:rPr>
      </w:pPr>
    </w:p>
    <w:p w:rsidR="0068007C" w:rsidRDefault="00BE60B6" w:rsidP="0068007C">
      <w:pPr>
        <w:pStyle w:val="BodyText2"/>
        <w:ind w:firstLine="851"/>
        <w:rPr>
          <w:sz w:val="28"/>
          <w:szCs w:val="28"/>
        </w:rPr>
      </w:pPr>
      <w:r>
        <w:rPr>
          <w:sz w:val="28"/>
          <w:szCs w:val="28"/>
        </w:rPr>
        <w:t xml:space="preserve">Nepieciešamās </w:t>
      </w:r>
      <w:r w:rsidR="0068007C" w:rsidRPr="009E280D">
        <w:rPr>
          <w:sz w:val="28"/>
          <w:szCs w:val="28"/>
        </w:rPr>
        <w:t>dotācijas apjoms var mainīties, ja mainās OIK ietekmējošie faktori: dabasgāzes cena, elektroenerģijas tirgus cena, izstrādes apjomi</w:t>
      </w:r>
      <w:r w:rsidR="0068007C">
        <w:rPr>
          <w:sz w:val="28"/>
          <w:szCs w:val="28"/>
        </w:rPr>
        <w:t xml:space="preserve"> u.c. Tāpēc nepieciešamās budžeta dotācijas pārskatīšana būtu veicama regulāri –</w:t>
      </w:r>
      <w:r w:rsidR="0052754F">
        <w:rPr>
          <w:sz w:val="28"/>
          <w:szCs w:val="28"/>
        </w:rPr>
        <w:t xml:space="preserve"> </w:t>
      </w:r>
      <w:r w:rsidR="0068007C">
        <w:rPr>
          <w:sz w:val="28"/>
          <w:szCs w:val="28"/>
        </w:rPr>
        <w:t xml:space="preserve">reizi gadā. </w:t>
      </w:r>
    </w:p>
    <w:p w:rsidR="0068007C" w:rsidRDefault="0068007C" w:rsidP="0068007C">
      <w:pPr>
        <w:pStyle w:val="BodyText2"/>
        <w:ind w:firstLine="851"/>
        <w:rPr>
          <w:sz w:val="28"/>
          <w:szCs w:val="28"/>
        </w:rPr>
      </w:pPr>
      <w:r w:rsidRPr="0068007C">
        <w:rPr>
          <w:sz w:val="28"/>
          <w:szCs w:val="28"/>
        </w:rPr>
        <w:t xml:space="preserve">Gadījumos, ja faktiski nepieciešamā </w:t>
      </w:r>
      <w:r w:rsidR="00CC7F41">
        <w:rPr>
          <w:sz w:val="28"/>
          <w:szCs w:val="28"/>
        </w:rPr>
        <w:t xml:space="preserve">budžeta </w:t>
      </w:r>
      <w:r w:rsidRPr="0068007C">
        <w:rPr>
          <w:sz w:val="28"/>
          <w:szCs w:val="28"/>
        </w:rPr>
        <w:t xml:space="preserve">dotācija, ņemot vērā faktiskās publiskā tirgotāja izmaksas, ir mazāka par ikgadējā valsts budžetā noteikto, </w:t>
      </w:r>
      <w:r w:rsidR="00BE60B6">
        <w:rPr>
          <w:sz w:val="28"/>
          <w:szCs w:val="28"/>
        </w:rPr>
        <w:t xml:space="preserve">nav nepieciešams </w:t>
      </w:r>
      <w:r w:rsidRPr="0068007C">
        <w:rPr>
          <w:sz w:val="28"/>
          <w:szCs w:val="28"/>
        </w:rPr>
        <w:t xml:space="preserve">izmaksāt visu ieplānoto </w:t>
      </w:r>
      <w:r w:rsidR="00CC7F41">
        <w:rPr>
          <w:sz w:val="28"/>
          <w:szCs w:val="28"/>
        </w:rPr>
        <w:t xml:space="preserve">budžeta </w:t>
      </w:r>
      <w:r w:rsidR="00AA509F">
        <w:rPr>
          <w:sz w:val="28"/>
          <w:szCs w:val="28"/>
        </w:rPr>
        <w:t>dotācijas apjomu, tādejādi</w:t>
      </w:r>
      <w:r w:rsidRPr="0068007C">
        <w:rPr>
          <w:sz w:val="28"/>
          <w:szCs w:val="28"/>
        </w:rPr>
        <w:t xml:space="preserve"> samazinot OIK zem 26,79 EUR/MWh, šādos gadījumos Ekonomikas ministrija izmaksātu tikai tādu </w:t>
      </w:r>
      <w:r w:rsidR="00AA509F">
        <w:rPr>
          <w:sz w:val="28"/>
          <w:szCs w:val="28"/>
        </w:rPr>
        <w:t xml:space="preserve">budžeta </w:t>
      </w:r>
      <w:r w:rsidRPr="0068007C">
        <w:rPr>
          <w:sz w:val="28"/>
          <w:szCs w:val="28"/>
        </w:rPr>
        <w:t xml:space="preserve">dotācijas apjomu, kas nodrošinātu OIK noturēšanu </w:t>
      </w:r>
      <w:r>
        <w:rPr>
          <w:sz w:val="28"/>
          <w:szCs w:val="28"/>
        </w:rPr>
        <w:t>noteikt</w:t>
      </w:r>
      <w:r w:rsidRPr="0068007C">
        <w:rPr>
          <w:sz w:val="28"/>
          <w:szCs w:val="28"/>
        </w:rPr>
        <w:t xml:space="preserve">ajā līmenī. </w:t>
      </w:r>
    </w:p>
    <w:p w:rsidR="003226C5" w:rsidRDefault="0068007C" w:rsidP="003226C5">
      <w:pPr>
        <w:pStyle w:val="BodyText2"/>
        <w:ind w:firstLine="851"/>
        <w:rPr>
          <w:sz w:val="28"/>
          <w:szCs w:val="28"/>
        </w:rPr>
      </w:pPr>
      <w:r>
        <w:rPr>
          <w:sz w:val="28"/>
          <w:szCs w:val="28"/>
        </w:rPr>
        <w:t>Ņemot vērā ierobežotos valsts budžeta resursus</w:t>
      </w:r>
      <w:r w:rsidR="00AA509F">
        <w:rPr>
          <w:sz w:val="28"/>
          <w:szCs w:val="28"/>
        </w:rPr>
        <w:t>,</w:t>
      </w:r>
      <w:r>
        <w:rPr>
          <w:sz w:val="28"/>
          <w:szCs w:val="28"/>
        </w:rPr>
        <w:t xml:space="preserve"> OIK turpmāka saglabāšana 26,79 EUR/MWh līmenī </w:t>
      </w:r>
      <w:r w:rsidR="00BE60B6">
        <w:rPr>
          <w:sz w:val="28"/>
          <w:szCs w:val="28"/>
        </w:rPr>
        <w:t xml:space="preserve">ir apgrūtinoša. </w:t>
      </w:r>
      <w:r w:rsidR="003226C5">
        <w:rPr>
          <w:sz w:val="28"/>
          <w:szCs w:val="28"/>
        </w:rPr>
        <w:t xml:space="preserve">Tāpēc tiek piedāvāti risinājumi, kas paredz </w:t>
      </w:r>
      <w:r w:rsidR="00BE60B6">
        <w:rPr>
          <w:sz w:val="28"/>
          <w:szCs w:val="28"/>
        </w:rPr>
        <w:t xml:space="preserve">gan </w:t>
      </w:r>
      <w:r w:rsidR="003226C5">
        <w:rPr>
          <w:sz w:val="28"/>
          <w:szCs w:val="28"/>
        </w:rPr>
        <w:t>OIK pieaugumu</w:t>
      </w:r>
      <w:r w:rsidR="00BE60B6">
        <w:rPr>
          <w:sz w:val="28"/>
          <w:szCs w:val="28"/>
        </w:rPr>
        <w:t>, gan nepieciešamo papildus kompensācijas summu, lai</w:t>
      </w:r>
      <w:r w:rsidR="00AA509F">
        <w:rPr>
          <w:sz w:val="28"/>
          <w:szCs w:val="28"/>
        </w:rPr>
        <w:t>,</w:t>
      </w:r>
      <w:r w:rsidR="00BE60B6">
        <w:rPr>
          <w:sz w:val="28"/>
          <w:szCs w:val="28"/>
        </w:rPr>
        <w:t xml:space="preserve"> </w:t>
      </w:r>
      <w:r w:rsidR="00AA509F">
        <w:rPr>
          <w:sz w:val="28"/>
          <w:szCs w:val="28"/>
        </w:rPr>
        <w:t xml:space="preserve">nedaudz pieaugot </w:t>
      </w:r>
      <w:r w:rsidR="00BE60B6">
        <w:rPr>
          <w:sz w:val="28"/>
          <w:szCs w:val="28"/>
        </w:rPr>
        <w:t>OIK</w:t>
      </w:r>
      <w:r w:rsidR="00AA509F">
        <w:rPr>
          <w:sz w:val="28"/>
          <w:szCs w:val="28"/>
        </w:rPr>
        <w:t>,</w:t>
      </w:r>
      <w:r w:rsidR="00BE60B6">
        <w:rPr>
          <w:sz w:val="28"/>
          <w:szCs w:val="28"/>
        </w:rPr>
        <w:t xml:space="preserve"> nepieaugtu</w:t>
      </w:r>
      <w:r w:rsidR="00AA509F">
        <w:rPr>
          <w:sz w:val="28"/>
          <w:szCs w:val="28"/>
        </w:rPr>
        <w:t xml:space="preserve"> elektroenerģijas gala cena</w:t>
      </w:r>
      <w:r w:rsidR="00BE60B6">
        <w:rPr>
          <w:sz w:val="28"/>
          <w:szCs w:val="28"/>
        </w:rPr>
        <w:t xml:space="preserve">. </w:t>
      </w:r>
    </w:p>
    <w:p w:rsidR="002838E4" w:rsidRPr="00CA5DAC" w:rsidRDefault="002838E4" w:rsidP="002838E4">
      <w:pPr>
        <w:spacing w:after="0" w:line="240" w:lineRule="auto"/>
        <w:ind w:firstLine="851"/>
        <w:rPr>
          <w:sz w:val="28"/>
          <w:szCs w:val="28"/>
        </w:rPr>
      </w:pPr>
      <w:r>
        <w:rPr>
          <w:sz w:val="28"/>
          <w:szCs w:val="28"/>
        </w:rPr>
        <w:t>Ja valsts b</w:t>
      </w:r>
      <w:r w:rsidR="00AA509F">
        <w:rPr>
          <w:sz w:val="28"/>
          <w:szCs w:val="28"/>
        </w:rPr>
        <w:t>udžeta apakšprogrammā 29.02.00 „</w:t>
      </w:r>
      <w:r w:rsidRPr="008C06AE">
        <w:rPr>
          <w:sz w:val="28"/>
          <w:szCs w:val="28"/>
        </w:rPr>
        <w:t>Elek</w:t>
      </w:r>
      <w:r>
        <w:rPr>
          <w:sz w:val="28"/>
          <w:szCs w:val="28"/>
        </w:rPr>
        <w:t>troenerģijas lietotāju atbalsts” netiek paredzēti līdzekļi OIK saglabāšanai, OIK pakāpeniski pieaug: 2016.gadā – 38,66 EUR/MWh, 2017. gadā – 39,30 EUR/MWh, 2018. ga</w:t>
      </w:r>
      <w:r w:rsidR="00AA509F">
        <w:rPr>
          <w:sz w:val="28"/>
          <w:szCs w:val="28"/>
        </w:rPr>
        <w:t>dā – 41,28 EUR/MWh (skat. 3.attēlu</w:t>
      </w:r>
      <w:r>
        <w:rPr>
          <w:sz w:val="28"/>
          <w:szCs w:val="28"/>
        </w:rPr>
        <w:t>).</w:t>
      </w:r>
    </w:p>
    <w:p w:rsidR="003226C5" w:rsidRDefault="003226C5" w:rsidP="003226C5">
      <w:pPr>
        <w:pStyle w:val="BodyText2"/>
        <w:ind w:firstLine="851"/>
        <w:rPr>
          <w:sz w:val="28"/>
          <w:szCs w:val="28"/>
        </w:rPr>
      </w:pPr>
    </w:p>
    <w:p w:rsidR="005605DB" w:rsidRDefault="005605DB" w:rsidP="003226C5">
      <w:pPr>
        <w:pStyle w:val="BodyText2"/>
        <w:ind w:firstLine="851"/>
        <w:rPr>
          <w:sz w:val="28"/>
          <w:szCs w:val="28"/>
        </w:rPr>
      </w:pPr>
    </w:p>
    <w:p w:rsidR="005605DB" w:rsidRDefault="005605DB" w:rsidP="003226C5">
      <w:pPr>
        <w:pStyle w:val="BodyText2"/>
        <w:ind w:firstLine="851"/>
        <w:rPr>
          <w:sz w:val="28"/>
          <w:szCs w:val="28"/>
        </w:rPr>
      </w:pPr>
    </w:p>
    <w:p w:rsidR="00BE60B6" w:rsidRDefault="00BE60B6" w:rsidP="002C5571">
      <w:pPr>
        <w:pStyle w:val="Heading2"/>
      </w:pPr>
      <w:bookmarkStart w:id="17" w:name="_Toc428188935"/>
      <w:r>
        <w:lastRenderedPageBreak/>
        <w:t>3.2. Piedāvātie risinājumi</w:t>
      </w:r>
      <w:bookmarkEnd w:id="17"/>
      <w:r>
        <w:t xml:space="preserve"> </w:t>
      </w:r>
    </w:p>
    <w:p w:rsidR="00E67E1C" w:rsidRPr="005605DB" w:rsidRDefault="00E67E1C" w:rsidP="005605DB">
      <w:pPr>
        <w:pStyle w:val="Heading3"/>
      </w:pPr>
      <w:bookmarkStart w:id="18" w:name="_Toc428188936"/>
      <w:r w:rsidRPr="005605DB">
        <w:t>1.risinājums</w:t>
      </w:r>
      <w:bookmarkEnd w:id="18"/>
      <w:r w:rsidRPr="005605DB">
        <w:t xml:space="preserve"> </w:t>
      </w:r>
    </w:p>
    <w:p w:rsidR="00D707C1" w:rsidRDefault="00D707C1" w:rsidP="00D707C1">
      <w:pPr>
        <w:spacing w:after="0" w:line="240" w:lineRule="auto"/>
        <w:ind w:firstLine="851"/>
        <w:rPr>
          <w:sz w:val="28"/>
          <w:szCs w:val="28"/>
        </w:rPr>
      </w:pPr>
      <w:r>
        <w:rPr>
          <w:sz w:val="28"/>
          <w:szCs w:val="28"/>
        </w:rPr>
        <w:t>Valsts budžeta apakšprogrammā 29.02.00 “</w:t>
      </w:r>
      <w:r w:rsidRPr="008C06AE">
        <w:rPr>
          <w:sz w:val="28"/>
          <w:szCs w:val="28"/>
        </w:rPr>
        <w:t>Elek</w:t>
      </w:r>
      <w:r>
        <w:rPr>
          <w:sz w:val="28"/>
          <w:szCs w:val="28"/>
        </w:rPr>
        <w:t xml:space="preserve">troenerģijas lietotāju atbalsts” tiek iekļauti līdzekļi no AS “Latvenergo” dividendēm šādā apmērā: 2016. gadā 23 665 609 EUR (papildus bāzes finansējumam – </w:t>
      </w:r>
      <w:r w:rsidRPr="00821C00">
        <w:rPr>
          <w:sz w:val="28"/>
          <w:szCs w:val="28"/>
        </w:rPr>
        <w:t>11</w:t>
      </w:r>
      <w:r>
        <w:rPr>
          <w:sz w:val="28"/>
          <w:szCs w:val="28"/>
        </w:rPr>
        <w:t> </w:t>
      </w:r>
      <w:r w:rsidRPr="00821C00">
        <w:rPr>
          <w:sz w:val="28"/>
          <w:szCs w:val="28"/>
        </w:rPr>
        <w:t>952</w:t>
      </w:r>
      <w:r>
        <w:rPr>
          <w:sz w:val="28"/>
          <w:szCs w:val="28"/>
        </w:rPr>
        <w:t> </w:t>
      </w:r>
      <w:r w:rsidRPr="00821C00">
        <w:rPr>
          <w:sz w:val="28"/>
          <w:szCs w:val="28"/>
        </w:rPr>
        <w:t>123</w:t>
      </w:r>
      <w:r>
        <w:rPr>
          <w:sz w:val="28"/>
          <w:szCs w:val="28"/>
        </w:rPr>
        <w:t xml:space="preserve"> EUR, nepieciešams novirzīt 11 713 486 EUR no AS “Latvenergo” dividendēm), 2017. gadā </w:t>
      </w:r>
      <w:r w:rsidRPr="00B108D2">
        <w:rPr>
          <w:sz w:val="28"/>
          <w:szCs w:val="28"/>
        </w:rPr>
        <w:t>48 009</w:t>
      </w:r>
      <w:r>
        <w:rPr>
          <w:sz w:val="28"/>
          <w:szCs w:val="28"/>
        </w:rPr>
        <w:t> </w:t>
      </w:r>
      <w:r w:rsidRPr="00B108D2">
        <w:rPr>
          <w:sz w:val="28"/>
          <w:szCs w:val="28"/>
        </w:rPr>
        <w:t>955</w:t>
      </w:r>
      <w:r>
        <w:rPr>
          <w:sz w:val="28"/>
          <w:szCs w:val="28"/>
        </w:rPr>
        <w:t xml:space="preserve"> EUR un 2018. gadā 60 352 620 EUR, kā arī līdzekļi no SEN ieņēmumiem, kas 2016. gadā plānoti 33 </w:t>
      </w:r>
      <w:r w:rsidRPr="002C5571">
        <w:rPr>
          <w:sz w:val="28"/>
          <w:szCs w:val="28"/>
        </w:rPr>
        <w:t>876</w:t>
      </w:r>
      <w:r>
        <w:rPr>
          <w:sz w:val="28"/>
          <w:szCs w:val="28"/>
        </w:rPr>
        <w:t> 000 EUR apmērā, 2017. un 2018. gadā 37 </w:t>
      </w:r>
      <w:r w:rsidRPr="002C5571">
        <w:rPr>
          <w:sz w:val="28"/>
          <w:szCs w:val="28"/>
        </w:rPr>
        <w:t>009</w:t>
      </w:r>
      <w:r>
        <w:rPr>
          <w:sz w:val="28"/>
          <w:szCs w:val="28"/>
        </w:rPr>
        <w:t xml:space="preserve"> 000 EUR apmērā katru gadu. </w:t>
      </w:r>
    </w:p>
    <w:p w:rsidR="00D707C1" w:rsidRDefault="00D707C1" w:rsidP="00D707C1">
      <w:pPr>
        <w:spacing w:after="0" w:line="240" w:lineRule="auto"/>
        <w:ind w:firstLine="851"/>
        <w:rPr>
          <w:sz w:val="28"/>
          <w:szCs w:val="28"/>
        </w:rPr>
      </w:pPr>
      <w:r>
        <w:rPr>
          <w:sz w:val="28"/>
          <w:szCs w:val="28"/>
        </w:rPr>
        <w:t xml:space="preserve">Ņemot vērā, ka OIK tiek noteikta periodam no kārtējā gada 1. aprīļa līdz nākamā gada 31. martam, valsts budžeta dotāciju publiskajam tirgotājam paredzēts iekļaut valsts budžetā un izmaksāt proporcionāli OIK maksājumiem, t.i. </w:t>
      </w:r>
      <w:r w:rsidRPr="00B108D2">
        <w:rPr>
          <w:sz w:val="28"/>
          <w:szCs w:val="28"/>
        </w:rPr>
        <w:t>¾ no nepieciešamās subsīdijas izmaksāt no kārtējā gada budžeta, savukārt atlikušo ¼ iekļauj vidēja termiņa budžeta ietvarā nākamajā gadā.</w:t>
      </w:r>
      <w:r>
        <w:rPr>
          <w:sz w:val="28"/>
          <w:szCs w:val="28"/>
        </w:rPr>
        <w:t xml:space="preserve"> Lai noturētu OIK 26,79 EUR/MWh līmenī, no 2016. gada 1. aprīļa līdz 2017. gada 31. martam, kopā nepieciešams paredzēt 79 591 260 EUR (2016. gadā </w:t>
      </w:r>
      <w:r w:rsidRPr="0053610A">
        <w:rPr>
          <w:sz w:val="28"/>
          <w:szCs w:val="28"/>
        </w:rPr>
        <w:t>59</w:t>
      </w:r>
      <w:r>
        <w:rPr>
          <w:sz w:val="28"/>
          <w:szCs w:val="28"/>
        </w:rPr>
        <w:t> </w:t>
      </w:r>
      <w:r w:rsidRPr="0053610A">
        <w:rPr>
          <w:sz w:val="28"/>
          <w:szCs w:val="28"/>
        </w:rPr>
        <w:t>693</w:t>
      </w:r>
      <w:r>
        <w:rPr>
          <w:sz w:val="28"/>
          <w:szCs w:val="28"/>
        </w:rPr>
        <w:t> </w:t>
      </w:r>
      <w:r w:rsidRPr="0053610A">
        <w:rPr>
          <w:sz w:val="28"/>
          <w:szCs w:val="28"/>
        </w:rPr>
        <w:t>445</w:t>
      </w:r>
      <w:r>
        <w:rPr>
          <w:sz w:val="28"/>
          <w:szCs w:val="28"/>
        </w:rPr>
        <w:t xml:space="preserve"> EUR un 2017. gadā </w:t>
      </w:r>
      <w:r w:rsidRPr="0053610A">
        <w:rPr>
          <w:sz w:val="28"/>
          <w:szCs w:val="28"/>
        </w:rPr>
        <w:t>19</w:t>
      </w:r>
      <w:r>
        <w:rPr>
          <w:sz w:val="28"/>
          <w:szCs w:val="28"/>
        </w:rPr>
        <w:t> </w:t>
      </w:r>
      <w:r w:rsidRPr="0053610A">
        <w:rPr>
          <w:sz w:val="28"/>
          <w:szCs w:val="28"/>
        </w:rPr>
        <w:t>897</w:t>
      </w:r>
      <w:r>
        <w:rPr>
          <w:sz w:val="28"/>
          <w:szCs w:val="28"/>
        </w:rPr>
        <w:t> </w:t>
      </w:r>
      <w:r w:rsidRPr="0053610A">
        <w:rPr>
          <w:sz w:val="28"/>
          <w:szCs w:val="28"/>
        </w:rPr>
        <w:t>815</w:t>
      </w:r>
      <w:r>
        <w:rPr>
          <w:sz w:val="28"/>
          <w:szCs w:val="28"/>
        </w:rPr>
        <w:t> EUR); no 2017. gada 1. aprīļa līdz 2018. gada 31. martam kopā nepieciešams paredzēt 81</w:t>
      </w:r>
      <w:r w:rsidR="00221E57">
        <w:rPr>
          <w:sz w:val="28"/>
          <w:szCs w:val="28"/>
        </w:rPr>
        <w:t> </w:t>
      </w:r>
      <w:r>
        <w:rPr>
          <w:sz w:val="28"/>
          <w:szCs w:val="28"/>
        </w:rPr>
        <w:t>536</w:t>
      </w:r>
      <w:r w:rsidR="00221E57">
        <w:rPr>
          <w:sz w:val="28"/>
          <w:szCs w:val="28"/>
        </w:rPr>
        <w:t> 283 EUR (2017. </w:t>
      </w:r>
      <w:r>
        <w:rPr>
          <w:sz w:val="28"/>
          <w:szCs w:val="28"/>
        </w:rPr>
        <w:t xml:space="preserve">gadā </w:t>
      </w:r>
      <w:r w:rsidRPr="0053610A">
        <w:rPr>
          <w:sz w:val="28"/>
          <w:szCs w:val="28"/>
        </w:rPr>
        <w:t>61</w:t>
      </w:r>
      <w:r w:rsidR="00221E57">
        <w:rPr>
          <w:sz w:val="28"/>
          <w:szCs w:val="28"/>
        </w:rPr>
        <w:t> 152 </w:t>
      </w:r>
      <w:r w:rsidRPr="0053610A">
        <w:rPr>
          <w:sz w:val="28"/>
          <w:szCs w:val="28"/>
        </w:rPr>
        <w:t>212</w:t>
      </w:r>
      <w:r>
        <w:rPr>
          <w:sz w:val="28"/>
          <w:szCs w:val="28"/>
        </w:rPr>
        <w:t xml:space="preserve"> EUR un 2018. gadā </w:t>
      </w:r>
      <w:r w:rsidRPr="0053610A">
        <w:rPr>
          <w:sz w:val="28"/>
          <w:szCs w:val="28"/>
        </w:rPr>
        <w:t>20</w:t>
      </w:r>
      <w:r w:rsidR="00221E57">
        <w:rPr>
          <w:sz w:val="28"/>
          <w:szCs w:val="28"/>
        </w:rPr>
        <w:t> </w:t>
      </w:r>
      <w:r w:rsidRPr="0053610A">
        <w:rPr>
          <w:sz w:val="28"/>
          <w:szCs w:val="28"/>
        </w:rPr>
        <w:t>384</w:t>
      </w:r>
      <w:r w:rsidR="00221E57">
        <w:rPr>
          <w:sz w:val="28"/>
          <w:szCs w:val="28"/>
        </w:rPr>
        <w:t> </w:t>
      </w:r>
      <w:r w:rsidRPr="0053610A">
        <w:rPr>
          <w:sz w:val="28"/>
          <w:szCs w:val="28"/>
        </w:rPr>
        <w:t>071</w:t>
      </w:r>
      <w:r>
        <w:rPr>
          <w:sz w:val="28"/>
          <w:szCs w:val="28"/>
        </w:rPr>
        <w:t xml:space="preserve"> EUR). </w:t>
      </w:r>
    </w:p>
    <w:p w:rsidR="00D707C1" w:rsidRDefault="00D27C5F" w:rsidP="0058756F">
      <w:pPr>
        <w:spacing w:after="0" w:line="240" w:lineRule="auto"/>
        <w:ind w:firstLine="851"/>
        <w:rPr>
          <w:sz w:val="28"/>
          <w:szCs w:val="28"/>
        </w:rPr>
      </w:pPr>
      <w:r>
        <w:rPr>
          <w:sz w:val="28"/>
          <w:szCs w:val="28"/>
        </w:rPr>
        <w:t>Paredzēts</w:t>
      </w:r>
      <w:r w:rsidR="00D707C1">
        <w:rPr>
          <w:sz w:val="28"/>
          <w:szCs w:val="28"/>
        </w:rPr>
        <w:t xml:space="preserve">, ka </w:t>
      </w:r>
      <w:r w:rsidR="00D707C1" w:rsidRPr="00BA4586">
        <w:rPr>
          <w:sz w:val="28"/>
          <w:szCs w:val="28"/>
        </w:rPr>
        <w:t>SEN tiek turpināts</w:t>
      </w:r>
      <w:r w:rsidR="00D707C1">
        <w:rPr>
          <w:sz w:val="28"/>
          <w:szCs w:val="28"/>
        </w:rPr>
        <w:t xml:space="preserve"> arī pēc 2017. gada</w:t>
      </w:r>
      <w:r w:rsidR="00D707C1" w:rsidRPr="00BA4586">
        <w:rPr>
          <w:sz w:val="28"/>
          <w:szCs w:val="28"/>
        </w:rPr>
        <w:t>, pārskat</w:t>
      </w:r>
      <w:r w:rsidR="00D707C1">
        <w:rPr>
          <w:sz w:val="28"/>
          <w:szCs w:val="28"/>
        </w:rPr>
        <w:t xml:space="preserve">ot SEN likmes </w:t>
      </w:r>
      <w:r w:rsidR="00D707C1">
        <w:rPr>
          <w:rFonts w:cs="Times New Roman"/>
          <w:iCs/>
          <w:color w:val="000000"/>
          <w:sz w:val="28"/>
          <w:szCs w:val="28"/>
          <w:lang w:eastAsia="lv-LV"/>
        </w:rPr>
        <w:t>un to noteikšanas kritērijus, lai novērstu pārsubsidācijas risku</w:t>
      </w:r>
      <w:r w:rsidR="00D707C1" w:rsidRPr="00BA4586">
        <w:rPr>
          <w:sz w:val="28"/>
          <w:szCs w:val="28"/>
        </w:rPr>
        <w:t xml:space="preserve">. </w:t>
      </w:r>
    </w:p>
    <w:p w:rsidR="00D707C1" w:rsidRDefault="00D707C1" w:rsidP="00D707C1">
      <w:pPr>
        <w:spacing w:after="0" w:line="240" w:lineRule="auto"/>
        <w:ind w:firstLine="851"/>
        <w:rPr>
          <w:sz w:val="28"/>
          <w:szCs w:val="28"/>
        </w:rPr>
      </w:pPr>
      <w:r>
        <w:rPr>
          <w:sz w:val="28"/>
          <w:szCs w:val="28"/>
        </w:rPr>
        <w:t xml:space="preserve">Šī risinājuma rezultātā no 2016. gada 1. aprīļa </w:t>
      </w:r>
      <w:r w:rsidRPr="00B108D2">
        <w:rPr>
          <w:sz w:val="28"/>
          <w:szCs w:val="28"/>
        </w:rPr>
        <w:t xml:space="preserve">OIK tiek saglabāts 26,79 EUR/MWh </w:t>
      </w:r>
      <w:r>
        <w:rPr>
          <w:sz w:val="28"/>
          <w:szCs w:val="28"/>
        </w:rPr>
        <w:t>un saglabāsies</w:t>
      </w:r>
      <w:r w:rsidRPr="00A25F21">
        <w:rPr>
          <w:sz w:val="28"/>
          <w:szCs w:val="28"/>
        </w:rPr>
        <w:t xml:space="preserve"> šādā līmenī </w:t>
      </w:r>
      <w:r>
        <w:rPr>
          <w:sz w:val="28"/>
          <w:szCs w:val="28"/>
        </w:rPr>
        <w:t xml:space="preserve">turpmākos trīs gadus </w:t>
      </w:r>
      <w:r w:rsidRPr="0065401B">
        <w:rPr>
          <w:sz w:val="28"/>
          <w:szCs w:val="28"/>
        </w:rPr>
        <w:t>(</w:t>
      </w:r>
      <w:r>
        <w:rPr>
          <w:sz w:val="28"/>
          <w:szCs w:val="28"/>
        </w:rPr>
        <w:t>10.</w:t>
      </w:r>
      <w:r w:rsidRPr="0065401B">
        <w:rPr>
          <w:sz w:val="28"/>
          <w:szCs w:val="28"/>
        </w:rPr>
        <w:t xml:space="preserve"> tabula)</w:t>
      </w:r>
      <w:r w:rsidRPr="0079136D">
        <w:rPr>
          <w:b/>
          <w:sz w:val="28"/>
          <w:szCs w:val="28"/>
        </w:rPr>
        <w:t>.</w:t>
      </w:r>
    </w:p>
    <w:p w:rsidR="00D707C1" w:rsidRPr="000B616E" w:rsidRDefault="00D707C1" w:rsidP="00D707C1">
      <w:pPr>
        <w:spacing w:after="0" w:line="240" w:lineRule="auto"/>
        <w:ind w:firstLine="851"/>
        <w:rPr>
          <w:sz w:val="28"/>
          <w:szCs w:val="28"/>
          <w:u w:val="single"/>
        </w:rPr>
      </w:pPr>
      <w:r w:rsidRPr="000B616E">
        <w:rPr>
          <w:sz w:val="28"/>
          <w:szCs w:val="28"/>
          <w:u w:val="single"/>
        </w:rPr>
        <w:t xml:space="preserve">Ieviešot </w:t>
      </w:r>
      <w:r w:rsidR="000B616E">
        <w:rPr>
          <w:sz w:val="28"/>
          <w:szCs w:val="28"/>
          <w:u w:val="single"/>
        </w:rPr>
        <w:t>1</w:t>
      </w:r>
      <w:r w:rsidRPr="000B616E">
        <w:rPr>
          <w:sz w:val="28"/>
          <w:szCs w:val="28"/>
          <w:u w:val="single"/>
        </w:rPr>
        <w:t>.risinājumu, ir nepieciešami grozījumi Elektroenerģijas tirgus likuma 28., 28</w:t>
      </w:r>
      <w:r w:rsidRPr="000B616E">
        <w:rPr>
          <w:sz w:val="28"/>
          <w:szCs w:val="28"/>
          <w:u w:val="single"/>
          <w:vertAlign w:val="superscript"/>
        </w:rPr>
        <w:t>1</w:t>
      </w:r>
      <w:r w:rsidRPr="000B616E">
        <w:rPr>
          <w:sz w:val="28"/>
          <w:szCs w:val="28"/>
          <w:u w:val="single"/>
        </w:rPr>
        <w:t>., 29</w:t>
      </w:r>
      <w:r w:rsidRPr="000B616E">
        <w:rPr>
          <w:sz w:val="28"/>
          <w:szCs w:val="28"/>
          <w:u w:val="single"/>
          <w:vertAlign w:val="superscript"/>
        </w:rPr>
        <w:t>1</w:t>
      </w:r>
      <w:r w:rsidRPr="000B616E">
        <w:rPr>
          <w:sz w:val="28"/>
          <w:szCs w:val="28"/>
          <w:u w:val="single"/>
        </w:rPr>
        <w:t>., 30. pantā, precizējot to daļu (svītrojot vārdus “kārtējam gadam”), kas nosaka, ka publiskajam tirgotājam kompensējamo izmaksu aprēķinā ņem vērā tikai likumā par valsts budžetu kārtējam gadam noteikto valsts budžeta dotāciju OIK apmēra mazināšanai, lai nodrošinātu, ka publiskajam tirgotājam kompensējamo izmaksu aprēķinā tiek ņemts vērā kopējais valsts budžeta dotācijas apjoms OIK samazināšanai laika periodā no kārtējā gada 1. aprīļa līdz nākamā gada 31. martam. Piemēram, aprēķinot OIK laika periodam no 2016. gada 1. aprīļa līdz 2017. gada 31. martam, jāņem vērā 2016. gadā plānotā dotācija 59 693 445 EUR un 19 897 815 EUR 2017.gadā.</w:t>
      </w:r>
    </w:p>
    <w:p w:rsidR="00E67E1C" w:rsidRDefault="00E67E1C" w:rsidP="00E67E1C">
      <w:pPr>
        <w:spacing w:after="0" w:line="240" w:lineRule="auto"/>
        <w:ind w:firstLine="851"/>
        <w:rPr>
          <w:sz w:val="28"/>
          <w:szCs w:val="28"/>
        </w:rPr>
      </w:pPr>
    </w:p>
    <w:p w:rsidR="00E67E1C" w:rsidRDefault="00E67E1C" w:rsidP="00E67E1C">
      <w:pPr>
        <w:spacing w:after="0" w:line="240" w:lineRule="auto"/>
        <w:ind w:firstLine="851"/>
        <w:rPr>
          <w:sz w:val="28"/>
          <w:szCs w:val="28"/>
        </w:rPr>
        <w:sectPr w:rsidR="00E67E1C" w:rsidSect="00860749">
          <w:headerReference w:type="default" r:id="rId15"/>
          <w:footerReference w:type="default" r:id="rId16"/>
          <w:pgSz w:w="11906" w:h="16838"/>
          <w:pgMar w:top="1418" w:right="1134" w:bottom="851" w:left="1701" w:header="709" w:footer="709" w:gutter="0"/>
          <w:cols w:space="708"/>
          <w:titlePg/>
          <w:docGrid w:linePitch="360"/>
        </w:sectPr>
      </w:pPr>
    </w:p>
    <w:p w:rsidR="00E67E1C" w:rsidRPr="00576C66" w:rsidRDefault="00E67E1C" w:rsidP="00E67E1C">
      <w:pPr>
        <w:pStyle w:val="Caption"/>
        <w:keepNext/>
        <w:jc w:val="right"/>
        <w:rPr>
          <w:rFonts w:ascii="Times New Roman" w:hAnsi="Times New Roman"/>
          <w:sz w:val="24"/>
          <w:szCs w:val="24"/>
        </w:rPr>
      </w:pPr>
      <w:r>
        <w:rPr>
          <w:rFonts w:ascii="Times New Roman" w:hAnsi="Times New Roman"/>
          <w:sz w:val="24"/>
          <w:szCs w:val="24"/>
        </w:rPr>
        <w:lastRenderedPageBreak/>
        <w:t>9.tabula</w:t>
      </w:r>
    </w:p>
    <w:p w:rsidR="00E67E1C" w:rsidRDefault="00E67E1C" w:rsidP="00E67E1C">
      <w:pPr>
        <w:pStyle w:val="Caption"/>
        <w:keepNext/>
        <w:jc w:val="center"/>
        <w:rPr>
          <w:rFonts w:ascii="Times New Roman" w:hAnsi="Times New Roman"/>
          <w:sz w:val="24"/>
          <w:szCs w:val="24"/>
        </w:rPr>
      </w:pPr>
      <w:r>
        <w:rPr>
          <w:rFonts w:ascii="Times New Roman" w:hAnsi="Times New Roman"/>
          <w:sz w:val="24"/>
          <w:szCs w:val="24"/>
        </w:rPr>
        <w:t>1. r</w:t>
      </w:r>
      <w:r w:rsidRPr="009B40C6">
        <w:rPr>
          <w:rFonts w:ascii="Times New Roman" w:hAnsi="Times New Roman"/>
          <w:sz w:val="24"/>
          <w:szCs w:val="24"/>
        </w:rPr>
        <w:t xml:space="preserve">isinājuma ietekme uz valsts budžetu </w:t>
      </w:r>
    </w:p>
    <w:tbl>
      <w:tblPr>
        <w:tblW w:w="13853" w:type="dxa"/>
        <w:tblLook w:val="04A0" w:firstRow="1" w:lastRow="0" w:firstColumn="1" w:lastColumn="0" w:noHBand="0" w:noVBand="1"/>
      </w:tblPr>
      <w:tblGrid>
        <w:gridCol w:w="491"/>
        <w:gridCol w:w="5600"/>
        <w:gridCol w:w="1032"/>
        <w:gridCol w:w="1082"/>
        <w:gridCol w:w="1130"/>
        <w:gridCol w:w="1133"/>
        <w:gridCol w:w="1111"/>
        <w:gridCol w:w="1098"/>
        <w:gridCol w:w="1176"/>
      </w:tblGrid>
      <w:tr w:rsidR="00D707C1" w:rsidRPr="008E0131" w:rsidTr="002F7DA1">
        <w:trPr>
          <w:trHeight w:val="171"/>
        </w:trPr>
        <w:tc>
          <w:tcPr>
            <w:tcW w:w="491" w:type="dxa"/>
            <w:vMerge w:val="restart"/>
            <w:tcBorders>
              <w:top w:val="single" w:sz="12" w:space="0" w:color="auto"/>
              <w:left w:val="single" w:sz="12" w:space="0" w:color="auto"/>
              <w:right w:val="single" w:sz="4" w:space="0" w:color="auto"/>
            </w:tcBorders>
            <w:shd w:val="clear" w:color="auto" w:fill="auto"/>
            <w:noWrap/>
            <w:vAlign w:val="center"/>
            <w:hideMark/>
          </w:tcPr>
          <w:p w:rsidR="00D707C1" w:rsidRPr="001F5C8D" w:rsidRDefault="00D707C1" w:rsidP="00D707C1">
            <w:pPr>
              <w:spacing w:after="0" w:line="240" w:lineRule="auto"/>
              <w:jc w:val="center"/>
              <w:rPr>
                <w:rFonts w:ascii="Calibri" w:eastAsia="Times New Roman" w:hAnsi="Calibri" w:cs="Calibri"/>
                <w:color w:val="000000"/>
                <w:sz w:val="20"/>
                <w:szCs w:val="20"/>
                <w:lang w:eastAsia="lv-LV"/>
              </w:rPr>
            </w:pPr>
          </w:p>
        </w:tc>
        <w:tc>
          <w:tcPr>
            <w:tcW w:w="5600" w:type="dxa"/>
            <w:vMerge w:val="restart"/>
            <w:tcBorders>
              <w:top w:val="single" w:sz="12" w:space="0" w:color="auto"/>
              <w:left w:val="single" w:sz="4" w:space="0" w:color="auto"/>
              <w:bottom w:val="dashSmallGap" w:sz="4" w:space="0" w:color="auto"/>
              <w:right w:val="single" w:sz="12" w:space="0" w:color="auto"/>
            </w:tcBorders>
            <w:shd w:val="clear" w:color="auto" w:fill="auto"/>
            <w:vAlign w:val="center"/>
            <w:hideMark/>
          </w:tcPr>
          <w:p w:rsidR="00D707C1" w:rsidRPr="001F5C8D" w:rsidRDefault="00D707C1" w:rsidP="00D707C1">
            <w:pPr>
              <w:spacing w:after="0" w:line="240" w:lineRule="auto"/>
              <w:jc w:val="center"/>
              <w:rPr>
                <w:rFonts w:eastAsia="Times New Roman" w:cs="Times New Roman"/>
                <w:color w:val="000000"/>
                <w:sz w:val="20"/>
                <w:szCs w:val="20"/>
                <w:lang w:eastAsia="lv-LV"/>
              </w:rPr>
            </w:pPr>
          </w:p>
        </w:tc>
        <w:tc>
          <w:tcPr>
            <w:tcW w:w="2114" w:type="dxa"/>
            <w:gridSpan w:val="2"/>
            <w:tcBorders>
              <w:top w:val="single" w:sz="12" w:space="0" w:color="auto"/>
              <w:left w:val="single" w:sz="12" w:space="0" w:color="auto"/>
              <w:bottom w:val="dashSmallGap" w:sz="4" w:space="0" w:color="auto"/>
              <w:right w:val="single" w:sz="12" w:space="0" w:color="auto"/>
            </w:tcBorders>
            <w:shd w:val="clear" w:color="auto" w:fill="auto"/>
            <w:vAlign w:val="center"/>
            <w:hideMark/>
          </w:tcPr>
          <w:p w:rsidR="00D707C1" w:rsidRPr="008E0131" w:rsidRDefault="00D707C1" w:rsidP="00D707C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2015</w:t>
            </w:r>
          </w:p>
        </w:tc>
        <w:tc>
          <w:tcPr>
            <w:tcW w:w="3374" w:type="dxa"/>
            <w:gridSpan w:val="3"/>
            <w:tcBorders>
              <w:top w:val="single" w:sz="12" w:space="0" w:color="auto"/>
              <w:left w:val="single" w:sz="12" w:space="0" w:color="auto"/>
              <w:bottom w:val="dashSmallGap" w:sz="4" w:space="0" w:color="auto"/>
              <w:right w:val="single" w:sz="12" w:space="0" w:color="auto"/>
            </w:tcBorders>
            <w:shd w:val="clear" w:color="auto" w:fill="auto"/>
            <w:vAlign w:val="center"/>
            <w:hideMark/>
          </w:tcPr>
          <w:p w:rsidR="00D707C1" w:rsidRPr="008E0131" w:rsidRDefault="00D707C1" w:rsidP="00D707C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2016</w:t>
            </w:r>
          </w:p>
        </w:tc>
        <w:tc>
          <w:tcPr>
            <w:tcW w:w="1098" w:type="dxa"/>
            <w:tcBorders>
              <w:top w:val="single" w:sz="12" w:space="0" w:color="auto"/>
              <w:left w:val="single" w:sz="12" w:space="0" w:color="auto"/>
              <w:bottom w:val="dashSmallGap" w:sz="4" w:space="0" w:color="auto"/>
              <w:right w:val="dashSmallGap" w:sz="4" w:space="0" w:color="auto"/>
            </w:tcBorders>
            <w:shd w:val="clear" w:color="auto" w:fill="auto"/>
            <w:noWrap/>
            <w:vAlign w:val="center"/>
            <w:hideMark/>
          </w:tcPr>
          <w:p w:rsidR="00D707C1" w:rsidRPr="008E0131" w:rsidRDefault="00D707C1" w:rsidP="00D707C1">
            <w:pPr>
              <w:spacing w:after="0" w:line="240" w:lineRule="auto"/>
              <w:jc w:val="center"/>
              <w:rPr>
                <w:rFonts w:ascii="Calibri" w:eastAsia="Times New Roman" w:hAnsi="Calibri" w:cs="Calibri"/>
                <w:b/>
                <w:bCs/>
                <w:color w:val="000000"/>
                <w:sz w:val="18"/>
                <w:szCs w:val="18"/>
                <w:lang w:eastAsia="lv-LV"/>
              </w:rPr>
            </w:pPr>
            <w:r w:rsidRPr="008E0131">
              <w:rPr>
                <w:rFonts w:ascii="Calibri" w:eastAsia="Times New Roman" w:hAnsi="Calibri" w:cs="Calibri"/>
                <w:b/>
                <w:bCs/>
                <w:color w:val="000000"/>
                <w:sz w:val="18"/>
                <w:szCs w:val="18"/>
                <w:lang w:eastAsia="lv-LV"/>
              </w:rPr>
              <w:t>2017</w:t>
            </w:r>
          </w:p>
        </w:tc>
        <w:tc>
          <w:tcPr>
            <w:tcW w:w="1176" w:type="dxa"/>
            <w:tcBorders>
              <w:top w:val="single" w:sz="12" w:space="0" w:color="auto"/>
              <w:left w:val="dashSmallGap" w:sz="4" w:space="0" w:color="auto"/>
              <w:bottom w:val="dashSmallGap" w:sz="4" w:space="0" w:color="auto"/>
              <w:right w:val="single" w:sz="12" w:space="0" w:color="auto"/>
            </w:tcBorders>
            <w:shd w:val="clear" w:color="auto" w:fill="auto"/>
            <w:noWrap/>
            <w:vAlign w:val="center"/>
            <w:hideMark/>
          </w:tcPr>
          <w:p w:rsidR="00D707C1" w:rsidRPr="008E0131" w:rsidRDefault="00D707C1" w:rsidP="00D707C1">
            <w:pPr>
              <w:spacing w:after="0" w:line="240" w:lineRule="auto"/>
              <w:jc w:val="center"/>
              <w:rPr>
                <w:rFonts w:ascii="Calibri" w:eastAsia="Times New Roman" w:hAnsi="Calibri" w:cs="Calibri"/>
                <w:b/>
                <w:bCs/>
                <w:color w:val="000000"/>
                <w:sz w:val="18"/>
                <w:szCs w:val="18"/>
                <w:lang w:eastAsia="lv-LV"/>
              </w:rPr>
            </w:pPr>
            <w:r w:rsidRPr="008E0131">
              <w:rPr>
                <w:rFonts w:ascii="Calibri" w:eastAsia="Times New Roman" w:hAnsi="Calibri" w:cs="Calibri"/>
                <w:b/>
                <w:bCs/>
                <w:color w:val="000000"/>
                <w:sz w:val="18"/>
                <w:szCs w:val="18"/>
                <w:lang w:eastAsia="lv-LV"/>
              </w:rPr>
              <w:t>2018</w:t>
            </w:r>
          </w:p>
        </w:tc>
      </w:tr>
      <w:tr w:rsidR="00D707C1" w:rsidRPr="00366D0B" w:rsidTr="002F7DA1">
        <w:trPr>
          <w:trHeight w:val="222"/>
        </w:trPr>
        <w:tc>
          <w:tcPr>
            <w:tcW w:w="491" w:type="dxa"/>
            <w:vMerge/>
            <w:tcBorders>
              <w:left w:val="single" w:sz="12" w:space="0" w:color="auto"/>
              <w:bottom w:val="single" w:sz="12" w:space="0" w:color="auto"/>
              <w:right w:val="single" w:sz="4" w:space="0" w:color="auto"/>
            </w:tcBorders>
            <w:shd w:val="clear" w:color="auto" w:fill="auto"/>
            <w:noWrap/>
            <w:vAlign w:val="center"/>
            <w:hideMark/>
          </w:tcPr>
          <w:p w:rsidR="00D707C1" w:rsidRPr="001F5C8D" w:rsidRDefault="00D707C1" w:rsidP="00D707C1">
            <w:pPr>
              <w:spacing w:after="0" w:line="240" w:lineRule="auto"/>
              <w:jc w:val="center"/>
              <w:rPr>
                <w:rFonts w:ascii="Calibri" w:eastAsia="Times New Roman" w:hAnsi="Calibri" w:cs="Calibri"/>
                <w:color w:val="000000"/>
                <w:sz w:val="20"/>
                <w:szCs w:val="20"/>
                <w:lang w:eastAsia="lv-LV"/>
              </w:rPr>
            </w:pPr>
          </w:p>
        </w:tc>
        <w:tc>
          <w:tcPr>
            <w:tcW w:w="5600" w:type="dxa"/>
            <w:vMerge/>
            <w:tcBorders>
              <w:top w:val="dashSmallGap" w:sz="4" w:space="0" w:color="auto"/>
              <w:left w:val="single" w:sz="4" w:space="0" w:color="auto"/>
              <w:bottom w:val="single" w:sz="12" w:space="0" w:color="auto"/>
              <w:right w:val="single" w:sz="12" w:space="0" w:color="auto"/>
            </w:tcBorders>
            <w:vAlign w:val="center"/>
            <w:hideMark/>
          </w:tcPr>
          <w:p w:rsidR="00D707C1" w:rsidRPr="001F5C8D" w:rsidRDefault="00D707C1" w:rsidP="00D707C1">
            <w:pPr>
              <w:spacing w:after="0" w:line="240" w:lineRule="auto"/>
              <w:jc w:val="center"/>
              <w:rPr>
                <w:rFonts w:eastAsia="Times New Roman" w:cs="Times New Roman"/>
                <w:color w:val="000000"/>
                <w:sz w:val="20"/>
                <w:szCs w:val="20"/>
                <w:lang w:eastAsia="lv-LV"/>
              </w:rPr>
            </w:pPr>
          </w:p>
        </w:tc>
        <w:tc>
          <w:tcPr>
            <w:tcW w:w="1032"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D707C1" w:rsidRPr="008E0131" w:rsidRDefault="00D707C1" w:rsidP="00D707C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likums</w:t>
            </w:r>
          </w:p>
        </w:tc>
        <w:tc>
          <w:tcPr>
            <w:tcW w:w="1082" w:type="dxa"/>
            <w:tcBorders>
              <w:top w:val="dashSmallGap" w:sz="4" w:space="0" w:color="auto"/>
              <w:left w:val="dashSmallGap" w:sz="4" w:space="0" w:color="auto"/>
              <w:bottom w:val="single" w:sz="12" w:space="0" w:color="auto"/>
              <w:right w:val="single" w:sz="12" w:space="0" w:color="auto"/>
            </w:tcBorders>
            <w:shd w:val="clear" w:color="auto" w:fill="auto"/>
            <w:vAlign w:val="center"/>
            <w:hideMark/>
          </w:tcPr>
          <w:p w:rsidR="00D707C1" w:rsidRPr="008E0131" w:rsidRDefault="00D707C1" w:rsidP="00D707C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faktiskais</w:t>
            </w:r>
          </w:p>
        </w:tc>
        <w:tc>
          <w:tcPr>
            <w:tcW w:w="1130"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D707C1" w:rsidRPr="008E0131" w:rsidRDefault="00D707C1" w:rsidP="00D707C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ietvars</w:t>
            </w:r>
          </w:p>
          <w:p w:rsidR="00D707C1" w:rsidRPr="008E0131" w:rsidRDefault="00D707C1" w:rsidP="00D707C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2015-2017</w:t>
            </w:r>
          </w:p>
        </w:tc>
        <w:tc>
          <w:tcPr>
            <w:tcW w:w="1133" w:type="dxa"/>
            <w:tcBorders>
              <w:top w:val="dashSmallGap" w:sz="4" w:space="0" w:color="auto"/>
              <w:left w:val="dashSmallGap" w:sz="4" w:space="0" w:color="auto"/>
              <w:bottom w:val="single" w:sz="12" w:space="0" w:color="auto"/>
              <w:right w:val="dashSmallGap" w:sz="4" w:space="0" w:color="auto"/>
            </w:tcBorders>
            <w:shd w:val="clear" w:color="auto" w:fill="auto"/>
            <w:vAlign w:val="center"/>
            <w:hideMark/>
          </w:tcPr>
          <w:p w:rsidR="00D707C1" w:rsidRPr="008E0131" w:rsidRDefault="00D707C1" w:rsidP="00D707C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bāze</w:t>
            </w:r>
          </w:p>
        </w:tc>
        <w:tc>
          <w:tcPr>
            <w:tcW w:w="1111" w:type="dxa"/>
            <w:tcBorders>
              <w:top w:val="dashSmallGap" w:sz="4" w:space="0" w:color="auto"/>
              <w:left w:val="dashSmallGap" w:sz="4" w:space="0" w:color="auto"/>
              <w:bottom w:val="single" w:sz="12" w:space="0" w:color="auto"/>
              <w:right w:val="single" w:sz="12" w:space="0" w:color="auto"/>
            </w:tcBorders>
            <w:shd w:val="clear" w:color="auto" w:fill="auto"/>
            <w:vAlign w:val="center"/>
            <w:hideMark/>
          </w:tcPr>
          <w:p w:rsidR="00D707C1" w:rsidRPr="008E0131" w:rsidRDefault="00D707C1" w:rsidP="00D707C1">
            <w:pPr>
              <w:spacing w:after="0" w:line="240" w:lineRule="auto"/>
              <w:jc w:val="center"/>
              <w:rPr>
                <w:rFonts w:eastAsia="Times New Roman" w:cs="Times New Roman"/>
                <w:b/>
                <w:bCs/>
                <w:i/>
                <w:iCs/>
                <w:color w:val="000000"/>
                <w:sz w:val="18"/>
                <w:szCs w:val="18"/>
                <w:lang w:eastAsia="lv-LV"/>
              </w:rPr>
            </w:pPr>
            <w:r>
              <w:rPr>
                <w:rFonts w:eastAsia="Times New Roman" w:cs="Times New Roman"/>
                <w:b/>
                <w:bCs/>
                <w:i/>
                <w:iCs/>
                <w:color w:val="000000"/>
                <w:sz w:val="18"/>
                <w:szCs w:val="18"/>
                <w:lang w:eastAsia="lv-LV"/>
              </w:rPr>
              <w:t>plānotais</w:t>
            </w:r>
          </w:p>
        </w:tc>
        <w:tc>
          <w:tcPr>
            <w:tcW w:w="1098"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D707C1" w:rsidRPr="00366D0B" w:rsidRDefault="00D707C1" w:rsidP="00D707C1">
            <w:pPr>
              <w:spacing w:after="0" w:line="240" w:lineRule="auto"/>
              <w:jc w:val="center"/>
              <w:rPr>
                <w:rFonts w:eastAsia="Times New Roman" w:cs="Times New Roman"/>
                <w:b/>
                <w:bCs/>
                <w:i/>
                <w:iCs/>
                <w:color w:val="000000"/>
                <w:sz w:val="18"/>
                <w:szCs w:val="18"/>
                <w:lang w:eastAsia="lv-LV"/>
              </w:rPr>
            </w:pPr>
            <w:r>
              <w:rPr>
                <w:rFonts w:eastAsia="Times New Roman" w:cs="Times New Roman"/>
                <w:b/>
                <w:bCs/>
                <w:i/>
                <w:iCs/>
                <w:color w:val="000000"/>
                <w:sz w:val="18"/>
                <w:szCs w:val="18"/>
                <w:lang w:eastAsia="lv-LV"/>
              </w:rPr>
              <w:t>plānotais</w:t>
            </w:r>
          </w:p>
        </w:tc>
        <w:tc>
          <w:tcPr>
            <w:tcW w:w="1176" w:type="dxa"/>
            <w:tcBorders>
              <w:top w:val="dashSmallGap" w:sz="4" w:space="0" w:color="auto"/>
              <w:left w:val="dashSmallGap" w:sz="4" w:space="0" w:color="auto"/>
              <w:bottom w:val="single" w:sz="12" w:space="0" w:color="auto"/>
              <w:right w:val="single" w:sz="12" w:space="0" w:color="auto"/>
            </w:tcBorders>
            <w:shd w:val="clear" w:color="auto" w:fill="auto"/>
            <w:vAlign w:val="center"/>
            <w:hideMark/>
          </w:tcPr>
          <w:p w:rsidR="00D707C1" w:rsidRPr="00366D0B" w:rsidRDefault="00D707C1" w:rsidP="00D707C1">
            <w:pPr>
              <w:spacing w:after="0" w:line="240" w:lineRule="auto"/>
              <w:jc w:val="center"/>
              <w:rPr>
                <w:rFonts w:eastAsia="Times New Roman" w:cs="Times New Roman"/>
                <w:b/>
                <w:bCs/>
                <w:i/>
                <w:iCs/>
                <w:color w:val="000000"/>
                <w:sz w:val="18"/>
                <w:szCs w:val="18"/>
                <w:lang w:eastAsia="lv-LV"/>
              </w:rPr>
            </w:pPr>
            <w:r>
              <w:rPr>
                <w:rFonts w:eastAsia="Times New Roman" w:cs="Times New Roman"/>
                <w:b/>
                <w:bCs/>
                <w:i/>
                <w:iCs/>
                <w:color w:val="000000"/>
                <w:sz w:val="18"/>
                <w:szCs w:val="18"/>
                <w:lang w:eastAsia="lv-LV"/>
              </w:rPr>
              <w:t>plānotais</w:t>
            </w:r>
          </w:p>
        </w:tc>
      </w:tr>
      <w:tr w:rsidR="00D707C1" w:rsidRPr="00710011" w:rsidTr="002F7DA1">
        <w:trPr>
          <w:trHeight w:val="208"/>
        </w:trPr>
        <w:tc>
          <w:tcPr>
            <w:tcW w:w="491" w:type="dxa"/>
            <w:tcBorders>
              <w:top w:val="single" w:sz="12" w:space="0" w:color="auto"/>
              <w:left w:val="single" w:sz="12" w:space="0" w:color="auto"/>
              <w:bottom w:val="dashSmallGap" w:sz="4" w:space="0" w:color="auto"/>
              <w:right w:val="single" w:sz="12" w:space="0" w:color="auto"/>
            </w:tcBorders>
            <w:shd w:val="clear" w:color="auto" w:fill="auto"/>
            <w:noWrap/>
            <w:vAlign w:val="bottom"/>
            <w:hideMark/>
          </w:tcPr>
          <w:p w:rsidR="00D707C1" w:rsidRPr="008E0131" w:rsidRDefault="00D707C1" w:rsidP="00D707C1">
            <w:pPr>
              <w:spacing w:after="0" w:line="240" w:lineRule="auto"/>
              <w:jc w:val="left"/>
              <w:rPr>
                <w:rFonts w:ascii="Calibri" w:eastAsia="Times New Roman" w:hAnsi="Calibri" w:cs="Calibri"/>
                <w:b/>
                <w:bCs/>
                <w:color w:val="000000"/>
                <w:sz w:val="18"/>
                <w:szCs w:val="18"/>
                <w:lang w:eastAsia="lv-LV"/>
              </w:rPr>
            </w:pPr>
          </w:p>
        </w:tc>
        <w:tc>
          <w:tcPr>
            <w:tcW w:w="5600" w:type="dxa"/>
            <w:tcBorders>
              <w:top w:val="single" w:sz="12" w:space="0" w:color="auto"/>
              <w:left w:val="single" w:sz="12" w:space="0" w:color="auto"/>
              <w:bottom w:val="dashSmallGap" w:sz="4" w:space="0" w:color="auto"/>
              <w:right w:val="single" w:sz="12" w:space="0" w:color="auto"/>
            </w:tcBorders>
            <w:shd w:val="clear" w:color="000000" w:fill="F2F2F2"/>
            <w:vAlign w:val="bottom"/>
            <w:hideMark/>
          </w:tcPr>
          <w:p w:rsidR="00D707C1" w:rsidRPr="008E0131" w:rsidRDefault="00D707C1" w:rsidP="00D707C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 xml:space="preserve">Ieņēmumi </w:t>
            </w:r>
            <w:r>
              <w:rPr>
                <w:rFonts w:eastAsia="Times New Roman" w:cs="Times New Roman"/>
                <w:b/>
                <w:bCs/>
                <w:color w:val="000000"/>
                <w:sz w:val="18"/>
                <w:szCs w:val="18"/>
                <w:lang w:eastAsia="lv-LV"/>
              </w:rPr>
              <w:t>–</w:t>
            </w:r>
            <w:r w:rsidRPr="008E0131">
              <w:rPr>
                <w:rFonts w:eastAsia="Times New Roman" w:cs="Times New Roman"/>
                <w:b/>
                <w:bCs/>
                <w:color w:val="000000"/>
                <w:sz w:val="18"/>
                <w:szCs w:val="18"/>
                <w:lang w:eastAsia="lv-LV"/>
              </w:rPr>
              <w:t xml:space="preserve"> kopā</w:t>
            </w:r>
          </w:p>
        </w:tc>
        <w:tc>
          <w:tcPr>
            <w:tcW w:w="1032" w:type="dxa"/>
            <w:tcBorders>
              <w:top w:val="single" w:sz="12" w:space="0" w:color="auto"/>
              <w:left w:val="single" w:sz="12" w:space="0" w:color="auto"/>
              <w:bottom w:val="dashSmallGap" w:sz="4" w:space="0" w:color="auto"/>
              <w:right w:val="dashSmallGap" w:sz="4" w:space="0" w:color="auto"/>
            </w:tcBorders>
            <w:shd w:val="clear" w:color="000000" w:fill="F2F2F2"/>
            <w:vAlign w:val="center"/>
            <w:hideMark/>
          </w:tcPr>
          <w:p w:rsidR="00D707C1" w:rsidRPr="009B40C6" w:rsidRDefault="00D707C1" w:rsidP="00D707C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51 981 313</w:t>
            </w:r>
          </w:p>
        </w:tc>
        <w:tc>
          <w:tcPr>
            <w:tcW w:w="1082" w:type="dxa"/>
            <w:tcBorders>
              <w:top w:val="single" w:sz="12" w:space="0" w:color="auto"/>
              <w:left w:val="dashSmallGap" w:sz="4" w:space="0" w:color="auto"/>
              <w:bottom w:val="dashSmallGap" w:sz="4" w:space="0" w:color="auto"/>
              <w:right w:val="single" w:sz="12" w:space="0" w:color="auto"/>
            </w:tcBorders>
            <w:shd w:val="clear" w:color="000000" w:fill="F2F2F2"/>
            <w:vAlign w:val="center"/>
            <w:hideMark/>
          </w:tcPr>
          <w:p w:rsidR="00D707C1" w:rsidRPr="009B40C6" w:rsidRDefault="00D707C1" w:rsidP="00D707C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48 498 313</w:t>
            </w:r>
          </w:p>
        </w:tc>
        <w:tc>
          <w:tcPr>
            <w:tcW w:w="1130" w:type="dxa"/>
            <w:tcBorders>
              <w:top w:val="single" w:sz="12" w:space="0" w:color="auto"/>
              <w:left w:val="single" w:sz="12" w:space="0" w:color="auto"/>
              <w:bottom w:val="dashSmallGap" w:sz="4" w:space="0" w:color="auto"/>
              <w:right w:val="dashSmallGap" w:sz="4" w:space="0" w:color="auto"/>
            </w:tcBorders>
            <w:shd w:val="clear" w:color="000000" w:fill="F2F2F2"/>
            <w:vAlign w:val="center"/>
            <w:hideMark/>
          </w:tcPr>
          <w:p w:rsidR="00D707C1" w:rsidRPr="009B40C6" w:rsidRDefault="00D707C1" w:rsidP="00D707C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61 647 364</w:t>
            </w:r>
          </w:p>
        </w:tc>
        <w:tc>
          <w:tcPr>
            <w:tcW w:w="1133" w:type="dxa"/>
            <w:tcBorders>
              <w:top w:val="single" w:sz="12" w:space="0" w:color="auto"/>
              <w:left w:val="dashSmallGap" w:sz="4" w:space="0" w:color="auto"/>
              <w:bottom w:val="dashSmallGap" w:sz="4" w:space="0" w:color="auto"/>
              <w:right w:val="dashSmallGap" w:sz="4" w:space="0" w:color="auto"/>
            </w:tcBorders>
            <w:shd w:val="clear" w:color="000000" w:fill="F2F2F2"/>
            <w:vAlign w:val="center"/>
            <w:hideMark/>
          </w:tcPr>
          <w:p w:rsidR="00D707C1" w:rsidRPr="009B40C6" w:rsidRDefault="00D707C1" w:rsidP="00D707C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60 267 364</w:t>
            </w:r>
          </w:p>
        </w:tc>
        <w:tc>
          <w:tcPr>
            <w:tcW w:w="1111" w:type="dxa"/>
            <w:tcBorders>
              <w:top w:val="single" w:sz="12" w:space="0" w:color="auto"/>
              <w:left w:val="dashSmallGap" w:sz="4" w:space="0" w:color="auto"/>
              <w:bottom w:val="dashSmallGap" w:sz="4" w:space="0" w:color="auto"/>
              <w:right w:val="single" w:sz="12" w:space="0" w:color="auto"/>
            </w:tcBorders>
            <w:shd w:val="clear" w:color="000000" w:fill="F2F2F2"/>
            <w:vAlign w:val="bottom"/>
            <w:hideMark/>
          </w:tcPr>
          <w:p w:rsidR="00D707C1" w:rsidRPr="00710011" w:rsidRDefault="00D707C1" w:rsidP="00D707C1">
            <w:pPr>
              <w:spacing w:after="0" w:line="240" w:lineRule="auto"/>
              <w:jc w:val="center"/>
              <w:rPr>
                <w:rFonts w:eastAsia="Times New Roman" w:cs="Times New Roman"/>
                <w:b/>
                <w:bCs/>
                <w:color w:val="000000"/>
                <w:sz w:val="18"/>
                <w:szCs w:val="18"/>
                <w:lang w:eastAsia="lv-LV"/>
              </w:rPr>
            </w:pPr>
            <w:r w:rsidRPr="0055711C">
              <w:rPr>
                <w:b/>
                <w:bCs/>
                <w:color w:val="000000"/>
                <w:sz w:val="18"/>
                <w:szCs w:val="18"/>
              </w:rPr>
              <w:t>68 624 945</w:t>
            </w:r>
          </w:p>
        </w:tc>
        <w:tc>
          <w:tcPr>
            <w:tcW w:w="1098" w:type="dxa"/>
            <w:tcBorders>
              <w:top w:val="single" w:sz="12" w:space="0" w:color="auto"/>
              <w:left w:val="single" w:sz="12" w:space="0" w:color="auto"/>
              <w:bottom w:val="dashSmallGap" w:sz="4" w:space="0" w:color="auto"/>
              <w:right w:val="dashSmallGap" w:sz="4" w:space="0" w:color="auto"/>
            </w:tcBorders>
            <w:shd w:val="clear" w:color="000000" w:fill="F2F2F2"/>
            <w:vAlign w:val="bottom"/>
            <w:hideMark/>
          </w:tcPr>
          <w:p w:rsidR="00D707C1" w:rsidRPr="00710011" w:rsidRDefault="00D707C1" w:rsidP="00D707C1">
            <w:pPr>
              <w:spacing w:after="0" w:line="240" w:lineRule="auto"/>
              <w:jc w:val="center"/>
              <w:rPr>
                <w:rFonts w:eastAsia="Times New Roman" w:cs="Times New Roman"/>
                <w:b/>
                <w:bCs/>
                <w:color w:val="000000"/>
                <w:sz w:val="18"/>
                <w:szCs w:val="18"/>
                <w:lang w:eastAsia="lv-LV"/>
              </w:rPr>
            </w:pPr>
            <w:r w:rsidRPr="0055711C">
              <w:rPr>
                <w:b/>
                <w:bCs/>
                <w:color w:val="000000"/>
                <w:sz w:val="18"/>
                <w:szCs w:val="18"/>
              </w:rPr>
              <w:t>96 652 651</w:t>
            </w:r>
          </w:p>
        </w:tc>
        <w:tc>
          <w:tcPr>
            <w:tcW w:w="1176" w:type="dxa"/>
            <w:tcBorders>
              <w:top w:val="single" w:sz="12" w:space="0" w:color="auto"/>
              <w:left w:val="dashSmallGap" w:sz="4" w:space="0" w:color="auto"/>
              <w:bottom w:val="dashSmallGap" w:sz="4" w:space="0" w:color="auto"/>
              <w:right w:val="single" w:sz="12" w:space="0" w:color="auto"/>
            </w:tcBorders>
            <w:shd w:val="clear" w:color="000000" w:fill="F2F2F2"/>
            <w:vAlign w:val="bottom"/>
            <w:hideMark/>
          </w:tcPr>
          <w:p w:rsidR="00D707C1" w:rsidRPr="00710011" w:rsidRDefault="00D707C1" w:rsidP="00D707C1">
            <w:pPr>
              <w:spacing w:after="0" w:line="240" w:lineRule="auto"/>
              <w:jc w:val="center"/>
              <w:rPr>
                <w:rFonts w:eastAsia="Times New Roman" w:cs="Times New Roman"/>
                <w:b/>
                <w:bCs/>
                <w:color w:val="000000"/>
                <w:sz w:val="18"/>
                <w:szCs w:val="18"/>
                <w:lang w:eastAsia="lv-LV"/>
              </w:rPr>
            </w:pPr>
            <w:r w:rsidRPr="0055711C">
              <w:rPr>
                <w:b/>
                <w:bCs/>
                <w:color w:val="000000"/>
                <w:sz w:val="18"/>
                <w:szCs w:val="18"/>
              </w:rPr>
              <w:t>108 995 316</w:t>
            </w:r>
          </w:p>
        </w:tc>
      </w:tr>
      <w:tr w:rsidR="00D707C1" w:rsidRPr="00710011" w:rsidTr="002F7DA1">
        <w:trPr>
          <w:trHeight w:val="260"/>
        </w:trPr>
        <w:tc>
          <w:tcPr>
            <w:tcW w:w="491"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D707C1" w:rsidRPr="008E0131" w:rsidRDefault="00D707C1" w:rsidP="00D707C1">
            <w:pPr>
              <w:spacing w:after="0" w:line="240" w:lineRule="auto"/>
              <w:jc w:val="left"/>
              <w:rPr>
                <w:rFonts w:ascii="Calibri" w:eastAsia="Times New Roman" w:hAnsi="Calibri" w:cs="Calibri"/>
                <w:color w:val="000000"/>
                <w:sz w:val="18"/>
                <w:szCs w:val="18"/>
                <w:lang w:eastAsia="lv-LV"/>
              </w:rPr>
            </w:pPr>
            <w:r w:rsidRPr="008E0131">
              <w:rPr>
                <w:rFonts w:ascii="Calibri" w:eastAsia="Times New Roman" w:hAnsi="Calibri" w:cs="Calibri"/>
                <w:color w:val="000000"/>
                <w:sz w:val="18"/>
                <w:szCs w:val="18"/>
                <w:lang w:eastAsia="lv-LV"/>
              </w:rPr>
              <w:t>1.</w:t>
            </w:r>
          </w:p>
        </w:tc>
        <w:tc>
          <w:tcPr>
            <w:tcW w:w="5600"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D707C1" w:rsidRPr="008E0131" w:rsidRDefault="00D707C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SEN ieņēmumi</w:t>
            </w:r>
          </w:p>
        </w:tc>
        <w:tc>
          <w:tcPr>
            <w:tcW w:w="1032"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35 476 000</w:t>
            </w:r>
          </w:p>
        </w:tc>
        <w:tc>
          <w:tcPr>
            <w:tcW w:w="1082"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31 993 000</w:t>
            </w:r>
          </w:p>
        </w:tc>
        <w:tc>
          <w:tcPr>
            <w:tcW w:w="1130"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40 162 000</w:t>
            </w:r>
          </w:p>
        </w:tc>
        <w:tc>
          <w:tcPr>
            <w:tcW w:w="1133"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38 782 000</w:t>
            </w:r>
          </w:p>
        </w:tc>
        <w:tc>
          <w:tcPr>
            <w:tcW w:w="1111"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D707C1" w:rsidRPr="00710011" w:rsidRDefault="00D707C1" w:rsidP="00D707C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33 876 000</w:t>
            </w:r>
          </w:p>
        </w:tc>
        <w:tc>
          <w:tcPr>
            <w:tcW w:w="1098" w:type="dxa"/>
            <w:tcBorders>
              <w:top w:val="dashSmallGap" w:sz="4" w:space="0" w:color="auto"/>
              <w:left w:val="single" w:sz="12" w:space="0" w:color="auto"/>
              <w:bottom w:val="dashSmallGap" w:sz="4" w:space="0" w:color="auto"/>
              <w:right w:val="dashSmallGap" w:sz="4" w:space="0" w:color="auto"/>
            </w:tcBorders>
            <w:shd w:val="clear" w:color="auto" w:fill="auto"/>
            <w:hideMark/>
          </w:tcPr>
          <w:p w:rsidR="00D707C1" w:rsidRPr="00710011" w:rsidRDefault="00D707C1" w:rsidP="00D707C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37 009 000</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D707C1" w:rsidRPr="00710011" w:rsidRDefault="00D707C1" w:rsidP="00D707C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37 009 000</w:t>
            </w:r>
          </w:p>
        </w:tc>
      </w:tr>
      <w:tr w:rsidR="00D707C1" w:rsidRPr="00710011" w:rsidTr="002F7DA1">
        <w:trPr>
          <w:trHeight w:val="136"/>
        </w:trPr>
        <w:tc>
          <w:tcPr>
            <w:tcW w:w="491"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D707C1" w:rsidRPr="008E0131" w:rsidRDefault="00D707C1" w:rsidP="00D707C1">
            <w:pPr>
              <w:spacing w:after="0" w:line="240" w:lineRule="auto"/>
              <w:jc w:val="left"/>
              <w:rPr>
                <w:rFonts w:ascii="Calibri" w:eastAsia="Times New Roman" w:hAnsi="Calibri" w:cs="Calibri"/>
                <w:color w:val="000000"/>
                <w:sz w:val="18"/>
                <w:szCs w:val="18"/>
                <w:lang w:eastAsia="lv-LV"/>
              </w:rPr>
            </w:pPr>
            <w:r w:rsidRPr="008E0131">
              <w:rPr>
                <w:rFonts w:ascii="Calibri" w:eastAsia="Times New Roman" w:hAnsi="Calibri" w:cs="Calibri"/>
                <w:color w:val="000000"/>
                <w:sz w:val="18"/>
                <w:szCs w:val="18"/>
                <w:lang w:eastAsia="lv-LV"/>
              </w:rPr>
              <w:t>2.</w:t>
            </w:r>
          </w:p>
        </w:tc>
        <w:tc>
          <w:tcPr>
            <w:tcW w:w="5600"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D707C1" w:rsidRPr="008E0131" w:rsidRDefault="00D707C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PVN</w:t>
            </w:r>
          </w:p>
        </w:tc>
        <w:tc>
          <w:tcPr>
            <w:tcW w:w="1032"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9 533 241</w:t>
            </w:r>
          </w:p>
        </w:tc>
        <w:tc>
          <w:tcPr>
            <w:tcW w:w="1082"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9 533 241</w:t>
            </w:r>
          </w:p>
        </w:tc>
        <w:tc>
          <w:tcPr>
            <w:tcW w:w="1130"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9 533 241</w:t>
            </w:r>
          </w:p>
        </w:tc>
        <w:tc>
          <w:tcPr>
            <w:tcW w:w="1133"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9 533 241</w:t>
            </w:r>
          </w:p>
        </w:tc>
        <w:tc>
          <w:tcPr>
            <w:tcW w:w="1111"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D707C1" w:rsidRPr="00710011" w:rsidRDefault="00D707C1" w:rsidP="00D707C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9 533 241</w:t>
            </w:r>
          </w:p>
        </w:tc>
        <w:tc>
          <w:tcPr>
            <w:tcW w:w="1098" w:type="dxa"/>
            <w:tcBorders>
              <w:top w:val="dashSmallGap" w:sz="4" w:space="0" w:color="auto"/>
              <w:left w:val="single" w:sz="12" w:space="0" w:color="auto"/>
              <w:bottom w:val="dashSmallGap" w:sz="4" w:space="0" w:color="auto"/>
              <w:right w:val="dashSmallGap" w:sz="4" w:space="0" w:color="auto"/>
            </w:tcBorders>
            <w:shd w:val="clear" w:color="auto" w:fill="auto"/>
            <w:hideMark/>
          </w:tcPr>
          <w:p w:rsidR="00D707C1" w:rsidRPr="00710011" w:rsidRDefault="00D707C1" w:rsidP="00D707C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9 533 241</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D707C1" w:rsidRPr="00710011" w:rsidRDefault="00D707C1" w:rsidP="00D707C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9 533 241</w:t>
            </w:r>
          </w:p>
        </w:tc>
      </w:tr>
      <w:tr w:rsidR="00D707C1" w:rsidRPr="00710011" w:rsidTr="002F7DA1">
        <w:trPr>
          <w:trHeight w:val="195"/>
        </w:trPr>
        <w:tc>
          <w:tcPr>
            <w:tcW w:w="491"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D707C1" w:rsidRPr="008E0131" w:rsidRDefault="00D707C1" w:rsidP="00D707C1">
            <w:pPr>
              <w:spacing w:after="0" w:line="240" w:lineRule="auto"/>
              <w:jc w:val="left"/>
              <w:rPr>
                <w:rFonts w:ascii="Calibri" w:eastAsia="Times New Roman" w:hAnsi="Calibri" w:cs="Calibri"/>
                <w:color w:val="000000"/>
                <w:sz w:val="18"/>
                <w:szCs w:val="18"/>
                <w:lang w:eastAsia="lv-LV"/>
              </w:rPr>
            </w:pPr>
            <w:r w:rsidRPr="008E0131">
              <w:rPr>
                <w:rFonts w:ascii="Calibri" w:eastAsia="Times New Roman" w:hAnsi="Calibri" w:cs="Calibri"/>
                <w:color w:val="000000"/>
                <w:sz w:val="18"/>
                <w:szCs w:val="18"/>
                <w:lang w:eastAsia="lv-LV"/>
              </w:rPr>
              <w:t>3.</w:t>
            </w:r>
          </w:p>
        </w:tc>
        <w:tc>
          <w:tcPr>
            <w:tcW w:w="5600"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D707C1" w:rsidRPr="008E0131" w:rsidRDefault="00D707C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PVN (aizsargātie lietotāji)</w:t>
            </w:r>
            <w:r>
              <w:rPr>
                <w:rFonts w:eastAsia="Times New Roman" w:cs="Times New Roman"/>
                <w:color w:val="000000"/>
                <w:sz w:val="18"/>
                <w:szCs w:val="18"/>
                <w:lang w:eastAsia="lv-LV"/>
              </w:rPr>
              <w:t>*</w:t>
            </w:r>
          </w:p>
        </w:tc>
        <w:tc>
          <w:tcPr>
            <w:tcW w:w="1032"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p>
        </w:tc>
        <w:tc>
          <w:tcPr>
            <w:tcW w:w="1082"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p>
        </w:tc>
        <w:tc>
          <w:tcPr>
            <w:tcW w:w="1130"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sz w:val="18"/>
                <w:szCs w:val="18"/>
                <w:lang w:eastAsia="lv-LV"/>
              </w:rPr>
            </w:pPr>
          </w:p>
        </w:tc>
        <w:tc>
          <w:tcPr>
            <w:tcW w:w="1133"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sz w:val="18"/>
                <w:szCs w:val="18"/>
                <w:lang w:eastAsia="lv-LV"/>
              </w:rPr>
            </w:pPr>
          </w:p>
        </w:tc>
        <w:tc>
          <w:tcPr>
            <w:tcW w:w="1111"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D707C1" w:rsidRPr="00710011" w:rsidRDefault="00D707C1" w:rsidP="00D707C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1 550 095</w:t>
            </w:r>
          </w:p>
        </w:tc>
        <w:tc>
          <w:tcPr>
            <w:tcW w:w="1098" w:type="dxa"/>
            <w:tcBorders>
              <w:top w:val="dashSmallGap" w:sz="4" w:space="0" w:color="auto"/>
              <w:left w:val="single" w:sz="12" w:space="0" w:color="auto"/>
              <w:bottom w:val="dashSmallGap" w:sz="4" w:space="0" w:color="auto"/>
              <w:right w:val="dashSmallGap" w:sz="4" w:space="0" w:color="auto"/>
            </w:tcBorders>
            <w:shd w:val="clear" w:color="auto" w:fill="auto"/>
            <w:hideMark/>
          </w:tcPr>
          <w:p w:rsidR="00D707C1" w:rsidRPr="00710011" w:rsidRDefault="00D707C1" w:rsidP="00D707C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2 100 455</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D707C1" w:rsidRPr="00710011" w:rsidRDefault="00D707C1" w:rsidP="00D707C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2 100 455</w:t>
            </w:r>
          </w:p>
        </w:tc>
      </w:tr>
      <w:tr w:rsidR="00D707C1" w:rsidRPr="00710011" w:rsidTr="002F7DA1">
        <w:trPr>
          <w:trHeight w:val="242"/>
        </w:trPr>
        <w:tc>
          <w:tcPr>
            <w:tcW w:w="491" w:type="dxa"/>
            <w:tcBorders>
              <w:top w:val="dashSmallGap" w:sz="4" w:space="0" w:color="auto"/>
              <w:left w:val="single" w:sz="12" w:space="0" w:color="auto"/>
              <w:bottom w:val="single" w:sz="12" w:space="0" w:color="auto"/>
              <w:right w:val="single" w:sz="12" w:space="0" w:color="auto"/>
            </w:tcBorders>
            <w:shd w:val="clear" w:color="auto" w:fill="auto"/>
            <w:noWrap/>
            <w:vAlign w:val="bottom"/>
            <w:hideMark/>
          </w:tcPr>
          <w:p w:rsidR="00D707C1" w:rsidRPr="008E0131" w:rsidRDefault="00D707C1" w:rsidP="00D707C1">
            <w:pPr>
              <w:spacing w:after="0" w:line="240" w:lineRule="auto"/>
              <w:jc w:val="left"/>
              <w:rPr>
                <w:rFonts w:ascii="Calibri" w:eastAsia="Times New Roman" w:hAnsi="Calibri" w:cs="Calibri"/>
                <w:color w:val="000000"/>
                <w:sz w:val="18"/>
                <w:szCs w:val="18"/>
                <w:lang w:eastAsia="lv-LV"/>
              </w:rPr>
            </w:pPr>
            <w:r w:rsidRPr="008E0131">
              <w:rPr>
                <w:rFonts w:ascii="Calibri" w:eastAsia="Times New Roman" w:hAnsi="Calibri" w:cs="Calibri"/>
                <w:color w:val="000000"/>
                <w:sz w:val="18"/>
                <w:szCs w:val="18"/>
                <w:lang w:eastAsia="lv-LV"/>
              </w:rPr>
              <w:t>4.</w:t>
            </w:r>
          </w:p>
        </w:tc>
        <w:tc>
          <w:tcPr>
            <w:tcW w:w="5600" w:type="dxa"/>
            <w:tcBorders>
              <w:top w:val="dashSmallGap" w:sz="4" w:space="0" w:color="auto"/>
              <w:left w:val="single" w:sz="12" w:space="0" w:color="auto"/>
              <w:bottom w:val="single" w:sz="12" w:space="0" w:color="auto"/>
              <w:right w:val="single" w:sz="12" w:space="0" w:color="auto"/>
            </w:tcBorders>
            <w:shd w:val="clear" w:color="auto" w:fill="auto"/>
            <w:vAlign w:val="bottom"/>
            <w:hideMark/>
          </w:tcPr>
          <w:p w:rsidR="00D707C1" w:rsidRPr="008E0131" w:rsidRDefault="00D707C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AS “Latvenergo” dividendes</w:t>
            </w:r>
            <w:r w:rsidR="00744291">
              <w:rPr>
                <w:rFonts w:eastAsia="Times New Roman" w:cs="Times New Roman"/>
                <w:color w:val="000000"/>
                <w:sz w:val="18"/>
                <w:szCs w:val="18"/>
                <w:lang w:eastAsia="lv-LV"/>
              </w:rPr>
              <w:t>**</w:t>
            </w:r>
          </w:p>
        </w:tc>
        <w:tc>
          <w:tcPr>
            <w:tcW w:w="1032"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6 972 072</w:t>
            </w:r>
          </w:p>
        </w:tc>
        <w:tc>
          <w:tcPr>
            <w:tcW w:w="1082" w:type="dxa"/>
            <w:tcBorders>
              <w:top w:val="dashSmallGap" w:sz="4" w:space="0" w:color="auto"/>
              <w:left w:val="dashSmallGap" w:sz="4" w:space="0" w:color="auto"/>
              <w:bottom w:val="single" w:sz="12" w:space="0" w:color="auto"/>
              <w:right w:val="single" w:sz="12"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6 972 072</w:t>
            </w:r>
          </w:p>
        </w:tc>
        <w:tc>
          <w:tcPr>
            <w:tcW w:w="1130"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11 952 123</w:t>
            </w:r>
          </w:p>
        </w:tc>
        <w:tc>
          <w:tcPr>
            <w:tcW w:w="1133" w:type="dxa"/>
            <w:tcBorders>
              <w:top w:val="dashSmallGap" w:sz="4" w:space="0" w:color="auto"/>
              <w:left w:val="dashSmallGap" w:sz="4" w:space="0" w:color="auto"/>
              <w:bottom w:val="single" w:sz="12" w:space="0" w:color="auto"/>
              <w:right w:val="dashSmallGap" w:sz="4" w:space="0" w:color="auto"/>
            </w:tcBorders>
            <w:shd w:val="clear" w:color="auto" w:fill="auto"/>
            <w:vAlign w:val="center"/>
            <w:hideMark/>
          </w:tcPr>
          <w:p w:rsidR="00D707C1" w:rsidRPr="009B40C6" w:rsidRDefault="00D707C1" w:rsidP="00D707C1">
            <w:pPr>
              <w:spacing w:after="0" w:line="240" w:lineRule="auto"/>
              <w:jc w:val="center"/>
              <w:rPr>
                <w:rFonts w:eastAsia="Times New Roman" w:cs="Times New Roman"/>
                <w:color w:val="000000"/>
                <w:sz w:val="18"/>
                <w:szCs w:val="18"/>
                <w:lang w:eastAsia="lv-LV"/>
              </w:rPr>
            </w:pPr>
            <w:r>
              <w:rPr>
                <w:rFonts w:eastAsia="Times New Roman" w:cs="Times New Roman"/>
                <w:color w:val="000000"/>
                <w:sz w:val="18"/>
                <w:szCs w:val="18"/>
                <w:lang w:eastAsia="lv-LV"/>
              </w:rPr>
              <w:t>11 </w:t>
            </w:r>
            <w:r w:rsidRPr="009B40C6">
              <w:rPr>
                <w:rFonts w:eastAsia="Times New Roman" w:cs="Times New Roman"/>
                <w:color w:val="000000"/>
                <w:sz w:val="18"/>
                <w:szCs w:val="18"/>
                <w:lang w:eastAsia="lv-LV"/>
              </w:rPr>
              <w:t>952</w:t>
            </w:r>
            <w:r>
              <w:rPr>
                <w:rFonts w:eastAsia="Times New Roman" w:cs="Times New Roman"/>
                <w:color w:val="000000"/>
                <w:sz w:val="18"/>
                <w:szCs w:val="18"/>
                <w:lang w:eastAsia="lv-LV"/>
              </w:rPr>
              <w:t> </w:t>
            </w:r>
            <w:r w:rsidRPr="009B40C6">
              <w:rPr>
                <w:rFonts w:eastAsia="Times New Roman" w:cs="Times New Roman"/>
                <w:color w:val="000000"/>
                <w:sz w:val="18"/>
                <w:szCs w:val="18"/>
                <w:lang w:eastAsia="lv-LV"/>
              </w:rPr>
              <w:t>123</w:t>
            </w:r>
            <w:r>
              <w:rPr>
                <w:rFonts w:eastAsia="Times New Roman" w:cs="Times New Roman"/>
                <w:color w:val="000000"/>
                <w:sz w:val="18"/>
                <w:szCs w:val="18"/>
                <w:lang w:eastAsia="lv-LV"/>
              </w:rPr>
              <w:t xml:space="preserve"> *******</w:t>
            </w:r>
          </w:p>
        </w:tc>
        <w:tc>
          <w:tcPr>
            <w:tcW w:w="1111" w:type="dxa"/>
            <w:tcBorders>
              <w:top w:val="dashSmallGap" w:sz="4" w:space="0" w:color="auto"/>
              <w:left w:val="dashSmallGap" w:sz="4" w:space="0" w:color="auto"/>
              <w:bottom w:val="single" w:sz="12" w:space="0" w:color="auto"/>
              <w:right w:val="single" w:sz="12" w:space="0" w:color="auto"/>
            </w:tcBorders>
            <w:shd w:val="clear" w:color="auto" w:fill="auto"/>
            <w:hideMark/>
          </w:tcPr>
          <w:p w:rsidR="00D707C1" w:rsidRPr="00710011" w:rsidRDefault="00D707C1" w:rsidP="00D707C1">
            <w:pPr>
              <w:spacing w:after="0" w:line="240" w:lineRule="auto"/>
              <w:jc w:val="center"/>
              <w:rPr>
                <w:rFonts w:eastAsia="Times New Roman" w:cs="Times New Roman"/>
                <w:color w:val="000000"/>
                <w:sz w:val="18"/>
                <w:szCs w:val="18"/>
                <w:lang w:eastAsia="lv-LV"/>
              </w:rPr>
            </w:pPr>
            <w:r>
              <w:rPr>
                <w:rFonts w:eastAsia="Times New Roman" w:cs="Times New Roman"/>
                <w:color w:val="000000"/>
                <w:sz w:val="18"/>
                <w:szCs w:val="18"/>
                <w:lang w:eastAsia="lv-LV"/>
              </w:rPr>
              <w:t>23 665 609</w:t>
            </w:r>
          </w:p>
        </w:tc>
        <w:tc>
          <w:tcPr>
            <w:tcW w:w="1098" w:type="dxa"/>
            <w:tcBorders>
              <w:top w:val="dashSmallGap" w:sz="4" w:space="0" w:color="auto"/>
              <w:left w:val="single" w:sz="12" w:space="0" w:color="auto"/>
              <w:bottom w:val="single" w:sz="12" w:space="0" w:color="auto"/>
              <w:right w:val="dashSmallGap" w:sz="4" w:space="0" w:color="auto"/>
            </w:tcBorders>
            <w:shd w:val="clear" w:color="auto" w:fill="auto"/>
          </w:tcPr>
          <w:p w:rsidR="00D707C1" w:rsidRPr="000052B7" w:rsidRDefault="00D707C1" w:rsidP="00D707C1">
            <w:pPr>
              <w:spacing w:after="0" w:line="240" w:lineRule="auto"/>
              <w:jc w:val="center"/>
              <w:rPr>
                <w:rFonts w:eastAsia="Times New Roman" w:cs="Times New Roman"/>
                <w:color w:val="000000"/>
                <w:sz w:val="18"/>
                <w:szCs w:val="18"/>
                <w:lang w:eastAsia="lv-LV"/>
              </w:rPr>
            </w:pPr>
            <w:r w:rsidRPr="00B108D2">
              <w:rPr>
                <w:rFonts w:eastAsia="Times New Roman" w:cs="Times New Roman"/>
                <w:color w:val="000000"/>
                <w:sz w:val="18"/>
                <w:szCs w:val="18"/>
                <w:lang w:eastAsia="lv-LV"/>
              </w:rPr>
              <w:t>48 009 955</w:t>
            </w:r>
          </w:p>
        </w:tc>
        <w:tc>
          <w:tcPr>
            <w:tcW w:w="1176" w:type="dxa"/>
            <w:tcBorders>
              <w:top w:val="dashSmallGap" w:sz="4" w:space="0" w:color="auto"/>
              <w:left w:val="dashSmallGap" w:sz="4" w:space="0" w:color="auto"/>
              <w:bottom w:val="single" w:sz="12" w:space="0" w:color="auto"/>
              <w:right w:val="single" w:sz="12" w:space="0" w:color="auto"/>
            </w:tcBorders>
            <w:shd w:val="clear" w:color="auto" w:fill="auto"/>
          </w:tcPr>
          <w:p w:rsidR="00D707C1" w:rsidRPr="000052B7" w:rsidRDefault="00D707C1" w:rsidP="00D707C1">
            <w:pPr>
              <w:spacing w:after="0" w:line="240" w:lineRule="auto"/>
              <w:jc w:val="center"/>
              <w:rPr>
                <w:rFonts w:eastAsia="Times New Roman" w:cs="Times New Roman"/>
                <w:color w:val="000000"/>
                <w:sz w:val="18"/>
                <w:szCs w:val="18"/>
                <w:lang w:eastAsia="lv-LV"/>
              </w:rPr>
            </w:pPr>
            <w:r w:rsidRPr="00B108D2">
              <w:rPr>
                <w:rFonts w:eastAsia="Times New Roman" w:cs="Times New Roman"/>
                <w:color w:val="000000"/>
                <w:sz w:val="18"/>
                <w:szCs w:val="18"/>
                <w:lang w:eastAsia="lv-LV"/>
              </w:rPr>
              <w:t>60 352 620</w:t>
            </w:r>
          </w:p>
        </w:tc>
      </w:tr>
      <w:tr w:rsidR="00D27C5F" w:rsidRPr="00710011" w:rsidTr="00D27C5F">
        <w:trPr>
          <w:trHeight w:val="242"/>
        </w:trPr>
        <w:tc>
          <w:tcPr>
            <w:tcW w:w="491" w:type="dxa"/>
            <w:tcBorders>
              <w:top w:val="dashSmallGap" w:sz="4" w:space="0" w:color="auto"/>
              <w:left w:val="single" w:sz="12" w:space="0" w:color="auto"/>
              <w:bottom w:val="single" w:sz="12" w:space="0" w:color="auto"/>
              <w:right w:val="single" w:sz="12" w:space="0" w:color="auto"/>
            </w:tcBorders>
            <w:shd w:val="clear" w:color="auto" w:fill="auto"/>
            <w:noWrap/>
            <w:vAlign w:val="bottom"/>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4.1.</w:t>
            </w:r>
          </w:p>
        </w:tc>
        <w:tc>
          <w:tcPr>
            <w:tcW w:w="5600" w:type="dxa"/>
            <w:tcBorders>
              <w:top w:val="dashSmallGap" w:sz="4" w:space="0" w:color="auto"/>
              <w:left w:val="single" w:sz="12" w:space="0" w:color="auto"/>
              <w:bottom w:val="single" w:sz="12" w:space="0" w:color="auto"/>
              <w:right w:val="single" w:sz="12" w:space="0" w:color="auto"/>
            </w:tcBorders>
            <w:shd w:val="clear" w:color="auto" w:fill="auto"/>
            <w:vAlign w:val="bottom"/>
          </w:tcPr>
          <w:p w:rsidR="002F7DA1" w:rsidRPr="008E0131" w:rsidRDefault="002F7DA1" w:rsidP="00D707C1">
            <w:pPr>
              <w:spacing w:after="0" w:line="240" w:lineRule="auto"/>
              <w:jc w:val="left"/>
              <w:rPr>
                <w:rFonts w:eastAsia="Times New Roman" w:cs="Times New Roman"/>
                <w:color w:val="000000"/>
                <w:sz w:val="18"/>
                <w:szCs w:val="18"/>
                <w:lang w:eastAsia="lv-LV"/>
              </w:rPr>
            </w:pPr>
            <w:r>
              <w:rPr>
                <w:rFonts w:eastAsia="Times New Roman" w:cs="Times New Roman"/>
                <w:color w:val="000000"/>
                <w:sz w:val="18"/>
                <w:szCs w:val="18"/>
                <w:lang w:eastAsia="lv-LV"/>
              </w:rPr>
              <w:t>Kopējā budžetā izmaksājamā daļa</w:t>
            </w:r>
          </w:p>
        </w:tc>
        <w:tc>
          <w:tcPr>
            <w:tcW w:w="1032" w:type="dxa"/>
            <w:tcBorders>
              <w:top w:val="dashSmallGap" w:sz="4" w:space="0" w:color="auto"/>
              <w:left w:val="single" w:sz="12" w:space="0" w:color="auto"/>
              <w:bottom w:val="single" w:sz="12" w:space="0" w:color="auto"/>
              <w:right w:val="dashSmallGap" w:sz="4" w:space="0" w:color="auto"/>
            </w:tcBorders>
            <w:shd w:val="clear" w:color="auto" w:fill="auto"/>
            <w:vAlign w:val="center"/>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082" w:type="dxa"/>
            <w:tcBorders>
              <w:top w:val="dashSmallGap" w:sz="4" w:space="0" w:color="auto"/>
              <w:left w:val="dashSmallGap" w:sz="4" w:space="0" w:color="auto"/>
              <w:bottom w:val="single" w:sz="12" w:space="0" w:color="auto"/>
              <w:right w:val="single" w:sz="12" w:space="0" w:color="auto"/>
            </w:tcBorders>
            <w:shd w:val="clear" w:color="auto" w:fill="auto"/>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0" w:type="dxa"/>
            <w:tcBorders>
              <w:top w:val="dashSmallGap" w:sz="4" w:space="0" w:color="auto"/>
              <w:left w:val="single" w:sz="12" w:space="0" w:color="auto"/>
              <w:bottom w:val="single" w:sz="12" w:space="0" w:color="auto"/>
              <w:right w:val="dashSmallGap" w:sz="4" w:space="0" w:color="auto"/>
            </w:tcBorders>
            <w:shd w:val="clear" w:color="auto" w:fill="auto"/>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3" w:type="dxa"/>
            <w:tcBorders>
              <w:top w:val="dashSmallGap" w:sz="4" w:space="0" w:color="auto"/>
              <w:left w:val="dashSmallGap" w:sz="4" w:space="0" w:color="auto"/>
              <w:bottom w:val="single" w:sz="12" w:space="0" w:color="auto"/>
              <w:right w:val="dashSmallGap" w:sz="4" w:space="0" w:color="auto"/>
            </w:tcBorders>
            <w:shd w:val="clear" w:color="auto" w:fill="auto"/>
          </w:tcPr>
          <w:p w:rsidR="002F7DA1" w:rsidRDefault="002F7DA1" w:rsidP="00D707C1">
            <w:pPr>
              <w:spacing w:after="0" w:line="240" w:lineRule="auto"/>
              <w:jc w:val="center"/>
              <w:rPr>
                <w:rFonts w:eastAsia="Times New Roman" w:cs="Times New Roman"/>
                <w:color w:val="000000"/>
                <w:sz w:val="18"/>
                <w:szCs w:val="18"/>
                <w:lang w:eastAsia="lv-LV"/>
              </w:rPr>
            </w:pPr>
          </w:p>
        </w:tc>
        <w:tc>
          <w:tcPr>
            <w:tcW w:w="1111" w:type="dxa"/>
            <w:tcBorders>
              <w:top w:val="dashSmallGap" w:sz="4" w:space="0" w:color="auto"/>
              <w:left w:val="dashSmallGap" w:sz="4" w:space="0" w:color="auto"/>
              <w:bottom w:val="single" w:sz="12" w:space="0" w:color="auto"/>
              <w:right w:val="single" w:sz="12" w:space="0" w:color="auto"/>
            </w:tcBorders>
            <w:shd w:val="clear" w:color="auto" w:fill="auto"/>
          </w:tcPr>
          <w:p w:rsidR="002F7DA1" w:rsidRDefault="00D27C5F" w:rsidP="00D707C1">
            <w:pPr>
              <w:spacing w:after="0" w:line="240" w:lineRule="auto"/>
              <w:jc w:val="center"/>
              <w:rPr>
                <w:rFonts w:eastAsia="Times New Roman" w:cs="Times New Roman"/>
                <w:color w:val="000000"/>
                <w:sz w:val="18"/>
                <w:szCs w:val="18"/>
                <w:lang w:eastAsia="lv-LV"/>
              </w:rPr>
            </w:pPr>
            <w:r>
              <w:rPr>
                <w:rFonts w:eastAsia="Times New Roman" w:cs="Times New Roman"/>
                <w:color w:val="000000"/>
                <w:sz w:val="18"/>
                <w:szCs w:val="18"/>
                <w:lang w:eastAsia="lv-LV"/>
              </w:rPr>
              <w:t>65 000 000</w:t>
            </w:r>
          </w:p>
        </w:tc>
        <w:tc>
          <w:tcPr>
            <w:tcW w:w="1098" w:type="dxa"/>
            <w:tcBorders>
              <w:top w:val="dashSmallGap" w:sz="4" w:space="0" w:color="auto"/>
              <w:left w:val="single" w:sz="12" w:space="0" w:color="auto"/>
              <w:bottom w:val="single" w:sz="12" w:space="0" w:color="auto"/>
              <w:right w:val="dashSmallGap" w:sz="4" w:space="0" w:color="auto"/>
            </w:tcBorders>
            <w:shd w:val="clear" w:color="auto" w:fill="auto"/>
          </w:tcPr>
          <w:p w:rsidR="002F7DA1" w:rsidRPr="00B108D2" w:rsidRDefault="00D27C5F" w:rsidP="00D707C1">
            <w:pPr>
              <w:spacing w:after="0" w:line="240" w:lineRule="auto"/>
              <w:jc w:val="center"/>
              <w:rPr>
                <w:rFonts w:eastAsia="Times New Roman" w:cs="Times New Roman"/>
                <w:color w:val="000000"/>
                <w:sz w:val="18"/>
                <w:szCs w:val="18"/>
                <w:lang w:eastAsia="lv-LV"/>
              </w:rPr>
            </w:pPr>
            <w:r>
              <w:rPr>
                <w:rFonts w:eastAsia="Times New Roman" w:cs="Times New Roman"/>
                <w:color w:val="000000"/>
                <w:sz w:val="18"/>
                <w:szCs w:val="18"/>
                <w:lang w:eastAsia="lv-LV"/>
              </w:rPr>
              <w:t>54 750 000</w:t>
            </w:r>
          </w:p>
        </w:tc>
        <w:tc>
          <w:tcPr>
            <w:tcW w:w="1176" w:type="dxa"/>
            <w:tcBorders>
              <w:top w:val="dashSmallGap" w:sz="4" w:space="0" w:color="auto"/>
              <w:left w:val="dashSmallGap" w:sz="4" w:space="0" w:color="auto"/>
              <w:bottom w:val="single" w:sz="12" w:space="0" w:color="auto"/>
              <w:right w:val="single" w:sz="12" w:space="0" w:color="auto"/>
            </w:tcBorders>
            <w:shd w:val="clear" w:color="auto" w:fill="auto"/>
          </w:tcPr>
          <w:p w:rsidR="002F7DA1" w:rsidRPr="00B108D2" w:rsidRDefault="00D27C5F" w:rsidP="00D707C1">
            <w:pPr>
              <w:spacing w:after="0" w:line="240" w:lineRule="auto"/>
              <w:jc w:val="center"/>
              <w:rPr>
                <w:rFonts w:eastAsia="Times New Roman" w:cs="Times New Roman"/>
                <w:color w:val="000000"/>
                <w:sz w:val="18"/>
                <w:szCs w:val="18"/>
                <w:lang w:eastAsia="lv-LV"/>
              </w:rPr>
            </w:pPr>
            <w:r>
              <w:rPr>
                <w:rFonts w:eastAsia="Times New Roman" w:cs="Times New Roman"/>
                <w:color w:val="000000"/>
                <w:sz w:val="18"/>
                <w:szCs w:val="18"/>
                <w:lang w:eastAsia="lv-LV"/>
              </w:rPr>
              <w:t>51 100 000</w:t>
            </w:r>
          </w:p>
        </w:tc>
      </w:tr>
      <w:tr w:rsidR="002F7DA1" w:rsidRPr="00710011" w:rsidTr="002F7DA1">
        <w:trPr>
          <w:trHeight w:val="242"/>
        </w:trPr>
        <w:tc>
          <w:tcPr>
            <w:tcW w:w="491" w:type="dxa"/>
            <w:tcBorders>
              <w:top w:val="dashSmallGap" w:sz="4" w:space="0" w:color="auto"/>
              <w:left w:val="single" w:sz="12" w:space="0" w:color="auto"/>
              <w:bottom w:val="single" w:sz="12" w:space="0" w:color="auto"/>
              <w:right w:val="single" w:sz="12" w:space="0" w:color="auto"/>
            </w:tcBorders>
            <w:shd w:val="clear" w:color="auto" w:fill="auto"/>
            <w:noWrap/>
            <w:vAlign w:val="bottom"/>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4.2.</w:t>
            </w:r>
          </w:p>
        </w:tc>
        <w:tc>
          <w:tcPr>
            <w:tcW w:w="5600" w:type="dxa"/>
            <w:tcBorders>
              <w:top w:val="dashSmallGap" w:sz="4" w:space="0" w:color="auto"/>
              <w:left w:val="single" w:sz="12" w:space="0" w:color="auto"/>
              <w:bottom w:val="single" w:sz="12" w:space="0" w:color="auto"/>
              <w:right w:val="single" w:sz="12" w:space="0" w:color="auto"/>
            </w:tcBorders>
            <w:shd w:val="clear" w:color="auto" w:fill="auto"/>
            <w:vAlign w:val="bottom"/>
          </w:tcPr>
          <w:p w:rsidR="002F7DA1" w:rsidRPr="008E0131" w:rsidRDefault="002F7DA1" w:rsidP="00D707C1">
            <w:pPr>
              <w:spacing w:after="0" w:line="240" w:lineRule="auto"/>
              <w:jc w:val="left"/>
              <w:rPr>
                <w:rFonts w:eastAsia="Times New Roman" w:cs="Times New Roman"/>
                <w:color w:val="000000"/>
                <w:sz w:val="18"/>
                <w:szCs w:val="18"/>
                <w:lang w:eastAsia="lv-LV"/>
              </w:rPr>
            </w:pPr>
            <w:r>
              <w:rPr>
                <w:rFonts w:eastAsia="Times New Roman" w:cs="Times New Roman"/>
                <w:color w:val="000000"/>
                <w:sz w:val="18"/>
                <w:szCs w:val="18"/>
                <w:lang w:eastAsia="lv-LV"/>
              </w:rPr>
              <w:t>Komplekso risinājumu elektroenerģijas tirgū novirzāmā daļa</w:t>
            </w:r>
          </w:p>
        </w:tc>
        <w:tc>
          <w:tcPr>
            <w:tcW w:w="1032" w:type="dxa"/>
            <w:tcBorders>
              <w:top w:val="dashSmallGap" w:sz="4" w:space="0" w:color="auto"/>
              <w:left w:val="single" w:sz="12" w:space="0" w:color="auto"/>
              <w:bottom w:val="single" w:sz="12" w:space="0" w:color="auto"/>
              <w:right w:val="dashSmallGap" w:sz="4" w:space="0" w:color="auto"/>
            </w:tcBorders>
            <w:shd w:val="clear" w:color="auto" w:fill="auto"/>
            <w:vAlign w:val="center"/>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082" w:type="dxa"/>
            <w:tcBorders>
              <w:top w:val="dashSmallGap" w:sz="4" w:space="0" w:color="auto"/>
              <w:left w:val="dashSmallGap" w:sz="4" w:space="0" w:color="auto"/>
              <w:bottom w:val="single" w:sz="12" w:space="0" w:color="auto"/>
              <w:right w:val="single" w:sz="12" w:space="0" w:color="auto"/>
            </w:tcBorders>
            <w:shd w:val="clear" w:color="auto" w:fill="auto"/>
            <w:vAlign w:val="center"/>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0" w:type="dxa"/>
            <w:tcBorders>
              <w:top w:val="dashSmallGap" w:sz="4" w:space="0" w:color="auto"/>
              <w:left w:val="single" w:sz="12" w:space="0" w:color="auto"/>
              <w:bottom w:val="single" w:sz="12" w:space="0" w:color="auto"/>
              <w:right w:val="dashSmallGap" w:sz="4" w:space="0" w:color="auto"/>
            </w:tcBorders>
            <w:shd w:val="clear" w:color="auto" w:fill="auto"/>
            <w:vAlign w:val="center"/>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3" w:type="dxa"/>
            <w:tcBorders>
              <w:top w:val="dashSmallGap" w:sz="4" w:space="0" w:color="auto"/>
              <w:left w:val="dashSmallGap" w:sz="4" w:space="0" w:color="auto"/>
              <w:bottom w:val="single" w:sz="12" w:space="0" w:color="auto"/>
              <w:right w:val="dashSmallGap" w:sz="4" w:space="0" w:color="auto"/>
            </w:tcBorders>
            <w:shd w:val="clear" w:color="auto" w:fill="auto"/>
            <w:vAlign w:val="center"/>
          </w:tcPr>
          <w:p w:rsidR="002F7DA1" w:rsidRDefault="002F7DA1" w:rsidP="00D707C1">
            <w:pPr>
              <w:spacing w:after="0" w:line="240" w:lineRule="auto"/>
              <w:jc w:val="center"/>
              <w:rPr>
                <w:rFonts w:eastAsia="Times New Roman" w:cs="Times New Roman"/>
                <w:color w:val="000000"/>
                <w:sz w:val="18"/>
                <w:szCs w:val="18"/>
                <w:lang w:eastAsia="lv-LV"/>
              </w:rPr>
            </w:pPr>
          </w:p>
        </w:tc>
        <w:tc>
          <w:tcPr>
            <w:tcW w:w="1111" w:type="dxa"/>
            <w:tcBorders>
              <w:top w:val="dashSmallGap" w:sz="4" w:space="0" w:color="auto"/>
              <w:left w:val="dashSmallGap" w:sz="4" w:space="0" w:color="auto"/>
              <w:bottom w:val="single" w:sz="12" w:space="0" w:color="auto"/>
              <w:right w:val="single" w:sz="12" w:space="0" w:color="auto"/>
            </w:tcBorders>
            <w:shd w:val="clear" w:color="auto" w:fill="auto"/>
          </w:tcPr>
          <w:p w:rsidR="002F7DA1" w:rsidRDefault="002F7DA1" w:rsidP="00D707C1">
            <w:pPr>
              <w:spacing w:after="0" w:line="240" w:lineRule="auto"/>
              <w:jc w:val="center"/>
              <w:rPr>
                <w:rFonts w:eastAsia="Times New Roman" w:cs="Times New Roman"/>
                <w:color w:val="000000"/>
                <w:sz w:val="18"/>
                <w:szCs w:val="18"/>
                <w:lang w:eastAsia="lv-LV"/>
              </w:rPr>
            </w:pPr>
            <w:r>
              <w:rPr>
                <w:rFonts w:eastAsia="Times New Roman" w:cs="Times New Roman"/>
                <w:color w:val="000000"/>
                <w:sz w:val="18"/>
                <w:szCs w:val="18"/>
                <w:lang w:eastAsia="lv-LV"/>
              </w:rPr>
              <w:t>23 665 609</w:t>
            </w:r>
          </w:p>
        </w:tc>
        <w:tc>
          <w:tcPr>
            <w:tcW w:w="1098" w:type="dxa"/>
            <w:tcBorders>
              <w:top w:val="dashSmallGap" w:sz="4" w:space="0" w:color="auto"/>
              <w:left w:val="single" w:sz="12" w:space="0" w:color="auto"/>
              <w:bottom w:val="single" w:sz="12" w:space="0" w:color="auto"/>
              <w:right w:val="dashSmallGap" w:sz="4" w:space="0" w:color="auto"/>
            </w:tcBorders>
            <w:shd w:val="clear" w:color="auto" w:fill="auto"/>
          </w:tcPr>
          <w:p w:rsidR="002F7DA1" w:rsidRPr="00B108D2" w:rsidRDefault="002F7DA1" w:rsidP="002F7DA1">
            <w:pPr>
              <w:spacing w:after="0" w:line="240" w:lineRule="auto"/>
              <w:jc w:val="center"/>
              <w:rPr>
                <w:rFonts w:eastAsia="Times New Roman" w:cs="Times New Roman"/>
                <w:color w:val="000000"/>
                <w:sz w:val="18"/>
                <w:szCs w:val="18"/>
                <w:lang w:eastAsia="lv-LV"/>
              </w:rPr>
            </w:pPr>
            <w:r w:rsidRPr="00B108D2">
              <w:rPr>
                <w:rFonts w:eastAsia="Times New Roman" w:cs="Times New Roman"/>
                <w:color w:val="000000"/>
                <w:sz w:val="18"/>
                <w:szCs w:val="18"/>
                <w:lang w:eastAsia="lv-LV"/>
              </w:rPr>
              <w:t>48 009 955</w:t>
            </w:r>
          </w:p>
        </w:tc>
        <w:tc>
          <w:tcPr>
            <w:tcW w:w="1176" w:type="dxa"/>
            <w:tcBorders>
              <w:top w:val="dashSmallGap" w:sz="4" w:space="0" w:color="auto"/>
              <w:left w:val="dashSmallGap" w:sz="4" w:space="0" w:color="auto"/>
              <w:bottom w:val="single" w:sz="12" w:space="0" w:color="auto"/>
              <w:right w:val="single" w:sz="12" w:space="0" w:color="auto"/>
            </w:tcBorders>
            <w:shd w:val="clear" w:color="auto" w:fill="auto"/>
          </w:tcPr>
          <w:p w:rsidR="002F7DA1" w:rsidRPr="00B108D2" w:rsidRDefault="002F7DA1" w:rsidP="00D707C1">
            <w:pPr>
              <w:spacing w:after="0" w:line="240" w:lineRule="auto"/>
              <w:jc w:val="center"/>
              <w:rPr>
                <w:rFonts w:eastAsia="Times New Roman" w:cs="Times New Roman"/>
                <w:color w:val="000000"/>
                <w:sz w:val="18"/>
                <w:szCs w:val="18"/>
                <w:lang w:eastAsia="lv-LV"/>
              </w:rPr>
            </w:pPr>
            <w:r w:rsidRPr="00B108D2">
              <w:rPr>
                <w:rFonts w:eastAsia="Times New Roman" w:cs="Times New Roman"/>
                <w:color w:val="000000"/>
                <w:sz w:val="18"/>
                <w:szCs w:val="18"/>
                <w:lang w:eastAsia="lv-LV"/>
              </w:rPr>
              <w:t>60 352 620</w:t>
            </w:r>
          </w:p>
        </w:tc>
      </w:tr>
      <w:tr w:rsidR="002F7DA1" w:rsidRPr="0055711C" w:rsidTr="002F7DA1">
        <w:trPr>
          <w:trHeight w:val="204"/>
        </w:trPr>
        <w:tc>
          <w:tcPr>
            <w:tcW w:w="491" w:type="dxa"/>
            <w:tcBorders>
              <w:top w:val="single" w:sz="12" w:space="0" w:color="auto"/>
              <w:left w:val="single" w:sz="12" w:space="0" w:color="auto"/>
              <w:bottom w:val="dashSmallGap" w:sz="4" w:space="0" w:color="auto"/>
              <w:right w:val="single" w:sz="12" w:space="0" w:color="auto"/>
            </w:tcBorders>
            <w:shd w:val="clear" w:color="auto" w:fill="auto"/>
            <w:noWrap/>
            <w:vAlign w:val="bottom"/>
            <w:hideMark/>
          </w:tcPr>
          <w:p w:rsidR="002F7DA1" w:rsidRPr="008E0131" w:rsidRDefault="002F7DA1" w:rsidP="00D707C1">
            <w:pPr>
              <w:spacing w:after="0" w:line="240" w:lineRule="auto"/>
              <w:jc w:val="left"/>
              <w:rPr>
                <w:rFonts w:ascii="Calibri" w:eastAsia="Times New Roman" w:hAnsi="Calibri" w:cs="Calibri"/>
                <w:b/>
                <w:bCs/>
                <w:color w:val="000000"/>
                <w:sz w:val="18"/>
                <w:szCs w:val="18"/>
                <w:lang w:eastAsia="lv-LV"/>
              </w:rPr>
            </w:pPr>
          </w:p>
        </w:tc>
        <w:tc>
          <w:tcPr>
            <w:tcW w:w="5600" w:type="dxa"/>
            <w:tcBorders>
              <w:top w:val="single" w:sz="12" w:space="0" w:color="auto"/>
              <w:left w:val="single" w:sz="12" w:space="0" w:color="auto"/>
              <w:bottom w:val="dashSmallGap" w:sz="4" w:space="0" w:color="auto"/>
              <w:right w:val="single" w:sz="12" w:space="0" w:color="auto"/>
            </w:tcBorders>
            <w:shd w:val="clear" w:color="000000" w:fill="F2F2F2"/>
            <w:vAlign w:val="bottom"/>
            <w:hideMark/>
          </w:tcPr>
          <w:p w:rsidR="002F7DA1" w:rsidRPr="008E0131" w:rsidRDefault="002F7DA1" w:rsidP="00D707C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Izdevumi – kopā</w:t>
            </w:r>
            <w:r>
              <w:rPr>
                <w:rFonts w:eastAsia="Times New Roman" w:cs="Times New Roman"/>
                <w:b/>
                <w:bCs/>
                <w:color w:val="000000"/>
                <w:sz w:val="18"/>
                <w:szCs w:val="18"/>
                <w:lang w:eastAsia="lv-LV"/>
              </w:rPr>
              <w:t xml:space="preserve"> (OIK saglabājas 26,79 EUR/MWh līmenī)</w:t>
            </w:r>
          </w:p>
        </w:tc>
        <w:tc>
          <w:tcPr>
            <w:tcW w:w="1032" w:type="dxa"/>
            <w:tcBorders>
              <w:top w:val="single" w:sz="12" w:space="0" w:color="auto"/>
              <w:left w:val="single" w:sz="12" w:space="0" w:color="auto"/>
              <w:bottom w:val="dashSmallGap" w:sz="4" w:space="0" w:color="auto"/>
              <w:right w:val="dashSmallGap" w:sz="4" w:space="0" w:color="auto"/>
            </w:tcBorders>
            <w:shd w:val="clear" w:color="000000" w:fill="F2F2F2"/>
            <w:vAlign w:val="center"/>
            <w:hideMark/>
          </w:tcPr>
          <w:p w:rsidR="002F7DA1" w:rsidRPr="009B40C6" w:rsidRDefault="002F7DA1" w:rsidP="00D707C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27 968 512</w:t>
            </w:r>
          </w:p>
        </w:tc>
        <w:tc>
          <w:tcPr>
            <w:tcW w:w="1082" w:type="dxa"/>
            <w:tcBorders>
              <w:top w:val="single" w:sz="12" w:space="0" w:color="auto"/>
              <w:left w:val="dashSmallGap" w:sz="4" w:space="0" w:color="auto"/>
              <w:bottom w:val="dashSmallGap" w:sz="4" w:space="0" w:color="auto"/>
              <w:right w:val="single" w:sz="12" w:space="0" w:color="auto"/>
            </w:tcBorders>
            <w:shd w:val="clear" w:color="000000" w:fill="F2F2F2"/>
            <w:vAlign w:val="center"/>
            <w:hideMark/>
          </w:tcPr>
          <w:p w:rsidR="002F7DA1" w:rsidRPr="009B40C6" w:rsidRDefault="002F7DA1" w:rsidP="00D707C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20 335 000</w:t>
            </w:r>
          </w:p>
        </w:tc>
        <w:tc>
          <w:tcPr>
            <w:tcW w:w="1130" w:type="dxa"/>
            <w:tcBorders>
              <w:top w:val="single" w:sz="12" w:space="0" w:color="auto"/>
              <w:left w:val="single" w:sz="12" w:space="0" w:color="auto"/>
              <w:bottom w:val="dashSmallGap" w:sz="4" w:space="0" w:color="auto"/>
              <w:right w:val="dashSmallGap" w:sz="4" w:space="0" w:color="auto"/>
            </w:tcBorders>
            <w:shd w:val="clear" w:color="000000" w:fill="F2F2F2"/>
            <w:vAlign w:val="center"/>
            <w:hideMark/>
          </w:tcPr>
          <w:p w:rsidR="002F7DA1" w:rsidRPr="009B40C6" w:rsidRDefault="002F7DA1" w:rsidP="00D707C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61 265 211</w:t>
            </w:r>
          </w:p>
        </w:tc>
        <w:tc>
          <w:tcPr>
            <w:tcW w:w="1133" w:type="dxa"/>
            <w:tcBorders>
              <w:top w:val="single" w:sz="12" w:space="0" w:color="auto"/>
              <w:left w:val="dashSmallGap" w:sz="4" w:space="0" w:color="auto"/>
              <w:bottom w:val="dashSmallGap" w:sz="4" w:space="0" w:color="auto"/>
              <w:right w:val="dashSmallGap" w:sz="4" w:space="0" w:color="auto"/>
            </w:tcBorders>
            <w:shd w:val="clear" w:color="000000" w:fill="F2F2F2"/>
            <w:vAlign w:val="center"/>
            <w:hideMark/>
          </w:tcPr>
          <w:p w:rsidR="002F7DA1" w:rsidRPr="009B40C6" w:rsidRDefault="002F7DA1" w:rsidP="00D707C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61 265 211</w:t>
            </w:r>
          </w:p>
        </w:tc>
        <w:tc>
          <w:tcPr>
            <w:tcW w:w="1111" w:type="dxa"/>
            <w:tcBorders>
              <w:top w:val="single" w:sz="12" w:space="0" w:color="auto"/>
              <w:left w:val="dashSmallGap" w:sz="4" w:space="0" w:color="auto"/>
              <w:bottom w:val="dashSmallGap" w:sz="4" w:space="0" w:color="auto"/>
              <w:right w:val="single" w:sz="12" w:space="0" w:color="auto"/>
            </w:tcBorders>
            <w:shd w:val="clear" w:color="000000" w:fill="F2F2F2"/>
            <w:vAlign w:val="bottom"/>
            <w:hideMark/>
          </w:tcPr>
          <w:p w:rsidR="002F7DA1" w:rsidRPr="0055711C" w:rsidRDefault="002F7DA1" w:rsidP="00D707C1">
            <w:pPr>
              <w:spacing w:after="0" w:line="240" w:lineRule="auto"/>
              <w:jc w:val="center"/>
              <w:rPr>
                <w:rFonts w:eastAsia="Times New Roman" w:cs="Times New Roman"/>
                <w:b/>
                <w:bCs/>
                <w:color w:val="000000"/>
                <w:sz w:val="18"/>
                <w:szCs w:val="18"/>
                <w:lang w:eastAsia="lv-LV"/>
              </w:rPr>
            </w:pPr>
            <w:r w:rsidRPr="0055711C">
              <w:rPr>
                <w:b/>
                <w:bCs/>
                <w:color w:val="000000"/>
                <w:sz w:val="18"/>
                <w:szCs w:val="18"/>
              </w:rPr>
              <w:t>68 624 945</w:t>
            </w:r>
          </w:p>
        </w:tc>
        <w:tc>
          <w:tcPr>
            <w:tcW w:w="1098" w:type="dxa"/>
            <w:tcBorders>
              <w:top w:val="single" w:sz="12" w:space="0" w:color="auto"/>
              <w:left w:val="single" w:sz="12" w:space="0" w:color="auto"/>
              <w:bottom w:val="dashSmallGap" w:sz="4" w:space="0" w:color="auto"/>
              <w:right w:val="dashSmallGap" w:sz="4" w:space="0" w:color="auto"/>
            </w:tcBorders>
            <w:shd w:val="clear" w:color="000000" w:fill="F2F2F2"/>
            <w:vAlign w:val="bottom"/>
            <w:hideMark/>
          </w:tcPr>
          <w:p w:rsidR="002F7DA1" w:rsidRPr="0055711C" w:rsidRDefault="002F7DA1" w:rsidP="00D707C1">
            <w:pPr>
              <w:spacing w:after="0" w:line="240" w:lineRule="auto"/>
              <w:jc w:val="center"/>
              <w:rPr>
                <w:rFonts w:eastAsia="Times New Roman" w:cs="Times New Roman"/>
                <w:b/>
                <w:bCs/>
                <w:color w:val="000000"/>
                <w:sz w:val="18"/>
                <w:szCs w:val="18"/>
                <w:lang w:eastAsia="lv-LV"/>
              </w:rPr>
            </w:pPr>
            <w:r w:rsidRPr="0055711C">
              <w:rPr>
                <w:b/>
                <w:bCs/>
                <w:color w:val="000000"/>
                <w:sz w:val="18"/>
                <w:szCs w:val="18"/>
              </w:rPr>
              <w:t>96 652 651</w:t>
            </w:r>
          </w:p>
        </w:tc>
        <w:tc>
          <w:tcPr>
            <w:tcW w:w="1176" w:type="dxa"/>
            <w:tcBorders>
              <w:top w:val="single" w:sz="12" w:space="0" w:color="auto"/>
              <w:left w:val="dashSmallGap" w:sz="4" w:space="0" w:color="auto"/>
              <w:bottom w:val="dashSmallGap" w:sz="4" w:space="0" w:color="auto"/>
              <w:right w:val="single" w:sz="12" w:space="0" w:color="auto"/>
            </w:tcBorders>
            <w:shd w:val="clear" w:color="000000" w:fill="F2F2F2"/>
            <w:vAlign w:val="bottom"/>
            <w:hideMark/>
          </w:tcPr>
          <w:p w:rsidR="002F7DA1" w:rsidRPr="0055711C" w:rsidRDefault="002F7DA1" w:rsidP="00D707C1">
            <w:pPr>
              <w:spacing w:after="0" w:line="240" w:lineRule="auto"/>
              <w:jc w:val="center"/>
              <w:rPr>
                <w:rFonts w:eastAsia="Times New Roman" w:cs="Times New Roman"/>
                <w:b/>
                <w:bCs/>
                <w:color w:val="000000"/>
                <w:sz w:val="18"/>
                <w:szCs w:val="18"/>
                <w:lang w:eastAsia="lv-LV"/>
              </w:rPr>
            </w:pPr>
            <w:r w:rsidRPr="0055711C">
              <w:rPr>
                <w:b/>
                <w:bCs/>
                <w:color w:val="000000"/>
                <w:sz w:val="18"/>
                <w:szCs w:val="18"/>
              </w:rPr>
              <w:t>108 995 316</w:t>
            </w:r>
          </w:p>
        </w:tc>
      </w:tr>
      <w:tr w:rsidR="002F7DA1" w:rsidRPr="0055711C" w:rsidTr="002F7DA1">
        <w:trPr>
          <w:trHeight w:val="270"/>
        </w:trPr>
        <w:tc>
          <w:tcPr>
            <w:tcW w:w="491"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r w:rsidRPr="008E0131">
              <w:rPr>
                <w:rFonts w:ascii="Calibri" w:eastAsia="Times New Roman" w:hAnsi="Calibri" w:cs="Calibri"/>
                <w:color w:val="000000"/>
                <w:sz w:val="18"/>
                <w:szCs w:val="18"/>
                <w:lang w:eastAsia="lv-LV"/>
              </w:rPr>
              <w:t>5.</w:t>
            </w:r>
          </w:p>
        </w:tc>
        <w:tc>
          <w:tcPr>
            <w:tcW w:w="5600"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2F7DA1" w:rsidRPr="008E0131" w:rsidRDefault="002F7DA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 xml:space="preserve">Lietotāju atbalsts </w:t>
            </w:r>
            <w:r>
              <w:rPr>
                <w:rFonts w:eastAsia="Times New Roman" w:cs="Times New Roman"/>
                <w:color w:val="000000"/>
                <w:sz w:val="18"/>
                <w:szCs w:val="18"/>
                <w:lang w:eastAsia="lv-LV"/>
              </w:rPr>
              <w:t>–</w:t>
            </w:r>
            <w:r w:rsidRPr="008E0131">
              <w:rPr>
                <w:rFonts w:eastAsia="Times New Roman" w:cs="Times New Roman"/>
                <w:color w:val="000000"/>
                <w:sz w:val="18"/>
                <w:szCs w:val="18"/>
                <w:lang w:eastAsia="lv-LV"/>
              </w:rPr>
              <w:t xml:space="preserve"> OIK</w:t>
            </w:r>
            <w:r>
              <w:rPr>
                <w:rFonts w:eastAsia="Times New Roman" w:cs="Times New Roman"/>
                <w:color w:val="000000"/>
                <w:sz w:val="18"/>
                <w:szCs w:val="18"/>
                <w:lang w:eastAsia="lv-LV"/>
              </w:rPr>
              <w:t>***</w:t>
            </w:r>
          </w:p>
        </w:tc>
        <w:tc>
          <w:tcPr>
            <w:tcW w:w="1032"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27 968 512</w:t>
            </w:r>
          </w:p>
        </w:tc>
        <w:tc>
          <w:tcPr>
            <w:tcW w:w="1082"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20 335 000</w:t>
            </w:r>
          </w:p>
        </w:tc>
        <w:tc>
          <w:tcPr>
            <w:tcW w:w="1130"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56 142 872</w:t>
            </w:r>
          </w:p>
        </w:tc>
        <w:tc>
          <w:tcPr>
            <w:tcW w:w="1133"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56 142 872</w:t>
            </w:r>
          </w:p>
        </w:tc>
        <w:tc>
          <w:tcPr>
            <w:tcW w:w="1111"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2F7DA1" w:rsidRPr="0055711C" w:rsidRDefault="002F7DA1" w:rsidP="00D707C1">
            <w:pPr>
              <w:spacing w:after="0" w:line="240" w:lineRule="auto"/>
              <w:jc w:val="center"/>
              <w:rPr>
                <w:rFonts w:eastAsia="Times New Roman" w:cs="Times New Roman"/>
                <w:color w:val="000000"/>
                <w:sz w:val="18"/>
                <w:szCs w:val="18"/>
                <w:lang w:eastAsia="lv-LV"/>
              </w:rPr>
            </w:pPr>
            <w:r w:rsidRPr="0055711C">
              <w:rPr>
                <w:color w:val="000000"/>
                <w:sz w:val="18"/>
                <w:szCs w:val="18"/>
              </w:rPr>
              <w:t>59 693 445</w:t>
            </w:r>
          </w:p>
        </w:tc>
        <w:tc>
          <w:tcPr>
            <w:tcW w:w="1098" w:type="dxa"/>
            <w:tcBorders>
              <w:top w:val="dashSmallGap" w:sz="4" w:space="0" w:color="auto"/>
              <w:left w:val="single" w:sz="12" w:space="0" w:color="auto"/>
              <w:bottom w:val="dashSmallGap" w:sz="4" w:space="0" w:color="auto"/>
              <w:right w:val="dashSmallGap" w:sz="4" w:space="0" w:color="auto"/>
            </w:tcBorders>
            <w:shd w:val="clear" w:color="auto" w:fill="auto"/>
            <w:vAlign w:val="bottom"/>
            <w:hideMark/>
          </w:tcPr>
          <w:p w:rsidR="002F7DA1" w:rsidRPr="0055711C" w:rsidRDefault="002F7DA1" w:rsidP="00D707C1">
            <w:pPr>
              <w:spacing w:after="0" w:line="240" w:lineRule="auto"/>
              <w:jc w:val="center"/>
              <w:rPr>
                <w:rFonts w:eastAsia="Times New Roman" w:cs="Times New Roman"/>
                <w:color w:val="000000"/>
                <w:sz w:val="18"/>
                <w:szCs w:val="18"/>
                <w:lang w:eastAsia="lv-LV"/>
              </w:rPr>
            </w:pPr>
            <w:r w:rsidRPr="0055711C">
              <w:rPr>
                <w:color w:val="000000"/>
                <w:sz w:val="18"/>
                <w:szCs w:val="18"/>
              </w:rPr>
              <w:t>61 152 212</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2F7DA1" w:rsidRPr="0055711C" w:rsidRDefault="002F7DA1" w:rsidP="00D707C1">
            <w:pPr>
              <w:spacing w:after="0" w:line="240" w:lineRule="auto"/>
              <w:jc w:val="center"/>
              <w:rPr>
                <w:rFonts w:eastAsia="Times New Roman" w:cs="Times New Roman"/>
                <w:color w:val="000000"/>
                <w:sz w:val="18"/>
                <w:szCs w:val="18"/>
                <w:lang w:eastAsia="lv-LV"/>
              </w:rPr>
            </w:pPr>
            <w:r w:rsidRPr="0055711C">
              <w:rPr>
                <w:color w:val="000000"/>
                <w:sz w:val="18"/>
                <w:szCs w:val="18"/>
              </w:rPr>
              <w:t>69 508 621</w:t>
            </w:r>
          </w:p>
        </w:tc>
      </w:tr>
      <w:tr w:rsidR="002F7DA1" w:rsidRPr="0055711C" w:rsidTr="002F7DA1">
        <w:trPr>
          <w:trHeight w:val="260"/>
        </w:trPr>
        <w:tc>
          <w:tcPr>
            <w:tcW w:w="491" w:type="dxa"/>
            <w:tcBorders>
              <w:top w:val="dashSmallGap" w:sz="4" w:space="0" w:color="auto"/>
              <w:left w:val="single" w:sz="12" w:space="0" w:color="auto"/>
              <w:bottom w:val="dashSmallGap" w:sz="4" w:space="0" w:color="auto"/>
              <w:right w:val="single" w:sz="12" w:space="0" w:color="auto"/>
            </w:tcBorders>
            <w:shd w:val="clear" w:color="auto" w:fill="auto"/>
            <w:noWrap/>
            <w:vAlign w:val="bottom"/>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6.</w:t>
            </w:r>
          </w:p>
        </w:tc>
        <w:tc>
          <w:tcPr>
            <w:tcW w:w="5600" w:type="dxa"/>
            <w:tcBorders>
              <w:top w:val="dashSmallGap" w:sz="4" w:space="0" w:color="auto"/>
              <w:left w:val="single" w:sz="12" w:space="0" w:color="auto"/>
              <w:bottom w:val="dashSmallGap" w:sz="4" w:space="0" w:color="auto"/>
              <w:right w:val="single" w:sz="12" w:space="0" w:color="auto"/>
            </w:tcBorders>
            <w:shd w:val="clear" w:color="auto" w:fill="auto"/>
            <w:vAlign w:val="bottom"/>
          </w:tcPr>
          <w:p w:rsidR="002F7DA1" w:rsidRPr="008E0131" w:rsidRDefault="002F7DA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 xml:space="preserve">Lietotāju atbalsts </w:t>
            </w:r>
            <w:r>
              <w:rPr>
                <w:rFonts w:eastAsia="Times New Roman" w:cs="Times New Roman"/>
                <w:color w:val="000000"/>
                <w:sz w:val="18"/>
                <w:szCs w:val="18"/>
                <w:lang w:eastAsia="lv-LV"/>
              </w:rPr>
              <w:t>–</w:t>
            </w:r>
            <w:r w:rsidRPr="008E0131">
              <w:rPr>
                <w:rFonts w:eastAsia="Times New Roman" w:cs="Times New Roman"/>
                <w:color w:val="000000"/>
                <w:sz w:val="18"/>
                <w:szCs w:val="18"/>
                <w:lang w:eastAsia="lv-LV"/>
              </w:rPr>
              <w:t xml:space="preserve"> OIK</w:t>
            </w:r>
            <w:r>
              <w:rPr>
                <w:rFonts w:eastAsia="Times New Roman" w:cs="Times New Roman"/>
                <w:color w:val="000000"/>
                <w:sz w:val="18"/>
                <w:szCs w:val="18"/>
                <w:lang w:eastAsia="lv-LV"/>
              </w:rPr>
              <w:t>****</w:t>
            </w:r>
          </w:p>
        </w:tc>
        <w:tc>
          <w:tcPr>
            <w:tcW w:w="1032"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082"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0"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11" w:type="dxa"/>
            <w:tcBorders>
              <w:top w:val="dashSmallGap" w:sz="4" w:space="0" w:color="auto"/>
              <w:left w:val="dashSmallGap" w:sz="4" w:space="0" w:color="auto"/>
              <w:bottom w:val="dashSmallGap" w:sz="4" w:space="0" w:color="auto"/>
              <w:right w:val="single" w:sz="12" w:space="0" w:color="auto"/>
            </w:tcBorders>
            <w:shd w:val="clear" w:color="auto" w:fill="auto"/>
            <w:vAlign w:val="bottom"/>
          </w:tcPr>
          <w:p w:rsidR="002F7DA1" w:rsidRPr="0055711C" w:rsidRDefault="002F7DA1" w:rsidP="00D707C1">
            <w:pPr>
              <w:spacing w:after="0" w:line="240" w:lineRule="auto"/>
              <w:jc w:val="center"/>
              <w:rPr>
                <w:rFonts w:eastAsia="Times New Roman" w:cs="Times New Roman"/>
                <w:color w:val="000000"/>
                <w:sz w:val="18"/>
                <w:szCs w:val="18"/>
                <w:lang w:eastAsia="lv-LV"/>
              </w:rPr>
            </w:pPr>
          </w:p>
        </w:tc>
        <w:tc>
          <w:tcPr>
            <w:tcW w:w="1098" w:type="dxa"/>
            <w:tcBorders>
              <w:top w:val="dashSmallGap" w:sz="4" w:space="0" w:color="auto"/>
              <w:left w:val="single" w:sz="12" w:space="0" w:color="auto"/>
              <w:bottom w:val="dashSmallGap" w:sz="4" w:space="0" w:color="auto"/>
              <w:right w:val="dashSmallGap" w:sz="4" w:space="0" w:color="auto"/>
            </w:tcBorders>
            <w:shd w:val="clear" w:color="auto" w:fill="auto"/>
            <w:vAlign w:val="bottom"/>
          </w:tcPr>
          <w:p w:rsidR="002F7DA1" w:rsidRPr="0055711C" w:rsidRDefault="002F7DA1" w:rsidP="00D707C1">
            <w:pPr>
              <w:spacing w:after="0" w:line="240" w:lineRule="auto"/>
              <w:jc w:val="center"/>
              <w:rPr>
                <w:rFonts w:eastAsia="Times New Roman" w:cs="Times New Roman"/>
                <w:color w:val="000000"/>
                <w:sz w:val="18"/>
                <w:szCs w:val="18"/>
                <w:lang w:eastAsia="lv-LV"/>
              </w:rPr>
            </w:pPr>
            <w:r w:rsidRPr="0055711C">
              <w:rPr>
                <w:color w:val="000000"/>
                <w:sz w:val="18"/>
                <w:szCs w:val="18"/>
              </w:rPr>
              <w:t>19 897 815</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vAlign w:val="bottom"/>
          </w:tcPr>
          <w:p w:rsidR="002F7DA1" w:rsidRPr="0055711C" w:rsidRDefault="002F7DA1" w:rsidP="00D707C1">
            <w:pPr>
              <w:spacing w:after="0" w:line="240" w:lineRule="auto"/>
              <w:jc w:val="center"/>
              <w:rPr>
                <w:rFonts w:eastAsia="Times New Roman" w:cs="Times New Roman"/>
                <w:color w:val="000000"/>
                <w:sz w:val="18"/>
                <w:szCs w:val="18"/>
                <w:lang w:eastAsia="lv-LV"/>
              </w:rPr>
            </w:pPr>
            <w:r w:rsidRPr="0055711C">
              <w:rPr>
                <w:color w:val="000000"/>
                <w:sz w:val="18"/>
                <w:szCs w:val="18"/>
              </w:rPr>
              <w:t>20 384 071</w:t>
            </w:r>
          </w:p>
        </w:tc>
      </w:tr>
      <w:tr w:rsidR="002F7DA1" w:rsidRPr="00821C00" w:rsidTr="002F7DA1">
        <w:trPr>
          <w:trHeight w:val="136"/>
        </w:trPr>
        <w:tc>
          <w:tcPr>
            <w:tcW w:w="491"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7</w:t>
            </w:r>
            <w:r w:rsidRPr="008E0131">
              <w:rPr>
                <w:rFonts w:ascii="Calibri" w:eastAsia="Times New Roman" w:hAnsi="Calibri" w:cs="Calibri"/>
                <w:color w:val="000000"/>
                <w:sz w:val="18"/>
                <w:szCs w:val="18"/>
                <w:lang w:eastAsia="lv-LV"/>
              </w:rPr>
              <w:t>.</w:t>
            </w:r>
          </w:p>
        </w:tc>
        <w:tc>
          <w:tcPr>
            <w:tcW w:w="5600"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2F7DA1" w:rsidRPr="008E0131" w:rsidRDefault="002F7DA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 xml:space="preserve">Lietotāju atbalsts - energointensīvajiem uzņēmumiem. </w:t>
            </w:r>
          </w:p>
        </w:tc>
        <w:tc>
          <w:tcPr>
            <w:tcW w:w="1032"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082"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0"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sz w:val="18"/>
                <w:szCs w:val="18"/>
                <w:lang w:eastAsia="lv-LV"/>
              </w:rPr>
            </w:pPr>
          </w:p>
        </w:tc>
        <w:tc>
          <w:tcPr>
            <w:tcW w:w="1133"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sz w:val="18"/>
                <w:szCs w:val="18"/>
                <w:lang w:eastAsia="lv-LV"/>
              </w:rPr>
            </w:pPr>
          </w:p>
        </w:tc>
        <w:tc>
          <w:tcPr>
            <w:tcW w:w="1111"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sz w:val="18"/>
                <w:szCs w:val="18"/>
                <w:lang w:eastAsia="lv-LV"/>
              </w:rPr>
            </w:pPr>
          </w:p>
        </w:tc>
        <w:tc>
          <w:tcPr>
            <w:tcW w:w="1098" w:type="dxa"/>
            <w:tcBorders>
              <w:top w:val="dashSmallGap" w:sz="4" w:space="0" w:color="auto"/>
              <w:left w:val="single" w:sz="12" w:space="0" w:color="auto"/>
              <w:bottom w:val="dashSmallGap" w:sz="4" w:space="0" w:color="auto"/>
              <w:right w:val="dashSmallGap" w:sz="4"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3 500 000</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7 000 000</w:t>
            </w:r>
          </w:p>
        </w:tc>
      </w:tr>
      <w:tr w:rsidR="002F7DA1" w:rsidRPr="00821C00" w:rsidTr="002F7DA1">
        <w:trPr>
          <w:trHeight w:val="195"/>
        </w:trPr>
        <w:tc>
          <w:tcPr>
            <w:tcW w:w="491"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8</w:t>
            </w:r>
            <w:r w:rsidRPr="008E0131">
              <w:rPr>
                <w:rFonts w:ascii="Calibri" w:eastAsia="Times New Roman" w:hAnsi="Calibri" w:cs="Calibri"/>
                <w:color w:val="000000"/>
                <w:sz w:val="18"/>
                <w:szCs w:val="18"/>
                <w:lang w:eastAsia="lv-LV"/>
              </w:rPr>
              <w:t>.</w:t>
            </w:r>
          </w:p>
        </w:tc>
        <w:tc>
          <w:tcPr>
            <w:tcW w:w="5600"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2F7DA1" w:rsidRPr="008E0131" w:rsidRDefault="002F7DA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Aizsargātie lietotāji (</w:t>
            </w:r>
            <w:r>
              <w:rPr>
                <w:rFonts w:eastAsia="Times New Roman" w:cs="Times New Roman"/>
                <w:color w:val="000000"/>
                <w:sz w:val="18"/>
                <w:szCs w:val="18"/>
                <w:lang w:eastAsia="lv-LV"/>
              </w:rPr>
              <w:t xml:space="preserve">maznodrošinātie vai trūcīgie, daudzbērnu ģimenes; </w:t>
            </w:r>
            <w:r w:rsidRPr="008E0131">
              <w:rPr>
                <w:rFonts w:eastAsia="Times New Roman" w:cs="Times New Roman"/>
                <w:color w:val="000000"/>
                <w:sz w:val="18"/>
                <w:szCs w:val="18"/>
                <w:lang w:eastAsia="lv-LV"/>
              </w:rPr>
              <w:t>iesk. PVN)</w:t>
            </w:r>
          </w:p>
        </w:tc>
        <w:tc>
          <w:tcPr>
            <w:tcW w:w="1032"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082"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0"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5 122 339</w:t>
            </w:r>
          </w:p>
        </w:tc>
        <w:tc>
          <w:tcPr>
            <w:tcW w:w="1133"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5 122 339</w:t>
            </w:r>
          </w:p>
        </w:tc>
        <w:tc>
          <w:tcPr>
            <w:tcW w:w="1111"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5 122 339</w:t>
            </w:r>
          </w:p>
        </w:tc>
        <w:tc>
          <w:tcPr>
            <w:tcW w:w="1098" w:type="dxa"/>
            <w:tcBorders>
              <w:top w:val="dashSmallGap" w:sz="4" w:space="0" w:color="auto"/>
              <w:left w:val="single" w:sz="12" w:space="0" w:color="auto"/>
              <w:bottom w:val="dashSmallGap" w:sz="4" w:space="0" w:color="auto"/>
              <w:right w:val="dashSmallGap" w:sz="4"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5 122 339</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5 122 339</w:t>
            </w:r>
          </w:p>
        </w:tc>
      </w:tr>
      <w:tr w:rsidR="002F7DA1" w:rsidRPr="00821C00" w:rsidTr="002F7DA1">
        <w:trPr>
          <w:trHeight w:val="114"/>
        </w:trPr>
        <w:tc>
          <w:tcPr>
            <w:tcW w:w="491"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9</w:t>
            </w:r>
            <w:r w:rsidRPr="008E0131">
              <w:rPr>
                <w:rFonts w:ascii="Calibri" w:eastAsia="Times New Roman" w:hAnsi="Calibri" w:cs="Calibri"/>
                <w:color w:val="000000"/>
                <w:sz w:val="18"/>
                <w:szCs w:val="18"/>
                <w:lang w:eastAsia="lv-LV"/>
              </w:rPr>
              <w:t>.</w:t>
            </w:r>
          </w:p>
        </w:tc>
        <w:tc>
          <w:tcPr>
            <w:tcW w:w="5600"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2F7DA1" w:rsidRPr="008E0131" w:rsidRDefault="002F7DA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Aizsargātie lietotāji (pieslēgumi, sistēmas tarifa atbalsts</w:t>
            </w:r>
            <w:r>
              <w:rPr>
                <w:rFonts w:eastAsia="Times New Roman" w:cs="Times New Roman"/>
                <w:color w:val="000000"/>
                <w:sz w:val="18"/>
                <w:szCs w:val="18"/>
                <w:lang w:eastAsia="lv-LV"/>
              </w:rPr>
              <w:t>, iesk. PVN</w:t>
            </w:r>
            <w:r w:rsidRPr="008E0131">
              <w:rPr>
                <w:rFonts w:eastAsia="Times New Roman" w:cs="Times New Roman"/>
                <w:color w:val="000000"/>
                <w:sz w:val="18"/>
                <w:szCs w:val="18"/>
                <w:lang w:eastAsia="lv-LV"/>
              </w:rPr>
              <w:t xml:space="preserve">) </w:t>
            </w:r>
          </w:p>
        </w:tc>
        <w:tc>
          <w:tcPr>
            <w:tcW w:w="1032"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082"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0"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sz w:val="18"/>
                <w:szCs w:val="18"/>
                <w:lang w:eastAsia="lv-LV"/>
              </w:rPr>
            </w:pPr>
          </w:p>
        </w:tc>
        <w:tc>
          <w:tcPr>
            <w:tcW w:w="1133"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sz w:val="18"/>
                <w:szCs w:val="18"/>
                <w:lang w:eastAsia="lv-LV"/>
              </w:rPr>
            </w:pPr>
          </w:p>
        </w:tc>
        <w:tc>
          <w:tcPr>
            <w:tcW w:w="1111"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3 500 000</w:t>
            </w:r>
          </w:p>
        </w:tc>
        <w:tc>
          <w:tcPr>
            <w:tcW w:w="1098" w:type="dxa"/>
            <w:tcBorders>
              <w:top w:val="dashSmallGap" w:sz="4" w:space="0" w:color="auto"/>
              <w:left w:val="single" w:sz="12" w:space="0" w:color="auto"/>
              <w:bottom w:val="dashSmallGap" w:sz="4" w:space="0" w:color="auto"/>
              <w:right w:val="dashSmallGap" w:sz="4"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5 639 666</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5 639 666</w:t>
            </w:r>
          </w:p>
        </w:tc>
      </w:tr>
      <w:tr w:rsidR="002F7DA1" w:rsidRPr="00821C00" w:rsidTr="002F7DA1">
        <w:trPr>
          <w:trHeight w:val="159"/>
        </w:trPr>
        <w:tc>
          <w:tcPr>
            <w:tcW w:w="491"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10</w:t>
            </w:r>
            <w:r w:rsidRPr="008E0131">
              <w:rPr>
                <w:rFonts w:ascii="Calibri" w:eastAsia="Times New Roman" w:hAnsi="Calibri" w:cs="Calibri"/>
                <w:color w:val="000000"/>
                <w:sz w:val="18"/>
                <w:szCs w:val="18"/>
                <w:lang w:eastAsia="lv-LV"/>
              </w:rPr>
              <w:t>.</w:t>
            </w:r>
          </w:p>
        </w:tc>
        <w:tc>
          <w:tcPr>
            <w:tcW w:w="5600"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2F7DA1" w:rsidRPr="008E0131" w:rsidRDefault="002F7DA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Aizsargātie lietotāji (bērni līdz 24</w:t>
            </w:r>
            <w:r>
              <w:rPr>
                <w:rFonts w:eastAsia="Times New Roman" w:cs="Times New Roman"/>
                <w:color w:val="000000"/>
                <w:sz w:val="18"/>
                <w:szCs w:val="18"/>
                <w:lang w:eastAsia="lv-LV"/>
              </w:rPr>
              <w:t>, iesk. PVN</w:t>
            </w:r>
            <w:r w:rsidRPr="008E0131">
              <w:rPr>
                <w:rFonts w:eastAsia="Times New Roman" w:cs="Times New Roman"/>
                <w:color w:val="000000"/>
                <w:sz w:val="18"/>
                <w:szCs w:val="18"/>
                <w:lang w:eastAsia="lv-LV"/>
              </w:rPr>
              <w:t>)</w:t>
            </w:r>
            <w:r>
              <w:rPr>
                <w:rFonts w:eastAsia="Times New Roman" w:cs="Times New Roman"/>
                <w:color w:val="000000"/>
                <w:sz w:val="18"/>
                <w:szCs w:val="18"/>
                <w:lang w:eastAsia="lv-LV"/>
              </w:rPr>
              <w:t>*****</w:t>
            </w:r>
          </w:p>
        </w:tc>
        <w:tc>
          <w:tcPr>
            <w:tcW w:w="1032"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082"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0"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sz w:val="18"/>
                <w:szCs w:val="18"/>
                <w:lang w:eastAsia="lv-LV"/>
              </w:rPr>
            </w:pPr>
          </w:p>
        </w:tc>
        <w:tc>
          <w:tcPr>
            <w:tcW w:w="1133"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sz w:val="18"/>
                <w:szCs w:val="18"/>
                <w:lang w:eastAsia="lv-LV"/>
              </w:rPr>
            </w:pPr>
          </w:p>
        </w:tc>
        <w:tc>
          <w:tcPr>
            <w:tcW w:w="1111"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sz w:val="18"/>
                <w:szCs w:val="18"/>
                <w:lang w:eastAsia="lv-LV"/>
              </w:rPr>
            </w:pPr>
          </w:p>
        </w:tc>
        <w:tc>
          <w:tcPr>
            <w:tcW w:w="1098" w:type="dxa"/>
            <w:tcBorders>
              <w:top w:val="dashSmallGap" w:sz="4" w:space="0" w:color="auto"/>
              <w:left w:val="single" w:sz="12" w:space="0" w:color="auto"/>
              <w:bottom w:val="dashSmallGap" w:sz="4" w:space="0" w:color="auto"/>
              <w:right w:val="dashSmallGap" w:sz="4"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1 031 458</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1 031 458</w:t>
            </w:r>
          </w:p>
        </w:tc>
      </w:tr>
      <w:tr w:rsidR="002F7DA1" w:rsidRPr="00821C00" w:rsidTr="002F7DA1">
        <w:trPr>
          <w:trHeight w:val="206"/>
        </w:trPr>
        <w:tc>
          <w:tcPr>
            <w:tcW w:w="491" w:type="dxa"/>
            <w:tcBorders>
              <w:top w:val="dashSmallGap" w:sz="4" w:space="0" w:color="auto"/>
              <w:left w:val="single" w:sz="12" w:space="0" w:color="auto"/>
              <w:bottom w:val="single" w:sz="12" w:space="0" w:color="auto"/>
              <w:right w:val="single" w:sz="12" w:space="0" w:color="auto"/>
            </w:tcBorders>
            <w:shd w:val="clear" w:color="auto" w:fill="auto"/>
            <w:noWrap/>
            <w:vAlign w:val="bottom"/>
            <w:hideMark/>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11</w:t>
            </w:r>
            <w:r w:rsidRPr="008E0131">
              <w:rPr>
                <w:rFonts w:ascii="Calibri" w:eastAsia="Times New Roman" w:hAnsi="Calibri" w:cs="Calibri"/>
                <w:color w:val="000000"/>
                <w:sz w:val="18"/>
                <w:szCs w:val="18"/>
                <w:lang w:eastAsia="lv-LV"/>
              </w:rPr>
              <w:t>.</w:t>
            </w:r>
          </w:p>
        </w:tc>
        <w:tc>
          <w:tcPr>
            <w:tcW w:w="5600" w:type="dxa"/>
            <w:tcBorders>
              <w:top w:val="dashSmallGap" w:sz="4" w:space="0" w:color="auto"/>
              <w:left w:val="single" w:sz="12" w:space="0" w:color="auto"/>
              <w:bottom w:val="single" w:sz="12" w:space="0" w:color="auto"/>
              <w:right w:val="single" w:sz="12" w:space="0" w:color="auto"/>
            </w:tcBorders>
            <w:shd w:val="clear" w:color="auto" w:fill="auto"/>
            <w:vAlign w:val="bottom"/>
            <w:hideMark/>
          </w:tcPr>
          <w:p w:rsidR="002F7DA1" w:rsidRPr="008E0131" w:rsidRDefault="002F7DA1" w:rsidP="00D707C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 xml:space="preserve">Aizsargātie lietotāji (bērni </w:t>
            </w:r>
            <w:r>
              <w:rPr>
                <w:rFonts w:eastAsia="Times New Roman" w:cs="Times New Roman"/>
                <w:color w:val="000000"/>
                <w:sz w:val="18"/>
                <w:szCs w:val="18"/>
                <w:lang w:eastAsia="lv-LV"/>
              </w:rPr>
              <w:t>ar invaliditāti, iesk. PVN) ******</w:t>
            </w:r>
          </w:p>
        </w:tc>
        <w:tc>
          <w:tcPr>
            <w:tcW w:w="1032"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082" w:type="dxa"/>
            <w:tcBorders>
              <w:top w:val="dashSmallGap" w:sz="4" w:space="0" w:color="auto"/>
              <w:left w:val="dashSmallGap" w:sz="4" w:space="0" w:color="auto"/>
              <w:bottom w:val="single" w:sz="12" w:space="0" w:color="auto"/>
              <w:right w:val="single" w:sz="12"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0"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33" w:type="dxa"/>
            <w:tcBorders>
              <w:top w:val="dashSmallGap" w:sz="4" w:space="0" w:color="auto"/>
              <w:left w:val="dashSmallGap" w:sz="4" w:space="0" w:color="auto"/>
              <w:bottom w:val="single" w:sz="12"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p>
        </w:tc>
        <w:tc>
          <w:tcPr>
            <w:tcW w:w="1111" w:type="dxa"/>
            <w:tcBorders>
              <w:top w:val="dashSmallGap" w:sz="4" w:space="0" w:color="auto"/>
              <w:left w:val="dashSmallGap" w:sz="4" w:space="0" w:color="auto"/>
              <w:bottom w:val="single" w:sz="12" w:space="0" w:color="auto"/>
              <w:right w:val="single" w:sz="12"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309 161</w:t>
            </w:r>
          </w:p>
        </w:tc>
        <w:tc>
          <w:tcPr>
            <w:tcW w:w="1098" w:type="dxa"/>
            <w:tcBorders>
              <w:top w:val="dashSmallGap" w:sz="4" w:space="0" w:color="auto"/>
              <w:left w:val="single" w:sz="12" w:space="0" w:color="auto"/>
              <w:bottom w:val="single" w:sz="12" w:space="0" w:color="auto"/>
              <w:right w:val="dashSmallGap" w:sz="4"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309 161</w:t>
            </w:r>
          </w:p>
        </w:tc>
        <w:tc>
          <w:tcPr>
            <w:tcW w:w="1176" w:type="dxa"/>
            <w:tcBorders>
              <w:top w:val="dashSmallGap" w:sz="4" w:space="0" w:color="auto"/>
              <w:left w:val="dashSmallGap" w:sz="4" w:space="0" w:color="auto"/>
              <w:bottom w:val="single" w:sz="12" w:space="0" w:color="auto"/>
              <w:right w:val="single" w:sz="12" w:space="0" w:color="auto"/>
            </w:tcBorders>
            <w:shd w:val="clear" w:color="auto" w:fill="auto"/>
            <w:vAlign w:val="bottom"/>
            <w:hideMark/>
          </w:tcPr>
          <w:p w:rsidR="002F7DA1" w:rsidRPr="00821C00" w:rsidRDefault="002F7DA1" w:rsidP="00D707C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309 161</w:t>
            </w:r>
          </w:p>
        </w:tc>
      </w:tr>
      <w:tr w:rsidR="002F7DA1" w:rsidRPr="009F62BB" w:rsidTr="002F7DA1">
        <w:trPr>
          <w:trHeight w:val="210"/>
        </w:trPr>
        <w:tc>
          <w:tcPr>
            <w:tcW w:w="49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p>
        </w:tc>
        <w:tc>
          <w:tcPr>
            <w:tcW w:w="5600"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F7DA1" w:rsidRPr="008E0131" w:rsidRDefault="002F7DA1" w:rsidP="00A90CAB">
            <w:pPr>
              <w:spacing w:after="0" w:line="240" w:lineRule="auto"/>
              <w:jc w:val="left"/>
              <w:rPr>
                <w:rFonts w:eastAsia="Times New Roman" w:cs="Times New Roman"/>
                <w:color w:val="000000"/>
                <w:sz w:val="18"/>
                <w:szCs w:val="18"/>
                <w:lang w:eastAsia="lv-LV"/>
              </w:rPr>
            </w:pPr>
            <w:r>
              <w:rPr>
                <w:rFonts w:eastAsia="Times New Roman" w:cs="Times New Roman"/>
                <w:color w:val="000000"/>
                <w:sz w:val="18"/>
                <w:szCs w:val="18"/>
                <w:lang w:eastAsia="lv-LV"/>
              </w:rPr>
              <w:t>Bilance (EUR)</w:t>
            </w:r>
          </w:p>
        </w:tc>
        <w:tc>
          <w:tcPr>
            <w:tcW w:w="1032"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24 012 801</w:t>
            </w:r>
          </w:p>
        </w:tc>
        <w:tc>
          <w:tcPr>
            <w:tcW w:w="1082" w:type="dxa"/>
            <w:tcBorders>
              <w:top w:val="single" w:sz="12" w:space="0" w:color="auto"/>
              <w:left w:val="dashSmallGap" w:sz="4" w:space="0" w:color="auto"/>
              <w:bottom w:val="single" w:sz="12" w:space="0" w:color="auto"/>
              <w:right w:val="single" w:sz="12"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28 163 313</w:t>
            </w:r>
          </w:p>
        </w:tc>
        <w:tc>
          <w:tcPr>
            <w:tcW w:w="1130"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382 153</w:t>
            </w:r>
          </w:p>
        </w:tc>
        <w:tc>
          <w:tcPr>
            <w:tcW w:w="1133" w:type="dxa"/>
            <w:tcBorders>
              <w:top w:val="single" w:sz="12" w:space="0" w:color="auto"/>
              <w:left w:val="dashSmallGap" w:sz="4" w:space="0" w:color="auto"/>
              <w:bottom w:val="single" w:sz="12" w:space="0" w:color="auto"/>
              <w:right w:val="dashSmallGap" w:sz="4" w:space="0" w:color="auto"/>
            </w:tcBorders>
            <w:shd w:val="clear" w:color="auto" w:fill="auto"/>
            <w:vAlign w:val="center"/>
            <w:hideMark/>
          </w:tcPr>
          <w:p w:rsidR="002F7DA1" w:rsidRPr="009B40C6" w:rsidRDefault="002F7DA1" w:rsidP="00D707C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-997 847</w:t>
            </w:r>
          </w:p>
        </w:tc>
        <w:tc>
          <w:tcPr>
            <w:tcW w:w="1111" w:type="dxa"/>
            <w:tcBorders>
              <w:top w:val="single" w:sz="12" w:space="0" w:color="auto"/>
              <w:left w:val="dashSmallGap" w:sz="4" w:space="0" w:color="auto"/>
              <w:bottom w:val="single" w:sz="12" w:space="0" w:color="auto"/>
              <w:right w:val="single" w:sz="12" w:space="0" w:color="auto"/>
            </w:tcBorders>
            <w:shd w:val="clear" w:color="auto" w:fill="auto"/>
            <w:hideMark/>
          </w:tcPr>
          <w:p w:rsidR="002F7DA1" w:rsidRPr="000052B7" w:rsidRDefault="002F7DA1" w:rsidP="00D707C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0</w:t>
            </w:r>
          </w:p>
        </w:tc>
        <w:tc>
          <w:tcPr>
            <w:tcW w:w="1098" w:type="dxa"/>
            <w:tcBorders>
              <w:top w:val="single" w:sz="12" w:space="0" w:color="auto"/>
              <w:left w:val="single" w:sz="12" w:space="0" w:color="auto"/>
              <w:bottom w:val="single" w:sz="12" w:space="0" w:color="auto"/>
              <w:right w:val="dashSmallGap" w:sz="4" w:space="0" w:color="auto"/>
            </w:tcBorders>
            <w:shd w:val="clear" w:color="auto" w:fill="auto"/>
            <w:hideMark/>
          </w:tcPr>
          <w:p w:rsidR="002F7DA1" w:rsidRPr="000052B7" w:rsidRDefault="002F7DA1" w:rsidP="00D707C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0</w:t>
            </w:r>
          </w:p>
        </w:tc>
        <w:tc>
          <w:tcPr>
            <w:tcW w:w="1176" w:type="dxa"/>
            <w:tcBorders>
              <w:top w:val="single" w:sz="12" w:space="0" w:color="auto"/>
              <w:left w:val="dashSmallGap" w:sz="4" w:space="0" w:color="auto"/>
              <w:bottom w:val="single" w:sz="12" w:space="0" w:color="auto"/>
              <w:right w:val="single" w:sz="12" w:space="0" w:color="auto"/>
            </w:tcBorders>
            <w:shd w:val="clear" w:color="auto" w:fill="auto"/>
            <w:hideMark/>
          </w:tcPr>
          <w:p w:rsidR="002F7DA1" w:rsidRPr="000052B7" w:rsidRDefault="002F7DA1" w:rsidP="00D707C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0</w:t>
            </w:r>
          </w:p>
        </w:tc>
      </w:tr>
      <w:tr w:rsidR="002F7DA1" w:rsidRPr="00D71281" w:rsidTr="002F7DA1">
        <w:trPr>
          <w:trHeight w:val="255"/>
        </w:trPr>
        <w:tc>
          <w:tcPr>
            <w:tcW w:w="49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2F7DA1" w:rsidRPr="008E0131" w:rsidRDefault="002F7DA1" w:rsidP="00D707C1">
            <w:pPr>
              <w:spacing w:after="0" w:line="240" w:lineRule="auto"/>
              <w:jc w:val="left"/>
              <w:rPr>
                <w:rFonts w:ascii="Calibri" w:eastAsia="Times New Roman" w:hAnsi="Calibri" w:cs="Calibri"/>
                <w:color w:val="000000"/>
                <w:sz w:val="18"/>
                <w:szCs w:val="18"/>
                <w:lang w:eastAsia="lv-LV"/>
              </w:rPr>
            </w:pPr>
          </w:p>
        </w:tc>
        <w:tc>
          <w:tcPr>
            <w:tcW w:w="5600"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2F7DA1" w:rsidRPr="00D71281" w:rsidRDefault="002F7DA1" w:rsidP="00D707C1">
            <w:pPr>
              <w:spacing w:after="0" w:line="240" w:lineRule="auto"/>
              <w:jc w:val="left"/>
              <w:rPr>
                <w:rFonts w:eastAsia="Times New Roman" w:cs="Times New Roman"/>
                <w:b/>
                <w:color w:val="000000"/>
                <w:sz w:val="18"/>
                <w:szCs w:val="18"/>
                <w:lang w:eastAsia="lv-LV"/>
              </w:rPr>
            </w:pPr>
            <w:r w:rsidRPr="00D71281">
              <w:rPr>
                <w:rFonts w:eastAsia="Times New Roman" w:cs="Times New Roman"/>
                <w:b/>
                <w:color w:val="000000"/>
                <w:sz w:val="18"/>
                <w:szCs w:val="18"/>
                <w:lang w:eastAsia="lv-LV"/>
              </w:rPr>
              <w:t>OIK, EUR/MWh</w:t>
            </w:r>
          </w:p>
        </w:tc>
        <w:tc>
          <w:tcPr>
            <w:tcW w:w="1032"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2F7DA1" w:rsidRPr="00D71281" w:rsidRDefault="002F7DA1" w:rsidP="00D707C1">
            <w:pPr>
              <w:spacing w:after="0" w:line="240" w:lineRule="auto"/>
              <w:jc w:val="center"/>
              <w:rPr>
                <w:rFonts w:eastAsia="Times New Roman" w:cs="Times New Roman"/>
                <w:b/>
                <w:color w:val="000000"/>
                <w:sz w:val="18"/>
                <w:szCs w:val="18"/>
                <w:lang w:eastAsia="lv-LV"/>
              </w:rPr>
            </w:pPr>
          </w:p>
        </w:tc>
        <w:tc>
          <w:tcPr>
            <w:tcW w:w="1082" w:type="dxa"/>
            <w:tcBorders>
              <w:top w:val="single" w:sz="12" w:space="0" w:color="auto"/>
              <w:left w:val="dashSmallGap" w:sz="4" w:space="0" w:color="auto"/>
              <w:bottom w:val="single" w:sz="12" w:space="0" w:color="auto"/>
              <w:right w:val="single" w:sz="12" w:space="0" w:color="auto"/>
            </w:tcBorders>
            <w:shd w:val="clear" w:color="auto" w:fill="auto"/>
            <w:vAlign w:val="center"/>
            <w:hideMark/>
          </w:tcPr>
          <w:p w:rsidR="002F7DA1" w:rsidRPr="00D71281" w:rsidRDefault="002F7DA1" w:rsidP="00D707C1">
            <w:pPr>
              <w:spacing w:after="0" w:line="240" w:lineRule="auto"/>
              <w:jc w:val="center"/>
              <w:rPr>
                <w:rFonts w:eastAsia="Times New Roman" w:cs="Times New Roman"/>
                <w:b/>
                <w:color w:val="000000"/>
                <w:sz w:val="18"/>
                <w:szCs w:val="18"/>
                <w:lang w:eastAsia="lv-LV"/>
              </w:rPr>
            </w:pPr>
            <w:r w:rsidRPr="00D71281">
              <w:rPr>
                <w:rFonts w:eastAsia="Times New Roman" w:cs="Times New Roman"/>
                <w:b/>
                <w:color w:val="000000"/>
                <w:sz w:val="18"/>
                <w:szCs w:val="18"/>
                <w:lang w:eastAsia="lv-LV"/>
              </w:rPr>
              <w:t>26,79</w:t>
            </w:r>
          </w:p>
        </w:tc>
        <w:tc>
          <w:tcPr>
            <w:tcW w:w="1130"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2F7DA1" w:rsidRPr="00D71281" w:rsidRDefault="002F7DA1" w:rsidP="00D707C1">
            <w:pPr>
              <w:spacing w:after="0" w:line="240" w:lineRule="auto"/>
              <w:jc w:val="center"/>
              <w:rPr>
                <w:rFonts w:eastAsia="Times New Roman" w:cs="Times New Roman"/>
                <w:b/>
                <w:color w:val="000000"/>
                <w:sz w:val="18"/>
                <w:szCs w:val="18"/>
                <w:lang w:eastAsia="lv-LV"/>
              </w:rPr>
            </w:pPr>
          </w:p>
        </w:tc>
        <w:tc>
          <w:tcPr>
            <w:tcW w:w="1133" w:type="dxa"/>
            <w:tcBorders>
              <w:top w:val="single" w:sz="12" w:space="0" w:color="auto"/>
              <w:left w:val="dashSmallGap" w:sz="4" w:space="0" w:color="auto"/>
              <w:bottom w:val="single" w:sz="12" w:space="0" w:color="auto"/>
              <w:right w:val="dashSmallGap" w:sz="4" w:space="0" w:color="auto"/>
            </w:tcBorders>
            <w:shd w:val="clear" w:color="auto" w:fill="auto"/>
            <w:vAlign w:val="center"/>
            <w:hideMark/>
          </w:tcPr>
          <w:p w:rsidR="002F7DA1" w:rsidRPr="00D71281" w:rsidRDefault="002F7DA1" w:rsidP="00D707C1">
            <w:pPr>
              <w:spacing w:after="0" w:line="240" w:lineRule="auto"/>
              <w:jc w:val="center"/>
              <w:rPr>
                <w:rFonts w:eastAsia="Times New Roman" w:cs="Times New Roman"/>
                <w:b/>
                <w:color w:val="000000"/>
                <w:sz w:val="18"/>
                <w:szCs w:val="18"/>
                <w:lang w:eastAsia="lv-LV"/>
              </w:rPr>
            </w:pPr>
          </w:p>
        </w:tc>
        <w:tc>
          <w:tcPr>
            <w:tcW w:w="1111" w:type="dxa"/>
            <w:tcBorders>
              <w:top w:val="single" w:sz="12" w:space="0" w:color="auto"/>
              <w:left w:val="dashSmallGap" w:sz="4" w:space="0" w:color="auto"/>
              <w:bottom w:val="single" w:sz="12" w:space="0" w:color="auto"/>
              <w:right w:val="single" w:sz="12" w:space="0" w:color="auto"/>
            </w:tcBorders>
            <w:shd w:val="clear" w:color="auto" w:fill="auto"/>
            <w:vAlign w:val="center"/>
            <w:hideMark/>
          </w:tcPr>
          <w:p w:rsidR="002F7DA1" w:rsidRPr="00D71281" w:rsidRDefault="002F7DA1" w:rsidP="00D707C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26,79</w:t>
            </w:r>
          </w:p>
        </w:tc>
        <w:tc>
          <w:tcPr>
            <w:tcW w:w="1098"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2F7DA1" w:rsidRPr="00D71281" w:rsidRDefault="002F7DA1" w:rsidP="00D707C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26,79</w:t>
            </w:r>
          </w:p>
        </w:tc>
        <w:tc>
          <w:tcPr>
            <w:tcW w:w="1176" w:type="dxa"/>
            <w:tcBorders>
              <w:top w:val="single" w:sz="12" w:space="0" w:color="auto"/>
              <w:left w:val="dashSmallGap" w:sz="4" w:space="0" w:color="auto"/>
              <w:bottom w:val="single" w:sz="12" w:space="0" w:color="auto"/>
              <w:right w:val="single" w:sz="12" w:space="0" w:color="auto"/>
            </w:tcBorders>
            <w:shd w:val="clear" w:color="auto" w:fill="auto"/>
            <w:vAlign w:val="center"/>
            <w:hideMark/>
          </w:tcPr>
          <w:p w:rsidR="002F7DA1" w:rsidRPr="00D71281" w:rsidRDefault="002F7DA1" w:rsidP="00D707C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26,79</w:t>
            </w:r>
          </w:p>
        </w:tc>
      </w:tr>
    </w:tbl>
    <w:p w:rsidR="00D707C1" w:rsidRDefault="00D707C1" w:rsidP="00D707C1">
      <w:pPr>
        <w:spacing w:after="0" w:line="240" w:lineRule="auto"/>
        <w:rPr>
          <w:rFonts w:eastAsia="Times New Roman" w:cs="Times New Roman"/>
          <w:color w:val="000000"/>
          <w:sz w:val="18"/>
          <w:szCs w:val="18"/>
          <w:lang w:eastAsia="lv-LV"/>
        </w:rPr>
      </w:pPr>
    </w:p>
    <w:p w:rsidR="00D707C1" w:rsidRDefault="00D707C1" w:rsidP="00D707C1">
      <w:pPr>
        <w:spacing w:after="0" w:line="240" w:lineRule="auto"/>
        <w:rPr>
          <w:rFonts w:eastAsia="Times New Roman" w:cs="Times New Roman"/>
          <w:color w:val="000000"/>
          <w:sz w:val="18"/>
          <w:szCs w:val="18"/>
          <w:lang w:eastAsia="lv-LV"/>
        </w:rPr>
      </w:pPr>
      <w:r w:rsidRPr="002A5450">
        <w:rPr>
          <w:rFonts w:eastAsia="Times New Roman" w:cs="Times New Roman"/>
          <w:color w:val="000000"/>
          <w:sz w:val="18"/>
          <w:szCs w:val="18"/>
          <w:lang w:eastAsia="lv-LV"/>
        </w:rPr>
        <w:t>* Aizsargāt</w:t>
      </w:r>
      <w:r>
        <w:rPr>
          <w:rFonts w:eastAsia="Times New Roman" w:cs="Times New Roman"/>
          <w:color w:val="000000"/>
          <w:sz w:val="18"/>
          <w:szCs w:val="18"/>
          <w:lang w:eastAsia="lv-LV"/>
        </w:rPr>
        <w:t>o</w:t>
      </w:r>
      <w:r w:rsidRPr="002A5450">
        <w:rPr>
          <w:rFonts w:eastAsia="Times New Roman" w:cs="Times New Roman"/>
          <w:color w:val="000000"/>
          <w:sz w:val="18"/>
          <w:szCs w:val="18"/>
          <w:lang w:eastAsia="lv-LV"/>
        </w:rPr>
        <w:t xml:space="preserve"> lietotāj</w:t>
      </w:r>
      <w:r>
        <w:rPr>
          <w:rFonts w:eastAsia="Times New Roman" w:cs="Times New Roman"/>
          <w:color w:val="000000"/>
          <w:sz w:val="18"/>
          <w:szCs w:val="18"/>
          <w:lang w:eastAsia="lv-LV"/>
        </w:rPr>
        <w:t>u</w:t>
      </w:r>
      <w:r w:rsidRPr="002A5450">
        <w:rPr>
          <w:rFonts w:eastAsia="Times New Roman" w:cs="Times New Roman"/>
          <w:color w:val="000000"/>
          <w:sz w:val="18"/>
          <w:szCs w:val="18"/>
          <w:lang w:eastAsia="lv-LV"/>
        </w:rPr>
        <w:t xml:space="preserve"> atbalsts tiek izmaksāts ieskaitot PVN, kas rada papildus ieņēmumus budžetā.</w:t>
      </w:r>
      <w:r>
        <w:rPr>
          <w:rFonts w:eastAsia="Times New Roman" w:cs="Times New Roman"/>
          <w:color w:val="000000"/>
          <w:sz w:val="18"/>
          <w:szCs w:val="18"/>
          <w:lang w:eastAsia="lv-LV"/>
        </w:rPr>
        <w:t>;</w:t>
      </w:r>
    </w:p>
    <w:p w:rsidR="00744291" w:rsidRDefault="00744291" w:rsidP="00744291">
      <w:pPr>
        <w:spacing w:after="0" w:line="240" w:lineRule="auto"/>
        <w:rPr>
          <w:rFonts w:eastAsia="Times New Roman" w:cs="Times New Roman"/>
          <w:color w:val="000000"/>
          <w:sz w:val="18"/>
          <w:szCs w:val="18"/>
          <w:lang w:eastAsia="lv-LV"/>
        </w:rPr>
      </w:pPr>
      <w:r>
        <w:rPr>
          <w:rFonts w:eastAsia="Times New Roman" w:cs="Times New Roman"/>
          <w:color w:val="000000"/>
          <w:sz w:val="18"/>
          <w:szCs w:val="18"/>
          <w:lang w:eastAsia="lv-LV"/>
        </w:rPr>
        <w:t>** Papildus nepieciešamo finansējumu paredzēts nodrošināt, novirzot papildu AS “Latvenergo” dividendes, ņemot vērā, ka AS “Latvenergo” peļņa tiek plānota šādā apmērā: 2015. gadā 78 000 000 EUR (izmaksāta 2016.gada budžetā), 2016. </w:t>
      </w:r>
      <w:r w:rsidR="00D27C5F">
        <w:rPr>
          <w:rFonts w:eastAsia="Times New Roman" w:cs="Times New Roman"/>
          <w:color w:val="000000"/>
          <w:sz w:val="18"/>
          <w:szCs w:val="18"/>
          <w:lang w:eastAsia="lv-LV"/>
        </w:rPr>
        <w:t>gadā</w:t>
      </w:r>
      <w:r>
        <w:rPr>
          <w:rFonts w:eastAsia="Times New Roman" w:cs="Times New Roman"/>
          <w:color w:val="000000"/>
          <w:sz w:val="18"/>
          <w:szCs w:val="18"/>
          <w:lang w:eastAsia="lv-LV"/>
        </w:rPr>
        <w:t xml:space="preserve"> </w:t>
      </w:r>
      <w:r w:rsidR="00D27C5F">
        <w:rPr>
          <w:rFonts w:eastAsia="Times New Roman" w:cs="Times New Roman"/>
          <w:color w:val="000000"/>
          <w:sz w:val="18"/>
          <w:szCs w:val="18"/>
          <w:lang w:eastAsia="lv-LV"/>
        </w:rPr>
        <w:t xml:space="preserve">102 759 955 EUR </w:t>
      </w:r>
      <w:r w:rsidR="00221E57">
        <w:rPr>
          <w:rFonts w:eastAsia="Times New Roman" w:cs="Times New Roman"/>
          <w:color w:val="000000"/>
          <w:sz w:val="18"/>
          <w:szCs w:val="18"/>
          <w:lang w:eastAsia="lv-LV"/>
        </w:rPr>
        <w:t>un 2017. gadā 111 452 620</w:t>
      </w:r>
      <w:r>
        <w:rPr>
          <w:rFonts w:eastAsia="Times New Roman" w:cs="Times New Roman"/>
          <w:color w:val="000000"/>
          <w:sz w:val="18"/>
          <w:szCs w:val="18"/>
          <w:lang w:eastAsia="lv-LV"/>
        </w:rPr>
        <w:t>. Gadījumā ja AS “Latvenergo” peļņa ir mazāka par plānoto, valsts budžeta ieņēmumu nodrošināšanai  elektroenerģijas lietotāju atbalstam tiks paaugstināta SEN likme ražotājiem, kas izmanto fosilos energoresursus;</w:t>
      </w:r>
    </w:p>
    <w:p w:rsidR="00D707C1" w:rsidRDefault="00D707C1" w:rsidP="00D707C1">
      <w:pPr>
        <w:spacing w:after="0" w:line="240" w:lineRule="auto"/>
        <w:rPr>
          <w:rFonts w:eastAsia="Times New Roman" w:cs="Times New Roman"/>
          <w:color w:val="000000"/>
          <w:sz w:val="18"/>
          <w:szCs w:val="18"/>
          <w:lang w:eastAsia="lv-LV"/>
        </w:rPr>
      </w:pPr>
      <w:r>
        <w:rPr>
          <w:rFonts w:eastAsia="Times New Roman" w:cs="Times New Roman"/>
          <w:color w:val="000000"/>
          <w:sz w:val="18"/>
          <w:szCs w:val="18"/>
          <w:lang w:eastAsia="lv-LV"/>
        </w:rPr>
        <w:t>**</w:t>
      </w:r>
      <w:r w:rsidR="00744291">
        <w:rPr>
          <w:rFonts w:eastAsia="Times New Roman" w:cs="Times New Roman"/>
          <w:color w:val="000000"/>
          <w:sz w:val="18"/>
          <w:szCs w:val="18"/>
          <w:lang w:eastAsia="lv-LV"/>
        </w:rPr>
        <w:t>*</w:t>
      </w:r>
      <w:r>
        <w:rPr>
          <w:rFonts w:eastAsia="Times New Roman" w:cs="Times New Roman"/>
          <w:color w:val="000000"/>
          <w:sz w:val="18"/>
          <w:szCs w:val="18"/>
          <w:lang w:eastAsia="lv-LV"/>
        </w:rPr>
        <w:t xml:space="preserve"> </w:t>
      </w:r>
      <w:r w:rsidRPr="001657EF">
        <w:rPr>
          <w:rFonts w:eastAsia="Times New Roman" w:cs="Times New Roman"/>
          <w:color w:val="000000"/>
          <w:sz w:val="18"/>
          <w:szCs w:val="18"/>
          <w:lang w:eastAsia="lv-LV"/>
        </w:rPr>
        <w:t>3/4 daļas no kārtējā gada lietot</w:t>
      </w:r>
      <w:r>
        <w:rPr>
          <w:rFonts w:eastAsia="Times New Roman" w:cs="Times New Roman"/>
          <w:color w:val="000000"/>
          <w:sz w:val="18"/>
          <w:szCs w:val="18"/>
          <w:lang w:eastAsia="lv-LV"/>
        </w:rPr>
        <w:t>āja atbalsta sākot ar 2016.gadu (OIK mainās 01.04.);</w:t>
      </w:r>
    </w:p>
    <w:p w:rsidR="00D707C1" w:rsidRDefault="00D707C1" w:rsidP="00D707C1">
      <w:pPr>
        <w:spacing w:after="0" w:line="240" w:lineRule="auto"/>
        <w:rPr>
          <w:rFonts w:eastAsia="Times New Roman" w:cs="Times New Roman"/>
          <w:color w:val="000000"/>
          <w:sz w:val="18"/>
          <w:szCs w:val="18"/>
          <w:lang w:eastAsia="lv-LV"/>
        </w:rPr>
      </w:pPr>
      <w:r>
        <w:rPr>
          <w:rFonts w:eastAsia="Times New Roman" w:cs="Times New Roman"/>
          <w:color w:val="000000"/>
          <w:sz w:val="18"/>
          <w:szCs w:val="18"/>
          <w:lang w:eastAsia="lv-LV"/>
        </w:rPr>
        <w:t>***</w:t>
      </w:r>
      <w:r w:rsidR="00744291">
        <w:rPr>
          <w:rFonts w:eastAsia="Times New Roman" w:cs="Times New Roman"/>
          <w:color w:val="000000"/>
          <w:sz w:val="18"/>
          <w:szCs w:val="18"/>
          <w:lang w:eastAsia="lv-LV"/>
        </w:rPr>
        <w:t>*</w:t>
      </w:r>
      <w:r>
        <w:rPr>
          <w:rFonts w:eastAsia="Times New Roman" w:cs="Times New Roman"/>
          <w:color w:val="000000"/>
          <w:sz w:val="18"/>
          <w:szCs w:val="18"/>
          <w:lang w:eastAsia="lv-LV"/>
        </w:rPr>
        <w:t xml:space="preserve"> </w:t>
      </w:r>
      <w:r w:rsidRPr="001657EF">
        <w:rPr>
          <w:rFonts w:eastAsia="Times New Roman" w:cs="Times New Roman"/>
          <w:color w:val="000000"/>
          <w:sz w:val="18"/>
          <w:szCs w:val="18"/>
          <w:lang w:eastAsia="lv-LV"/>
        </w:rPr>
        <w:t xml:space="preserve">Pārnestā summa no iepriekšējā gada 1/4 apmērā </w:t>
      </w:r>
      <w:r>
        <w:rPr>
          <w:rFonts w:eastAsia="Times New Roman" w:cs="Times New Roman"/>
          <w:color w:val="000000"/>
          <w:sz w:val="18"/>
          <w:szCs w:val="18"/>
          <w:lang w:eastAsia="lv-LV"/>
        </w:rPr>
        <w:t xml:space="preserve">par pirmo </w:t>
      </w:r>
      <w:r w:rsidRPr="001657EF">
        <w:rPr>
          <w:rFonts w:eastAsia="Times New Roman" w:cs="Times New Roman"/>
          <w:color w:val="000000"/>
          <w:sz w:val="18"/>
          <w:szCs w:val="18"/>
          <w:lang w:eastAsia="lv-LV"/>
        </w:rPr>
        <w:t>ceturksni</w:t>
      </w:r>
      <w:r>
        <w:rPr>
          <w:rFonts w:eastAsia="Times New Roman" w:cs="Times New Roman"/>
          <w:color w:val="000000"/>
          <w:sz w:val="18"/>
          <w:szCs w:val="18"/>
          <w:lang w:eastAsia="lv-LV"/>
        </w:rPr>
        <w:t xml:space="preserve"> (OIK mainās no 01.04.);</w:t>
      </w:r>
    </w:p>
    <w:p w:rsidR="00D707C1" w:rsidRDefault="00D707C1" w:rsidP="00D707C1">
      <w:pPr>
        <w:spacing w:after="0" w:line="240" w:lineRule="auto"/>
        <w:rPr>
          <w:rFonts w:eastAsia="Times New Roman" w:cs="Times New Roman"/>
          <w:color w:val="000000"/>
          <w:sz w:val="18"/>
          <w:szCs w:val="18"/>
          <w:lang w:eastAsia="lv-LV"/>
        </w:rPr>
      </w:pPr>
      <w:r>
        <w:rPr>
          <w:rFonts w:eastAsia="Times New Roman" w:cs="Times New Roman"/>
          <w:color w:val="000000"/>
          <w:sz w:val="18"/>
          <w:szCs w:val="18"/>
          <w:lang w:eastAsia="lv-LV"/>
        </w:rPr>
        <w:t>****</w:t>
      </w:r>
      <w:r w:rsidR="00744291">
        <w:rPr>
          <w:rFonts w:eastAsia="Times New Roman" w:cs="Times New Roman"/>
          <w:color w:val="000000"/>
          <w:sz w:val="18"/>
          <w:szCs w:val="18"/>
          <w:lang w:eastAsia="lv-LV"/>
        </w:rPr>
        <w:t>*</w:t>
      </w:r>
      <w:r>
        <w:rPr>
          <w:rFonts w:eastAsia="Times New Roman" w:cs="Times New Roman"/>
          <w:color w:val="000000"/>
          <w:sz w:val="18"/>
          <w:szCs w:val="18"/>
          <w:lang w:eastAsia="lv-LV"/>
        </w:rPr>
        <w:t xml:space="preserve"> Grozījumi Saeimā </w:t>
      </w:r>
      <w:r w:rsidRPr="002A5450">
        <w:rPr>
          <w:rFonts w:eastAsia="Times New Roman" w:cs="Times New Roman"/>
          <w:color w:val="000000"/>
          <w:sz w:val="18"/>
          <w:szCs w:val="18"/>
          <w:lang w:eastAsia="lv-LV"/>
        </w:rPr>
        <w:t>2.lasījum</w:t>
      </w:r>
      <w:r>
        <w:rPr>
          <w:rFonts w:eastAsia="Times New Roman" w:cs="Times New Roman"/>
          <w:color w:val="000000"/>
          <w:sz w:val="18"/>
          <w:szCs w:val="18"/>
          <w:lang w:eastAsia="lv-LV"/>
        </w:rPr>
        <w:t>ā;</w:t>
      </w:r>
    </w:p>
    <w:p w:rsidR="00D707C1" w:rsidRDefault="00D707C1" w:rsidP="00D707C1">
      <w:pPr>
        <w:spacing w:after="0" w:line="240" w:lineRule="auto"/>
        <w:rPr>
          <w:rFonts w:eastAsia="Times New Roman" w:cs="Times New Roman"/>
          <w:color w:val="000000"/>
          <w:sz w:val="18"/>
          <w:szCs w:val="18"/>
          <w:lang w:eastAsia="lv-LV"/>
        </w:rPr>
      </w:pPr>
      <w:r>
        <w:rPr>
          <w:rFonts w:eastAsia="Times New Roman" w:cs="Times New Roman"/>
          <w:color w:val="000000"/>
          <w:sz w:val="18"/>
          <w:szCs w:val="18"/>
          <w:lang w:eastAsia="lv-LV"/>
        </w:rPr>
        <w:t>*****</w:t>
      </w:r>
      <w:r w:rsidR="00744291">
        <w:rPr>
          <w:rFonts w:eastAsia="Times New Roman" w:cs="Times New Roman"/>
          <w:color w:val="000000"/>
          <w:sz w:val="18"/>
          <w:szCs w:val="18"/>
          <w:lang w:eastAsia="lv-LV"/>
        </w:rPr>
        <w:t>*</w:t>
      </w:r>
      <w:r>
        <w:rPr>
          <w:rFonts w:eastAsia="Times New Roman" w:cs="Times New Roman"/>
          <w:color w:val="000000"/>
          <w:sz w:val="18"/>
          <w:szCs w:val="18"/>
          <w:lang w:eastAsia="lv-LV"/>
        </w:rPr>
        <w:t xml:space="preserve"> </w:t>
      </w:r>
      <w:r w:rsidRPr="002A5450">
        <w:rPr>
          <w:rFonts w:eastAsia="Times New Roman" w:cs="Times New Roman"/>
          <w:color w:val="000000"/>
          <w:sz w:val="18"/>
          <w:szCs w:val="18"/>
          <w:lang w:eastAsia="lv-LV"/>
        </w:rPr>
        <w:t>Elektroenerģijas tirg</w:t>
      </w:r>
      <w:r>
        <w:rPr>
          <w:rFonts w:eastAsia="Times New Roman" w:cs="Times New Roman"/>
          <w:color w:val="000000"/>
          <w:sz w:val="18"/>
          <w:szCs w:val="18"/>
          <w:lang w:eastAsia="lv-LV"/>
        </w:rPr>
        <w:t>us likuma grozījumi - Saeimā 3.lasījumā.</w:t>
      </w:r>
    </w:p>
    <w:p w:rsidR="00D707C1" w:rsidRPr="00D707C1" w:rsidRDefault="00D707C1" w:rsidP="00221E57">
      <w:pPr>
        <w:spacing w:after="0" w:line="240" w:lineRule="auto"/>
      </w:pPr>
      <w:r w:rsidRPr="00522E34">
        <w:rPr>
          <w:rFonts w:eastAsia="Times New Roman" w:cs="Times New Roman"/>
          <w:color w:val="000000"/>
          <w:sz w:val="18"/>
          <w:szCs w:val="18"/>
          <w:lang w:eastAsia="lv-LV"/>
        </w:rPr>
        <w:t xml:space="preserve">******* </w:t>
      </w:r>
      <w:r w:rsidRPr="00D707C1">
        <w:rPr>
          <w:rFonts w:eastAsia="Times New Roman" w:cs="Times New Roman"/>
          <w:color w:val="000000"/>
          <w:sz w:val="18"/>
          <w:szCs w:val="18"/>
          <w:lang w:eastAsia="lv-LV"/>
        </w:rPr>
        <w:t>Minētais finansējums ir iekļauts EM bāzē saskaņā ar Ministru kabineta 2013.gada 13.augusta sēdē pieņemto i</w:t>
      </w:r>
      <w:r w:rsidRPr="00D707C1">
        <w:rPr>
          <w:color w:val="000000"/>
          <w:sz w:val="18"/>
          <w:szCs w:val="18"/>
        </w:rPr>
        <w:t>nformatīvo ziņojumu „Komplekss risinājums elektroenerģijas tirgus problemātikai”</w:t>
      </w:r>
      <w:r w:rsidRPr="00D707C1">
        <w:rPr>
          <w:rStyle w:val="FootnoteReference"/>
          <w:color w:val="000000"/>
          <w:sz w:val="18"/>
          <w:szCs w:val="18"/>
        </w:rPr>
        <w:footnoteReference w:id="4"/>
      </w:r>
      <w:r>
        <w:rPr>
          <w:color w:val="000000"/>
          <w:sz w:val="18"/>
          <w:szCs w:val="18"/>
        </w:rPr>
        <w:t xml:space="preserve"> attiecībā uz AS „Latvenergo” dividenžu novirzīšanu elektroenerģijas lietotāju atbalstam, atverot elektroenerģijas tirgu mājsaimniecībām</w:t>
      </w:r>
      <w:r w:rsidRPr="00D707C1">
        <w:rPr>
          <w:color w:val="000000"/>
          <w:sz w:val="18"/>
          <w:szCs w:val="18"/>
        </w:rPr>
        <w:t>.</w:t>
      </w:r>
    </w:p>
    <w:p w:rsidR="00E67E1C" w:rsidRDefault="00E67E1C" w:rsidP="00E67E1C">
      <w:pPr>
        <w:spacing w:after="0" w:line="240" w:lineRule="auto"/>
        <w:rPr>
          <w:rFonts w:eastAsia="Times New Roman" w:cs="Times New Roman"/>
          <w:color w:val="000000"/>
          <w:sz w:val="18"/>
          <w:szCs w:val="18"/>
          <w:lang w:eastAsia="lv-LV"/>
        </w:rPr>
        <w:sectPr w:rsidR="00E67E1C" w:rsidSect="00C60881">
          <w:pgSz w:w="16838" w:h="11906" w:orient="landscape"/>
          <w:pgMar w:top="1701" w:right="1418" w:bottom="1134" w:left="1134" w:header="709" w:footer="709" w:gutter="0"/>
          <w:cols w:space="708"/>
          <w:titlePg/>
          <w:docGrid w:linePitch="360"/>
        </w:sectPr>
      </w:pPr>
    </w:p>
    <w:p w:rsidR="000D0656" w:rsidRDefault="00D707C1" w:rsidP="00B108D2">
      <w:pPr>
        <w:pStyle w:val="Heading3"/>
      </w:pPr>
      <w:bookmarkStart w:id="19" w:name="_Toc428188937"/>
      <w:r>
        <w:lastRenderedPageBreak/>
        <w:t>2</w:t>
      </w:r>
      <w:r w:rsidR="0025654E">
        <w:t>.risinājums</w:t>
      </w:r>
      <w:bookmarkEnd w:id="19"/>
      <w:r w:rsidR="0025654E">
        <w:t xml:space="preserve"> </w:t>
      </w:r>
    </w:p>
    <w:p w:rsidR="00522E34" w:rsidRDefault="00D707C1" w:rsidP="00522E34">
      <w:pPr>
        <w:spacing w:after="0" w:line="240" w:lineRule="auto"/>
        <w:ind w:firstLine="851"/>
        <w:rPr>
          <w:sz w:val="28"/>
          <w:szCs w:val="28"/>
        </w:rPr>
      </w:pPr>
      <w:r>
        <w:rPr>
          <w:sz w:val="28"/>
          <w:szCs w:val="28"/>
        </w:rPr>
        <w:t>Finanšu ministrija ir norādījusi, ka valsts budžeta apakšprogrammai</w:t>
      </w:r>
      <w:r w:rsidR="00522E34">
        <w:rPr>
          <w:sz w:val="28"/>
          <w:szCs w:val="28"/>
        </w:rPr>
        <w:t xml:space="preserve"> 29.02.00 “</w:t>
      </w:r>
      <w:r w:rsidR="00522E34" w:rsidRPr="008C06AE">
        <w:rPr>
          <w:sz w:val="28"/>
          <w:szCs w:val="28"/>
        </w:rPr>
        <w:t>Elek</w:t>
      </w:r>
      <w:r w:rsidR="00522E34">
        <w:rPr>
          <w:sz w:val="28"/>
          <w:szCs w:val="28"/>
        </w:rPr>
        <w:t xml:space="preserve">troenerģijas lietotāju atbalsts” </w:t>
      </w:r>
      <w:r>
        <w:rPr>
          <w:sz w:val="28"/>
          <w:szCs w:val="28"/>
        </w:rPr>
        <w:t>turpmākajos gados varēs novirzīt AS “Latvenergo” dividendes</w:t>
      </w:r>
      <w:r w:rsidR="00522E34">
        <w:rPr>
          <w:sz w:val="28"/>
          <w:szCs w:val="28"/>
        </w:rPr>
        <w:t xml:space="preserve"> šādā apmērā: 2016. gadā 19 252 123 EUR (papildus bāzes finansējumam – </w:t>
      </w:r>
      <w:r w:rsidR="00522E34" w:rsidRPr="00821C00">
        <w:rPr>
          <w:sz w:val="28"/>
          <w:szCs w:val="28"/>
        </w:rPr>
        <w:t>11</w:t>
      </w:r>
      <w:r w:rsidR="00522E34">
        <w:rPr>
          <w:sz w:val="28"/>
          <w:szCs w:val="28"/>
        </w:rPr>
        <w:t> </w:t>
      </w:r>
      <w:r w:rsidR="00522E34" w:rsidRPr="00821C00">
        <w:rPr>
          <w:sz w:val="28"/>
          <w:szCs w:val="28"/>
        </w:rPr>
        <w:t>952</w:t>
      </w:r>
      <w:r w:rsidR="00522E34">
        <w:rPr>
          <w:sz w:val="28"/>
          <w:szCs w:val="28"/>
        </w:rPr>
        <w:t> </w:t>
      </w:r>
      <w:r w:rsidR="00522E34" w:rsidRPr="00821C00">
        <w:rPr>
          <w:sz w:val="28"/>
          <w:szCs w:val="28"/>
        </w:rPr>
        <w:t>123</w:t>
      </w:r>
      <w:r w:rsidR="00522E34">
        <w:rPr>
          <w:sz w:val="28"/>
          <w:szCs w:val="28"/>
        </w:rPr>
        <w:t xml:space="preserve"> EUR, nepieciešams </w:t>
      </w:r>
      <w:r w:rsidR="00522E34" w:rsidRPr="00522E34">
        <w:rPr>
          <w:sz w:val="28"/>
          <w:szCs w:val="28"/>
        </w:rPr>
        <w:t>novirzīt 10%</w:t>
      </w:r>
      <w:r w:rsidR="00522E34">
        <w:rPr>
          <w:sz w:val="28"/>
          <w:szCs w:val="28"/>
        </w:rPr>
        <w:t xml:space="preserve"> AS “Latvenergo” dividenžu – 7 300 000 EUR), 2017. gadā </w:t>
      </w:r>
      <w:r w:rsidR="00522E34" w:rsidRPr="0053610A">
        <w:rPr>
          <w:sz w:val="28"/>
          <w:szCs w:val="28"/>
        </w:rPr>
        <w:t>18 250 000</w:t>
      </w:r>
      <w:r w:rsidR="00522E34">
        <w:rPr>
          <w:sz w:val="28"/>
          <w:szCs w:val="28"/>
        </w:rPr>
        <w:t xml:space="preserve"> EUR un 2018. gadā </w:t>
      </w:r>
      <w:r w:rsidR="00522E34" w:rsidRPr="0053610A">
        <w:rPr>
          <w:sz w:val="28"/>
          <w:szCs w:val="28"/>
        </w:rPr>
        <w:t>21 900</w:t>
      </w:r>
      <w:r w:rsidR="00522E34">
        <w:rPr>
          <w:sz w:val="28"/>
          <w:szCs w:val="28"/>
        </w:rPr>
        <w:t> </w:t>
      </w:r>
      <w:r w:rsidR="00522E34" w:rsidRPr="0053610A">
        <w:rPr>
          <w:sz w:val="28"/>
          <w:szCs w:val="28"/>
        </w:rPr>
        <w:t>000</w:t>
      </w:r>
      <w:r w:rsidR="00522E34">
        <w:rPr>
          <w:sz w:val="28"/>
          <w:szCs w:val="28"/>
        </w:rPr>
        <w:t> EU</w:t>
      </w:r>
      <w:r>
        <w:rPr>
          <w:sz w:val="28"/>
          <w:szCs w:val="28"/>
        </w:rPr>
        <w:t>R</w:t>
      </w:r>
      <w:r w:rsidR="00522E34">
        <w:rPr>
          <w:sz w:val="28"/>
          <w:szCs w:val="28"/>
        </w:rPr>
        <w:t xml:space="preserve">. </w:t>
      </w:r>
    </w:p>
    <w:p w:rsidR="00522E34" w:rsidRPr="00522E34" w:rsidRDefault="00D707C1" w:rsidP="00522E34">
      <w:pPr>
        <w:spacing w:after="0" w:line="240" w:lineRule="auto"/>
        <w:ind w:firstLine="851"/>
        <w:rPr>
          <w:sz w:val="28"/>
          <w:szCs w:val="28"/>
        </w:rPr>
      </w:pPr>
      <w:r>
        <w:rPr>
          <w:sz w:val="28"/>
          <w:szCs w:val="28"/>
        </w:rPr>
        <w:t xml:space="preserve">Ņemot vērā iepriekš norādīto attiecībā uz AS „Latvenergo” dividenžu apmēru, ko varēs novirzīt elektroenerģijas lietotāju atbalstam, tad 2016.gadā būs nepieciešams papildus finansējums 4 413 486 EUR apmērā, 2017.gadā 29 759 955 EUR apmērā un 2018.gadā 38 452 619 EUR apmērā, lai ieviestu fiskāli neitrālu risinājumu pie nosacījuma, ka OIK tiek saglabāts 26,79 EUR/MWh. </w:t>
      </w:r>
    </w:p>
    <w:p w:rsidR="00522E34" w:rsidRDefault="00D707C1" w:rsidP="00C44BE3">
      <w:pPr>
        <w:spacing w:after="0" w:line="240" w:lineRule="auto"/>
        <w:ind w:firstLine="851"/>
        <w:rPr>
          <w:sz w:val="28"/>
          <w:szCs w:val="28"/>
        </w:rPr>
      </w:pPr>
      <w:r>
        <w:rPr>
          <w:sz w:val="28"/>
          <w:szCs w:val="28"/>
        </w:rPr>
        <w:t>Lai rastu finansējumu šīs starpības</w:t>
      </w:r>
      <w:r w:rsidR="00C44BE3">
        <w:rPr>
          <w:sz w:val="28"/>
          <w:szCs w:val="28"/>
        </w:rPr>
        <w:t xml:space="preserve"> segšanai, OIK ir jāpaceļ 2016.gadā </w:t>
      </w:r>
      <w:r w:rsidR="00730FE4">
        <w:rPr>
          <w:sz w:val="28"/>
          <w:szCs w:val="28"/>
        </w:rPr>
        <w:t xml:space="preserve">līdz 27,67 </w:t>
      </w:r>
      <w:r w:rsidR="00C44BE3">
        <w:rPr>
          <w:sz w:val="28"/>
          <w:szCs w:val="28"/>
        </w:rPr>
        <w:t>EUR/MWh, 2017.gadā</w:t>
      </w:r>
      <w:r w:rsidR="00730FE4">
        <w:rPr>
          <w:sz w:val="28"/>
          <w:szCs w:val="28"/>
        </w:rPr>
        <w:t xml:space="preserve"> līdz 32,34 </w:t>
      </w:r>
      <w:r w:rsidR="00C44BE3">
        <w:rPr>
          <w:sz w:val="28"/>
          <w:szCs w:val="28"/>
        </w:rPr>
        <w:t xml:space="preserve">EUR/MWh, 2018.gadā </w:t>
      </w:r>
      <w:r w:rsidR="00730FE4">
        <w:rPr>
          <w:sz w:val="28"/>
          <w:szCs w:val="28"/>
        </w:rPr>
        <w:t xml:space="preserve">līdz 32,41 </w:t>
      </w:r>
      <w:r w:rsidR="00C44BE3">
        <w:rPr>
          <w:sz w:val="28"/>
          <w:szCs w:val="28"/>
        </w:rPr>
        <w:t>EUR/MWh</w:t>
      </w:r>
      <w:r w:rsidR="00522E34" w:rsidRPr="00522E34">
        <w:rPr>
          <w:sz w:val="28"/>
          <w:szCs w:val="28"/>
        </w:rPr>
        <w:t xml:space="preserve"> (</w:t>
      </w:r>
      <w:r w:rsidR="00C44BE3">
        <w:rPr>
          <w:sz w:val="28"/>
          <w:szCs w:val="28"/>
        </w:rPr>
        <w:t>10</w:t>
      </w:r>
      <w:r w:rsidR="00522E34" w:rsidRPr="00522E34">
        <w:rPr>
          <w:sz w:val="28"/>
          <w:szCs w:val="28"/>
        </w:rPr>
        <w:t>. tabula).</w:t>
      </w:r>
    </w:p>
    <w:p w:rsidR="00522E34" w:rsidRPr="005605DB" w:rsidRDefault="00522E34" w:rsidP="00522E34">
      <w:pPr>
        <w:spacing w:after="0" w:line="240" w:lineRule="auto"/>
        <w:ind w:firstLine="851"/>
        <w:rPr>
          <w:sz w:val="28"/>
          <w:szCs w:val="28"/>
        </w:rPr>
      </w:pPr>
      <w:r w:rsidRPr="00522E34">
        <w:rPr>
          <w:sz w:val="28"/>
          <w:szCs w:val="28"/>
        </w:rPr>
        <w:t>Ieviešot</w:t>
      </w:r>
      <w:r w:rsidR="00C44BE3">
        <w:rPr>
          <w:sz w:val="28"/>
          <w:szCs w:val="28"/>
        </w:rPr>
        <w:t xml:space="preserve"> šo </w:t>
      </w:r>
      <w:r w:rsidRPr="00522E34">
        <w:rPr>
          <w:sz w:val="28"/>
          <w:szCs w:val="28"/>
        </w:rPr>
        <w:t>risinājumu, ir nepieciešami grozījumi Elektroenerģijas tirgus likuma 28., 28</w:t>
      </w:r>
      <w:r w:rsidRPr="00522E34">
        <w:rPr>
          <w:sz w:val="28"/>
          <w:szCs w:val="28"/>
          <w:vertAlign w:val="superscript"/>
        </w:rPr>
        <w:t>1</w:t>
      </w:r>
      <w:r w:rsidRPr="00522E34">
        <w:rPr>
          <w:sz w:val="28"/>
          <w:szCs w:val="28"/>
        </w:rPr>
        <w:t>., 29</w:t>
      </w:r>
      <w:r w:rsidRPr="00522E34">
        <w:rPr>
          <w:sz w:val="28"/>
          <w:szCs w:val="28"/>
          <w:vertAlign w:val="superscript"/>
        </w:rPr>
        <w:t>1</w:t>
      </w:r>
      <w:r w:rsidRPr="00522E34">
        <w:rPr>
          <w:sz w:val="28"/>
          <w:szCs w:val="28"/>
        </w:rPr>
        <w:t xml:space="preserve">., 30. pantā, precizējot to daļu (svītrojot vārdus “kārtējam gadam”), kas nosaka, ka publiskajam tirgotājam kompensējamo izmaksu aprēķinā ņem vērā tikai likumā par valsts budžetu </w:t>
      </w:r>
      <w:r w:rsidRPr="00522E34">
        <w:rPr>
          <w:sz w:val="28"/>
          <w:szCs w:val="28"/>
          <w:u w:val="single"/>
        </w:rPr>
        <w:t>kārtējam gadam</w:t>
      </w:r>
      <w:r w:rsidRPr="00522E34">
        <w:rPr>
          <w:sz w:val="28"/>
          <w:szCs w:val="28"/>
        </w:rPr>
        <w:t xml:space="preserve"> noteikto valsts budžeta dotāciju OIK apmēra mazināšanai, lai nodrošinātu, ka publiskajam tirgotājam kompensējamo izmaksu aprēķinā tiek ņemts</w:t>
      </w:r>
      <w:r>
        <w:rPr>
          <w:sz w:val="28"/>
          <w:szCs w:val="28"/>
        </w:rPr>
        <w:t xml:space="preserve"> vērā kopējais valsts budžeta dotācijas apjoms OIK samazināšanai laika periodā no kārtējā gada 1. aprīļa līdz nākamā gada 31. martam</w:t>
      </w:r>
      <w:r w:rsidRPr="005605DB">
        <w:rPr>
          <w:sz w:val="28"/>
          <w:szCs w:val="28"/>
        </w:rPr>
        <w:t xml:space="preserve">. </w:t>
      </w:r>
      <w:r>
        <w:rPr>
          <w:sz w:val="28"/>
          <w:szCs w:val="28"/>
        </w:rPr>
        <w:t xml:space="preserve">Piemēram, aprēķinot OIK laika periodam no 2016. gada 1. aprīļa līdz 2017. gada 31. martam, jāņem vērā 2016. gadā plānotā dotācija </w:t>
      </w:r>
      <w:r w:rsidRPr="0053610A">
        <w:rPr>
          <w:sz w:val="28"/>
          <w:szCs w:val="28"/>
        </w:rPr>
        <w:t>59</w:t>
      </w:r>
      <w:r>
        <w:rPr>
          <w:sz w:val="28"/>
          <w:szCs w:val="28"/>
        </w:rPr>
        <w:t> </w:t>
      </w:r>
      <w:r w:rsidRPr="0053610A">
        <w:rPr>
          <w:sz w:val="28"/>
          <w:szCs w:val="28"/>
        </w:rPr>
        <w:t>693</w:t>
      </w:r>
      <w:r>
        <w:rPr>
          <w:sz w:val="28"/>
          <w:szCs w:val="28"/>
        </w:rPr>
        <w:t> </w:t>
      </w:r>
      <w:r w:rsidRPr="0053610A">
        <w:rPr>
          <w:sz w:val="28"/>
          <w:szCs w:val="28"/>
        </w:rPr>
        <w:t>445</w:t>
      </w:r>
      <w:r>
        <w:rPr>
          <w:sz w:val="28"/>
          <w:szCs w:val="28"/>
        </w:rPr>
        <w:t xml:space="preserve"> EUR un </w:t>
      </w:r>
      <w:r w:rsidRPr="0053610A">
        <w:rPr>
          <w:sz w:val="28"/>
          <w:szCs w:val="28"/>
        </w:rPr>
        <w:t>19</w:t>
      </w:r>
      <w:r>
        <w:rPr>
          <w:sz w:val="28"/>
          <w:szCs w:val="28"/>
        </w:rPr>
        <w:t> </w:t>
      </w:r>
      <w:r w:rsidRPr="0053610A">
        <w:rPr>
          <w:sz w:val="28"/>
          <w:szCs w:val="28"/>
        </w:rPr>
        <w:t>897</w:t>
      </w:r>
      <w:r>
        <w:rPr>
          <w:sz w:val="28"/>
          <w:szCs w:val="28"/>
        </w:rPr>
        <w:t> </w:t>
      </w:r>
      <w:r w:rsidRPr="0053610A">
        <w:rPr>
          <w:sz w:val="28"/>
          <w:szCs w:val="28"/>
        </w:rPr>
        <w:t>815</w:t>
      </w:r>
      <w:r>
        <w:rPr>
          <w:sz w:val="28"/>
          <w:szCs w:val="28"/>
        </w:rPr>
        <w:t> EUR 2017.gadā.</w:t>
      </w:r>
    </w:p>
    <w:p w:rsidR="00522E34" w:rsidRDefault="00522E34" w:rsidP="00522E34">
      <w:pPr>
        <w:spacing w:after="0" w:line="240" w:lineRule="auto"/>
        <w:ind w:firstLine="851"/>
        <w:rPr>
          <w:sz w:val="28"/>
          <w:szCs w:val="28"/>
        </w:rPr>
      </w:pPr>
    </w:p>
    <w:p w:rsidR="00522E34" w:rsidRDefault="00522E34" w:rsidP="00522E34">
      <w:pPr>
        <w:spacing w:after="0" w:line="240" w:lineRule="auto"/>
        <w:ind w:firstLine="851"/>
        <w:rPr>
          <w:sz w:val="28"/>
          <w:szCs w:val="28"/>
        </w:rPr>
        <w:sectPr w:rsidR="00522E34" w:rsidSect="00860749">
          <w:headerReference w:type="default" r:id="rId17"/>
          <w:footerReference w:type="default" r:id="rId18"/>
          <w:pgSz w:w="11906" w:h="16838"/>
          <w:pgMar w:top="1418" w:right="1134" w:bottom="851" w:left="1701" w:header="709" w:footer="709" w:gutter="0"/>
          <w:cols w:space="708"/>
          <w:titlePg/>
          <w:docGrid w:linePitch="360"/>
        </w:sectPr>
      </w:pPr>
    </w:p>
    <w:p w:rsidR="00522E34" w:rsidRPr="00576C66" w:rsidRDefault="00D707C1" w:rsidP="00522E34">
      <w:pPr>
        <w:pStyle w:val="Caption"/>
        <w:keepNext/>
        <w:jc w:val="right"/>
        <w:rPr>
          <w:rFonts w:ascii="Times New Roman" w:hAnsi="Times New Roman"/>
          <w:sz w:val="24"/>
          <w:szCs w:val="24"/>
        </w:rPr>
      </w:pPr>
      <w:r>
        <w:rPr>
          <w:rFonts w:ascii="Times New Roman" w:hAnsi="Times New Roman"/>
          <w:sz w:val="24"/>
          <w:szCs w:val="24"/>
        </w:rPr>
        <w:lastRenderedPageBreak/>
        <w:t>10</w:t>
      </w:r>
      <w:r w:rsidR="00522E34">
        <w:rPr>
          <w:rFonts w:ascii="Times New Roman" w:hAnsi="Times New Roman"/>
          <w:sz w:val="24"/>
          <w:szCs w:val="24"/>
        </w:rPr>
        <w:t>.tabula</w:t>
      </w:r>
    </w:p>
    <w:p w:rsidR="00522E34" w:rsidRDefault="00D707C1" w:rsidP="00522E34">
      <w:pPr>
        <w:pStyle w:val="Caption"/>
        <w:keepNext/>
        <w:jc w:val="center"/>
        <w:rPr>
          <w:rFonts w:ascii="Times New Roman" w:hAnsi="Times New Roman"/>
          <w:sz w:val="24"/>
          <w:szCs w:val="24"/>
        </w:rPr>
      </w:pPr>
      <w:r>
        <w:rPr>
          <w:rFonts w:ascii="Times New Roman" w:hAnsi="Times New Roman"/>
          <w:sz w:val="24"/>
          <w:szCs w:val="24"/>
        </w:rPr>
        <w:t>2</w:t>
      </w:r>
      <w:r w:rsidR="00522E34">
        <w:rPr>
          <w:rFonts w:ascii="Times New Roman" w:hAnsi="Times New Roman"/>
          <w:sz w:val="24"/>
          <w:szCs w:val="24"/>
        </w:rPr>
        <w:t>. r</w:t>
      </w:r>
      <w:r w:rsidR="00522E34" w:rsidRPr="009B40C6">
        <w:rPr>
          <w:rFonts w:ascii="Times New Roman" w:hAnsi="Times New Roman"/>
          <w:sz w:val="24"/>
          <w:szCs w:val="24"/>
        </w:rPr>
        <w:t xml:space="preserve">isinājuma ietekme uz valsts budžetu </w:t>
      </w:r>
    </w:p>
    <w:tbl>
      <w:tblPr>
        <w:tblW w:w="14042" w:type="dxa"/>
        <w:tblLook w:val="04A0" w:firstRow="1" w:lastRow="0" w:firstColumn="1" w:lastColumn="0" w:noHBand="0" w:noVBand="1"/>
      </w:tblPr>
      <w:tblGrid>
        <w:gridCol w:w="444"/>
        <w:gridCol w:w="5637"/>
        <w:gridCol w:w="1035"/>
        <w:gridCol w:w="1083"/>
        <w:gridCol w:w="1134"/>
        <w:gridCol w:w="1134"/>
        <w:gridCol w:w="1112"/>
        <w:gridCol w:w="1287"/>
        <w:gridCol w:w="1176"/>
      </w:tblGrid>
      <w:tr w:rsidR="007C0039" w:rsidRPr="008E0131" w:rsidTr="00221E57">
        <w:trPr>
          <w:trHeight w:val="171"/>
        </w:trPr>
        <w:tc>
          <w:tcPr>
            <w:tcW w:w="444" w:type="dxa"/>
            <w:vMerge w:val="restart"/>
            <w:tcBorders>
              <w:top w:val="single" w:sz="12" w:space="0" w:color="auto"/>
              <w:left w:val="single" w:sz="12" w:space="0" w:color="auto"/>
              <w:right w:val="single" w:sz="4" w:space="0" w:color="auto"/>
            </w:tcBorders>
            <w:shd w:val="clear" w:color="auto" w:fill="auto"/>
            <w:noWrap/>
            <w:vAlign w:val="center"/>
            <w:hideMark/>
          </w:tcPr>
          <w:p w:rsidR="007C0039" w:rsidRPr="001F5C8D" w:rsidRDefault="007C0039" w:rsidP="00744291">
            <w:pPr>
              <w:spacing w:after="0" w:line="240" w:lineRule="auto"/>
              <w:jc w:val="center"/>
              <w:rPr>
                <w:rFonts w:ascii="Calibri" w:eastAsia="Times New Roman" w:hAnsi="Calibri" w:cs="Calibri"/>
                <w:color w:val="000000"/>
                <w:sz w:val="20"/>
                <w:szCs w:val="20"/>
                <w:lang w:eastAsia="lv-LV"/>
              </w:rPr>
            </w:pPr>
          </w:p>
        </w:tc>
        <w:tc>
          <w:tcPr>
            <w:tcW w:w="5637" w:type="dxa"/>
            <w:vMerge w:val="restart"/>
            <w:tcBorders>
              <w:top w:val="single" w:sz="12" w:space="0" w:color="auto"/>
              <w:left w:val="single" w:sz="4" w:space="0" w:color="auto"/>
              <w:bottom w:val="dashSmallGap" w:sz="4" w:space="0" w:color="auto"/>
              <w:right w:val="single" w:sz="12" w:space="0" w:color="auto"/>
            </w:tcBorders>
            <w:shd w:val="clear" w:color="auto" w:fill="auto"/>
            <w:vAlign w:val="center"/>
            <w:hideMark/>
          </w:tcPr>
          <w:p w:rsidR="007C0039" w:rsidRPr="001F5C8D" w:rsidRDefault="007C0039" w:rsidP="00744291">
            <w:pPr>
              <w:spacing w:after="0" w:line="240" w:lineRule="auto"/>
              <w:jc w:val="center"/>
              <w:rPr>
                <w:rFonts w:eastAsia="Times New Roman" w:cs="Times New Roman"/>
                <w:color w:val="000000"/>
                <w:sz w:val="20"/>
                <w:szCs w:val="20"/>
                <w:lang w:eastAsia="lv-LV"/>
              </w:rPr>
            </w:pPr>
          </w:p>
        </w:tc>
        <w:tc>
          <w:tcPr>
            <w:tcW w:w="2118" w:type="dxa"/>
            <w:gridSpan w:val="2"/>
            <w:tcBorders>
              <w:top w:val="single" w:sz="12" w:space="0" w:color="auto"/>
              <w:left w:val="single" w:sz="12" w:space="0" w:color="auto"/>
              <w:bottom w:val="dashSmallGap" w:sz="4" w:space="0" w:color="auto"/>
              <w:right w:val="single" w:sz="12" w:space="0" w:color="auto"/>
            </w:tcBorders>
            <w:shd w:val="clear" w:color="auto" w:fill="auto"/>
            <w:vAlign w:val="center"/>
            <w:hideMark/>
          </w:tcPr>
          <w:p w:rsidR="007C0039" w:rsidRPr="008E0131" w:rsidRDefault="007C0039" w:rsidP="0074429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2015</w:t>
            </w:r>
          </w:p>
        </w:tc>
        <w:tc>
          <w:tcPr>
            <w:tcW w:w="3380" w:type="dxa"/>
            <w:gridSpan w:val="3"/>
            <w:tcBorders>
              <w:top w:val="single" w:sz="12" w:space="0" w:color="auto"/>
              <w:left w:val="single" w:sz="12" w:space="0" w:color="auto"/>
              <w:bottom w:val="dashSmallGap" w:sz="4" w:space="0" w:color="auto"/>
              <w:right w:val="single" w:sz="12" w:space="0" w:color="auto"/>
            </w:tcBorders>
            <w:shd w:val="clear" w:color="auto" w:fill="auto"/>
            <w:vAlign w:val="center"/>
            <w:hideMark/>
          </w:tcPr>
          <w:p w:rsidR="007C0039" w:rsidRPr="008E0131" w:rsidRDefault="007C0039" w:rsidP="0074429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2016</w:t>
            </w:r>
          </w:p>
        </w:tc>
        <w:tc>
          <w:tcPr>
            <w:tcW w:w="1287" w:type="dxa"/>
            <w:tcBorders>
              <w:top w:val="single" w:sz="12" w:space="0" w:color="auto"/>
              <w:left w:val="single" w:sz="12" w:space="0" w:color="auto"/>
              <w:bottom w:val="dashSmallGap" w:sz="4" w:space="0" w:color="auto"/>
              <w:right w:val="dashSmallGap" w:sz="4" w:space="0" w:color="auto"/>
            </w:tcBorders>
            <w:shd w:val="clear" w:color="auto" w:fill="auto"/>
            <w:noWrap/>
            <w:vAlign w:val="center"/>
            <w:hideMark/>
          </w:tcPr>
          <w:p w:rsidR="007C0039" w:rsidRPr="008E0131" w:rsidRDefault="007C0039" w:rsidP="00744291">
            <w:pPr>
              <w:spacing w:after="0" w:line="240" w:lineRule="auto"/>
              <w:jc w:val="center"/>
              <w:rPr>
                <w:rFonts w:ascii="Calibri" w:eastAsia="Times New Roman" w:hAnsi="Calibri" w:cs="Calibri"/>
                <w:b/>
                <w:bCs/>
                <w:color w:val="000000"/>
                <w:sz w:val="18"/>
                <w:szCs w:val="18"/>
                <w:lang w:eastAsia="lv-LV"/>
              </w:rPr>
            </w:pPr>
            <w:r w:rsidRPr="008E0131">
              <w:rPr>
                <w:rFonts w:ascii="Calibri" w:eastAsia="Times New Roman" w:hAnsi="Calibri" w:cs="Calibri"/>
                <w:b/>
                <w:bCs/>
                <w:color w:val="000000"/>
                <w:sz w:val="18"/>
                <w:szCs w:val="18"/>
                <w:lang w:eastAsia="lv-LV"/>
              </w:rPr>
              <w:t>2017</w:t>
            </w:r>
          </w:p>
        </w:tc>
        <w:tc>
          <w:tcPr>
            <w:tcW w:w="1176" w:type="dxa"/>
            <w:tcBorders>
              <w:top w:val="single" w:sz="12" w:space="0" w:color="auto"/>
              <w:left w:val="dashSmallGap" w:sz="4" w:space="0" w:color="auto"/>
              <w:bottom w:val="dashSmallGap" w:sz="4" w:space="0" w:color="auto"/>
              <w:right w:val="single" w:sz="12" w:space="0" w:color="auto"/>
            </w:tcBorders>
            <w:shd w:val="clear" w:color="auto" w:fill="auto"/>
            <w:noWrap/>
            <w:vAlign w:val="center"/>
            <w:hideMark/>
          </w:tcPr>
          <w:p w:rsidR="007C0039" w:rsidRPr="008E0131" w:rsidRDefault="007C0039" w:rsidP="00744291">
            <w:pPr>
              <w:spacing w:after="0" w:line="240" w:lineRule="auto"/>
              <w:jc w:val="center"/>
              <w:rPr>
                <w:rFonts w:ascii="Calibri" w:eastAsia="Times New Roman" w:hAnsi="Calibri" w:cs="Calibri"/>
                <w:b/>
                <w:bCs/>
                <w:color w:val="000000"/>
                <w:sz w:val="18"/>
                <w:szCs w:val="18"/>
                <w:lang w:eastAsia="lv-LV"/>
              </w:rPr>
            </w:pPr>
            <w:r w:rsidRPr="008E0131">
              <w:rPr>
                <w:rFonts w:ascii="Calibri" w:eastAsia="Times New Roman" w:hAnsi="Calibri" w:cs="Calibri"/>
                <w:b/>
                <w:bCs/>
                <w:color w:val="000000"/>
                <w:sz w:val="18"/>
                <w:szCs w:val="18"/>
                <w:lang w:eastAsia="lv-LV"/>
              </w:rPr>
              <w:t>2018</w:t>
            </w:r>
          </w:p>
        </w:tc>
      </w:tr>
      <w:tr w:rsidR="007C0039" w:rsidRPr="00366D0B" w:rsidTr="00221E57">
        <w:trPr>
          <w:trHeight w:val="222"/>
        </w:trPr>
        <w:tc>
          <w:tcPr>
            <w:tcW w:w="444" w:type="dxa"/>
            <w:vMerge/>
            <w:tcBorders>
              <w:left w:val="single" w:sz="12" w:space="0" w:color="auto"/>
              <w:bottom w:val="single" w:sz="12" w:space="0" w:color="auto"/>
              <w:right w:val="single" w:sz="4" w:space="0" w:color="auto"/>
            </w:tcBorders>
            <w:shd w:val="clear" w:color="auto" w:fill="auto"/>
            <w:noWrap/>
            <w:vAlign w:val="center"/>
            <w:hideMark/>
          </w:tcPr>
          <w:p w:rsidR="007C0039" w:rsidRPr="001F5C8D" w:rsidRDefault="007C0039" w:rsidP="00744291">
            <w:pPr>
              <w:spacing w:after="0" w:line="240" w:lineRule="auto"/>
              <w:jc w:val="center"/>
              <w:rPr>
                <w:rFonts w:ascii="Calibri" w:eastAsia="Times New Roman" w:hAnsi="Calibri" w:cs="Calibri"/>
                <w:color w:val="000000"/>
                <w:sz w:val="20"/>
                <w:szCs w:val="20"/>
                <w:lang w:eastAsia="lv-LV"/>
              </w:rPr>
            </w:pPr>
          </w:p>
        </w:tc>
        <w:tc>
          <w:tcPr>
            <w:tcW w:w="5637" w:type="dxa"/>
            <w:vMerge/>
            <w:tcBorders>
              <w:top w:val="dashSmallGap" w:sz="4" w:space="0" w:color="auto"/>
              <w:left w:val="single" w:sz="4" w:space="0" w:color="auto"/>
              <w:bottom w:val="single" w:sz="12" w:space="0" w:color="auto"/>
              <w:right w:val="single" w:sz="12" w:space="0" w:color="auto"/>
            </w:tcBorders>
            <w:vAlign w:val="center"/>
            <w:hideMark/>
          </w:tcPr>
          <w:p w:rsidR="007C0039" w:rsidRPr="001F5C8D" w:rsidRDefault="007C0039" w:rsidP="00744291">
            <w:pPr>
              <w:spacing w:after="0" w:line="240" w:lineRule="auto"/>
              <w:jc w:val="center"/>
              <w:rPr>
                <w:rFonts w:eastAsia="Times New Roman" w:cs="Times New Roman"/>
                <w:color w:val="000000"/>
                <w:sz w:val="20"/>
                <w:szCs w:val="20"/>
                <w:lang w:eastAsia="lv-LV"/>
              </w:rPr>
            </w:pPr>
          </w:p>
        </w:tc>
        <w:tc>
          <w:tcPr>
            <w:tcW w:w="1035"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7C0039" w:rsidRPr="008E0131" w:rsidRDefault="007C0039" w:rsidP="0074429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likums</w:t>
            </w:r>
          </w:p>
        </w:tc>
        <w:tc>
          <w:tcPr>
            <w:tcW w:w="1083" w:type="dxa"/>
            <w:tcBorders>
              <w:top w:val="dashSmallGap" w:sz="4" w:space="0" w:color="auto"/>
              <w:left w:val="dashSmallGap" w:sz="4" w:space="0" w:color="auto"/>
              <w:bottom w:val="single" w:sz="12" w:space="0" w:color="auto"/>
              <w:right w:val="single" w:sz="12" w:space="0" w:color="auto"/>
            </w:tcBorders>
            <w:shd w:val="clear" w:color="auto" w:fill="auto"/>
            <w:vAlign w:val="center"/>
            <w:hideMark/>
          </w:tcPr>
          <w:p w:rsidR="007C0039" w:rsidRPr="008E0131" w:rsidRDefault="007C0039" w:rsidP="0074429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faktiskais</w:t>
            </w:r>
          </w:p>
        </w:tc>
        <w:tc>
          <w:tcPr>
            <w:tcW w:w="1134"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7C0039" w:rsidRPr="008E0131" w:rsidRDefault="007C0039" w:rsidP="0074429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ietvars</w:t>
            </w:r>
          </w:p>
          <w:p w:rsidR="007C0039" w:rsidRPr="008E0131" w:rsidRDefault="007C0039" w:rsidP="0074429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2015-2017</w:t>
            </w:r>
          </w:p>
        </w:tc>
        <w:tc>
          <w:tcPr>
            <w:tcW w:w="1134" w:type="dxa"/>
            <w:tcBorders>
              <w:top w:val="dashSmallGap" w:sz="4" w:space="0" w:color="auto"/>
              <w:left w:val="dashSmallGap" w:sz="4" w:space="0" w:color="auto"/>
              <w:bottom w:val="single" w:sz="12" w:space="0" w:color="auto"/>
              <w:right w:val="dashSmallGap" w:sz="4" w:space="0" w:color="auto"/>
            </w:tcBorders>
            <w:shd w:val="clear" w:color="auto" w:fill="auto"/>
            <w:vAlign w:val="center"/>
            <w:hideMark/>
          </w:tcPr>
          <w:p w:rsidR="007C0039" w:rsidRPr="008E0131" w:rsidRDefault="007C0039" w:rsidP="0074429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bāze</w:t>
            </w:r>
          </w:p>
        </w:tc>
        <w:tc>
          <w:tcPr>
            <w:tcW w:w="1112" w:type="dxa"/>
            <w:tcBorders>
              <w:top w:val="dashSmallGap" w:sz="4" w:space="0" w:color="auto"/>
              <w:left w:val="dashSmallGap" w:sz="4" w:space="0" w:color="auto"/>
              <w:bottom w:val="single" w:sz="12" w:space="0" w:color="auto"/>
              <w:right w:val="single" w:sz="12" w:space="0" w:color="auto"/>
            </w:tcBorders>
            <w:shd w:val="clear" w:color="auto" w:fill="auto"/>
            <w:vAlign w:val="center"/>
            <w:hideMark/>
          </w:tcPr>
          <w:p w:rsidR="007C0039" w:rsidRPr="008E0131" w:rsidRDefault="007C0039" w:rsidP="00744291">
            <w:pPr>
              <w:spacing w:after="0" w:line="240" w:lineRule="auto"/>
              <w:jc w:val="center"/>
              <w:rPr>
                <w:rFonts w:eastAsia="Times New Roman" w:cs="Times New Roman"/>
                <w:b/>
                <w:bCs/>
                <w:i/>
                <w:iCs/>
                <w:color w:val="000000"/>
                <w:sz w:val="18"/>
                <w:szCs w:val="18"/>
                <w:lang w:eastAsia="lv-LV"/>
              </w:rPr>
            </w:pPr>
            <w:r>
              <w:rPr>
                <w:rFonts w:eastAsia="Times New Roman" w:cs="Times New Roman"/>
                <w:b/>
                <w:bCs/>
                <w:i/>
                <w:iCs/>
                <w:color w:val="000000"/>
                <w:sz w:val="18"/>
                <w:szCs w:val="18"/>
                <w:lang w:eastAsia="lv-LV"/>
              </w:rPr>
              <w:t>plānotais</w:t>
            </w:r>
          </w:p>
        </w:tc>
        <w:tc>
          <w:tcPr>
            <w:tcW w:w="1287"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7C0039" w:rsidRPr="00366D0B" w:rsidRDefault="007C0039" w:rsidP="00744291">
            <w:pPr>
              <w:spacing w:after="0" w:line="240" w:lineRule="auto"/>
              <w:jc w:val="center"/>
              <w:rPr>
                <w:rFonts w:eastAsia="Times New Roman" w:cs="Times New Roman"/>
                <w:b/>
                <w:bCs/>
                <w:i/>
                <w:iCs/>
                <w:color w:val="000000"/>
                <w:sz w:val="18"/>
                <w:szCs w:val="18"/>
                <w:lang w:eastAsia="lv-LV"/>
              </w:rPr>
            </w:pPr>
            <w:r>
              <w:rPr>
                <w:rFonts w:eastAsia="Times New Roman" w:cs="Times New Roman"/>
                <w:b/>
                <w:bCs/>
                <w:i/>
                <w:iCs/>
                <w:color w:val="000000"/>
                <w:sz w:val="18"/>
                <w:szCs w:val="18"/>
                <w:lang w:eastAsia="lv-LV"/>
              </w:rPr>
              <w:t>plānotais</w:t>
            </w:r>
          </w:p>
        </w:tc>
        <w:tc>
          <w:tcPr>
            <w:tcW w:w="1176" w:type="dxa"/>
            <w:tcBorders>
              <w:top w:val="dashSmallGap" w:sz="4" w:space="0" w:color="auto"/>
              <w:left w:val="dashSmallGap" w:sz="4" w:space="0" w:color="auto"/>
              <w:bottom w:val="single" w:sz="12" w:space="0" w:color="auto"/>
              <w:right w:val="single" w:sz="12" w:space="0" w:color="auto"/>
            </w:tcBorders>
            <w:shd w:val="clear" w:color="auto" w:fill="auto"/>
            <w:vAlign w:val="center"/>
            <w:hideMark/>
          </w:tcPr>
          <w:p w:rsidR="007C0039" w:rsidRPr="00366D0B" w:rsidRDefault="007C0039" w:rsidP="00744291">
            <w:pPr>
              <w:spacing w:after="0" w:line="240" w:lineRule="auto"/>
              <w:jc w:val="center"/>
              <w:rPr>
                <w:rFonts w:eastAsia="Times New Roman" w:cs="Times New Roman"/>
                <w:b/>
                <w:bCs/>
                <w:i/>
                <w:iCs/>
                <w:color w:val="000000"/>
                <w:sz w:val="18"/>
                <w:szCs w:val="18"/>
                <w:lang w:eastAsia="lv-LV"/>
              </w:rPr>
            </w:pPr>
            <w:r>
              <w:rPr>
                <w:rFonts w:eastAsia="Times New Roman" w:cs="Times New Roman"/>
                <w:b/>
                <w:bCs/>
                <w:i/>
                <w:iCs/>
                <w:color w:val="000000"/>
                <w:sz w:val="18"/>
                <w:szCs w:val="18"/>
                <w:lang w:eastAsia="lv-LV"/>
              </w:rPr>
              <w:t>plānotais</w:t>
            </w:r>
          </w:p>
        </w:tc>
      </w:tr>
      <w:tr w:rsidR="007C0039" w:rsidRPr="00710011" w:rsidTr="00221E57">
        <w:trPr>
          <w:trHeight w:val="208"/>
        </w:trPr>
        <w:tc>
          <w:tcPr>
            <w:tcW w:w="444" w:type="dxa"/>
            <w:tcBorders>
              <w:top w:val="single" w:sz="12" w:space="0" w:color="auto"/>
              <w:left w:val="single" w:sz="12" w:space="0" w:color="auto"/>
              <w:bottom w:val="dashSmallGap" w:sz="4"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b/>
                <w:bCs/>
                <w:color w:val="000000"/>
                <w:sz w:val="18"/>
                <w:szCs w:val="18"/>
                <w:lang w:eastAsia="lv-LV"/>
              </w:rPr>
            </w:pPr>
          </w:p>
        </w:tc>
        <w:tc>
          <w:tcPr>
            <w:tcW w:w="5637" w:type="dxa"/>
            <w:tcBorders>
              <w:top w:val="single" w:sz="12" w:space="0" w:color="auto"/>
              <w:left w:val="single" w:sz="12" w:space="0" w:color="auto"/>
              <w:bottom w:val="dashSmallGap" w:sz="4" w:space="0" w:color="auto"/>
              <w:right w:val="single" w:sz="12" w:space="0" w:color="auto"/>
            </w:tcBorders>
            <w:shd w:val="clear" w:color="000000" w:fill="F2F2F2"/>
            <w:vAlign w:val="bottom"/>
            <w:hideMark/>
          </w:tcPr>
          <w:p w:rsidR="007C0039" w:rsidRPr="008E0131" w:rsidRDefault="007C0039" w:rsidP="0074429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 xml:space="preserve">Ieņēmumi </w:t>
            </w:r>
            <w:r>
              <w:rPr>
                <w:rFonts w:eastAsia="Times New Roman" w:cs="Times New Roman"/>
                <w:b/>
                <w:bCs/>
                <w:color w:val="000000"/>
                <w:sz w:val="18"/>
                <w:szCs w:val="18"/>
                <w:lang w:eastAsia="lv-LV"/>
              </w:rPr>
              <w:t>–</w:t>
            </w:r>
            <w:r w:rsidRPr="008E0131">
              <w:rPr>
                <w:rFonts w:eastAsia="Times New Roman" w:cs="Times New Roman"/>
                <w:b/>
                <w:bCs/>
                <w:color w:val="000000"/>
                <w:sz w:val="18"/>
                <w:szCs w:val="18"/>
                <w:lang w:eastAsia="lv-LV"/>
              </w:rPr>
              <w:t xml:space="preserve"> kopā</w:t>
            </w:r>
          </w:p>
        </w:tc>
        <w:tc>
          <w:tcPr>
            <w:tcW w:w="1035" w:type="dxa"/>
            <w:tcBorders>
              <w:top w:val="single" w:sz="12" w:space="0" w:color="auto"/>
              <w:left w:val="single" w:sz="12" w:space="0" w:color="auto"/>
              <w:bottom w:val="dashSmallGap" w:sz="4" w:space="0" w:color="auto"/>
              <w:right w:val="dashSmallGap" w:sz="4" w:space="0" w:color="auto"/>
            </w:tcBorders>
            <w:shd w:val="clear" w:color="000000" w:fill="F2F2F2"/>
            <w:vAlign w:val="center"/>
            <w:hideMark/>
          </w:tcPr>
          <w:p w:rsidR="007C0039" w:rsidRPr="009B40C6" w:rsidRDefault="007C0039" w:rsidP="0074429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51 981 313</w:t>
            </w:r>
          </w:p>
        </w:tc>
        <w:tc>
          <w:tcPr>
            <w:tcW w:w="1083" w:type="dxa"/>
            <w:tcBorders>
              <w:top w:val="single" w:sz="12" w:space="0" w:color="auto"/>
              <w:left w:val="dashSmallGap" w:sz="4" w:space="0" w:color="auto"/>
              <w:bottom w:val="dashSmallGap" w:sz="4" w:space="0" w:color="auto"/>
              <w:right w:val="single" w:sz="12" w:space="0" w:color="auto"/>
            </w:tcBorders>
            <w:shd w:val="clear" w:color="000000" w:fill="F2F2F2"/>
            <w:vAlign w:val="center"/>
            <w:hideMark/>
          </w:tcPr>
          <w:p w:rsidR="007C0039" w:rsidRPr="009B40C6" w:rsidRDefault="007C0039" w:rsidP="0074429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48 498 313</w:t>
            </w:r>
          </w:p>
        </w:tc>
        <w:tc>
          <w:tcPr>
            <w:tcW w:w="1134" w:type="dxa"/>
            <w:tcBorders>
              <w:top w:val="single" w:sz="12" w:space="0" w:color="auto"/>
              <w:left w:val="single" w:sz="12" w:space="0" w:color="auto"/>
              <w:bottom w:val="dashSmallGap" w:sz="4" w:space="0" w:color="auto"/>
              <w:right w:val="dashSmallGap" w:sz="4" w:space="0" w:color="auto"/>
            </w:tcBorders>
            <w:shd w:val="clear" w:color="000000" w:fill="F2F2F2"/>
            <w:vAlign w:val="center"/>
            <w:hideMark/>
          </w:tcPr>
          <w:p w:rsidR="007C0039" w:rsidRPr="009B40C6" w:rsidRDefault="007C0039" w:rsidP="0074429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61 647 364</w:t>
            </w:r>
          </w:p>
        </w:tc>
        <w:tc>
          <w:tcPr>
            <w:tcW w:w="1134" w:type="dxa"/>
            <w:tcBorders>
              <w:top w:val="single" w:sz="12" w:space="0" w:color="auto"/>
              <w:left w:val="dashSmallGap" w:sz="4" w:space="0" w:color="auto"/>
              <w:bottom w:val="dashSmallGap" w:sz="4" w:space="0" w:color="auto"/>
              <w:right w:val="dashSmallGap" w:sz="4" w:space="0" w:color="auto"/>
            </w:tcBorders>
            <w:shd w:val="clear" w:color="000000" w:fill="F2F2F2"/>
            <w:vAlign w:val="center"/>
            <w:hideMark/>
          </w:tcPr>
          <w:p w:rsidR="007C0039" w:rsidRPr="009B40C6" w:rsidRDefault="007C0039" w:rsidP="0074429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60 267 364</w:t>
            </w:r>
          </w:p>
        </w:tc>
        <w:tc>
          <w:tcPr>
            <w:tcW w:w="1112" w:type="dxa"/>
            <w:tcBorders>
              <w:top w:val="single" w:sz="12" w:space="0" w:color="auto"/>
              <w:left w:val="dashSmallGap" w:sz="4" w:space="0" w:color="auto"/>
              <w:bottom w:val="dashSmallGap" w:sz="4" w:space="0" w:color="auto"/>
              <w:right w:val="single" w:sz="12" w:space="0" w:color="auto"/>
            </w:tcBorders>
            <w:shd w:val="clear" w:color="000000" w:fill="F2F2F2"/>
            <w:hideMark/>
          </w:tcPr>
          <w:p w:rsidR="007C0039" w:rsidRPr="00710011" w:rsidRDefault="007C0039" w:rsidP="00744291">
            <w:pPr>
              <w:spacing w:after="0" w:line="240" w:lineRule="auto"/>
              <w:jc w:val="center"/>
              <w:rPr>
                <w:rFonts w:eastAsia="Times New Roman" w:cs="Times New Roman"/>
                <w:b/>
                <w:bCs/>
                <w:color w:val="000000"/>
                <w:sz w:val="18"/>
                <w:szCs w:val="18"/>
                <w:lang w:eastAsia="lv-LV"/>
              </w:rPr>
            </w:pPr>
            <w:r w:rsidRPr="000052B7">
              <w:rPr>
                <w:rFonts w:eastAsia="Times New Roman" w:cs="Times New Roman"/>
                <w:b/>
                <w:bCs/>
                <w:color w:val="000000"/>
                <w:sz w:val="18"/>
                <w:szCs w:val="18"/>
                <w:lang w:eastAsia="lv-LV"/>
              </w:rPr>
              <w:t>64 211 459</w:t>
            </w:r>
          </w:p>
        </w:tc>
        <w:tc>
          <w:tcPr>
            <w:tcW w:w="1287" w:type="dxa"/>
            <w:tcBorders>
              <w:top w:val="single" w:sz="12" w:space="0" w:color="auto"/>
              <w:left w:val="single" w:sz="12" w:space="0" w:color="auto"/>
              <w:bottom w:val="dashSmallGap" w:sz="4" w:space="0" w:color="auto"/>
              <w:right w:val="dashSmallGap" w:sz="4" w:space="0" w:color="auto"/>
            </w:tcBorders>
            <w:shd w:val="clear" w:color="000000" w:fill="F2F2F2"/>
            <w:hideMark/>
          </w:tcPr>
          <w:p w:rsidR="007C0039" w:rsidRPr="00710011" w:rsidRDefault="007C0039" w:rsidP="00744291">
            <w:pPr>
              <w:spacing w:after="0" w:line="240" w:lineRule="auto"/>
              <w:jc w:val="center"/>
              <w:rPr>
                <w:rFonts w:eastAsia="Times New Roman" w:cs="Times New Roman"/>
                <w:b/>
                <w:bCs/>
                <w:color w:val="000000"/>
                <w:sz w:val="18"/>
                <w:szCs w:val="18"/>
                <w:lang w:eastAsia="lv-LV"/>
              </w:rPr>
            </w:pPr>
            <w:r w:rsidRPr="000052B7">
              <w:rPr>
                <w:rFonts w:eastAsia="Times New Roman" w:cs="Times New Roman"/>
                <w:b/>
                <w:bCs/>
                <w:color w:val="000000"/>
                <w:sz w:val="18"/>
                <w:szCs w:val="18"/>
                <w:lang w:eastAsia="lv-LV"/>
              </w:rPr>
              <w:t>66 892 696</w:t>
            </w:r>
          </w:p>
        </w:tc>
        <w:tc>
          <w:tcPr>
            <w:tcW w:w="1176" w:type="dxa"/>
            <w:tcBorders>
              <w:top w:val="single" w:sz="12" w:space="0" w:color="auto"/>
              <w:left w:val="dashSmallGap" w:sz="4" w:space="0" w:color="auto"/>
              <w:bottom w:val="dashSmallGap" w:sz="4" w:space="0" w:color="auto"/>
              <w:right w:val="single" w:sz="12" w:space="0" w:color="auto"/>
            </w:tcBorders>
            <w:shd w:val="clear" w:color="000000" w:fill="F2F2F2"/>
            <w:hideMark/>
          </w:tcPr>
          <w:p w:rsidR="007C0039" w:rsidRPr="00710011" w:rsidRDefault="007C0039" w:rsidP="00744291">
            <w:pPr>
              <w:spacing w:after="0" w:line="240" w:lineRule="auto"/>
              <w:jc w:val="center"/>
              <w:rPr>
                <w:rFonts w:eastAsia="Times New Roman" w:cs="Times New Roman"/>
                <w:b/>
                <w:bCs/>
                <w:color w:val="000000"/>
                <w:sz w:val="18"/>
                <w:szCs w:val="18"/>
                <w:lang w:eastAsia="lv-LV"/>
              </w:rPr>
            </w:pPr>
            <w:r w:rsidRPr="000052B7">
              <w:rPr>
                <w:rFonts w:eastAsia="Times New Roman" w:cs="Times New Roman"/>
                <w:b/>
                <w:bCs/>
                <w:color w:val="000000"/>
                <w:sz w:val="18"/>
                <w:szCs w:val="18"/>
                <w:lang w:eastAsia="lv-LV"/>
              </w:rPr>
              <w:t>70 542 696</w:t>
            </w:r>
          </w:p>
        </w:tc>
      </w:tr>
      <w:tr w:rsidR="007C0039" w:rsidRPr="00710011" w:rsidTr="00221E57">
        <w:trPr>
          <w:trHeight w:val="260"/>
        </w:trPr>
        <w:tc>
          <w:tcPr>
            <w:tcW w:w="444"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sidRPr="008E0131">
              <w:rPr>
                <w:rFonts w:ascii="Calibri" w:eastAsia="Times New Roman" w:hAnsi="Calibri" w:cs="Calibri"/>
                <w:color w:val="000000"/>
                <w:sz w:val="18"/>
                <w:szCs w:val="18"/>
                <w:lang w:eastAsia="lv-LV"/>
              </w:rPr>
              <w:t>1.</w:t>
            </w:r>
          </w:p>
        </w:tc>
        <w:tc>
          <w:tcPr>
            <w:tcW w:w="5637"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SEN ieņēmumi</w:t>
            </w:r>
          </w:p>
        </w:tc>
        <w:tc>
          <w:tcPr>
            <w:tcW w:w="1035"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35 476 000</w:t>
            </w:r>
          </w:p>
        </w:tc>
        <w:tc>
          <w:tcPr>
            <w:tcW w:w="1083"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31 993 000</w:t>
            </w:r>
          </w:p>
        </w:tc>
        <w:tc>
          <w:tcPr>
            <w:tcW w:w="1134"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40 162 000</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38 782 000</w:t>
            </w:r>
          </w:p>
        </w:tc>
        <w:tc>
          <w:tcPr>
            <w:tcW w:w="1112"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7C0039" w:rsidRPr="00710011"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33 876 000</w:t>
            </w:r>
          </w:p>
        </w:tc>
        <w:tc>
          <w:tcPr>
            <w:tcW w:w="1287" w:type="dxa"/>
            <w:tcBorders>
              <w:top w:val="dashSmallGap" w:sz="4" w:space="0" w:color="auto"/>
              <w:left w:val="single" w:sz="12" w:space="0" w:color="auto"/>
              <w:bottom w:val="dashSmallGap" w:sz="4" w:space="0" w:color="auto"/>
              <w:right w:val="dashSmallGap" w:sz="4" w:space="0" w:color="auto"/>
            </w:tcBorders>
            <w:shd w:val="clear" w:color="auto" w:fill="auto"/>
            <w:hideMark/>
          </w:tcPr>
          <w:p w:rsidR="007C0039" w:rsidRPr="00710011"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37 009 000</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7C0039" w:rsidRPr="00710011"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37 009 000</w:t>
            </w:r>
          </w:p>
        </w:tc>
      </w:tr>
      <w:tr w:rsidR="007C0039" w:rsidRPr="00710011" w:rsidTr="00221E57">
        <w:trPr>
          <w:trHeight w:val="136"/>
        </w:trPr>
        <w:tc>
          <w:tcPr>
            <w:tcW w:w="444"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sidRPr="008E0131">
              <w:rPr>
                <w:rFonts w:ascii="Calibri" w:eastAsia="Times New Roman" w:hAnsi="Calibri" w:cs="Calibri"/>
                <w:color w:val="000000"/>
                <w:sz w:val="18"/>
                <w:szCs w:val="18"/>
                <w:lang w:eastAsia="lv-LV"/>
              </w:rPr>
              <w:t>2.</w:t>
            </w:r>
          </w:p>
        </w:tc>
        <w:tc>
          <w:tcPr>
            <w:tcW w:w="5637"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PVN</w:t>
            </w:r>
          </w:p>
        </w:tc>
        <w:tc>
          <w:tcPr>
            <w:tcW w:w="1035"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9 533 241</w:t>
            </w:r>
          </w:p>
        </w:tc>
        <w:tc>
          <w:tcPr>
            <w:tcW w:w="1083"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9 533 241</w:t>
            </w:r>
          </w:p>
        </w:tc>
        <w:tc>
          <w:tcPr>
            <w:tcW w:w="1134"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9 533 241</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9 533 241</w:t>
            </w:r>
          </w:p>
        </w:tc>
        <w:tc>
          <w:tcPr>
            <w:tcW w:w="1112"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7C0039" w:rsidRPr="00710011"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9 533 241</w:t>
            </w:r>
          </w:p>
        </w:tc>
        <w:tc>
          <w:tcPr>
            <w:tcW w:w="1287" w:type="dxa"/>
            <w:tcBorders>
              <w:top w:val="dashSmallGap" w:sz="4" w:space="0" w:color="auto"/>
              <w:left w:val="single" w:sz="12" w:space="0" w:color="auto"/>
              <w:bottom w:val="dashSmallGap" w:sz="4" w:space="0" w:color="auto"/>
              <w:right w:val="dashSmallGap" w:sz="4" w:space="0" w:color="auto"/>
            </w:tcBorders>
            <w:shd w:val="clear" w:color="auto" w:fill="auto"/>
            <w:hideMark/>
          </w:tcPr>
          <w:p w:rsidR="007C0039" w:rsidRPr="00710011"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9 533 241</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7C0039" w:rsidRPr="00710011"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9 533 241</w:t>
            </w:r>
          </w:p>
        </w:tc>
      </w:tr>
      <w:tr w:rsidR="007C0039" w:rsidRPr="00710011" w:rsidTr="00221E57">
        <w:trPr>
          <w:trHeight w:val="195"/>
        </w:trPr>
        <w:tc>
          <w:tcPr>
            <w:tcW w:w="444"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sidRPr="008E0131">
              <w:rPr>
                <w:rFonts w:ascii="Calibri" w:eastAsia="Times New Roman" w:hAnsi="Calibri" w:cs="Calibri"/>
                <w:color w:val="000000"/>
                <w:sz w:val="18"/>
                <w:szCs w:val="18"/>
                <w:lang w:eastAsia="lv-LV"/>
              </w:rPr>
              <w:t>3.</w:t>
            </w:r>
          </w:p>
        </w:tc>
        <w:tc>
          <w:tcPr>
            <w:tcW w:w="5637"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PVN (aizsargātie lietotāji)</w:t>
            </w:r>
            <w:r>
              <w:rPr>
                <w:rFonts w:eastAsia="Times New Roman" w:cs="Times New Roman"/>
                <w:color w:val="000000"/>
                <w:sz w:val="18"/>
                <w:szCs w:val="18"/>
                <w:lang w:eastAsia="lv-LV"/>
              </w:rPr>
              <w:t>*</w:t>
            </w:r>
          </w:p>
        </w:tc>
        <w:tc>
          <w:tcPr>
            <w:tcW w:w="1035"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083"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34"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sz w:val="18"/>
                <w:szCs w:val="18"/>
                <w:lang w:eastAsia="lv-LV"/>
              </w:rPr>
            </w:pP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sz w:val="18"/>
                <w:szCs w:val="18"/>
                <w:lang w:eastAsia="lv-LV"/>
              </w:rPr>
            </w:pPr>
          </w:p>
        </w:tc>
        <w:tc>
          <w:tcPr>
            <w:tcW w:w="1112"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7C0039" w:rsidRPr="00710011"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1 550 095</w:t>
            </w:r>
          </w:p>
        </w:tc>
        <w:tc>
          <w:tcPr>
            <w:tcW w:w="1287" w:type="dxa"/>
            <w:tcBorders>
              <w:top w:val="dashSmallGap" w:sz="4" w:space="0" w:color="auto"/>
              <w:left w:val="single" w:sz="12" w:space="0" w:color="auto"/>
              <w:bottom w:val="dashSmallGap" w:sz="4" w:space="0" w:color="auto"/>
              <w:right w:val="dashSmallGap" w:sz="4" w:space="0" w:color="auto"/>
            </w:tcBorders>
            <w:shd w:val="clear" w:color="auto" w:fill="auto"/>
            <w:hideMark/>
          </w:tcPr>
          <w:p w:rsidR="007C0039" w:rsidRPr="00710011"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2 100 455</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7C0039" w:rsidRPr="00710011"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2 100 455</w:t>
            </w:r>
          </w:p>
        </w:tc>
      </w:tr>
      <w:tr w:rsidR="007C0039" w:rsidRPr="000052B7" w:rsidTr="00221E57">
        <w:trPr>
          <w:trHeight w:val="242"/>
        </w:trPr>
        <w:tc>
          <w:tcPr>
            <w:tcW w:w="444" w:type="dxa"/>
            <w:tcBorders>
              <w:top w:val="dashSmallGap" w:sz="4" w:space="0" w:color="auto"/>
              <w:left w:val="single" w:sz="12" w:space="0" w:color="auto"/>
              <w:bottom w:val="single" w:sz="12"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sidRPr="008E0131">
              <w:rPr>
                <w:rFonts w:ascii="Calibri" w:eastAsia="Times New Roman" w:hAnsi="Calibri" w:cs="Calibri"/>
                <w:color w:val="000000"/>
                <w:sz w:val="18"/>
                <w:szCs w:val="18"/>
                <w:lang w:eastAsia="lv-LV"/>
              </w:rPr>
              <w:t>4.</w:t>
            </w:r>
          </w:p>
        </w:tc>
        <w:tc>
          <w:tcPr>
            <w:tcW w:w="5637" w:type="dxa"/>
            <w:tcBorders>
              <w:top w:val="dashSmallGap" w:sz="4" w:space="0" w:color="auto"/>
              <w:left w:val="single" w:sz="12" w:space="0" w:color="auto"/>
              <w:bottom w:val="single" w:sz="12" w:space="0" w:color="auto"/>
              <w:right w:val="single" w:sz="12" w:space="0" w:color="auto"/>
            </w:tcBorders>
            <w:shd w:val="clear" w:color="auto" w:fill="auto"/>
            <w:vAlign w:val="bottom"/>
            <w:hideMark/>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AS “Latvenergo” dividendes</w:t>
            </w:r>
          </w:p>
        </w:tc>
        <w:tc>
          <w:tcPr>
            <w:tcW w:w="1035"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6 972 072</w:t>
            </w:r>
          </w:p>
        </w:tc>
        <w:tc>
          <w:tcPr>
            <w:tcW w:w="1083" w:type="dxa"/>
            <w:tcBorders>
              <w:top w:val="dashSmallGap" w:sz="4" w:space="0" w:color="auto"/>
              <w:left w:val="dashSmallGap" w:sz="4" w:space="0" w:color="auto"/>
              <w:bottom w:val="single" w:sz="12"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6 972 072</w:t>
            </w:r>
          </w:p>
        </w:tc>
        <w:tc>
          <w:tcPr>
            <w:tcW w:w="1134"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11 952 123</w:t>
            </w:r>
          </w:p>
        </w:tc>
        <w:tc>
          <w:tcPr>
            <w:tcW w:w="1134" w:type="dxa"/>
            <w:tcBorders>
              <w:top w:val="dashSmallGap" w:sz="4" w:space="0" w:color="auto"/>
              <w:left w:val="dashSmallGap" w:sz="4" w:space="0" w:color="auto"/>
              <w:bottom w:val="single" w:sz="12"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11 952</w:t>
            </w:r>
            <w:r>
              <w:rPr>
                <w:rFonts w:eastAsia="Times New Roman" w:cs="Times New Roman"/>
                <w:color w:val="000000"/>
                <w:sz w:val="18"/>
                <w:szCs w:val="18"/>
                <w:lang w:eastAsia="lv-LV"/>
              </w:rPr>
              <w:t> </w:t>
            </w:r>
            <w:r w:rsidRPr="009B40C6">
              <w:rPr>
                <w:rFonts w:eastAsia="Times New Roman" w:cs="Times New Roman"/>
                <w:color w:val="000000"/>
                <w:sz w:val="18"/>
                <w:szCs w:val="18"/>
                <w:lang w:eastAsia="lv-LV"/>
              </w:rPr>
              <w:t>123</w:t>
            </w:r>
            <w:r>
              <w:rPr>
                <w:rFonts w:eastAsia="Times New Roman" w:cs="Times New Roman"/>
                <w:color w:val="000000"/>
                <w:sz w:val="18"/>
                <w:szCs w:val="18"/>
                <w:lang w:eastAsia="lv-LV"/>
              </w:rPr>
              <w:t xml:space="preserve"> ******</w:t>
            </w:r>
          </w:p>
        </w:tc>
        <w:tc>
          <w:tcPr>
            <w:tcW w:w="1112" w:type="dxa"/>
            <w:tcBorders>
              <w:top w:val="dashSmallGap" w:sz="4" w:space="0" w:color="auto"/>
              <w:left w:val="dashSmallGap" w:sz="4" w:space="0" w:color="auto"/>
              <w:bottom w:val="single" w:sz="12" w:space="0" w:color="auto"/>
              <w:right w:val="single" w:sz="12" w:space="0" w:color="auto"/>
            </w:tcBorders>
            <w:shd w:val="clear" w:color="auto" w:fill="auto"/>
            <w:hideMark/>
          </w:tcPr>
          <w:p w:rsidR="007C0039" w:rsidRPr="00710011"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19 252 123</w:t>
            </w:r>
          </w:p>
        </w:tc>
        <w:tc>
          <w:tcPr>
            <w:tcW w:w="1287" w:type="dxa"/>
            <w:tcBorders>
              <w:top w:val="dashSmallGap" w:sz="4" w:space="0" w:color="auto"/>
              <w:left w:val="single" w:sz="12" w:space="0" w:color="auto"/>
              <w:bottom w:val="single" w:sz="12" w:space="0" w:color="auto"/>
              <w:right w:val="dashSmallGap" w:sz="4" w:space="0" w:color="auto"/>
            </w:tcBorders>
            <w:shd w:val="clear" w:color="auto" w:fill="auto"/>
            <w:hideMark/>
          </w:tcPr>
          <w:p w:rsidR="007C0039" w:rsidRPr="000052B7"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18 250 000</w:t>
            </w:r>
          </w:p>
        </w:tc>
        <w:tc>
          <w:tcPr>
            <w:tcW w:w="1176" w:type="dxa"/>
            <w:tcBorders>
              <w:top w:val="dashSmallGap" w:sz="4" w:space="0" w:color="auto"/>
              <w:left w:val="dashSmallGap" w:sz="4" w:space="0" w:color="auto"/>
              <w:bottom w:val="single" w:sz="12" w:space="0" w:color="auto"/>
              <w:right w:val="single" w:sz="12" w:space="0" w:color="auto"/>
            </w:tcBorders>
            <w:shd w:val="clear" w:color="auto" w:fill="auto"/>
            <w:hideMark/>
          </w:tcPr>
          <w:p w:rsidR="007C0039" w:rsidRPr="000052B7" w:rsidRDefault="007C0039" w:rsidP="00744291">
            <w:pPr>
              <w:spacing w:after="0" w:line="240" w:lineRule="auto"/>
              <w:jc w:val="center"/>
              <w:rPr>
                <w:rFonts w:eastAsia="Times New Roman" w:cs="Times New Roman"/>
                <w:color w:val="000000"/>
                <w:sz w:val="18"/>
                <w:szCs w:val="18"/>
                <w:lang w:eastAsia="lv-LV"/>
              </w:rPr>
            </w:pPr>
            <w:r w:rsidRPr="000052B7">
              <w:rPr>
                <w:rFonts w:eastAsia="Times New Roman" w:cs="Times New Roman"/>
                <w:color w:val="000000"/>
                <w:sz w:val="18"/>
                <w:szCs w:val="18"/>
                <w:lang w:eastAsia="lv-LV"/>
              </w:rPr>
              <w:t>21 900 000</w:t>
            </w:r>
          </w:p>
        </w:tc>
      </w:tr>
      <w:tr w:rsidR="007C0039" w:rsidRPr="0055711C" w:rsidTr="00221E57">
        <w:trPr>
          <w:trHeight w:val="204"/>
        </w:trPr>
        <w:tc>
          <w:tcPr>
            <w:tcW w:w="444" w:type="dxa"/>
            <w:tcBorders>
              <w:top w:val="single" w:sz="12" w:space="0" w:color="auto"/>
              <w:left w:val="single" w:sz="12" w:space="0" w:color="auto"/>
              <w:bottom w:val="dashSmallGap" w:sz="4"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b/>
                <w:bCs/>
                <w:color w:val="000000"/>
                <w:sz w:val="18"/>
                <w:szCs w:val="18"/>
                <w:lang w:eastAsia="lv-LV"/>
              </w:rPr>
            </w:pPr>
          </w:p>
        </w:tc>
        <w:tc>
          <w:tcPr>
            <w:tcW w:w="5637" w:type="dxa"/>
            <w:tcBorders>
              <w:top w:val="single" w:sz="12" w:space="0" w:color="auto"/>
              <w:left w:val="single" w:sz="12" w:space="0" w:color="auto"/>
              <w:bottom w:val="dashSmallGap" w:sz="4" w:space="0" w:color="auto"/>
              <w:right w:val="single" w:sz="12" w:space="0" w:color="auto"/>
            </w:tcBorders>
            <w:shd w:val="clear" w:color="000000" w:fill="F2F2F2"/>
            <w:vAlign w:val="bottom"/>
            <w:hideMark/>
          </w:tcPr>
          <w:p w:rsidR="007C0039" w:rsidRPr="008E0131" w:rsidRDefault="007C0039" w:rsidP="00744291">
            <w:pPr>
              <w:spacing w:after="0" w:line="240" w:lineRule="auto"/>
              <w:jc w:val="center"/>
              <w:rPr>
                <w:rFonts w:eastAsia="Times New Roman" w:cs="Times New Roman"/>
                <w:b/>
                <w:bCs/>
                <w:color w:val="000000"/>
                <w:sz w:val="18"/>
                <w:szCs w:val="18"/>
                <w:lang w:eastAsia="lv-LV"/>
              </w:rPr>
            </w:pPr>
            <w:r w:rsidRPr="008E0131">
              <w:rPr>
                <w:rFonts w:eastAsia="Times New Roman" w:cs="Times New Roman"/>
                <w:b/>
                <w:bCs/>
                <w:color w:val="000000"/>
                <w:sz w:val="18"/>
                <w:szCs w:val="18"/>
                <w:lang w:eastAsia="lv-LV"/>
              </w:rPr>
              <w:t>Izdevumi – kopā</w:t>
            </w:r>
            <w:r>
              <w:rPr>
                <w:rFonts w:eastAsia="Times New Roman" w:cs="Times New Roman"/>
                <w:b/>
                <w:bCs/>
                <w:color w:val="000000"/>
                <w:sz w:val="18"/>
                <w:szCs w:val="18"/>
                <w:lang w:eastAsia="lv-LV"/>
              </w:rPr>
              <w:t xml:space="preserve"> (OIK saglabājas 26,79 EUR/MWh līmenī)</w:t>
            </w:r>
          </w:p>
        </w:tc>
        <w:tc>
          <w:tcPr>
            <w:tcW w:w="1035" w:type="dxa"/>
            <w:tcBorders>
              <w:top w:val="single" w:sz="12" w:space="0" w:color="auto"/>
              <w:left w:val="single" w:sz="12" w:space="0" w:color="auto"/>
              <w:bottom w:val="dashSmallGap" w:sz="4" w:space="0" w:color="auto"/>
              <w:right w:val="dashSmallGap" w:sz="4" w:space="0" w:color="auto"/>
            </w:tcBorders>
            <w:shd w:val="clear" w:color="000000" w:fill="F2F2F2"/>
            <w:vAlign w:val="center"/>
            <w:hideMark/>
          </w:tcPr>
          <w:p w:rsidR="007C0039" w:rsidRPr="009B40C6" w:rsidRDefault="007C0039" w:rsidP="0074429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27 968 512</w:t>
            </w:r>
          </w:p>
        </w:tc>
        <w:tc>
          <w:tcPr>
            <w:tcW w:w="1083" w:type="dxa"/>
            <w:tcBorders>
              <w:top w:val="single" w:sz="12" w:space="0" w:color="auto"/>
              <w:left w:val="dashSmallGap" w:sz="4" w:space="0" w:color="auto"/>
              <w:bottom w:val="dashSmallGap" w:sz="4" w:space="0" w:color="auto"/>
              <w:right w:val="single" w:sz="12" w:space="0" w:color="auto"/>
            </w:tcBorders>
            <w:shd w:val="clear" w:color="000000" w:fill="F2F2F2"/>
            <w:vAlign w:val="center"/>
            <w:hideMark/>
          </w:tcPr>
          <w:p w:rsidR="007C0039" w:rsidRPr="009B40C6" w:rsidRDefault="007C0039" w:rsidP="0074429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20 335 000</w:t>
            </w:r>
          </w:p>
        </w:tc>
        <w:tc>
          <w:tcPr>
            <w:tcW w:w="1134" w:type="dxa"/>
            <w:tcBorders>
              <w:top w:val="single" w:sz="12" w:space="0" w:color="auto"/>
              <w:left w:val="single" w:sz="12" w:space="0" w:color="auto"/>
              <w:bottom w:val="dashSmallGap" w:sz="4" w:space="0" w:color="auto"/>
              <w:right w:val="dashSmallGap" w:sz="4" w:space="0" w:color="auto"/>
            </w:tcBorders>
            <w:shd w:val="clear" w:color="000000" w:fill="F2F2F2"/>
            <w:vAlign w:val="center"/>
            <w:hideMark/>
          </w:tcPr>
          <w:p w:rsidR="007C0039" w:rsidRPr="009B40C6" w:rsidRDefault="007C0039" w:rsidP="0074429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61 265 211</w:t>
            </w:r>
          </w:p>
        </w:tc>
        <w:tc>
          <w:tcPr>
            <w:tcW w:w="1134" w:type="dxa"/>
            <w:tcBorders>
              <w:top w:val="single" w:sz="12" w:space="0" w:color="auto"/>
              <w:left w:val="dashSmallGap" w:sz="4" w:space="0" w:color="auto"/>
              <w:bottom w:val="dashSmallGap" w:sz="4" w:space="0" w:color="auto"/>
              <w:right w:val="dashSmallGap" w:sz="4" w:space="0" w:color="auto"/>
            </w:tcBorders>
            <w:shd w:val="clear" w:color="000000" w:fill="F2F2F2"/>
            <w:vAlign w:val="center"/>
            <w:hideMark/>
          </w:tcPr>
          <w:p w:rsidR="007C0039" w:rsidRPr="009B40C6" w:rsidRDefault="007C0039" w:rsidP="00744291">
            <w:pPr>
              <w:spacing w:after="0" w:line="240" w:lineRule="auto"/>
              <w:jc w:val="center"/>
              <w:rPr>
                <w:rFonts w:eastAsia="Times New Roman" w:cs="Times New Roman"/>
                <w:b/>
                <w:bCs/>
                <w:color w:val="000000"/>
                <w:sz w:val="18"/>
                <w:szCs w:val="18"/>
                <w:lang w:eastAsia="lv-LV"/>
              </w:rPr>
            </w:pPr>
            <w:r w:rsidRPr="009B40C6">
              <w:rPr>
                <w:rFonts w:eastAsia="Times New Roman" w:cs="Times New Roman"/>
                <w:b/>
                <w:bCs/>
                <w:color w:val="000000"/>
                <w:sz w:val="18"/>
                <w:szCs w:val="18"/>
                <w:lang w:eastAsia="lv-LV"/>
              </w:rPr>
              <w:t>61 265 211</w:t>
            </w:r>
          </w:p>
        </w:tc>
        <w:tc>
          <w:tcPr>
            <w:tcW w:w="1112" w:type="dxa"/>
            <w:tcBorders>
              <w:top w:val="single" w:sz="12" w:space="0" w:color="auto"/>
              <w:left w:val="dashSmallGap" w:sz="4" w:space="0" w:color="auto"/>
              <w:bottom w:val="dashSmallGap" w:sz="4" w:space="0" w:color="auto"/>
              <w:right w:val="single" w:sz="12" w:space="0" w:color="auto"/>
            </w:tcBorders>
            <w:shd w:val="clear" w:color="000000" w:fill="F2F2F2"/>
            <w:hideMark/>
          </w:tcPr>
          <w:p w:rsidR="007C0039" w:rsidRPr="0055711C" w:rsidRDefault="007C0039" w:rsidP="00744291">
            <w:pPr>
              <w:spacing w:after="0" w:line="240" w:lineRule="auto"/>
              <w:jc w:val="center"/>
              <w:rPr>
                <w:rFonts w:eastAsia="Times New Roman" w:cs="Times New Roman"/>
                <w:b/>
                <w:bCs/>
                <w:color w:val="000000"/>
                <w:sz w:val="18"/>
                <w:szCs w:val="18"/>
                <w:lang w:eastAsia="lv-LV"/>
              </w:rPr>
            </w:pPr>
            <w:r w:rsidRPr="000052B7">
              <w:rPr>
                <w:rFonts w:eastAsia="Times New Roman" w:cs="Times New Roman"/>
                <w:b/>
                <w:bCs/>
                <w:color w:val="000000"/>
                <w:sz w:val="18"/>
                <w:szCs w:val="18"/>
                <w:lang w:eastAsia="lv-LV"/>
              </w:rPr>
              <w:t>64 211 459</w:t>
            </w:r>
          </w:p>
        </w:tc>
        <w:tc>
          <w:tcPr>
            <w:tcW w:w="1287" w:type="dxa"/>
            <w:tcBorders>
              <w:top w:val="single" w:sz="12" w:space="0" w:color="auto"/>
              <w:left w:val="single" w:sz="12" w:space="0" w:color="auto"/>
              <w:bottom w:val="dashSmallGap" w:sz="4" w:space="0" w:color="auto"/>
              <w:right w:val="dashSmallGap" w:sz="4" w:space="0" w:color="auto"/>
            </w:tcBorders>
            <w:shd w:val="clear" w:color="000000" w:fill="F2F2F2"/>
            <w:hideMark/>
          </w:tcPr>
          <w:p w:rsidR="007C0039" w:rsidRPr="0055711C" w:rsidRDefault="007C0039" w:rsidP="00744291">
            <w:pPr>
              <w:spacing w:after="0" w:line="240" w:lineRule="auto"/>
              <w:jc w:val="center"/>
              <w:rPr>
                <w:rFonts w:eastAsia="Times New Roman" w:cs="Times New Roman"/>
                <w:b/>
                <w:bCs/>
                <w:color w:val="000000"/>
                <w:sz w:val="18"/>
                <w:szCs w:val="18"/>
                <w:lang w:eastAsia="lv-LV"/>
              </w:rPr>
            </w:pPr>
            <w:r w:rsidRPr="000052B7">
              <w:rPr>
                <w:rFonts w:eastAsia="Times New Roman" w:cs="Times New Roman"/>
                <w:b/>
                <w:bCs/>
                <w:color w:val="000000"/>
                <w:sz w:val="18"/>
                <w:szCs w:val="18"/>
                <w:lang w:eastAsia="lv-LV"/>
              </w:rPr>
              <w:t>66 892 696</w:t>
            </w:r>
          </w:p>
        </w:tc>
        <w:tc>
          <w:tcPr>
            <w:tcW w:w="1176" w:type="dxa"/>
            <w:tcBorders>
              <w:top w:val="single" w:sz="12" w:space="0" w:color="auto"/>
              <w:left w:val="dashSmallGap" w:sz="4" w:space="0" w:color="auto"/>
              <w:bottom w:val="dashSmallGap" w:sz="4" w:space="0" w:color="auto"/>
              <w:right w:val="single" w:sz="12" w:space="0" w:color="auto"/>
            </w:tcBorders>
            <w:shd w:val="clear" w:color="000000" w:fill="F2F2F2"/>
            <w:hideMark/>
          </w:tcPr>
          <w:p w:rsidR="007C0039" w:rsidRPr="0055711C" w:rsidRDefault="007C0039" w:rsidP="00744291">
            <w:pPr>
              <w:spacing w:after="0" w:line="240" w:lineRule="auto"/>
              <w:jc w:val="center"/>
              <w:rPr>
                <w:rFonts w:eastAsia="Times New Roman" w:cs="Times New Roman"/>
                <w:b/>
                <w:bCs/>
                <w:color w:val="000000"/>
                <w:sz w:val="18"/>
                <w:szCs w:val="18"/>
                <w:lang w:eastAsia="lv-LV"/>
              </w:rPr>
            </w:pPr>
            <w:r w:rsidRPr="000052B7">
              <w:rPr>
                <w:rFonts w:eastAsia="Times New Roman" w:cs="Times New Roman"/>
                <w:b/>
                <w:bCs/>
                <w:color w:val="000000"/>
                <w:sz w:val="18"/>
                <w:szCs w:val="18"/>
                <w:lang w:eastAsia="lv-LV"/>
              </w:rPr>
              <w:t>70 542 696</w:t>
            </w:r>
          </w:p>
        </w:tc>
      </w:tr>
      <w:tr w:rsidR="007C0039" w:rsidRPr="0055711C" w:rsidTr="00221E57">
        <w:trPr>
          <w:trHeight w:val="270"/>
        </w:trPr>
        <w:tc>
          <w:tcPr>
            <w:tcW w:w="444"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sidRPr="008E0131">
              <w:rPr>
                <w:rFonts w:ascii="Calibri" w:eastAsia="Times New Roman" w:hAnsi="Calibri" w:cs="Calibri"/>
                <w:color w:val="000000"/>
                <w:sz w:val="18"/>
                <w:szCs w:val="18"/>
                <w:lang w:eastAsia="lv-LV"/>
              </w:rPr>
              <w:t>5.</w:t>
            </w:r>
          </w:p>
        </w:tc>
        <w:tc>
          <w:tcPr>
            <w:tcW w:w="5637"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 xml:space="preserve">Lietotāju atbalsts </w:t>
            </w:r>
            <w:r>
              <w:rPr>
                <w:rFonts w:eastAsia="Times New Roman" w:cs="Times New Roman"/>
                <w:color w:val="000000"/>
                <w:sz w:val="18"/>
                <w:szCs w:val="18"/>
                <w:lang w:eastAsia="lv-LV"/>
              </w:rPr>
              <w:t>–</w:t>
            </w:r>
            <w:r w:rsidRPr="008E0131">
              <w:rPr>
                <w:rFonts w:eastAsia="Times New Roman" w:cs="Times New Roman"/>
                <w:color w:val="000000"/>
                <w:sz w:val="18"/>
                <w:szCs w:val="18"/>
                <w:lang w:eastAsia="lv-LV"/>
              </w:rPr>
              <w:t xml:space="preserve"> OIK</w:t>
            </w:r>
            <w:r>
              <w:rPr>
                <w:rFonts w:eastAsia="Times New Roman" w:cs="Times New Roman"/>
                <w:color w:val="000000"/>
                <w:sz w:val="18"/>
                <w:szCs w:val="18"/>
                <w:lang w:eastAsia="lv-LV"/>
              </w:rPr>
              <w:t>**</w:t>
            </w:r>
          </w:p>
        </w:tc>
        <w:tc>
          <w:tcPr>
            <w:tcW w:w="1035"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27 968 512</w:t>
            </w:r>
          </w:p>
        </w:tc>
        <w:tc>
          <w:tcPr>
            <w:tcW w:w="1083"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20 335 000</w:t>
            </w:r>
          </w:p>
        </w:tc>
        <w:tc>
          <w:tcPr>
            <w:tcW w:w="1134"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56 142 872</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56 142 872</w:t>
            </w:r>
          </w:p>
        </w:tc>
        <w:tc>
          <w:tcPr>
            <w:tcW w:w="1112"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7C0039" w:rsidRPr="00C12BF2" w:rsidRDefault="007C0039" w:rsidP="00744291">
            <w:pPr>
              <w:spacing w:after="0" w:line="240" w:lineRule="auto"/>
              <w:jc w:val="center"/>
              <w:rPr>
                <w:rFonts w:eastAsia="Times New Roman" w:cs="Times New Roman"/>
                <w:color w:val="000000"/>
                <w:sz w:val="18"/>
                <w:szCs w:val="18"/>
                <w:lang w:eastAsia="lv-LV"/>
              </w:rPr>
            </w:pPr>
            <w:r w:rsidRPr="00C12BF2">
              <w:rPr>
                <w:rFonts w:eastAsia="Times New Roman" w:cs="Times New Roman"/>
                <w:color w:val="000000"/>
                <w:sz w:val="18"/>
                <w:szCs w:val="18"/>
                <w:lang w:eastAsia="lv-LV"/>
              </w:rPr>
              <w:t>55 279 959</w:t>
            </w:r>
          </w:p>
        </w:tc>
        <w:tc>
          <w:tcPr>
            <w:tcW w:w="1287" w:type="dxa"/>
            <w:tcBorders>
              <w:top w:val="dashSmallGap" w:sz="4" w:space="0" w:color="auto"/>
              <w:left w:val="single" w:sz="12" w:space="0" w:color="auto"/>
              <w:bottom w:val="dashSmallGap" w:sz="4" w:space="0" w:color="auto"/>
              <w:right w:val="dashSmallGap" w:sz="4" w:space="0" w:color="auto"/>
            </w:tcBorders>
            <w:shd w:val="clear" w:color="auto" w:fill="auto"/>
            <w:hideMark/>
          </w:tcPr>
          <w:p w:rsidR="007C0039" w:rsidRPr="00C12BF2" w:rsidRDefault="007C0039" w:rsidP="00744291">
            <w:pPr>
              <w:spacing w:after="0" w:line="240" w:lineRule="auto"/>
              <w:jc w:val="center"/>
              <w:rPr>
                <w:rFonts w:eastAsia="Times New Roman" w:cs="Times New Roman"/>
                <w:color w:val="000000"/>
                <w:sz w:val="18"/>
                <w:szCs w:val="18"/>
                <w:lang w:eastAsia="lv-LV"/>
              </w:rPr>
            </w:pPr>
            <w:r w:rsidRPr="00C12BF2">
              <w:rPr>
                <w:rFonts w:eastAsia="Times New Roman" w:cs="Times New Roman"/>
                <w:color w:val="000000"/>
                <w:sz w:val="18"/>
                <w:szCs w:val="18"/>
                <w:lang w:eastAsia="lv-LV"/>
              </w:rPr>
              <w:t>32 863 419</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hideMark/>
          </w:tcPr>
          <w:p w:rsidR="007C0039" w:rsidRPr="00C12BF2" w:rsidRDefault="007C0039" w:rsidP="00744291">
            <w:pPr>
              <w:spacing w:after="0" w:line="240" w:lineRule="auto"/>
              <w:jc w:val="center"/>
              <w:rPr>
                <w:rFonts w:eastAsia="Times New Roman" w:cs="Times New Roman"/>
                <w:color w:val="000000"/>
                <w:sz w:val="18"/>
                <w:szCs w:val="18"/>
                <w:lang w:eastAsia="lv-LV"/>
              </w:rPr>
            </w:pPr>
            <w:r w:rsidRPr="00C12BF2">
              <w:rPr>
                <w:rFonts w:eastAsia="Times New Roman" w:cs="Times New Roman"/>
                <w:color w:val="000000"/>
                <w:sz w:val="18"/>
                <w:szCs w:val="18"/>
                <w:lang w:eastAsia="lv-LV"/>
              </w:rPr>
              <w:t>40 485 599</w:t>
            </w:r>
          </w:p>
        </w:tc>
      </w:tr>
      <w:tr w:rsidR="007C0039" w:rsidRPr="0055711C" w:rsidTr="00221E57">
        <w:trPr>
          <w:trHeight w:val="260"/>
        </w:trPr>
        <w:tc>
          <w:tcPr>
            <w:tcW w:w="444" w:type="dxa"/>
            <w:tcBorders>
              <w:top w:val="dashSmallGap" w:sz="4" w:space="0" w:color="auto"/>
              <w:left w:val="single" w:sz="12" w:space="0" w:color="auto"/>
              <w:bottom w:val="dashSmallGap" w:sz="4" w:space="0" w:color="auto"/>
              <w:right w:val="single" w:sz="12" w:space="0" w:color="auto"/>
            </w:tcBorders>
            <w:shd w:val="clear" w:color="auto" w:fill="auto"/>
            <w:noWrap/>
            <w:vAlign w:val="bottom"/>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6.</w:t>
            </w:r>
          </w:p>
        </w:tc>
        <w:tc>
          <w:tcPr>
            <w:tcW w:w="5637" w:type="dxa"/>
            <w:tcBorders>
              <w:top w:val="dashSmallGap" w:sz="4" w:space="0" w:color="auto"/>
              <w:left w:val="single" w:sz="12" w:space="0" w:color="auto"/>
              <w:bottom w:val="dashSmallGap" w:sz="4" w:space="0" w:color="auto"/>
              <w:right w:val="single" w:sz="12" w:space="0" w:color="auto"/>
            </w:tcBorders>
            <w:shd w:val="clear" w:color="auto" w:fill="auto"/>
            <w:vAlign w:val="bottom"/>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 xml:space="preserve">Lietotāju atbalsts </w:t>
            </w:r>
            <w:r>
              <w:rPr>
                <w:rFonts w:eastAsia="Times New Roman" w:cs="Times New Roman"/>
                <w:color w:val="000000"/>
                <w:sz w:val="18"/>
                <w:szCs w:val="18"/>
                <w:lang w:eastAsia="lv-LV"/>
              </w:rPr>
              <w:t>–</w:t>
            </w:r>
            <w:r w:rsidRPr="008E0131">
              <w:rPr>
                <w:rFonts w:eastAsia="Times New Roman" w:cs="Times New Roman"/>
                <w:color w:val="000000"/>
                <w:sz w:val="18"/>
                <w:szCs w:val="18"/>
                <w:lang w:eastAsia="lv-LV"/>
              </w:rPr>
              <w:t xml:space="preserve"> OIK</w:t>
            </w:r>
            <w:r>
              <w:rPr>
                <w:rFonts w:eastAsia="Times New Roman" w:cs="Times New Roman"/>
                <w:color w:val="000000"/>
                <w:sz w:val="18"/>
                <w:szCs w:val="18"/>
                <w:lang w:eastAsia="lv-LV"/>
              </w:rPr>
              <w:t>***</w:t>
            </w:r>
          </w:p>
        </w:tc>
        <w:tc>
          <w:tcPr>
            <w:tcW w:w="1035"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083"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34" w:type="dxa"/>
            <w:tcBorders>
              <w:top w:val="dashSmallGap" w:sz="4" w:space="0" w:color="auto"/>
              <w:left w:val="single" w:sz="12" w:space="0" w:color="auto"/>
              <w:bottom w:val="dashSmallGap" w:sz="4" w:space="0" w:color="auto"/>
              <w:right w:val="dashSmallGap" w:sz="4" w:space="0" w:color="auto"/>
            </w:tcBorders>
            <w:shd w:val="clear" w:color="auto" w:fill="auto"/>
            <w:vAlign w:val="center"/>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12" w:type="dxa"/>
            <w:tcBorders>
              <w:top w:val="dashSmallGap" w:sz="4" w:space="0" w:color="auto"/>
              <w:left w:val="dashSmallGap" w:sz="4" w:space="0" w:color="auto"/>
              <w:bottom w:val="dashSmallGap" w:sz="4" w:space="0" w:color="auto"/>
              <w:right w:val="single" w:sz="12" w:space="0" w:color="auto"/>
            </w:tcBorders>
            <w:shd w:val="clear" w:color="auto" w:fill="auto"/>
          </w:tcPr>
          <w:p w:rsidR="007C0039" w:rsidRPr="00C12BF2" w:rsidRDefault="007C0039" w:rsidP="00744291">
            <w:pPr>
              <w:spacing w:after="0" w:line="240" w:lineRule="auto"/>
              <w:jc w:val="center"/>
              <w:rPr>
                <w:rFonts w:eastAsia="Times New Roman" w:cs="Times New Roman"/>
                <w:color w:val="000000"/>
                <w:sz w:val="18"/>
                <w:szCs w:val="18"/>
                <w:lang w:eastAsia="lv-LV"/>
              </w:rPr>
            </w:pPr>
          </w:p>
        </w:tc>
        <w:tc>
          <w:tcPr>
            <w:tcW w:w="1287" w:type="dxa"/>
            <w:tcBorders>
              <w:top w:val="dashSmallGap" w:sz="4" w:space="0" w:color="auto"/>
              <w:left w:val="single" w:sz="12" w:space="0" w:color="auto"/>
              <w:bottom w:val="dashSmallGap" w:sz="4" w:space="0" w:color="auto"/>
              <w:right w:val="dashSmallGap" w:sz="4" w:space="0" w:color="auto"/>
            </w:tcBorders>
            <w:shd w:val="clear" w:color="auto" w:fill="auto"/>
          </w:tcPr>
          <w:p w:rsidR="007C0039" w:rsidRPr="00C12BF2" w:rsidRDefault="007C0039" w:rsidP="00744291">
            <w:pPr>
              <w:spacing w:after="0" w:line="240" w:lineRule="auto"/>
              <w:jc w:val="center"/>
              <w:rPr>
                <w:rFonts w:eastAsia="Times New Roman" w:cs="Times New Roman"/>
                <w:color w:val="000000"/>
                <w:sz w:val="18"/>
                <w:szCs w:val="18"/>
                <w:lang w:eastAsia="lv-LV"/>
              </w:rPr>
            </w:pPr>
            <w:r w:rsidRPr="00C12BF2">
              <w:rPr>
                <w:rFonts w:eastAsia="Times New Roman" w:cs="Times New Roman"/>
                <w:color w:val="000000"/>
                <w:sz w:val="18"/>
                <w:szCs w:val="18"/>
                <w:lang w:eastAsia="lv-LV"/>
              </w:rPr>
              <w:t>18 426 653</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tcPr>
          <w:p w:rsidR="007C0039" w:rsidRPr="00C12BF2" w:rsidRDefault="007C0039" w:rsidP="00744291">
            <w:pPr>
              <w:spacing w:after="0" w:line="240" w:lineRule="auto"/>
              <w:jc w:val="center"/>
              <w:rPr>
                <w:rFonts w:eastAsia="Times New Roman" w:cs="Times New Roman"/>
                <w:color w:val="000000"/>
                <w:sz w:val="18"/>
                <w:szCs w:val="18"/>
                <w:lang w:eastAsia="lv-LV"/>
              </w:rPr>
            </w:pPr>
            <w:r w:rsidRPr="00C12BF2">
              <w:rPr>
                <w:rFonts w:eastAsia="Times New Roman" w:cs="Times New Roman"/>
                <w:color w:val="000000"/>
                <w:sz w:val="18"/>
                <w:szCs w:val="18"/>
                <w:lang w:eastAsia="lv-LV"/>
              </w:rPr>
              <w:t>10 954 473</w:t>
            </w:r>
          </w:p>
        </w:tc>
      </w:tr>
      <w:tr w:rsidR="007C0039" w:rsidRPr="00821C00" w:rsidTr="00221E57">
        <w:trPr>
          <w:trHeight w:val="136"/>
        </w:trPr>
        <w:tc>
          <w:tcPr>
            <w:tcW w:w="444"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7</w:t>
            </w:r>
            <w:r w:rsidRPr="008E0131">
              <w:rPr>
                <w:rFonts w:ascii="Calibri" w:eastAsia="Times New Roman" w:hAnsi="Calibri" w:cs="Calibri"/>
                <w:color w:val="000000"/>
                <w:sz w:val="18"/>
                <w:szCs w:val="18"/>
                <w:lang w:eastAsia="lv-LV"/>
              </w:rPr>
              <w:t>.</w:t>
            </w:r>
          </w:p>
        </w:tc>
        <w:tc>
          <w:tcPr>
            <w:tcW w:w="5637"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 xml:space="preserve">Lietotāju atbalsts - energointensīvajiem uzņēmumiem. </w:t>
            </w:r>
          </w:p>
        </w:tc>
        <w:tc>
          <w:tcPr>
            <w:tcW w:w="1035"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083"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34"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sz w:val="18"/>
                <w:szCs w:val="18"/>
                <w:lang w:eastAsia="lv-LV"/>
              </w:rPr>
            </w:pP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sz w:val="18"/>
                <w:szCs w:val="18"/>
                <w:lang w:eastAsia="lv-LV"/>
              </w:rPr>
            </w:pPr>
          </w:p>
        </w:tc>
        <w:tc>
          <w:tcPr>
            <w:tcW w:w="1112"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sz w:val="18"/>
                <w:szCs w:val="18"/>
                <w:lang w:eastAsia="lv-LV"/>
              </w:rPr>
            </w:pPr>
          </w:p>
        </w:tc>
        <w:tc>
          <w:tcPr>
            <w:tcW w:w="1287" w:type="dxa"/>
            <w:tcBorders>
              <w:top w:val="dashSmallGap" w:sz="4" w:space="0" w:color="auto"/>
              <w:left w:val="single" w:sz="12" w:space="0" w:color="auto"/>
              <w:bottom w:val="dashSmallGap" w:sz="4" w:space="0" w:color="auto"/>
              <w:right w:val="dashSmallGap" w:sz="4"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3 500 000</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7 000 000</w:t>
            </w:r>
          </w:p>
        </w:tc>
      </w:tr>
      <w:tr w:rsidR="007C0039" w:rsidRPr="00821C00" w:rsidTr="00221E57">
        <w:trPr>
          <w:trHeight w:val="195"/>
        </w:trPr>
        <w:tc>
          <w:tcPr>
            <w:tcW w:w="444"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8</w:t>
            </w:r>
            <w:r w:rsidRPr="008E0131">
              <w:rPr>
                <w:rFonts w:ascii="Calibri" w:eastAsia="Times New Roman" w:hAnsi="Calibri" w:cs="Calibri"/>
                <w:color w:val="000000"/>
                <w:sz w:val="18"/>
                <w:szCs w:val="18"/>
                <w:lang w:eastAsia="lv-LV"/>
              </w:rPr>
              <w:t>.</w:t>
            </w:r>
          </w:p>
        </w:tc>
        <w:tc>
          <w:tcPr>
            <w:tcW w:w="5637"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Aizsargātie lietotāji (</w:t>
            </w:r>
            <w:r>
              <w:rPr>
                <w:rFonts w:eastAsia="Times New Roman" w:cs="Times New Roman"/>
                <w:color w:val="000000"/>
                <w:sz w:val="18"/>
                <w:szCs w:val="18"/>
                <w:lang w:eastAsia="lv-LV"/>
              </w:rPr>
              <w:t xml:space="preserve">maznodrošinātie vai trūcīgie, daudzbērnu ģimenes; </w:t>
            </w:r>
            <w:r w:rsidRPr="008E0131">
              <w:rPr>
                <w:rFonts w:eastAsia="Times New Roman" w:cs="Times New Roman"/>
                <w:color w:val="000000"/>
                <w:sz w:val="18"/>
                <w:szCs w:val="18"/>
                <w:lang w:eastAsia="lv-LV"/>
              </w:rPr>
              <w:t>iesk. PVN)</w:t>
            </w:r>
          </w:p>
        </w:tc>
        <w:tc>
          <w:tcPr>
            <w:tcW w:w="1035"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083"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34"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5 122 339</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5 122 339</w:t>
            </w:r>
          </w:p>
        </w:tc>
        <w:tc>
          <w:tcPr>
            <w:tcW w:w="1112"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5 122 339</w:t>
            </w:r>
          </w:p>
        </w:tc>
        <w:tc>
          <w:tcPr>
            <w:tcW w:w="1287" w:type="dxa"/>
            <w:tcBorders>
              <w:top w:val="dashSmallGap" w:sz="4" w:space="0" w:color="auto"/>
              <w:left w:val="single" w:sz="12" w:space="0" w:color="auto"/>
              <w:bottom w:val="dashSmallGap" w:sz="4" w:space="0" w:color="auto"/>
              <w:right w:val="dashSmallGap" w:sz="4"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5 122 339</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5 122 339</w:t>
            </w:r>
          </w:p>
        </w:tc>
      </w:tr>
      <w:tr w:rsidR="007C0039" w:rsidRPr="00821C00" w:rsidTr="00221E57">
        <w:trPr>
          <w:trHeight w:val="114"/>
        </w:trPr>
        <w:tc>
          <w:tcPr>
            <w:tcW w:w="444"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9</w:t>
            </w:r>
            <w:r w:rsidRPr="008E0131">
              <w:rPr>
                <w:rFonts w:ascii="Calibri" w:eastAsia="Times New Roman" w:hAnsi="Calibri" w:cs="Calibri"/>
                <w:color w:val="000000"/>
                <w:sz w:val="18"/>
                <w:szCs w:val="18"/>
                <w:lang w:eastAsia="lv-LV"/>
              </w:rPr>
              <w:t>.</w:t>
            </w:r>
          </w:p>
        </w:tc>
        <w:tc>
          <w:tcPr>
            <w:tcW w:w="5637"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Aizsargātie lietotāji (pieslēgumi, sistēmas tarifa atbalsts</w:t>
            </w:r>
            <w:r>
              <w:rPr>
                <w:rFonts w:eastAsia="Times New Roman" w:cs="Times New Roman"/>
                <w:color w:val="000000"/>
                <w:sz w:val="18"/>
                <w:szCs w:val="18"/>
                <w:lang w:eastAsia="lv-LV"/>
              </w:rPr>
              <w:t>, iesk. PVN</w:t>
            </w:r>
            <w:r w:rsidRPr="008E0131">
              <w:rPr>
                <w:rFonts w:eastAsia="Times New Roman" w:cs="Times New Roman"/>
                <w:color w:val="000000"/>
                <w:sz w:val="18"/>
                <w:szCs w:val="18"/>
                <w:lang w:eastAsia="lv-LV"/>
              </w:rPr>
              <w:t xml:space="preserve">) </w:t>
            </w:r>
          </w:p>
        </w:tc>
        <w:tc>
          <w:tcPr>
            <w:tcW w:w="1035"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083"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34"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sz w:val="18"/>
                <w:szCs w:val="18"/>
                <w:lang w:eastAsia="lv-LV"/>
              </w:rPr>
            </w:pP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sz w:val="18"/>
                <w:szCs w:val="18"/>
                <w:lang w:eastAsia="lv-LV"/>
              </w:rPr>
            </w:pPr>
          </w:p>
        </w:tc>
        <w:tc>
          <w:tcPr>
            <w:tcW w:w="1112"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3 500 000</w:t>
            </w:r>
          </w:p>
        </w:tc>
        <w:tc>
          <w:tcPr>
            <w:tcW w:w="1287" w:type="dxa"/>
            <w:tcBorders>
              <w:top w:val="dashSmallGap" w:sz="4" w:space="0" w:color="auto"/>
              <w:left w:val="single" w:sz="12" w:space="0" w:color="auto"/>
              <w:bottom w:val="dashSmallGap" w:sz="4" w:space="0" w:color="auto"/>
              <w:right w:val="dashSmallGap" w:sz="4"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5 639 666</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5 639 666</w:t>
            </w:r>
          </w:p>
        </w:tc>
      </w:tr>
      <w:tr w:rsidR="007C0039" w:rsidRPr="00821C00" w:rsidTr="00221E57">
        <w:trPr>
          <w:trHeight w:val="159"/>
        </w:trPr>
        <w:tc>
          <w:tcPr>
            <w:tcW w:w="444" w:type="dxa"/>
            <w:tcBorders>
              <w:top w:val="dashSmallGap" w:sz="4" w:space="0" w:color="auto"/>
              <w:left w:val="single" w:sz="12" w:space="0" w:color="auto"/>
              <w:bottom w:val="dashSmallGap" w:sz="4"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10</w:t>
            </w:r>
            <w:r w:rsidRPr="008E0131">
              <w:rPr>
                <w:rFonts w:ascii="Calibri" w:eastAsia="Times New Roman" w:hAnsi="Calibri" w:cs="Calibri"/>
                <w:color w:val="000000"/>
                <w:sz w:val="18"/>
                <w:szCs w:val="18"/>
                <w:lang w:eastAsia="lv-LV"/>
              </w:rPr>
              <w:t>.</w:t>
            </w:r>
          </w:p>
        </w:tc>
        <w:tc>
          <w:tcPr>
            <w:tcW w:w="5637" w:type="dxa"/>
            <w:tcBorders>
              <w:top w:val="dashSmallGap" w:sz="4" w:space="0" w:color="auto"/>
              <w:left w:val="single" w:sz="12" w:space="0" w:color="auto"/>
              <w:bottom w:val="dashSmallGap" w:sz="4" w:space="0" w:color="auto"/>
              <w:right w:val="single" w:sz="12" w:space="0" w:color="auto"/>
            </w:tcBorders>
            <w:shd w:val="clear" w:color="auto" w:fill="auto"/>
            <w:vAlign w:val="bottom"/>
            <w:hideMark/>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Aizsargātie lietotāji (bērni līdz 24</w:t>
            </w:r>
            <w:r>
              <w:rPr>
                <w:rFonts w:eastAsia="Times New Roman" w:cs="Times New Roman"/>
                <w:color w:val="000000"/>
                <w:sz w:val="18"/>
                <w:szCs w:val="18"/>
                <w:lang w:eastAsia="lv-LV"/>
              </w:rPr>
              <w:t>, iesk. PVN</w:t>
            </w:r>
            <w:r w:rsidRPr="008E0131">
              <w:rPr>
                <w:rFonts w:eastAsia="Times New Roman" w:cs="Times New Roman"/>
                <w:color w:val="000000"/>
                <w:sz w:val="18"/>
                <w:szCs w:val="18"/>
                <w:lang w:eastAsia="lv-LV"/>
              </w:rPr>
              <w:t>)</w:t>
            </w:r>
            <w:r>
              <w:rPr>
                <w:rFonts w:eastAsia="Times New Roman" w:cs="Times New Roman"/>
                <w:color w:val="000000"/>
                <w:sz w:val="18"/>
                <w:szCs w:val="18"/>
                <w:lang w:eastAsia="lv-LV"/>
              </w:rPr>
              <w:t>****</w:t>
            </w:r>
          </w:p>
        </w:tc>
        <w:tc>
          <w:tcPr>
            <w:tcW w:w="1035"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083" w:type="dxa"/>
            <w:tcBorders>
              <w:top w:val="dashSmallGap" w:sz="4" w:space="0" w:color="auto"/>
              <w:left w:val="dashSmallGap" w:sz="4" w:space="0" w:color="auto"/>
              <w:bottom w:val="dashSmallGap" w:sz="4"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34" w:type="dxa"/>
            <w:tcBorders>
              <w:top w:val="dashSmallGap" w:sz="4" w:space="0" w:color="auto"/>
              <w:left w:val="single" w:sz="12"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sz w:val="18"/>
                <w:szCs w:val="18"/>
                <w:lang w:eastAsia="lv-LV"/>
              </w:rPr>
            </w:pP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sz w:val="18"/>
                <w:szCs w:val="18"/>
                <w:lang w:eastAsia="lv-LV"/>
              </w:rPr>
            </w:pPr>
          </w:p>
        </w:tc>
        <w:tc>
          <w:tcPr>
            <w:tcW w:w="1112"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sz w:val="18"/>
                <w:szCs w:val="18"/>
                <w:lang w:eastAsia="lv-LV"/>
              </w:rPr>
            </w:pPr>
          </w:p>
        </w:tc>
        <w:tc>
          <w:tcPr>
            <w:tcW w:w="1287" w:type="dxa"/>
            <w:tcBorders>
              <w:top w:val="dashSmallGap" w:sz="4" w:space="0" w:color="auto"/>
              <w:left w:val="single" w:sz="12" w:space="0" w:color="auto"/>
              <w:bottom w:val="dashSmallGap" w:sz="4" w:space="0" w:color="auto"/>
              <w:right w:val="dashSmallGap" w:sz="4"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1 031 458</w:t>
            </w:r>
          </w:p>
        </w:tc>
        <w:tc>
          <w:tcPr>
            <w:tcW w:w="1176" w:type="dxa"/>
            <w:tcBorders>
              <w:top w:val="dashSmallGap" w:sz="4" w:space="0" w:color="auto"/>
              <w:left w:val="dashSmallGap" w:sz="4" w:space="0" w:color="auto"/>
              <w:bottom w:val="dashSmallGap" w:sz="4" w:space="0" w:color="auto"/>
              <w:right w:val="single" w:sz="12"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1 031 458</w:t>
            </w:r>
          </w:p>
        </w:tc>
      </w:tr>
      <w:tr w:rsidR="007C0039" w:rsidRPr="00821C00" w:rsidTr="00221E57">
        <w:trPr>
          <w:trHeight w:val="206"/>
        </w:trPr>
        <w:tc>
          <w:tcPr>
            <w:tcW w:w="444" w:type="dxa"/>
            <w:tcBorders>
              <w:top w:val="dashSmallGap" w:sz="4" w:space="0" w:color="auto"/>
              <w:left w:val="single" w:sz="12" w:space="0" w:color="auto"/>
              <w:bottom w:val="single" w:sz="12"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11</w:t>
            </w:r>
            <w:r w:rsidRPr="008E0131">
              <w:rPr>
                <w:rFonts w:ascii="Calibri" w:eastAsia="Times New Roman" w:hAnsi="Calibri" w:cs="Calibri"/>
                <w:color w:val="000000"/>
                <w:sz w:val="18"/>
                <w:szCs w:val="18"/>
                <w:lang w:eastAsia="lv-LV"/>
              </w:rPr>
              <w:t>.</w:t>
            </w:r>
          </w:p>
        </w:tc>
        <w:tc>
          <w:tcPr>
            <w:tcW w:w="5637" w:type="dxa"/>
            <w:tcBorders>
              <w:top w:val="dashSmallGap" w:sz="4" w:space="0" w:color="auto"/>
              <w:left w:val="single" w:sz="12" w:space="0" w:color="auto"/>
              <w:bottom w:val="single" w:sz="12" w:space="0" w:color="auto"/>
              <w:right w:val="single" w:sz="12" w:space="0" w:color="auto"/>
            </w:tcBorders>
            <w:shd w:val="clear" w:color="auto" w:fill="auto"/>
            <w:vAlign w:val="bottom"/>
            <w:hideMark/>
          </w:tcPr>
          <w:p w:rsidR="007C0039" w:rsidRPr="008E0131" w:rsidRDefault="007C0039" w:rsidP="00744291">
            <w:pPr>
              <w:spacing w:after="0" w:line="240" w:lineRule="auto"/>
              <w:jc w:val="left"/>
              <w:rPr>
                <w:rFonts w:eastAsia="Times New Roman" w:cs="Times New Roman"/>
                <w:color w:val="000000"/>
                <w:sz w:val="18"/>
                <w:szCs w:val="18"/>
                <w:lang w:eastAsia="lv-LV"/>
              </w:rPr>
            </w:pPr>
            <w:r w:rsidRPr="008E0131">
              <w:rPr>
                <w:rFonts w:eastAsia="Times New Roman" w:cs="Times New Roman"/>
                <w:color w:val="000000"/>
                <w:sz w:val="18"/>
                <w:szCs w:val="18"/>
                <w:lang w:eastAsia="lv-LV"/>
              </w:rPr>
              <w:t xml:space="preserve">Aizsargātie lietotāji (bērni </w:t>
            </w:r>
            <w:r>
              <w:rPr>
                <w:rFonts w:eastAsia="Times New Roman" w:cs="Times New Roman"/>
                <w:color w:val="000000"/>
                <w:sz w:val="18"/>
                <w:szCs w:val="18"/>
                <w:lang w:eastAsia="lv-LV"/>
              </w:rPr>
              <w:t>ar invaliditāti, iesk. PVN) *****</w:t>
            </w:r>
          </w:p>
        </w:tc>
        <w:tc>
          <w:tcPr>
            <w:tcW w:w="1035"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083" w:type="dxa"/>
            <w:tcBorders>
              <w:top w:val="dashSmallGap" w:sz="4" w:space="0" w:color="auto"/>
              <w:left w:val="dashSmallGap" w:sz="4" w:space="0" w:color="auto"/>
              <w:bottom w:val="single" w:sz="12"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34" w:type="dxa"/>
            <w:tcBorders>
              <w:top w:val="dashSmallGap" w:sz="4" w:space="0" w:color="auto"/>
              <w:left w:val="single" w:sz="12" w:space="0" w:color="auto"/>
              <w:bottom w:val="single" w:sz="12"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34" w:type="dxa"/>
            <w:tcBorders>
              <w:top w:val="dashSmallGap" w:sz="4" w:space="0" w:color="auto"/>
              <w:left w:val="dashSmallGap" w:sz="4" w:space="0" w:color="auto"/>
              <w:bottom w:val="single" w:sz="12"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p>
        </w:tc>
        <w:tc>
          <w:tcPr>
            <w:tcW w:w="1112" w:type="dxa"/>
            <w:tcBorders>
              <w:top w:val="dashSmallGap" w:sz="4" w:space="0" w:color="auto"/>
              <w:left w:val="dashSmallGap" w:sz="4" w:space="0" w:color="auto"/>
              <w:bottom w:val="single" w:sz="12" w:space="0" w:color="auto"/>
              <w:right w:val="single" w:sz="12"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309 161</w:t>
            </w:r>
          </w:p>
        </w:tc>
        <w:tc>
          <w:tcPr>
            <w:tcW w:w="1287" w:type="dxa"/>
            <w:tcBorders>
              <w:top w:val="dashSmallGap" w:sz="4" w:space="0" w:color="auto"/>
              <w:left w:val="single" w:sz="12" w:space="0" w:color="auto"/>
              <w:bottom w:val="single" w:sz="12" w:space="0" w:color="auto"/>
              <w:right w:val="dashSmallGap" w:sz="4"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309 161</w:t>
            </w:r>
          </w:p>
        </w:tc>
        <w:tc>
          <w:tcPr>
            <w:tcW w:w="1176" w:type="dxa"/>
            <w:tcBorders>
              <w:top w:val="dashSmallGap" w:sz="4" w:space="0" w:color="auto"/>
              <w:left w:val="dashSmallGap" w:sz="4" w:space="0" w:color="auto"/>
              <w:bottom w:val="single" w:sz="12" w:space="0" w:color="auto"/>
              <w:right w:val="single" w:sz="12" w:space="0" w:color="auto"/>
            </w:tcBorders>
            <w:shd w:val="clear" w:color="auto" w:fill="auto"/>
            <w:vAlign w:val="bottom"/>
            <w:hideMark/>
          </w:tcPr>
          <w:p w:rsidR="007C0039" w:rsidRPr="00821C00" w:rsidRDefault="007C0039" w:rsidP="00744291">
            <w:pPr>
              <w:spacing w:after="0" w:line="240" w:lineRule="auto"/>
              <w:jc w:val="center"/>
              <w:rPr>
                <w:rFonts w:eastAsia="Times New Roman" w:cs="Times New Roman"/>
                <w:color w:val="000000"/>
                <w:sz w:val="18"/>
                <w:szCs w:val="18"/>
                <w:lang w:eastAsia="lv-LV"/>
              </w:rPr>
            </w:pPr>
            <w:r w:rsidRPr="00821C00">
              <w:rPr>
                <w:rFonts w:eastAsia="Times New Roman" w:cs="Times New Roman"/>
                <w:color w:val="000000"/>
                <w:sz w:val="18"/>
                <w:szCs w:val="18"/>
                <w:lang w:eastAsia="lv-LV"/>
              </w:rPr>
              <w:t>309 161</w:t>
            </w:r>
          </w:p>
        </w:tc>
      </w:tr>
      <w:tr w:rsidR="007C0039" w:rsidRPr="000052B7" w:rsidTr="00221E57">
        <w:trPr>
          <w:trHeight w:val="210"/>
        </w:trPr>
        <w:tc>
          <w:tcPr>
            <w:tcW w:w="4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p>
        </w:tc>
        <w:tc>
          <w:tcPr>
            <w:tcW w:w="5637"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7C0039" w:rsidRPr="008E0131" w:rsidRDefault="007C0039" w:rsidP="00221E57">
            <w:pPr>
              <w:spacing w:after="0" w:line="240" w:lineRule="auto"/>
              <w:jc w:val="left"/>
              <w:rPr>
                <w:rFonts w:eastAsia="Times New Roman" w:cs="Times New Roman"/>
                <w:color w:val="000000"/>
                <w:sz w:val="18"/>
                <w:szCs w:val="18"/>
                <w:lang w:eastAsia="lv-LV"/>
              </w:rPr>
            </w:pPr>
            <w:r>
              <w:rPr>
                <w:rFonts w:eastAsia="Times New Roman" w:cs="Times New Roman"/>
                <w:color w:val="000000"/>
                <w:sz w:val="18"/>
                <w:szCs w:val="18"/>
                <w:lang w:eastAsia="lv-LV"/>
              </w:rPr>
              <w:t>Bilance (EUR)</w:t>
            </w:r>
          </w:p>
        </w:tc>
        <w:tc>
          <w:tcPr>
            <w:tcW w:w="1035"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24 012 801</w:t>
            </w:r>
          </w:p>
        </w:tc>
        <w:tc>
          <w:tcPr>
            <w:tcW w:w="1083" w:type="dxa"/>
            <w:tcBorders>
              <w:top w:val="single" w:sz="12" w:space="0" w:color="auto"/>
              <w:left w:val="dashSmallGap" w:sz="4" w:space="0" w:color="auto"/>
              <w:bottom w:val="single" w:sz="12" w:space="0" w:color="auto"/>
              <w:right w:val="single" w:sz="12"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28 163 313</w:t>
            </w:r>
          </w:p>
        </w:tc>
        <w:tc>
          <w:tcPr>
            <w:tcW w:w="1134"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382 153</w:t>
            </w:r>
          </w:p>
        </w:tc>
        <w:tc>
          <w:tcPr>
            <w:tcW w:w="1134" w:type="dxa"/>
            <w:tcBorders>
              <w:top w:val="single" w:sz="12" w:space="0" w:color="auto"/>
              <w:left w:val="dashSmallGap" w:sz="4" w:space="0" w:color="auto"/>
              <w:bottom w:val="single" w:sz="12" w:space="0" w:color="auto"/>
              <w:right w:val="dashSmallGap" w:sz="4" w:space="0" w:color="auto"/>
            </w:tcBorders>
            <w:shd w:val="clear" w:color="auto" w:fill="auto"/>
            <w:vAlign w:val="center"/>
            <w:hideMark/>
          </w:tcPr>
          <w:p w:rsidR="007C0039" w:rsidRPr="009B40C6" w:rsidRDefault="007C0039" w:rsidP="00744291">
            <w:pPr>
              <w:spacing w:after="0" w:line="240" w:lineRule="auto"/>
              <w:jc w:val="center"/>
              <w:rPr>
                <w:rFonts w:eastAsia="Times New Roman" w:cs="Times New Roman"/>
                <w:color w:val="000000"/>
                <w:sz w:val="18"/>
                <w:szCs w:val="18"/>
                <w:lang w:eastAsia="lv-LV"/>
              </w:rPr>
            </w:pPr>
            <w:r w:rsidRPr="009B40C6">
              <w:rPr>
                <w:rFonts w:eastAsia="Times New Roman" w:cs="Times New Roman"/>
                <w:color w:val="000000"/>
                <w:sz w:val="18"/>
                <w:szCs w:val="18"/>
                <w:lang w:eastAsia="lv-LV"/>
              </w:rPr>
              <w:t>-997 847</w:t>
            </w:r>
          </w:p>
        </w:tc>
        <w:tc>
          <w:tcPr>
            <w:tcW w:w="1112" w:type="dxa"/>
            <w:tcBorders>
              <w:top w:val="single" w:sz="12" w:space="0" w:color="auto"/>
              <w:left w:val="dashSmallGap" w:sz="4" w:space="0" w:color="auto"/>
              <w:bottom w:val="single" w:sz="12" w:space="0" w:color="auto"/>
              <w:right w:val="single" w:sz="12" w:space="0" w:color="auto"/>
            </w:tcBorders>
            <w:shd w:val="clear" w:color="auto" w:fill="auto"/>
            <w:hideMark/>
          </w:tcPr>
          <w:p w:rsidR="007C0039" w:rsidRPr="000052B7" w:rsidRDefault="007C0039" w:rsidP="0074429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0</w:t>
            </w:r>
          </w:p>
        </w:tc>
        <w:tc>
          <w:tcPr>
            <w:tcW w:w="1287" w:type="dxa"/>
            <w:tcBorders>
              <w:top w:val="single" w:sz="12" w:space="0" w:color="auto"/>
              <w:left w:val="single" w:sz="12" w:space="0" w:color="auto"/>
              <w:bottom w:val="single" w:sz="12" w:space="0" w:color="auto"/>
              <w:right w:val="dashSmallGap" w:sz="4" w:space="0" w:color="auto"/>
            </w:tcBorders>
            <w:shd w:val="clear" w:color="auto" w:fill="auto"/>
            <w:hideMark/>
          </w:tcPr>
          <w:p w:rsidR="007C0039" w:rsidRPr="000052B7" w:rsidRDefault="007C0039" w:rsidP="0074429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0</w:t>
            </w:r>
          </w:p>
        </w:tc>
        <w:tc>
          <w:tcPr>
            <w:tcW w:w="1176" w:type="dxa"/>
            <w:tcBorders>
              <w:top w:val="single" w:sz="12" w:space="0" w:color="auto"/>
              <w:left w:val="dashSmallGap" w:sz="4" w:space="0" w:color="auto"/>
              <w:bottom w:val="single" w:sz="12" w:space="0" w:color="auto"/>
              <w:right w:val="single" w:sz="12" w:space="0" w:color="auto"/>
            </w:tcBorders>
            <w:shd w:val="clear" w:color="auto" w:fill="auto"/>
            <w:hideMark/>
          </w:tcPr>
          <w:p w:rsidR="007C0039" w:rsidRPr="000052B7" w:rsidRDefault="007C0039" w:rsidP="0074429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0</w:t>
            </w:r>
          </w:p>
        </w:tc>
      </w:tr>
      <w:tr w:rsidR="007C0039" w:rsidRPr="00D71281" w:rsidTr="00221E57">
        <w:trPr>
          <w:trHeight w:val="255"/>
        </w:trPr>
        <w:tc>
          <w:tcPr>
            <w:tcW w:w="44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C0039" w:rsidRPr="008E0131" w:rsidRDefault="007C0039" w:rsidP="00744291">
            <w:pPr>
              <w:spacing w:after="0" w:line="240" w:lineRule="auto"/>
              <w:jc w:val="left"/>
              <w:rPr>
                <w:rFonts w:ascii="Calibri" w:eastAsia="Times New Roman" w:hAnsi="Calibri" w:cs="Calibri"/>
                <w:color w:val="000000"/>
                <w:sz w:val="18"/>
                <w:szCs w:val="18"/>
                <w:lang w:eastAsia="lv-LV"/>
              </w:rPr>
            </w:pPr>
          </w:p>
        </w:tc>
        <w:tc>
          <w:tcPr>
            <w:tcW w:w="5637"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7C0039" w:rsidRPr="00D71281" w:rsidRDefault="007C0039" w:rsidP="00744291">
            <w:pPr>
              <w:spacing w:after="0" w:line="240" w:lineRule="auto"/>
              <w:jc w:val="left"/>
              <w:rPr>
                <w:rFonts w:eastAsia="Times New Roman" w:cs="Times New Roman"/>
                <w:b/>
                <w:color w:val="000000"/>
                <w:sz w:val="18"/>
                <w:szCs w:val="18"/>
                <w:lang w:eastAsia="lv-LV"/>
              </w:rPr>
            </w:pPr>
            <w:r w:rsidRPr="00D71281">
              <w:rPr>
                <w:rFonts w:eastAsia="Times New Roman" w:cs="Times New Roman"/>
                <w:b/>
                <w:color w:val="000000"/>
                <w:sz w:val="18"/>
                <w:szCs w:val="18"/>
                <w:lang w:eastAsia="lv-LV"/>
              </w:rPr>
              <w:t>OIK, EUR/MWh</w:t>
            </w:r>
          </w:p>
        </w:tc>
        <w:tc>
          <w:tcPr>
            <w:tcW w:w="1035"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7C0039" w:rsidRPr="00D71281" w:rsidRDefault="007C0039" w:rsidP="00744291">
            <w:pPr>
              <w:spacing w:after="0" w:line="240" w:lineRule="auto"/>
              <w:jc w:val="center"/>
              <w:rPr>
                <w:rFonts w:eastAsia="Times New Roman" w:cs="Times New Roman"/>
                <w:b/>
                <w:color w:val="000000"/>
                <w:sz w:val="18"/>
                <w:szCs w:val="18"/>
                <w:lang w:eastAsia="lv-LV"/>
              </w:rPr>
            </w:pPr>
          </w:p>
        </w:tc>
        <w:tc>
          <w:tcPr>
            <w:tcW w:w="1083" w:type="dxa"/>
            <w:tcBorders>
              <w:top w:val="single" w:sz="12" w:space="0" w:color="auto"/>
              <w:left w:val="dashSmallGap" w:sz="4" w:space="0" w:color="auto"/>
              <w:bottom w:val="single" w:sz="12" w:space="0" w:color="auto"/>
              <w:right w:val="single" w:sz="12" w:space="0" w:color="auto"/>
            </w:tcBorders>
            <w:shd w:val="clear" w:color="auto" w:fill="auto"/>
            <w:vAlign w:val="center"/>
            <w:hideMark/>
          </w:tcPr>
          <w:p w:rsidR="007C0039" w:rsidRPr="00D71281" w:rsidRDefault="007C0039" w:rsidP="00744291">
            <w:pPr>
              <w:spacing w:after="0" w:line="240" w:lineRule="auto"/>
              <w:jc w:val="center"/>
              <w:rPr>
                <w:rFonts w:eastAsia="Times New Roman" w:cs="Times New Roman"/>
                <w:b/>
                <w:color w:val="000000"/>
                <w:sz w:val="18"/>
                <w:szCs w:val="18"/>
                <w:lang w:eastAsia="lv-LV"/>
              </w:rPr>
            </w:pPr>
            <w:r w:rsidRPr="00D71281">
              <w:rPr>
                <w:rFonts w:eastAsia="Times New Roman" w:cs="Times New Roman"/>
                <w:b/>
                <w:color w:val="000000"/>
                <w:sz w:val="18"/>
                <w:szCs w:val="18"/>
                <w:lang w:eastAsia="lv-LV"/>
              </w:rPr>
              <w:t>26,79</w:t>
            </w:r>
          </w:p>
        </w:tc>
        <w:tc>
          <w:tcPr>
            <w:tcW w:w="1134"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7C0039" w:rsidRPr="00D71281" w:rsidRDefault="007C0039" w:rsidP="00744291">
            <w:pPr>
              <w:spacing w:after="0" w:line="240" w:lineRule="auto"/>
              <w:jc w:val="center"/>
              <w:rPr>
                <w:rFonts w:eastAsia="Times New Roman" w:cs="Times New Roman"/>
                <w:b/>
                <w:color w:val="000000"/>
                <w:sz w:val="18"/>
                <w:szCs w:val="18"/>
                <w:lang w:eastAsia="lv-LV"/>
              </w:rPr>
            </w:pPr>
          </w:p>
        </w:tc>
        <w:tc>
          <w:tcPr>
            <w:tcW w:w="1134" w:type="dxa"/>
            <w:tcBorders>
              <w:top w:val="single" w:sz="12" w:space="0" w:color="auto"/>
              <w:left w:val="dashSmallGap" w:sz="4" w:space="0" w:color="auto"/>
              <w:bottom w:val="single" w:sz="12" w:space="0" w:color="auto"/>
              <w:right w:val="dashSmallGap" w:sz="4" w:space="0" w:color="auto"/>
            </w:tcBorders>
            <w:shd w:val="clear" w:color="auto" w:fill="auto"/>
            <w:vAlign w:val="center"/>
            <w:hideMark/>
          </w:tcPr>
          <w:p w:rsidR="007C0039" w:rsidRPr="00D71281" w:rsidRDefault="007C0039" w:rsidP="00744291">
            <w:pPr>
              <w:spacing w:after="0" w:line="240" w:lineRule="auto"/>
              <w:jc w:val="center"/>
              <w:rPr>
                <w:rFonts w:eastAsia="Times New Roman" w:cs="Times New Roman"/>
                <w:b/>
                <w:color w:val="000000"/>
                <w:sz w:val="18"/>
                <w:szCs w:val="18"/>
                <w:lang w:eastAsia="lv-LV"/>
              </w:rPr>
            </w:pPr>
          </w:p>
        </w:tc>
        <w:tc>
          <w:tcPr>
            <w:tcW w:w="1112" w:type="dxa"/>
            <w:tcBorders>
              <w:top w:val="single" w:sz="12" w:space="0" w:color="auto"/>
              <w:left w:val="dashSmallGap" w:sz="4" w:space="0" w:color="auto"/>
              <w:bottom w:val="single" w:sz="12" w:space="0" w:color="auto"/>
              <w:right w:val="single" w:sz="12" w:space="0" w:color="auto"/>
            </w:tcBorders>
            <w:shd w:val="clear" w:color="auto" w:fill="auto"/>
            <w:vAlign w:val="center"/>
            <w:hideMark/>
          </w:tcPr>
          <w:p w:rsidR="007C0039" w:rsidRPr="00D71281" w:rsidRDefault="007C0039" w:rsidP="0074429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27,67</w:t>
            </w:r>
          </w:p>
        </w:tc>
        <w:tc>
          <w:tcPr>
            <w:tcW w:w="1287" w:type="dxa"/>
            <w:tcBorders>
              <w:top w:val="single" w:sz="12" w:space="0" w:color="auto"/>
              <w:left w:val="single" w:sz="12" w:space="0" w:color="auto"/>
              <w:bottom w:val="single" w:sz="12" w:space="0" w:color="auto"/>
              <w:right w:val="dashSmallGap" w:sz="4" w:space="0" w:color="auto"/>
            </w:tcBorders>
            <w:shd w:val="clear" w:color="auto" w:fill="auto"/>
            <w:vAlign w:val="center"/>
            <w:hideMark/>
          </w:tcPr>
          <w:p w:rsidR="007C0039" w:rsidRPr="00D71281" w:rsidRDefault="007C0039" w:rsidP="0074429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32,34</w:t>
            </w:r>
          </w:p>
        </w:tc>
        <w:tc>
          <w:tcPr>
            <w:tcW w:w="1176" w:type="dxa"/>
            <w:tcBorders>
              <w:top w:val="single" w:sz="12" w:space="0" w:color="auto"/>
              <w:left w:val="dashSmallGap" w:sz="4" w:space="0" w:color="auto"/>
              <w:bottom w:val="single" w:sz="12" w:space="0" w:color="auto"/>
              <w:right w:val="single" w:sz="12" w:space="0" w:color="auto"/>
            </w:tcBorders>
            <w:shd w:val="clear" w:color="auto" w:fill="auto"/>
            <w:vAlign w:val="center"/>
            <w:hideMark/>
          </w:tcPr>
          <w:p w:rsidR="007C0039" w:rsidRPr="00D71281" w:rsidRDefault="007C0039" w:rsidP="00744291">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32,41</w:t>
            </w:r>
          </w:p>
        </w:tc>
      </w:tr>
      <w:tr w:rsidR="00221E57" w:rsidRPr="00D71281" w:rsidTr="00221E57">
        <w:trPr>
          <w:trHeight w:val="255"/>
        </w:trPr>
        <w:tc>
          <w:tcPr>
            <w:tcW w:w="4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21E57" w:rsidRPr="008E0131" w:rsidRDefault="00221E57" w:rsidP="00221E57">
            <w:pPr>
              <w:spacing w:after="0" w:line="240" w:lineRule="auto"/>
              <w:jc w:val="left"/>
              <w:rPr>
                <w:rFonts w:ascii="Calibri" w:eastAsia="Times New Roman" w:hAnsi="Calibri" w:cs="Calibri"/>
                <w:color w:val="000000"/>
                <w:sz w:val="18"/>
                <w:szCs w:val="18"/>
                <w:lang w:eastAsia="lv-LV"/>
              </w:rPr>
            </w:pPr>
            <w:r>
              <w:rPr>
                <w:rFonts w:ascii="Calibri" w:eastAsia="Times New Roman" w:hAnsi="Calibri" w:cs="Calibri"/>
                <w:color w:val="000000"/>
                <w:sz w:val="18"/>
                <w:szCs w:val="18"/>
                <w:lang w:eastAsia="lv-LV"/>
              </w:rPr>
              <w:t>vai</w:t>
            </w:r>
          </w:p>
        </w:tc>
        <w:tc>
          <w:tcPr>
            <w:tcW w:w="5637" w:type="dxa"/>
            <w:tcBorders>
              <w:top w:val="single" w:sz="12" w:space="0" w:color="auto"/>
              <w:left w:val="single" w:sz="12" w:space="0" w:color="auto"/>
              <w:bottom w:val="single" w:sz="12" w:space="0" w:color="auto"/>
              <w:right w:val="single" w:sz="12" w:space="0" w:color="auto"/>
            </w:tcBorders>
            <w:shd w:val="clear" w:color="auto" w:fill="auto"/>
            <w:vAlign w:val="bottom"/>
          </w:tcPr>
          <w:p w:rsidR="00221E57" w:rsidRPr="008511B0" w:rsidRDefault="00221E57" w:rsidP="00221E57">
            <w:pPr>
              <w:spacing w:after="0" w:line="240" w:lineRule="auto"/>
              <w:jc w:val="left"/>
              <w:rPr>
                <w:rFonts w:eastAsia="Times New Roman" w:cs="Times New Roman"/>
                <w:color w:val="000000"/>
                <w:sz w:val="18"/>
                <w:szCs w:val="18"/>
                <w:lang w:eastAsia="lv-LV"/>
              </w:rPr>
            </w:pPr>
            <w:r w:rsidRPr="008511B0">
              <w:rPr>
                <w:rFonts w:eastAsia="Times New Roman" w:cs="Times New Roman"/>
                <w:color w:val="000000"/>
                <w:sz w:val="18"/>
                <w:szCs w:val="18"/>
                <w:lang w:eastAsia="lv-LV"/>
              </w:rPr>
              <w:t>Bilance (EUR)</w:t>
            </w:r>
          </w:p>
        </w:tc>
        <w:tc>
          <w:tcPr>
            <w:tcW w:w="1035" w:type="dxa"/>
            <w:tcBorders>
              <w:top w:val="single" w:sz="12" w:space="0" w:color="auto"/>
              <w:left w:val="single" w:sz="12" w:space="0" w:color="auto"/>
              <w:bottom w:val="single" w:sz="12" w:space="0" w:color="auto"/>
              <w:right w:val="dashSmallGap" w:sz="4" w:space="0" w:color="auto"/>
            </w:tcBorders>
            <w:shd w:val="clear" w:color="auto" w:fill="auto"/>
            <w:vAlign w:val="center"/>
          </w:tcPr>
          <w:p w:rsidR="00221E57" w:rsidRPr="00D71281" w:rsidRDefault="00221E57" w:rsidP="00221E57">
            <w:pPr>
              <w:spacing w:after="0" w:line="240" w:lineRule="auto"/>
              <w:jc w:val="center"/>
              <w:rPr>
                <w:rFonts w:eastAsia="Times New Roman" w:cs="Times New Roman"/>
                <w:b/>
                <w:color w:val="000000"/>
                <w:sz w:val="18"/>
                <w:szCs w:val="18"/>
                <w:lang w:eastAsia="lv-LV"/>
              </w:rPr>
            </w:pPr>
          </w:p>
        </w:tc>
        <w:tc>
          <w:tcPr>
            <w:tcW w:w="1083" w:type="dxa"/>
            <w:tcBorders>
              <w:top w:val="single" w:sz="12" w:space="0" w:color="auto"/>
              <w:left w:val="dashSmallGap" w:sz="4" w:space="0" w:color="auto"/>
              <w:bottom w:val="single" w:sz="12" w:space="0" w:color="auto"/>
              <w:right w:val="single" w:sz="12" w:space="0" w:color="auto"/>
            </w:tcBorders>
            <w:shd w:val="clear" w:color="auto" w:fill="auto"/>
            <w:vAlign w:val="bottom"/>
          </w:tcPr>
          <w:p w:rsidR="00221E57" w:rsidRPr="0055711C" w:rsidRDefault="00221E57" w:rsidP="00221E57">
            <w:pPr>
              <w:spacing w:after="0" w:line="240" w:lineRule="auto"/>
              <w:jc w:val="center"/>
              <w:rPr>
                <w:rFonts w:eastAsia="Times New Roman" w:cs="Times New Roman"/>
                <w:b/>
                <w:bCs/>
                <w:color w:val="000000"/>
                <w:sz w:val="18"/>
                <w:szCs w:val="18"/>
                <w:lang w:eastAsia="lv-LV"/>
              </w:rPr>
            </w:pPr>
          </w:p>
        </w:tc>
        <w:tc>
          <w:tcPr>
            <w:tcW w:w="1134" w:type="dxa"/>
            <w:tcBorders>
              <w:top w:val="single" w:sz="12" w:space="0" w:color="auto"/>
              <w:left w:val="single" w:sz="12" w:space="0" w:color="auto"/>
              <w:bottom w:val="single" w:sz="12" w:space="0" w:color="auto"/>
              <w:right w:val="dashSmallGap" w:sz="4" w:space="0" w:color="auto"/>
            </w:tcBorders>
            <w:shd w:val="clear" w:color="auto" w:fill="auto"/>
            <w:vAlign w:val="bottom"/>
          </w:tcPr>
          <w:p w:rsidR="00221E57" w:rsidRPr="0055711C" w:rsidRDefault="00221E57" w:rsidP="00221E57">
            <w:pPr>
              <w:spacing w:after="0" w:line="240" w:lineRule="auto"/>
              <w:jc w:val="center"/>
              <w:rPr>
                <w:rFonts w:eastAsia="Times New Roman" w:cs="Times New Roman"/>
                <w:b/>
                <w:bCs/>
                <w:color w:val="000000"/>
                <w:sz w:val="18"/>
                <w:szCs w:val="18"/>
                <w:lang w:eastAsia="lv-LV"/>
              </w:rPr>
            </w:pPr>
          </w:p>
        </w:tc>
        <w:tc>
          <w:tcPr>
            <w:tcW w:w="1134" w:type="dxa"/>
            <w:tcBorders>
              <w:top w:val="single" w:sz="12" w:space="0" w:color="auto"/>
              <w:left w:val="dashSmallGap" w:sz="4" w:space="0" w:color="auto"/>
              <w:bottom w:val="single" w:sz="12" w:space="0" w:color="auto"/>
              <w:right w:val="dashSmallGap" w:sz="4" w:space="0" w:color="auto"/>
            </w:tcBorders>
            <w:shd w:val="clear" w:color="auto" w:fill="auto"/>
            <w:vAlign w:val="bottom"/>
          </w:tcPr>
          <w:p w:rsidR="00221E57" w:rsidRPr="0055711C" w:rsidRDefault="00221E57" w:rsidP="00221E57">
            <w:pPr>
              <w:spacing w:after="0" w:line="240" w:lineRule="auto"/>
              <w:jc w:val="center"/>
              <w:rPr>
                <w:rFonts w:eastAsia="Times New Roman" w:cs="Times New Roman"/>
                <w:b/>
                <w:bCs/>
                <w:color w:val="000000"/>
                <w:sz w:val="18"/>
                <w:szCs w:val="18"/>
                <w:lang w:eastAsia="lv-LV"/>
              </w:rPr>
            </w:pPr>
          </w:p>
        </w:tc>
        <w:tc>
          <w:tcPr>
            <w:tcW w:w="1112" w:type="dxa"/>
            <w:tcBorders>
              <w:top w:val="single" w:sz="12" w:space="0" w:color="auto"/>
              <w:left w:val="dashSmallGap" w:sz="4" w:space="0" w:color="auto"/>
              <w:bottom w:val="single" w:sz="12" w:space="0" w:color="auto"/>
              <w:right w:val="single" w:sz="12" w:space="0" w:color="auto"/>
            </w:tcBorders>
            <w:shd w:val="clear" w:color="auto" w:fill="auto"/>
            <w:vAlign w:val="center"/>
          </w:tcPr>
          <w:p w:rsidR="00221E57" w:rsidRPr="00221E57" w:rsidRDefault="00221E57" w:rsidP="00221E57">
            <w:pPr>
              <w:spacing w:after="0" w:line="240" w:lineRule="auto"/>
              <w:jc w:val="center"/>
              <w:rPr>
                <w:rFonts w:eastAsia="Times New Roman" w:cs="Times New Roman"/>
                <w:b/>
                <w:color w:val="000000"/>
                <w:sz w:val="18"/>
                <w:szCs w:val="18"/>
                <w:lang w:eastAsia="lv-LV"/>
              </w:rPr>
            </w:pPr>
            <w:r w:rsidRPr="00221E57">
              <w:rPr>
                <w:rFonts w:eastAsia="Times New Roman" w:cs="Times New Roman"/>
                <w:b/>
                <w:color w:val="000000"/>
                <w:sz w:val="18"/>
                <w:szCs w:val="18"/>
                <w:lang w:eastAsia="lv-LV"/>
              </w:rPr>
              <w:t>-</w:t>
            </w:r>
            <w:r>
              <w:rPr>
                <w:rFonts w:eastAsia="Times New Roman" w:cs="Times New Roman"/>
                <w:b/>
                <w:color w:val="000000"/>
                <w:sz w:val="18"/>
                <w:szCs w:val="18"/>
                <w:lang w:eastAsia="lv-LV"/>
              </w:rPr>
              <w:t> </w:t>
            </w:r>
            <w:r w:rsidRPr="00221E57">
              <w:rPr>
                <w:rFonts w:eastAsia="Times New Roman" w:cs="Times New Roman"/>
                <w:b/>
                <w:color w:val="000000"/>
                <w:sz w:val="18"/>
                <w:szCs w:val="18"/>
                <w:lang w:eastAsia="lv-LV"/>
              </w:rPr>
              <w:t>4 413 486</w:t>
            </w:r>
          </w:p>
        </w:tc>
        <w:tc>
          <w:tcPr>
            <w:tcW w:w="1287" w:type="dxa"/>
            <w:tcBorders>
              <w:top w:val="single" w:sz="12" w:space="0" w:color="auto"/>
              <w:left w:val="single" w:sz="12" w:space="0" w:color="auto"/>
              <w:bottom w:val="single" w:sz="12" w:space="0" w:color="auto"/>
              <w:right w:val="dashSmallGap" w:sz="4" w:space="0" w:color="auto"/>
            </w:tcBorders>
            <w:shd w:val="clear" w:color="auto" w:fill="auto"/>
            <w:vAlign w:val="center"/>
          </w:tcPr>
          <w:p w:rsidR="00221E57" w:rsidRDefault="00221E57" w:rsidP="00221E57">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- 29 759 955</w:t>
            </w:r>
          </w:p>
        </w:tc>
        <w:tc>
          <w:tcPr>
            <w:tcW w:w="117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221E57" w:rsidRDefault="008511B0" w:rsidP="00221E57">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- 38 452 620</w:t>
            </w:r>
          </w:p>
        </w:tc>
      </w:tr>
      <w:tr w:rsidR="00221E57" w:rsidRPr="00D71281" w:rsidTr="00221E57">
        <w:trPr>
          <w:trHeight w:val="255"/>
        </w:trPr>
        <w:tc>
          <w:tcPr>
            <w:tcW w:w="444"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21E57" w:rsidRPr="008E0131" w:rsidRDefault="00221E57" w:rsidP="00221E57">
            <w:pPr>
              <w:spacing w:after="0" w:line="240" w:lineRule="auto"/>
              <w:jc w:val="left"/>
              <w:rPr>
                <w:rFonts w:ascii="Calibri" w:eastAsia="Times New Roman" w:hAnsi="Calibri" w:cs="Calibri"/>
                <w:color w:val="000000"/>
                <w:sz w:val="18"/>
                <w:szCs w:val="18"/>
                <w:lang w:eastAsia="lv-LV"/>
              </w:rPr>
            </w:pPr>
          </w:p>
        </w:tc>
        <w:tc>
          <w:tcPr>
            <w:tcW w:w="5637" w:type="dxa"/>
            <w:tcBorders>
              <w:top w:val="single" w:sz="12" w:space="0" w:color="auto"/>
              <w:left w:val="single" w:sz="12" w:space="0" w:color="auto"/>
              <w:bottom w:val="single" w:sz="12" w:space="0" w:color="auto"/>
              <w:right w:val="single" w:sz="12" w:space="0" w:color="auto"/>
            </w:tcBorders>
            <w:shd w:val="clear" w:color="auto" w:fill="auto"/>
            <w:vAlign w:val="bottom"/>
          </w:tcPr>
          <w:p w:rsidR="00221E57" w:rsidRPr="00D71281" w:rsidRDefault="00221E57" w:rsidP="00221E57">
            <w:pPr>
              <w:spacing w:after="0" w:line="240" w:lineRule="auto"/>
              <w:jc w:val="left"/>
              <w:rPr>
                <w:rFonts w:eastAsia="Times New Roman" w:cs="Times New Roman"/>
                <w:b/>
                <w:color w:val="000000"/>
                <w:sz w:val="18"/>
                <w:szCs w:val="18"/>
                <w:lang w:eastAsia="lv-LV"/>
              </w:rPr>
            </w:pPr>
            <w:r w:rsidRPr="00D71281">
              <w:rPr>
                <w:rFonts w:eastAsia="Times New Roman" w:cs="Times New Roman"/>
                <w:b/>
                <w:color w:val="000000"/>
                <w:sz w:val="18"/>
                <w:szCs w:val="18"/>
                <w:lang w:eastAsia="lv-LV"/>
              </w:rPr>
              <w:t>OIK, EUR/MWh</w:t>
            </w:r>
          </w:p>
        </w:tc>
        <w:tc>
          <w:tcPr>
            <w:tcW w:w="1035" w:type="dxa"/>
            <w:tcBorders>
              <w:top w:val="single" w:sz="12" w:space="0" w:color="auto"/>
              <w:left w:val="single" w:sz="12" w:space="0" w:color="auto"/>
              <w:bottom w:val="single" w:sz="12" w:space="0" w:color="auto"/>
              <w:right w:val="dashSmallGap" w:sz="4" w:space="0" w:color="auto"/>
            </w:tcBorders>
            <w:shd w:val="clear" w:color="auto" w:fill="auto"/>
            <w:vAlign w:val="center"/>
          </w:tcPr>
          <w:p w:rsidR="00221E57" w:rsidRPr="00D71281" w:rsidRDefault="00221E57" w:rsidP="00221E57">
            <w:pPr>
              <w:spacing w:after="0" w:line="240" w:lineRule="auto"/>
              <w:jc w:val="center"/>
              <w:rPr>
                <w:rFonts w:eastAsia="Times New Roman" w:cs="Times New Roman"/>
                <w:b/>
                <w:color w:val="000000"/>
                <w:sz w:val="18"/>
                <w:szCs w:val="18"/>
                <w:lang w:eastAsia="lv-LV"/>
              </w:rPr>
            </w:pPr>
          </w:p>
        </w:tc>
        <w:tc>
          <w:tcPr>
            <w:tcW w:w="1083" w:type="dxa"/>
            <w:tcBorders>
              <w:top w:val="single" w:sz="12" w:space="0" w:color="auto"/>
              <w:left w:val="dashSmallGap" w:sz="4" w:space="0" w:color="auto"/>
              <w:bottom w:val="single" w:sz="12" w:space="0" w:color="auto"/>
              <w:right w:val="single" w:sz="12" w:space="0" w:color="auto"/>
            </w:tcBorders>
            <w:shd w:val="clear" w:color="auto" w:fill="auto"/>
            <w:vAlign w:val="center"/>
          </w:tcPr>
          <w:p w:rsidR="00221E57" w:rsidRPr="00D71281" w:rsidRDefault="00221E57" w:rsidP="00221E57">
            <w:pPr>
              <w:spacing w:after="0" w:line="240" w:lineRule="auto"/>
              <w:jc w:val="center"/>
              <w:rPr>
                <w:rFonts w:eastAsia="Times New Roman" w:cs="Times New Roman"/>
                <w:b/>
                <w:color w:val="000000"/>
                <w:sz w:val="18"/>
                <w:szCs w:val="18"/>
                <w:lang w:eastAsia="lv-LV"/>
              </w:rPr>
            </w:pPr>
          </w:p>
        </w:tc>
        <w:tc>
          <w:tcPr>
            <w:tcW w:w="1134" w:type="dxa"/>
            <w:tcBorders>
              <w:top w:val="single" w:sz="12" w:space="0" w:color="auto"/>
              <w:left w:val="single" w:sz="12" w:space="0" w:color="auto"/>
              <w:bottom w:val="single" w:sz="12" w:space="0" w:color="auto"/>
              <w:right w:val="dashSmallGap" w:sz="4" w:space="0" w:color="auto"/>
            </w:tcBorders>
            <w:shd w:val="clear" w:color="auto" w:fill="auto"/>
            <w:vAlign w:val="center"/>
          </w:tcPr>
          <w:p w:rsidR="00221E57" w:rsidRPr="00D71281" w:rsidRDefault="00221E57" w:rsidP="00221E57">
            <w:pPr>
              <w:spacing w:after="0" w:line="240" w:lineRule="auto"/>
              <w:jc w:val="center"/>
              <w:rPr>
                <w:rFonts w:eastAsia="Times New Roman" w:cs="Times New Roman"/>
                <w:b/>
                <w:color w:val="000000"/>
                <w:sz w:val="18"/>
                <w:szCs w:val="18"/>
                <w:lang w:eastAsia="lv-LV"/>
              </w:rPr>
            </w:pPr>
          </w:p>
        </w:tc>
        <w:tc>
          <w:tcPr>
            <w:tcW w:w="1134" w:type="dxa"/>
            <w:tcBorders>
              <w:top w:val="single" w:sz="12" w:space="0" w:color="auto"/>
              <w:left w:val="dashSmallGap" w:sz="4" w:space="0" w:color="auto"/>
              <w:bottom w:val="single" w:sz="12" w:space="0" w:color="auto"/>
              <w:right w:val="dashSmallGap" w:sz="4" w:space="0" w:color="auto"/>
            </w:tcBorders>
            <w:shd w:val="clear" w:color="auto" w:fill="auto"/>
            <w:vAlign w:val="center"/>
          </w:tcPr>
          <w:p w:rsidR="00221E57" w:rsidRPr="00D71281" w:rsidRDefault="00221E57" w:rsidP="00221E57">
            <w:pPr>
              <w:spacing w:after="0" w:line="240" w:lineRule="auto"/>
              <w:jc w:val="center"/>
              <w:rPr>
                <w:rFonts w:eastAsia="Times New Roman" w:cs="Times New Roman"/>
                <w:b/>
                <w:color w:val="000000"/>
                <w:sz w:val="18"/>
                <w:szCs w:val="18"/>
                <w:lang w:eastAsia="lv-LV"/>
              </w:rPr>
            </w:pPr>
          </w:p>
        </w:tc>
        <w:tc>
          <w:tcPr>
            <w:tcW w:w="1112" w:type="dxa"/>
            <w:tcBorders>
              <w:top w:val="single" w:sz="12" w:space="0" w:color="auto"/>
              <w:left w:val="dashSmallGap" w:sz="4" w:space="0" w:color="auto"/>
              <w:bottom w:val="single" w:sz="12" w:space="0" w:color="auto"/>
              <w:right w:val="single" w:sz="12" w:space="0" w:color="auto"/>
            </w:tcBorders>
            <w:shd w:val="clear" w:color="auto" w:fill="auto"/>
            <w:vAlign w:val="center"/>
          </w:tcPr>
          <w:p w:rsidR="00221E57" w:rsidRPr="00D71281" w:rsidRDefault="00221E57" w:rsidP="00221E57">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26,79</w:t>
            </w:r>
          </w:p>
        </w:tc>
        <w:tc>
          <w:tcPr>
            <w:tcW w:w="1287" w:type="dxa"/>
            <w:tcBorders>
              <w:top w:val="single" w:sz="12" w:space="0" w:color="auto"/>
              <w:left w:val="single" w:sz="12" w:space="0" w:color="auto"/>
              <w:bottom w:val="single" w:sz="12" w:space="0" w:color="auto"/>
              <w:right w:val="dashSmallGap" w:sz="4" w:space="0" w:color="auto"/>
            </w:tcBorders>
            <w:shd w:val="clear" w:color="auto" w:fill="auto"/>
            <w:vAlign w:val="center"/>
          </w:tcPr>
          <w:p w:rsidR="00221E57" w:rsidRPr="00D71281" w:rsidRDefault="00221E57" w:rsidP="00221E57">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26,79</w:t>
            </w:r>
          </w:p>
        </w:tc>
        <w:tc>
          <w:tcPr>
            <w:tcW w:w="1176" w:type="dxa"/>
            <w:tcBorders>
              <w:top w:val="single" w:sz="12" w:space="0" w:color="auto"/>
              <w:left w:val="dashSmallGap" w:sz="4" w:space="0" w:color="auto"/>
              <w:bottom w:val="single" w:sz="12" w:space="0" w:color="auto"/>
              <w:right w:val="single" w:sz="12" w:space="0" w:color="auto"/>
            </w:tcBorders>
            <w:shd w:val="clear" w:color="auto" w:fill="auto"/>
            <w:vAlign w:val="center"/>
          </w:tcPr>
          <w:p w:rsidR="00221E57" w:rsidRPr="00D71281" w:rsidRDefault="00221E57" w:rsidP="00221E57">
            <w:pPr>
              <w:spacing w:after="0" w:line="240" w:lineRule="auto"/>
              <w:jc w:val="center"/>
              <w:rPr>
                <w:rFonts w:eastAsia="Times New Roman" w:cs="Times New Roman"/>
                <w:b/>
                <w:color w:val="000000"/>
                <w:sz w:val="18"/>
                <w:szCs w:val="18"/>
                <w:lang w:eastAsia="lv-LV"/>
              </w:rPr>
            </w:pPr>
            <w:r>
              <w:rPr>
                <w:rFonts w:eastAsia="Times New Roman" w:cs="Times New Roman"/>
                <w:b/>
                <w:color w:val="000000"/>
                <w:sz w:val="18"/>
                <w:szCs w:val="18"/>
                <w:lang w:eastAsia="lv-LV"/>
              </w:rPr>
              <w:t>26,79</w:t>
            </w:r>
          </w:p>
        </w:tc>
      </w:tr>
    </w:tbl>
    <w:p w:rsidR="00522E34" w:rsidRDefault="00522E34" w:rsidP="00522E34">
      <w:pPr>
        <w:spacing w:after="0" w:line="240" w:lineRule="auto"/>
        <w:rPr>
          <w:rFonts w:eastAsia="Times New Roman" w:cs="Times New Roman"/>
          <w:color w:val="000000"/>
          <w:sz w:val="18"/>
          <w:szCs w:val="18"/>
          <w:lang w:eastAsia="lv-LV"/>
        </w:rPr>
      </w:pPr>
      <w:r w:rsidRPr="002A5450">
        <w:rPr>
          <w:rFonts w:eastAsia="Times New Roman" w:cs="Times New Roman"/>
          <w:color w:val="000000"/>
          <w:sz w:val="18"/>
          <w:szCs w:val="18"/>
          <w:lang w:eastAsia="lv-LV"/>
        </w:rPr>
        <w:t>* Aizsargāt</w:t>
      </w:r>
      <w:r>
        <w:rPr>
          <w:rFonts w:eastAsia="Times New Roman" w:cs="Times New Roman"/>
          <w:color w:val="000000"/>
          <w:sz w:val="18"/>
          <w:szCs w:val="18"/>
          <w:lang w:eastAsia="lv-LV"/>
        </w:rPr>
        <w:t>o</w:t>
      </w:r>
      <w:r w:rsidRPr="002A5450">
        <w:rPr>
          <w:rFonts w:eastAsia="Times New Roman" w:cs="Times New Roman"/>
          <w:color w:val="000000"/>
          <w:sz w:val="18"/>
          <w:szCs w:val="18"/>
          <w:lang w:eastAsia="lv-LV"/>
        </w:rPr>
        <w:t xml:space="preserve"> lietotāj</w:t>
      </w:r>
      <w:r>
        <w:rPr>
          <w:rFonts w:eastAsia="Times New Roman" w:cs="Times New Roman"/>
          <w:color w:val="000000"/>
          <w:sz w:val="18"/>
          <w:szCs w:val="18"/>
          <w:lang w:eastAsia="lv-LV"/>
        </w:rPr>
        <w:t>u</w:t>
      </w:r>
      <w:r w:rsidRPr="002A5450">
        <w:rPr>
          <w:rFonts w:eastAsia="Times New Roman" w:cs="Times New Roman"/>
          <w:color w:val="000000"/>
          <w:sz w:val="18"/>
          <w:szCs w:val="18"/>
          <w:lang w:eastAsia="lv-LV"/>
        </w:rPr>
        <w:t xml:space="preserve"> atbalsts tiek izmaksāts ieskaitot PVN, kas rada papildus ieņēmumus budžetā.</w:t>
      </w:r>
      <w:r>
        <w:rPr>
          <w:rFonts w:eastAsia="Times New Roman" w:cs="Times New Roman"/>
          <w:color w:val="000000"/>
          <w:sz w:val="18"/>
          <w:szCs w:val="18"/>
          <w:lang w:eastAsia="lv-LV"/>
        </w:rPr>
        <w:t>;</w:t>
      </w:r>
    </w:p>
    <w:p w:rsidR="00522E34" w:rsidRDefault="00522E34" w:rsidP="00522E34">
      <w:pPr>
        <w:spacing w:after="0" w:line="240" w:lineRule="auto"/>
        <w:rPr>
          <w:rFonts w:eastAsia="Times New Roman" w:cs="Times New Roman"/>
          <w:color w:val="000000"/>
          <w:sz w:val="18"/>
          <w:szCs w:val="18"/>
          <w:lang w:eastAsia="lv-LV"/>
        </w:rPr>
      </w:pPr>
      <w:r>
        <w:rPr>
          <w:rFonts w:eastAsia="Times New Roman" w:cs="Times New Roman"/>
          <w:color w:val="000000"/>
          <w:sz w:val="18"/>
          <w:szCs w:val="18"/>
          <w:lang w:eastAsia="lv-LV"/>
        </w:rPr>
        <w:t xml:space="preserve">** </w:t>
      </w:r>
      <w:r w:rsidRPr="001657EF">
        <w:rPr>
          <w:rFonts w:eastAsia="Times New Roman" w:cs="Times New Roman"/>
          <w:color w:val="000000"/>
          <w:sz w:val="18"/>
          <w:szCs w:val="18"/>
          <w:lang w:eastAsia="lv-LV"/>
        </w:rPr>
        <w:t>3/4 daļas no kārtējā gada lietot</w:t>
      </w:r>
      <w:r>
        <w:rPr>
          <w:rFonts w:eastAsia="Times New Roman" w:cs="Times New Roman"/>
          <w:color w:val="000000"/>
          <w:sz w:val="18"/>
          <w:szCs w:val="18"/>
          <w:lang w:eastAsia="lv-LV"/>
        </w:rPr>
        <w:t>āja atbalsta sākot ar 2016.gadu (OIK mainās 01.04.);</w:t>
      </w:r>
    </w:p>
    <w:p w:rsidR="00522E34" w:rsidRDefault="00522E34" w:rsidP="00522E34">
      <w:pPr>
        <w:spacing w:after="0" w:line="240" w:lineRule="auto"/>
        <w:rPr>
          <w:rFonts w:eastAsia="Times New Roman" w:cs="Times New Roman"/>
          <w:color w:val="000000"/>
          <w:sz w:val="18"/>
          <w:szCs w:val="18"/>
          <w:lang w:eastAsia="lv-LV"/>
        </w:rPr>
      </w:pPr>
      <w:r>
        <w:rPr>
          <w:rFonts w:eastAsia="Times New Roman" w:cs="Times New Roman"/>
          <w:color w:val="000000"/>
          <w:sz w:val="18"/>
          <w:szCs w:val="18"/>
          <w:lang w:eastAsia="lv-LV"/>
        </w:rPr>
        <w:t xml:space="preserve">*** </w:t>
      </w:r>
      <w:r w:rsidRPr="001657EF">
        <w:rPr>
          <w:rFonts w:eastAsia="Times New Roman" w:cs="Times New Roman"/>
          <w:color w:val="000000"/>
          <w:sz w:val="18"/>
          <w:szCs w:val="18"/>
          <w:lang w:eastAsia="lv-LV"/>
        </w:rPr>
        <w:t xml:space="preserve">Pārnestā summa no iepriekšējā gada 1/4 apmērā </w:t>
      </w:r>
      <w:r>
        <w:rPr>
          <w:rFonts w:eastAsia="Times New Roman" w:cs="Times New Roman"/>
          <w:color w:val="000000"/>
          <w:sz w:val="18"/>
          <w:szCs w:val="18"/>
          <w:lang w:eastAsia="lv-LV"/>
        </w:rPr>
        <w:t xml:space="preserve">par pirmo </w:t>
      </w:r>
      <w:r w:rsidRPr="001657EF">
        <w:rPr>
          <w:rFonts w:eastAsia="Times New Roman" w:cs="Times New Roman"/>
          <w:color w:val="000000"/>
          <w:sz w:val="18"/>
          <w:szCs w:val="18"/>
          <w:lang w:eastAsia="lv-LV"/>
        </w:rPr>
        <w:t>ceturksni</w:t>
      </w:r>
      <w:r>
        <w:rPr>
          <w:rFonts w:eastAsia="Times New Roman" w:cs="Times New Roman"/>
          <w:color w:val="000000"/>
          <w:sz w:val="18"/>
          <w:szCs w:val="18"/>
          <w:lang w:eastAsia="lv-LV"/>
        </w:rPr>
        <w:t xml:space="preserve"> (OIK mainās no 01.04.);</w:t>
      </w:r>
    </w:p>
    <w:p w:rsidR="00522E34" w:rsidRDefault="00522E34" w:rsidP="00522E34">
      <w:pPr>
        <w:spacing w:after="0" w:line="240" w:lineRule="auto"/>
        <w:rPr>
          <w:rFonts w:eastAsia="Times New Roman" w:cs="Times New Roman"/>
          <w:color w:val="000000"/>
          <w:sz w:val="18"/>
          <w:szCs w:val="18"/>
          <w:lang w:eastAsia="lv-LV"/>
        </w:rPr>
      </w:pPr>
      <w:r>
        <w:rPr>
          <w:rFonts w:eastAsia="Times New Roman" w:cs="Times New Roman"/>
          <w:color w:val="000000"/>
          <w:sz w:val="18"/>
          <w:szCs w:val="18"/>
          <w:lang w:eastAsia="lv-LV"/>
        </w:rPr>
        <w:t xml:space="preserve">**** Grozījumi Saeimā </w:t>
      </w:r>
      <w:r w:rsidRPr="002A5450">
        <w:rPr>
          <w:rFonts w:eastAsia="Times New Roman" w:cs="Times New Roman"/>
          <w:color w:val="000000"/>
          <w:sz w:val="18"/>
          <w:szCs w:val="18"/>
          <w:lang w:eastAsia="lv-LV"/>
        </w:rPr>
        <w:t>2.lasījum</w:t>
      </w:r>
      <w:r>
        <w:rPr>
          <w:rFonts w:eastAsia="Times New Roman" w:cs="Times New Roman"/>
          <w:color w:val="000000"/>
          <w:sz w:val="18"/>
          <w:szCs w:val="18"/>
          <w:lang w:eastAsia="lv-LV"/>
        </w:rPr>
        <w:t>ā;</w:t>
      </w:r>
    </w:p>
    <w:p w:rsidR="00522E34" w:rsidRDefault="00522E34" w:rsidP="00522E34">
      <w:pPr>
        <w:spacing w:after="0" w:line="240" w:lineRule="auto"/>
        <w:rPr>
          <w:rFonts w:eastAsia="Times New Roman" w:cs="Times New Roman"/>
          <w:color w:val="000000"/>
          <w:sz w:val="18"/>
          <w:szCs w:val="18"/>
          <w:lang w:eastAsia="lv-LV"/>
        </w:rPr>
      </w:pPr>
      <w:r>
        <w:rPr>
          <w:rFonts w:eastAsia="Times New Roman" w:cs="Times New Roman"/>
          <w:color w:val="000000"/>
          <w:sz w:val="18"/>
          <w:szCs w:val="18"/>
          <w:lang w:eastAsia="lv-LV"/>
        </w:rPr>
        <w:t xml:space="preserve">***** </w:t>
      </w:r>
      <w:r w:rsidRPr="002A5450">
        <w:rPr>
          <w:rFonts w:eastAsia="Times New Roman" w:cs="Times New Roman"/>
          <w:color w:val="000000"/>
          <w:sz w:val="18"/>
          <w:szCs w:val="18"/>
          <w:lang w:eastAsia="lv-LV"/>
        </w:rPr>
        <w:t>Elektroenerģijas tirg</w:t>
      </w:r>
      <w:r>
        <w:rPr>
          <w:rFonts w:eastAsia="Times New Roman" w:cs="Times New Roman"/>
          <w:color w:val="000000"/>
          <w:sz w:val="18"/>
          <w:szCs w:val="18"/>
          <w:lang w:eastAsia="lv-LV"/>
        </w:rPr>
        <w:t>us likuma grozījumi - Saeimā 3.lasījumā.</w:t>
      </w:r>
    </w:p>
    <w:p w:rsidR="00522E34" w:rsidRDefault="00522E34" w:rsidP="00522E34">
      <w:pPr>
        <w:spacing w:after="0" w:line="240" w:lineRule="auto"/>
        <w:rPr>
          <w:rFonts w:eastAsia="Times New Roman" w:cs="Times New Roman"/>
          <w:color w:val="000000"/>
          <w:sz w:val="18"/>
          <w:szCs w:val="18"/>
          <w:lang w:eastAsia="lv-LV"/>
        </w:rPr>
        <w:sectPr w:rsidR="00522E34" w:rsidSect="00C60881">
          <w:pgSz w:w="16838" w:h="11906" w:orient="landscape"/>
          <w:pgMar w:top="1701" w:right="1418" w:bottom="1134" w:left="1134" w:header="709" w:footer="709" w:gutter="0"/>
          <w:cols w:space="708"/>
          <w:titlePg/>
          <w:docGrid w:linePitch="360"/>
        </w:sectPr>
      </w:pPr>
      <w:r>
        <w:rPr>
          <w:rFonts w:eastAsia="Times New Roman" w:cs="Times New Roman"/>
          <w:color w:val="000000"/>
          <w:sz w:val="18"/>
          <w:szCs w:val="18"/>
          <w:lang w:eastAsia="lv-LV"/>
        </w:rPr>
        <w:t xml:space="preserve">****** </w:t>
      </w:r>
      <w:r w:rsidR="00D707C1" w:rsidRPr="00D707C1">
        <w:rPr>
          <w:rFonts w:eastAsia="Times New Roman" w:cs="Times New Roman"/>
          <w:color w:val="000000"/>
          <w:sz w:val="18"/>
          <w:szCs w:val="18"/>
          <w:lang w:eastAsia="lv-LV"/>
        </w:rPr>
        <w:t>Minētais finansējums ir iekļauts EM bāzē saskaņā ar Ministru kabineta 2013.gada 13.augusta sēdē pieņemto i</w:t>
      </w:r>
      <w:r w:rsidR="00D707C1" w:rsidRPr="00D707C1">
        <w:rPr>
          <w:color w:val="000000"/>
          <w:sz w:val="18"/>
          <w:szCs w:val="18"/>
        </w:rPr>
        <w:t>nformatīvo ziņojumu „Komplekss risinājums elektroenerģijas tirgus problemātikai”</w:t>
      </w:r>
      <w:r w:rsidR="00D707C1" w:rsidRPr="00D707C1">
        <w:rPr>
          <w:rStyle w:val="FootnoteReference"/>
          <w:color w:val="000000"/>
          <w:sz w:val="18"/>
          <w:szCs w:val="18"/>
        </w:rPr>
        <w:footnoteReference w:id="5"/>
      </w:r>
      <w:r w:rsidR="00D707C1">
        <w:rPr>
          <w:color w:val="000000"/>
          <w:sz w:val="18"/>
          <w:szCs w:val="18"/>
        </w:rPr>
        <w:t xml:space="preserve"> attiecībā uz AS „Latvenergo” dividenžu novirzīšanu elektroenerģijas lietotāju atbalstam, atverot elektroenerģijas tirgu mājsaimniecībām</w:t>
      </w:r>
      <w:r w:rsidR="00D707C1" w:rsidRPr="00D707C1">
        <w:rPr>
          <w:color w:val="000000"/>
          <w:sz w:val="18"/>
          <w:szCs w:val="18"/>
        </w:rPr>
        <w:t>.</w:t>
      </w:r>
    </w:p>
    <w:p w:rsidR="002071BB" w:rsidRDefault="002071BB" w:rsidP="002071BB">
      <w:pPr>
        <w:pStyle w:val="Heading3"/>
      </w:pPr>
      <w:bookmarkStart w:id="20" w:name="_Toc428188938"/>
      <w:r>
        <w:lastRenderedPageBreak/>
        <w:t>Risinājumu ietekme uz elektroenerģijas izmaksām lietotājiem</w:t>
      </w:r>
      <w:bookmarkEnd w:id="20"/>
    </w:p>
    <w:p w:rsidR="002071BB" w:rsidRDefault="00DC2ADF" w:rsidP="002071BB">
      <w:pPr>
        <w:spacing w:after="0" w:line="240" w:lineRule="auto"/>
        <w:ind w:firstLine="851"/>
        <w:rPr>
          <w:sz w:val="28"/>
          <w:szCs w:val="28"/>
        </w:rPr>
      </w:pPr>
      <w:r>
        <w:rPr>
          <w:sz w:val="28"/>
          <w:szCs w:val="28"/>
        </w:rPr>
        <w:t>P</w:t>
      </w:r>
      <w:r w:rsidR="00C31255">
        <w:rPr>
          <w:sz w:val="28"/>
          <w:szCs w:val="28"/>
        </w:rPr>
        <w:t>iedāvāto risinājumu ietekme uz dažādu elektroenerģijas lietotāju ikmēneša izmaksām</w:t>
      </w:r>
      <w:r>
        <w:rPr>
          <w:sz w:val="28"/>
          <w:szCs w:val="28"/>
        </w:rPr>
        <w:t xml:space="preserve"> atšķiras (sk. </w:t>
      </w:r>
      <w:r w:rsidRPr="00DC2ADF">
        <w:rPr>
          <w:sz w:val="28"/>
          <w:szCs w:val="28"/>
        </w:rPr>
        <w:t>1</w:t>
      </w:r>
      <w:r w:rsidR="002F178D">
        <w:rPr>
          <w:sz w:val="28"/>
          <w:szCs w:val="28"/>
        </w:rPr>
        <w:t>1</w:t>
      </w:r>
      <w:r w:rsidRPr="00DC2ADF">
        <w:rPr>
          <w:sz w:val="28"/>
          <w:szCs w:val="28"/>
        </w:rPr>
        <w:t>.tabul</w:t>
      </w:r>
      <w:r>
        <w:rPr>
          <w:sz w:val="28"/>
          <w:szCs w:val="28"/>
        </w:rPr>
        <w:t xml:space="preserve">u). </w:t>
      </w:r>
    </w:p>
    <w:p w:rsidR="002071BB" w:rsidRPr="007E607A" w:rsidRDefault="007E607A" w:rsidP="002071BB">
      <w:pPr>
        <w:pStyle w:val="Caption"/>
        <w:keepNext/>
        <w:jc w:val="right"/>
        <w:rPr>
          <w:rFonts w:ascii="Times New Roman" w:hAnsi="Times New Roman"/>
          <w:sz w:val="24"/>
          <w:szCs w:val="24"/>
        </w:rPr>
      </w:pPr>
      <w:r>
        <w:rPr>
          <w:rFonts w:ascii="Times New Roman" w:hAnsi="Times New Roman"/>
          <w:sz w:val="24"/>
          <w:szCs w:val="24"/>
        </w:rPr>
        <w:t>1</w:t>
      </w:r>
      <w:r w:rsidR="002F178D">
        <w:rPr>
          <w:rFonts w:ascii="Times New Roman" w:hAnsi="Times New Roman"/>
          <w:sz w:val="24"/>
          <w:szCs w:val="24"/>
        </w:rPr>
        <w:t>1</w:t>
      </w:r>
      <w:r>
        <w:rPr>
          <w:rFonts w:ascii="Times New Roman" w:hAnsi="Times New Roman"/>
          <w:sz w:val="24"/>
          <w:szCs w:val="24"/>
        </w:rPr>
        <w:t>.tabula</w:t>
      </w:r>
    </w:p>
    <w:p w:rsidR="002071BB" w:rsidRDefault="002071BB" w:rsidP="002071BB">
      <w:pPr>
        <w:pStyle w:val="Caption"/>
        <w:keepNext/>
        <w:jc w:val="center"/>
        <w:rPr>
          <w:rFonts w:ascii="Times New Roman" w:hAnsi="Times New Roman"/>
          <w:sz w:val="24"/>
          <w:szCs w:val="24"/>
        </w:rPr>
      </w:pPr>
      <w:r>
        <w:rPr>
          <w:rFonts w:ascii="Times New Roman" w:hAnsi="Times New Roman"/>
          <w:sz w:val="24"/>
          <w:szCs w:val="24"/>
        </w:rPr>
        <w:t>Risinājumu</w:t>
      </w:r>
      <w:r w:rsidRPr="009B40C6">
        <w:rPr>
          <w:rFonts w:ascii="Times New Roman" w:hAnsi="Times New Roman"/>
          <w:sz w:val="24"/>
          <w:szCs w:val="24"/>
        </w:rPr>
        <w:t xml:space="preserve"> ietekme uz </w:t>
      </w:r>
      <w:r>
        <w:rPr>
          <w:rFonts w:ascii="Times New Roman" w:hAnsi="Times New Roman"/>
          <w:sz w:val="24"/>
          <w:szCs w:val="24"/>
        </w:rPr>
        <w:t>elektroenerģijas lietotāju ikmēneša izmaksām</w:t>
      </w:r>
      <w:r w:rsidRPr="009B40C6">
        <w:rPr>
          <w:rFonts w:ascii="Times New Roman" w:hAnsi="Times New Roman"/>
          <w:sz w:val="24"/>
          <w:szCs w:val="24"/>
        </w:rPr>
        <w:t xml:space="preserve"> </w:t>
      </w:r>
    </w:p>
    <w:tbl>
      <w:tblPr>
        <w:tblStyle w:val="TableGrid"/>
        <w:tblW w:w="9266" w:type="dxa"/>
        <w:tblLook w:val="04A0" w:firstRow="1" w:lastRow="0" w:firstColumn="1" w:lastColumn="0" w:noHBand="0" w:noVBand="1"/>
      </w:tblPr>
      <w:tblGrid>
        <w:gridCol w:w="1684"/>
        <w:gridCol w:w="2148"/>
        <w:gridCol w:w="1044"/>
        <w:gridCol w:w="1311"/>
        <w:gridCol w:w="1716"/>
        <w:gridCol w:w="1363"/>
      </w:tblGrid>
      <w:tr w:rsidR="0073163E" w:rsidTr="00730FE4">
        <w:tc>
          <w:tcPr>
            <w:tcW w:w="3832" w:type="dxa"/>
            <w:gridSpan w:val="2"/>
          </w:tcPr>
          <w:p w:rsidR="0073163E" w:rsidRPr="005B2759" w:rsidRDefault="0073163E" w:rsidP="005B2759">
            <w:pPr>
              <w:jc w:val="left"/>
              <w:rPr>
                <w:sz w:val="20"/>
                <w:szCs w:val="20"/>
              </w:rPr>
            </w:pPr>
          </w:p>
        </w:tc>
        <w:tc>
          <w:tcPr>
            <w:tcW w:w="1044" w:type="dxa"/>
          </w:tcPr>
          <w:p w:rsidR="0073163E" w:rsidRPr="005B2759" w:rsidRDefault="0073163E" w:rsidP="0070414D">
            <w:pPr>
              <w:spacing w:line="240" w:lineRule="auto"/>
              <w:jc w:val="center"/>
              <w:rPr>
                <w:sz w:val="20"/>
                <w:szCs w:val="20"/>
              </w:rPr>
            </w:pPr>
            <w:r w:rsidRPr="005B2759">
              <w:rPr>
                <w:rFonts w:eastAsia="Times New Roman" w:cs="Times New Roman"/>
                <w:b/>
                <w:bCs/>
                <w:color w:val="000000"/>
                <w:sz w:val="20"/>
                <w:szCs w:val="20"/>
                <w:lang w:eastAsia="lv-LV"/>
              </w:rPr>
              <w:t>2015.g.</w:t>
            </w:r>
          </w:p>
        </w:tc>
        <w:tc>
          <w:tcPr>
            <w:tcW w:w="4390" w:type="dxa"/>
            <w:gridSpan w:val="3"/>
          </w:tcPr>
          <w:p w:rsidR="0073163E" w:rsidRPr="005B2759" w:rsidRDefault="0073163E" w:rsidP="0070414D">
            <w:pPr>
              <w:spacing w:line="240" w:lineRule="auto"/>
              <w:jc w:val="center"/>
              <w:rPr>
                <w:rFonts w:eastAsia="Times New Roman" w:cs="Times New Roman"/>
                <w:b/>
                <w:bCs/>
                <w:color w:val="000000"/>
                <w:sz w:val="20"/>
                <w:szCs w:val="20"/>
                <w:lang w:eastAsia="lv-LV"/>
              </w:rPr>
            </w:pPr>
            <w:r w:rsidRPr="005B2759">
              <w:rPr>
                <w:rFonts w:eastAsia="Times New Roman" w:cs="Times New Roman"/>
                <w:b/>
                <w:bCs/>
                <w:color w:val="000000"/>
                <w:sz w:val="20"/>
                <w:szCs w:val="20"/>
                <w:lang w:eastAsia="lv-LV"/>
              </w:rPr>
              <w:t>2016.g</w:t>
            </w:r>
          </w:p>
        </w:tc>
      </w:tr>
      <w:tr w:rsidR="0073163E" w:rsidTr="00730FE4">
        <w:trPr>
          <w:trHeight w:val="914"/>
        </w:trPr>
        <w:tc>
          <w:tcPr>
            <w:tcW w:w="3832" w:type="dxa"/>
            <w:gridSpan w:val="2"/>
          </w:tcPr>
          <w:p w:rsidR="0073163E" w:rsidRPr="005B2759" w:rsidRDefault="0073163E" w:rsidP="0073163E">
            <w:pPr>
              <w:jc w:val="left"/>
              <w:rPr>
                <w:sz w:val="20"/>
                <w:szCs w:val="20"/>
              </w:rPr>
            </w:pPr>
            <w:r>
              <w:rPr>
                <w:sz w:val="20"/>
                <w:szCs w:val="20"/>
              </w:rPr>
              <w:t xml:space="preserve">Elektroenerģijas izmaksas konkrētām lietotāju grupām </w:t>
            </w:r>
            <w:r w:rsidRPr="00DC2ADF">
              <w:rPr>
                <w:i/>
                <w:sz w:val="20"/>
                <w:szCs w:val="20"/>
              </w:rPr>
              <w:t xml:space="preserve">(vidējais elektroenerģijas patēriņš mēnesī) </w:t>
            </w:r>
            <w:r>
              <w:rPr>
                <w:sz w:val="20"/>
                <w:szCs w:val="20"/>
              </w:rPr>
              <w:t xml:space="preserve"> </w:t>
            </w:r>
          </w:p>
        </w:tc>
        <w:tc>
          <w:tcPr>
            <w:tcW w:w="1044" w:type="dxa"/>
          </w:tcPr>
          <w:p w:rsidR="0073163E" w:rsidRPr="005B2759" w:rsidRDefault="0073163E" w:rsidP="0073163E">
            <w:pPr>
              <w:spacing w:line="240" w:lineRule="auto"/>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F</w:t>
            </w:r>
            <w:r w:rsidRPr="005B2759">
              <w:rPr>
                <w:rFonts w:eastAsia="Times New Roman" w:cs="Times New Roman"/>
                <w:b/>
                <w:bCs/>
                <w:color w:val="000000"/>
                <w:sz w:val="20"/>
                <w:szCs w:val="20"/>
                <w:lang w:eastAsia="lv-LV"/>
              </w:rPr>
              <w:t>aktiskās izmaksas,</w:t>
            </w:r>
          </w:p>
          <w:p w:rsidR="0073163E" w:rsidRPr="005B2759" w:rsidRDefault="0073163E" w:rsidP="0073163E">
            <w:pPr>
              <w:jc w:val="center"/>
              <w:rPr>
                <w:sz w:val="20"/>
                <w:szCs w:val="20"/>
              </w:rPr>
            </w:pPr>
            <w:r w:rsidRPr="005B2759">
              <w:rPr>
                <w:rFonts w:eastAsia="Times New Roman" w:cs="Times New Roman"/>
                <w:bCs/>
                <w:color w:val="000000"/>
                <w:sz w:val="20"/>
                <w:szCs w:val="20"/>
                <w:lang w:eastAsia="lv-LV"/>
              </w:rPr>
              <w:t>EUR/mēn</w:t>
            </w:r>
          </w:p>
        </w:tc>
        <w:tc>
          <w:tcPr>
            <w:tcW w:w="1311" w:type="dxa"/>
            <w:shd w:val="clear" w:color="auto" w:fill="E2EFD9" w:themeFill="accent6" w:themeFillTint="33"/>
          </w:tcPr>
          <w:p w:rsidR="0073163E" w:rsidRPr="005B2759" w:rsidRDefault="0073163E" w:rsidP="0073163E">
            <w:pPr>
              <w:spacing w:line="240" w:lineRule="auto"/>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1.</w:t>
            </w:r>
            <w:r w:rsidRPr="005B2759">
              <w:rPr>
                <w:rFonts w:eastAsia="Times New Roman" w:cs="Times New Roman"/>
                <w:b/>
                <w:bCs/>
                <w:color w:val="000000"/>
                <w:sz w:val="20"/>
                <w:szCs w:val="20"/>
                <w:lang w:eastAsia="lv-LV"/>
              </w:rPr>
              <w:t xml:space="preserve">risinājums (OIK </w:t>
            </w:r>
            <w:r w:rsidR="00C44BE3">
              <w:rPr>
                <w:rFonts w:eastAsia="Times New Roman" w:cs="Times New Roman"/>
                <w:b/>
                <w:bCs/>
                <w:color w:val="000000"/>
                <w:sz w:val="20"/>
                <w:szCs w:val="20"/>
                <w:lang w:eastAsia="lv-LV"/>
              </w:rPr>
              <w:t>26,79</w:t>
            </w:r>
            <w:r w:rsidRPr="005B2759">
              <w:rPr>
                <w:rFonts w:eastAsia="Times New Roman" w:cs="Times New Roman"/>
                <w:b/>
                <w:bCs/>
                <w:color w:val="000000"/>
                <w:sz w:val="20"/>
                <w:szCs w:val="20"/>
                <w:lang w:eastAsia="lv-LV"/>
              </w:rPr>
              <w:t xml:space="preserve"> EUR/MWh),</w:t>
            </w:r>
          </w:p>
          <w:p w:rsidR="0073163E" w:rsidRPr="005B2759" w:rsidRDefault="0073163E" w:rsidP="0073163E">
            <w:pPr>
              <w:jc w:val="center"/>
              <w:rPr>
                <w:sz w:val="20"/>
                <w:szCs w:val="20"/>
              </w:rPr>
            </w:pPr>
            <w:r w:rsidRPr="005B2759">
              <w:rPr>
                <w:rFonts w:eastAsia="Times New Roman" w:cs="Times New Roman"/>
                <w:bCs/>
                <w:color w:val="000000"/>
                <w:sz w:val="20"/>
                <w:szCs w:val="20"/>
                <w:lang w:eastAsia="lv-LV"/>
              </w:rPr>
              <w:t>EUR/mēn</w:t>
            </w:r>
          </w:p>
        </w:tc>
        <w:tc>
          <w:tcPr>
            <w:tcW w:w="1716" w:type="dxa"/>
          </w:tcPr>
          <w:p w:rsidR="0073163E" w:rsidRPr="00730FE4" w:rsidRDefault="00C44BE3" w:rsidP="0073163E">
            <w:pPr>
              <w:spacing w:line="240" w:lineRule="auto"/>
              <w:jc w:val="center"/>
              <w:rPr>
                <w:rFonts w:eastAsia="Times New Roman" w:cs="Times New Roman"/>
                <w:b/>
                <w:bCs/>
                <w:color w:val="000000"/>
                <w:sz w:val="20"/>
                <w:szCs w:val="20"/>
                <w:lang w:eastAsia="lv-LV"/>
              </w:rPr>
            </w:pPr>
            <w:r w:rsidRPr="00730FE4">
              <w:rPr>
                <w:rFonts w:eastAsia="Times New Roman" w:cs="Times New Roman"/>
                <w:b/>
                <w:bCs/>
                <w:color w:val="000000"/>
                <w:sz w:val="20"/>
                <w:szCs w:val="20"/>
                <w:lang w:eastAsia="lv-LV"/>
              </w:rPr>
              <w:t>2. risinājums</w:t>
            </w:r>
          </w:p>
          <w:p w:rsidR="0073163E" w:rsidRPr="00730FE4" w:rsidRDefault="0073163E" w:rsidP="0073163E">
            <w:pPr>
              <w:spacing w:line="240" w:lineRule="auto"/>
              <w:jc w:val="center"/>
              <w:rPr>
                <w:rFonts w:eastAsia="Times New Roman" w:cs="Times New Roman"/>
                <w:b/>
                <w:bCs/>
                <w:color w:val="000000"/>
                <w:sz w:val="20"/>
                <w:szCs w:val="20"/>
                <w:lang w:eastAsia="lv-LV"/>
              </w:rPr>
            </w:pPr>
            <w:r w:rsidRPr="00730FE4">
              <w:rPr>
                <w:rFonts w:eastAsia="Times New Roman" w:cs="Times New Roman"/>
                <w:b/>
                <w:bCs/>
                <w:color w:val="000000"/>
                <w:sz w:val="20"/>
                <w:szCs w:val="20"/>
                <w:lang w:eastAsia="lv-LV"/>
              </w:rPr>
              <w:t xml:space="preserve">(OIK </w:t>
            </w:r>
            <w:r w:rsidR="00730FE4" w:rsidRPr="00730FE4">
              <w:rPr>
                <w:rFonts w:eastAsia="Times New Roman" w:cs="Times New Roman"/>
                <w:b/>
                <w:color w:val="000000"/>
                <w:sz w:val="18"/>
                <w:szCs w:val="18"/>
                <w:lang w:eastAsia="lv-LV"/>
              </w:rPr>
              <w:t>27,67</w:t>
            </w:r>
            <w:r w:rsidR="00730FE4">
              <w:rPr>
                <w:rFonts w:eastAsia="Times New Roman" w:cs="Times New Roman"/>
                <w:b/>
                <w:color w:val="000000"/>
                <w:sz w:val="18"/>
                <w:szCs w:val="18"/>
                <w:lang w:eastAsia="lv-LV"/>
              </w:rPr>
              <w:t xml:space="preserve"> </w:t>
            </w:r>
            <w:r w:rsidRPr="00730FE4">
              <w:rPr>
                <w:rFonts w:eastAsia="Times New Roman" w:cs="Times New Roman"/>
                <w:b/>
                <w:bCs/>
                <w:color w:val="000000"/>
                <w:sz w:val="20"/>
                <w:szCs w:val="20"/>
                <w:lang w:eastAsia="lv-LV"/>
              </w:rPr>
              <w:t>EUR/MWh),</w:t>
            </w:r>
          </w:p>
          <w:p w:rsidR="0073163E" w:rsidRPr="00730FE4" w:rsidRDefault="0073163E" w:rsidP="0073163E">
            <w:pPr>
              <w:jc w:val="center"/>
              <w:rPr>
                <w:sz w:val="20"/>
                <w:szCs w:val="20"/>
              </w:rPr>
            </w:pPr>
            <w:r w:rsidRPr="00730FE4">
              <w:rPr>
                <w:rFonts w:eastAsia="Times New Roman" w:cs="Times New Roman"/>
                <w:bCs/>
                <w:color w:val="000000"/>
                <w:sz w:val="20"/>
                <w:szCs w:val="20"/>
                <w:lang w:eastAsia="lv-LV"/>
              </w:rPr>
              <w:t>EUR/mēn</w:t>
            </w:r>
          </w:p>
        </w:tc>
        <w:tc>
          <w:tcPr>
            <w:tcW w:w="1363" w:type="dxa"/>
          </w:tcPr>
          <w:p w:rsidR="0073163E" w:rsidRDefault="0073163E" w:rsidP="0073163E">
            <w:pPr>
              <w:spacing w:line="240" w:lineRule="auto"/>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B</w:t>
            </w:r>
            <w:r w:rsidRPr="005B2759">
              <w:rPr>
                <w:rFonts w:eastAsia="Times New Roman" w:cs="Times New Roman"/>
                <w:b/>
                <w:bCs/>
                <w:color w:val="000000"/>
                <w:sz w:val="20"/>
                <w:szCs w:val="20"/>
                <w:lang w:eastAsia="lv-LV"/>
              </w:rPr>
              <w:t xml:space="preserve">ez </w:t>
            </w:r>
            <w:r>
              <w:rPr>
                <w:rFonts w:eastAsia="Times New Roman" w:cs="Times New Roman"/>
                <w:b/>
                <w:bCs/>
                <w:color w:val="000000"/>
                <w:sz w:val="20"/>
                <w:szCs w:val="20"/>
                <w:lang w:eastAsia="lv-LV"/>
              </w:rPr>
              <w:t xml:space="preserve">OIK </w:t>
            </w:r>
            <w:r w:rsidRPr="005B2759">
              <w:rPr>
                <w:rFonts w:eastAsia="Times New Roman" w:cs="Times New Roman"/>
                <w:b/>
                <w:bCs/>
                <w:color w:val="000000"/>
                <w:sz w:val="20"/>
                <w:szCs w:val="20"/>
                <w:lang w:eastAsia="lv-LV"/>
              </w:rPr>
              <w:t>atbalsta</w:t>
            </w:r>
          </w:p>
          <w:p w:rsidR="0073163E" w:rsidRPr="005B2759" w:rsidRDefault="0073163E" w:rsidP="0073163E">
            <w:pPr>
              <w:spacing w:line="240" w:lineRule="auto"/>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w:t>
            </w:r>
            <w:r w:rsidRPr="0052754F">
              <w:rPr>
                <w:rFonts w:eastAsia="Times New Roman" w:cs="Times New Roman"/>
                <w:b/>
                <w:bCs/>
                <w:color w:val="000000"/>
                <w:sz w:val="20"/>
                <w:szCs w:val="20"/>
                <w:lang w:eastAsia="lv-LV"/>
              </w:rPr>
              <w:t xml:space="preserve">OIK </w:t>
            </w:r>
            <w:r>
              <w:rPr>
                <w:rFonts w:eastAsia="Times New Roman" w:cs="Times New Roman"/>
                <w:b/>
                <w:bCs/>
                <w:color w:val="000000"/>
                <w:sz w:val="20"/>
                <w:szCs w:val="20"/>
                <w:lang w:eastAsia="lv-LV"/>
              </w:rPr>
              <w:t>38</w:t>
            </w:r>
            <w:r w:rsidRPr="0052754F">
              <w:rPr>
                <w:rFonts w:eastAsia="Times New Roman" w:cs="Times New Roman"/>
                <w:b/>
                <w:bCs/>
                <w:color w:val="000000"/>
                <w:sz w:val="20"/>
                <w:szCs w:val="20"/>
                <w:lang w:eastAsia="lv-LV"/>
              </w:rPr>
              <w:t>,</w:t>
            </w:r>
            <w:r>
              <w:rPr>
                <w:rFonts w:eastAsia="Times New Roman" w:cs="Times New Roman"/>
                <w:b/>
                <w:bCs/>
                <w:color w:val="000000"/>
                <w:sz w:val="20"/>
                <w:szCs w:val="20"/>
                <w:lang w:eastAsia="lv-LV"/>
              </w:rPr>
              <w:t>66</w:t>
            </w:r>
            <w:r w:rsidRPr="0052754F">
              <w:rPr>
                <w:rFonts w:eastAsia="Times New Roman" w:cs="Times New Roman"/>
                <w:b/>
                <w:bCs/>
                <w:color w:val="000000"/>
                <w:sz w:val="20"/>
                <w:szCs w:val="20"/>
                <w:lang w:eastAsia="lv-LV"/>
              </w:rPr>
              <w:t xml:space="preserve"> EUR/MWh</w:t>
            </w:r>
            <w:r>
              <w:rPr>
                <w:rFonts w:eastAsia="Times New Roman" w:cs="Times New Roman"/>
                <w:b/>
                <w:bCs/>
                <w:color w:val="000000"/>
                <w:sz w:val="20"/>
                <w:szCs w:val="20"/>
                <w:lang w:eastAsia="lv-LV"/>
              </w:rPr>
              <w:t>)</w:t>
            </w:r>
            <w:r w:rsidRPr="005B2759">
              <w:rPr>
                <w:rFonts w:eastAsia="Times New Roman" w:cs="Times New Roman"/>
                <w:b/>
                <w:bCs/>
                <w:color w:val="000000"/>
                <w:sz w:val="20"/>
                <w:szCs w:val="20"/>
                <w:lang w:eastAsia="lv-LV"/>
              </w:rPr>
              <w:t>,</w:t>
            </w:r>
          </w:p>
          <w:p w:rsidR="0073163E" w:rsidRPr="005B2759" w:rsidRDefault="0073163E" w:rsidP="0073163E">
            <w:pPr>
              <w:jc w:val="center"/>
              <w:rPr>
                <w:sz w:val="20"/>
                <w:szCs w:val="20"/>
              </w:rPr>
            </w:pPr>
            <w:r w:rsidRPr="005B2759">
              <w:rPr>
                <w:rFonts w:eastAsia="Times New Roman" w:cs="Times New Roman"/>
                <w:bCs/>
                <w:color w:val="000000"/>
                <w:sz w:val="20"/>
                <w:szCs w:val="20"/>
                <w:lang w:eastAsia="lv-LV"/>
              </w:rPr>
              <w:t>EUR/mēn</w:t>
            </w:r>
          </w:p>
        </w:tc>
      </w:tr>
      <w:tr w:rsidR="00730FE4" w:rsidTr="00730FE4">
        <w:trPr>
          <w:trHeight w:val="360"/>
        </w:trPr>
        <w:tc>
          <w:tcPr>
            <w:tcW w:w="1684" w:type="dxa"/>
            <w:vMerge w:val="restart"/>
          </w:tcPr>
          <w:p w:rsidR="00730FE4" w:rsidRPr="005B2759" w:rsidRDefault="00730FE4" w:rsidP="0073163E">
            <w:pPr>
              <w:spacing w:line="240" w:lineRule="auto"/>
              <w:jc w:val="left"/>
              <w:rPr>
                <w:sz w:val="20"/>
                <w:szCs w:val="20"/>
              </w:rPr>
            </w:pPr>
            <w:r>
              <w:rPr>
                <w:rFonts w:eastAsia="Times New Roman" w:cs="Times New Roman"/>
                <w:color w:val="000000"/>
                <w:sz w:val="20"/>
                <w:szCs w:val="20"/>
                <w:lang w:eastAsia="lv-LV"/>
              </w:rPr>
              <w:t>P</w:t>
            </w:r>
            <w:r w:rsidRPr="005B2759">
              <w:rPr>
                <w:rFonts w:eastAsia="Times New Roman" w:cs="Times New Roman"/>
                <w:color w:val="000000"/>
                <w:sz w:val="20"/>
                <w:szCs w:val="20"/>
                <w:lang w:eastAsia="lv-LV"/>
              </w:rPr>
              <w:t>ensionār</w:t>
            </w:r>
            <w:r>
              <w:rPr>
                <w:rFonts w:eastAsia="Times New Roman" w:cs="Times New Roman"/>
                <w:color w:val="000000"/>
                <w:sz w:val="20"/>
                <w:szCs w:val="20"/>
                <w:lang w:eastAsia="lv-LV"/>
              </w:rPr>
              <w:t>s</w:t>
            </w:r>
            <w:r w:rsidRPr="005B2759">
              <w:rPr>
                <w:rFonts w:eastAsia="Times New Roman" w:cs="Times New Roman"/>
                <w:color w:val="000000"/>
                <w:sz w:val="20"/>
                <w:szCs w:val="20"/>
                <w:lang w:eastAsia="lv-LV"/>
              </w:rPr>
              <w:t xml:space="preserve"> lauku mājā                      </w:t>
            </w:r>
            <w:r w:rsidRPr="005B2759">
              <w:rPr>
                <w:rFonts w:eastAsia="Times New Roman" w:cs="Times New Roman"/>
                <w:i/>
                <w:color w:val="000000"/>
                <w:sz w:val="20"/>
                <w:szCs w:val="20"/>
                <w:lang w:eastAsia="lv-LV"/>
              </w:rPr>
              <w:t>(patēriņš 178 kWh/mēnesī)</w:t>
            </w:r>
          </w:p>
        </w:tc>
        <w:tc>
          <w:tcPr>
            <w:tcW w:w="2148" w:type="dxa"/>
            <w:vAlign w:val="center"/>
          </w:tcPr>
          <w:p w:rsidR="00730FE4" w:rsidRPr="00C25A77" w:rsidRDefault="00730FE4" w:rsidP="0073163E">
            <w:pPr>
              <w:spacing w:line="240" w:lineRule="auto"/>
              <w:jc w:val="left"/>
              <w:rPr>
                <w:i/>
                <w:sz w:val="20"/>
                <w:szCs w:val="20"/>
              </w:rPr>
            </w:pPr>
            <w:r w:rsidRPr="00C25A77">
              <w:rPr>
                <w:i/>
                <w:sz w:val="20"/>
                <w:szCs w:val="20"/>
              </w:rPr>
              <w:t xml:space="preserve">EUR/mēnesī </w:t>
            </w:r>
          </w:p>
        </w:tc>
        <w:tc>
          <w:tcPr>
            <w:tcW w:w="1044" w:type="dxa"/>
            <w:vAlign w:val="center"/>
          </w:tcPr>
          <w:p w:rsidR="00730FE4" w:rsidRPr="005B2759" w:rsidRDefault="00730FE4" w:rsidP="0073163E">
            <w:pPr>
              <w:spacing w:line="240" w:lineRule="auto"/>
              <w:jc w:val="center"/>
              <w:rPr>
                <w:sz w:val="20"/>
                <w:szCs w:val="20"/>
              </w:rPr>
            </w:pPr>
            <w:r w:rsidRPr="005B2759">
              <w:rPr>
                <w:sz w:val="20"/>
                <w:szCs w:val="20"/>
              </w:rPr>
              <w:t>30,06</w:t>
            </w:r>
          </w:p>
        </w:tc>
        <w:tc>
          <w:tcPr>
            <w:tcW w:w="1311" w:type="dxa"/>
            <w:shd w:val="clear" w:color="auto" w:fill="E2EFD9" w:themeFill="accent6" w:themeFillTint="33"/>
            <w:vAlign w:val="center"/>
          </w:tcPr>
          <w:p w:rsidR="00730FE4" w:rsidRPr="005B2759" w:rsidRDefault="00730FE4" w:rsidP="0073163E">
            <w:pPr>
              <w:spacing w:line="240" w:lineRule="auto"/>
              <w:jc w:val="center"/>
              <w:rPr>
                <w:sz w:val="20"/>
                <w:szCs w:val="20"/>
              </w:rPr>
            </w:pPr>
            <w:r>
              <w:rPr>
                <w:rFonts w:eastAsia="Times New Roman" w:cs="Times New Roman"/>
                <w:b/>
                <w:color w:val="000000"/>
                <w:sz w:val="20"/>
                <w:szCs w:val="20"/>
                <w:lang w:eastAsia="lv-LV"/>
              </w:rPr>
              <w:t>29,63</w:t>
            </w:r>
          </w:p>
        </w:tc>
        <w:tc>
          <w:tcPr>
            <w:tcW w:w="1716" w:type="dxa"/>
            <w:vAlign w:val="center"/>
          </w:tcPr>
          <w:p w:rsidR="00730FE4" w:rsidRPr="00730FE4" w:rsidRDefault="00730FE4" w:rsidP="0073163E">
            <w:pPr>
              <w:spacing w:line="240" w:lineRule="auto"/>
              <w:jc w:val="center"/>
              <w:rPr>
                <w:rFonts w:eastAsia="Times New Roman" w:cs="Times New Roman"/>
                <w:color w:val="000000"/>
                <w:sz w:val="20"/>
                <w:szCs w:val="20"/>
                <w:lang w:eastAsia="lv-LV"/>
              </w:rPr>
            </w:pPr>
            <w:r w:rsidRPr="00730FE4">
              <w:rPr>
                <w:rFonts w:eastAsia="Times New Roman" w:cs="Times New Roman"/>
                <w:color w:val="000000"/>
                <w:sz w:val="20"/>
                <w:szCs w:val="20"/>
                <w:lang w:eastAsia="lv-LV"/>
              </w:rPr>
              <w:t>29,82</w:t>
            </w:r>
          </w:p>
        </w:tc>
        <w:tc>
          <w:tcPr>
            <w:tcW w:w="1363" w:type="dxa"/>
            <w:vAlign w:val="center"/>
          </w:tcPr>
          <w:p w:rsidR="00730FE4" w:rsidRPr="005B2759" w:rsidRDefault="00730FE4" w:rsidP="0073163E">
            <w:pPr>
              <w:spacing w:line="240" w:lineRule="auto"/>
              <w:jc w:val="center"/>
              <w:rPr>
                <w:b/>
                <w:sz w:val="20"/>
                <w:szCs w:val="20"/>
              </w:rPr>
            </w:pPr>
            <w:r w:rsidRPr="002071BB">
              <w:rPr>
                <w:rFonts w:eastAsia="Times New Roman" w:cs="Times New Roman"/>
                <w:color w:val="000000"/>
                <w:sz w:val="20"/>
                <w:szCs w:val="20"/>
                <w:lang w:eastAsia="lv-LV"/>
              </w:rPr>
              <w:t>32,19</w:t>
            </w:r>
          </w:p>
        </w:tc>
      </w:tr>
      <w:tr w:rsidR="00730FE4" w:rsidTr="00730FE4">
        <w:tc>
          <w:tcPr>
            <w:tcW w:w="1684" w:type="dxa"/>
            <w:vMerge/>
          </w:tcPr>
          <w:p w:rsidR="00730FE4" w:rsidRPr="005B2759" w:rsidRDefault="00730FE4" w:rsidP="0073163E">
            <w:pPr>
              <w:spacing w:line="240" w:lineRule="auto"/>
              <w:jc w:val="left"/>
              <w:rPr>
                <w:sz w:val="20"/>
                <w:szCs w:val="20"/>
              </w:rPr>
            </w:pPr>
          </w:p>
        </w:tc>
        <w:tc>
          <w:tcPr>
            <w:tcW w:w="2148" w:type="dxa"/>
            <w:vAlign w:val="center"/>
          </w:tcPr>
          <w:p w:rsidR="00730FE4" w:rsidRPr="00C25A77" w:rsidRDefault="00730FE4" w:rsidP="0073163E">
            <w:pPr>
              <w:spacing w:line="240" w:lineRule="auto"/>
              <w:jc w:val="left"/>
              <w:rPr>
                <w:i/>
                <w:sz w:val="20"/>
                <w:szCs w:val="20"/>
              </w:rPr>
            </w:pPr>
            <w:r w:rsidRPr="00C25A77">
              <w:rPr>
                <w:i/>
                <w:sz w:val="20"/>
                <w:szCs w:val="20"/>
              </w:rPr>
              <w:t>Izmaiņas (%)</w:t>
            </w:r>
          </w:p>
        </w:tc>
        <w:tc>
          <w:tcPr>
            <w:tcW w:w="1044" w:type="dxa"/>
            <w:vAlign w:val="center"/>
          </w:tcPr>
          <w:p w:rsidR="00730FE4" w:rsidRPr="005B2759" w:rsidRDefault="00730FE4" w:rsidP="0073163E">
            <w:pPr>
              <w:spacing w:line="240" w:lineRule="auto"/>
              <w:jc w:val="center"/>
              <w:rPr>
                <w:sz w:val="20"/>
                <w:szCs w:val="20"/>
              </w:rPr>
            </w:pPr>
            <w:r>
              <w:rPr>
                <w:sz w:val="20"/>
                <w:szCs w:val="20"/>
              </w:rPr>
              <w:t>---</w:t>
            </w:r>
          </w:p>
        </w:tc>
        <w:tc>
          <w:tcPr>
            <w:tcW w:w="1311" w:type="dxa"/>
            <w:shd w:val="clear" w:color="auto" w:fill="E2EFD9" w:themeFill="accent6" w:themeFillTint="33"/>
            <w:vAlign w:val="center"/>
          </w:tcPr>
          <w:p w:rsidR="00730FE4" w:rsidRPr="003C5374" w:rsidRDefault="00730FE4" w:rsidP="0073163E">
            <w:pPr>
              <w:spacing w:line="240" w:lineRule="auto"/>
              <w:jc w:val="center"/>
              <w:rPr>
                <w:rFonts w:eastAsia="Times New Roman" w:cs="Times New Roman"/>
                <w:b/>
                <w:bCs/>
                <w:color w:val="FF0000"/>
                <w:sz w:val="20"/>
                <w:szCs w:val="20"/>
                <w:lang w:eastAsia="lv-LV"/>
              </w:rPr>
            </w:pPr>
            <w:r>
              <w:rPr>
                <w:rFonts w:eastAsia="Times New Roman" w:cs="Times New Roman"/>
                <w:b/>
                <w:bCs/>
                <w:color w:val="00B050"/>
                <w:sz w:val="20"/>
                <w:szCs w:val="20"/>
                <w:lang w:eastAsia="lv-LV"/>
              </w:rPr>
              <w:t>-1,4</w:t>
            </w:r>
            <w:r w:rsidRPr="003C5374">
              <w:rPr>
                <w:rFonts w:eastAsia="Times New Roman" w:cs="Times New Roman"/>
                <w:b/>
                <w:bCs/>
                <w:color w:val="00B050"/>
                <w:sz w:val="20"/>
                <w:szCs w:val="20"/>
                <w:lang w:eastAsia="lv-LV"/>
              </w:rPr>
              <w:t>%</w:t>
            </w:r>
          </w:p>
        </w:tc>
        <w:tc>
          <w:tcPr>
            <w:tcW w:w="1716" w:type="dxa"/>
            <w:vAlign w:val="center"/>
          </w:tcPr>
          <w:p w:rsidR="00730FE4" w:rsidRPr="00730FE4" w:rsidRDefault="00730FE4" w:rsidP="0073163E">
            <w:pPr>
              <w:spacing w:line="240" w:lineRule="auto"/>
              <w:jc w:val="center"/>
              <w:rPr>
                <w:rFonts w:eastAsia="Times New Roman" w:cs="Times New Roman"/>
                <w:bCs/>
                <w:color w:val="00B050"/>
                <w:sz w:val="20"/>
                <w:szCs w:val="20"/>
                <w:lang w:eastAsia="lv-LV"/>
              </w:rPr>
            </w:pPr>
            <w:r w:rsidRPr="00730FE4">
              <w:rPr>
                <w:rFonts w:eastAsia="Times New Roman" w:cs="Times New Roman"/>
                <w:bCs/>
                <w:color w:val="00B050"/>
                <w:sz w:val="20"/>
                <w:szCs w:val="20"/>
                <w:lang w:eastAsia="lv-LV"/>
              </w:rPr>
              <w:t>-0,8%</w:t>
            </w:r>
          </w:p>
        </w:tc>
        <w:tc>
          <w:tcPr>
            <w:tcW w:w="1363" w:type="dxa"/>
            <w:vAlign w:val="center"/>
          </w:tcPr>
          <w:p w:rsidR="00730FE4" w:rsidRPr="005B2759" w:rsidRDefault="00730FE4" w:rsidP="0073163E">
            <w:pPr>
              <w:spacing w:line="240" w:lineRule="auto"/>
              <w:jc w:val="center"/>
              <w:rPr>
                <w:b/>
                <w:color w:val="FF0000"/>
                <w:sz w:val="20"/>
                <w:szCs w:val="20"/>
              </w:rPr>
            </w:pPr>
            <w:r w:rsidRPr="003C5374">
              <w:rPr>
                <w:rFonts w:eastAsia="Times New Roman" w:cs="Times New Roman"/>
                <w:b/>
                <w:bCs/>
                <w:color w:val="FF0000"/>
                <w:sz w:val="20"/>
                <w:szCs w:val="20"/>
                <w:lang w:eastAsia="lv-LV"/>
              </w:rPr>
              <w:t>+7,1%</w:t>
            </w:r>
          </w:p>
        </w:tc>
      </w:tr>
      <w:tr w:rsidR="00730FE4" w:rsidTr="00730FE4">
        <w:tc>
          <w:tcPr>
            <w:tcW w:w="1684" w:type="dxa"/>
            <w:vMerge w:val="restart"/>
          </w:tcPr>
          <w:p w:rsidR="00730FE4" w:rsidRDefault="00730FE4" w:rsidP="0073163E">
            <w:pPr>
              <w:spacing w:line="240" w:lineRule="auto"/>
              <w:jc w:val="left"/>
              <w:rPr>
                <w:rFonts w:eastAsia="Times New Roman" w:cs="Times New Roman"/>
                <w:color w:val="000000"/>
                <w:sz w:val="20"/>
                <w:szCs w:val="20"/>
                <w:lang w:eastAsia="lv-LV"/>
              </w:rPr>
            </w:pPr>
            <w:r>
              <w:rPr>
                <w:rFonts w:eastAsia="Times New Roman" w:cs="Times New Roman"/>
                <w:color w:val="000000"/>
                <w:sz w:val="20"/>
                <w:szCs w:val="20"/>
                <w:lang w:eastAsia="lv-LV"/>
              </w:rPr>
              <w:t xml:space="preserve">Maznodrošināta vai </w:t>
            </w:r>
            <w:r w:rsidRPr="002071BB">
              <w:rPr>
                <w:rFonts w:eastAsia="Times New Roman" w:cs="Times New Roman"/>
                <w:color w:val="000000"/>
                <w:sz w:val="20"/>
                <w:szCs w:val="20"/>
                <w:lang w:eastAsia="lv-LV"/>
              </w:rPr>
              <w:t>trūcīga ģimenei</w:t>
            </w:r>
            <w:r>
              <w:rPr>
                <w:rFonts w:eastAsia="Times New Roman" w:cs="Times New Roman"/>
                <w:color w:val="000000"/>
                <w:sz w:val="20"/>
                <w:szCs w:val="20"/>
                <w:lang w:eastAsia="lv-LV"/>
              </w:rPr>
              <w:t>,</w:t>
            </w:r>
          </w:p>
          <w:p w:rsidR="00730FE4" w:rsidRPr="005B2759" w:rsidRDefault="00730FE4" w:rsidP="0073163E">
            <w:pPr>
              <w:spacing w:line="240" w:lineRule="auto"/>
              <w:jc w:val="left"/>
              <w:rPr>
                <w:i/>
                <w:sz w:val="20"/>
                <w:szCs w:val="20"/>
              </w:rPr>
            </w:pPr>
            <w:r w:rsidRPr="005B2759">
              <w:rPr>
                <w:rFonts w:eastAsia="Times New Roman" w:cs="Times New Roman"/>
                <w:i/>
                <w:color w:val="000000"/>
                <w:sz w:val="20"/>
                <w:szCs w:val="20"/>
                <w:lang w:eastAsia="lv-LV"/>
              </w:rPr>
              <w:t>(patēriņš 58 kWh/mēnesī)</w:t>
            </w:r>
          </w:p>
        </w:tc>
        <w:tc>
          <w:tcPr>
            <w:tcW w:w="2148" w:type="dxa"/>
            <w:vAlign w:val="center"/>
          </w:tcPr>
          <w:p w:rsidR="00730FE4" w:rsidRPr="00C25A77" w:rsidRDefault="00730FE4" w:rsidP="0073163E">
            <w:pPr>
              <w:spacing w:line="240" w:lineRule="auto"/>
              <w:jc w:val="left"/>
              <w:rPr>
                <w:i/>
                <w:sz w:val="20"/>
                <w:szCs w:val="20"/>
              </w:rPr>
            </w:pPr>
            <w:r w:rsidRPr="00C25A77">
              <w:rPr>
                <w:i/>
                <w:sz w:val="20"/>
                <w:szCs w:val="20"/>
              </w:rPr>
              <w:t xml:space="preserve">EUR/mēnesī </w:t>
            </w:r>
          </w:p>
        </w:tc>
        <w:tc>
          <w:tcPr>
            <w:tcW w:w="1044" w:type="dxa"/>
            <w:vAlign w:val="center"/>
          </w:tcPr>
          <w:p w:rsidR="00730FE4" w:rsidRPr="005B2759" w:rsidRDefault="00730FE4" w:rsidP="0073163E">
            <w:pPr>
              <w:spacing w:line="240" w:lineRule="auto"/>
              <w:jc w:val="center"/>
              <w:rPr>
                <w:sz w:val="20"/>
                <w:szCs w:val="20"/>
              </w:rPr>
            </w:pPr>
            <w:r w:rsidRPr="002071BB">
              <w:rPr>
                <w:rFonts w:eastAsia="Times New Roman" w:cs="Times New Roman"/>
                <w:color w:val="000000"/>
                <w:sz w:val="20"/>
                <w:szCs w:val="20"/>
                <w:lang w:eastAsia="lv-LV"/>
              </w:rPr>
              <w:t>6,75</w:t>
            </w:r>
          </w:p>
        </w:tc>
        <w:tc>
          <w:tcPr>
            <w:tcW w:w="1311" w:type="dxa"/>
            <w:shd w:val="clear" w:color="auto" w:fill="E2EFD9" w:themeFill="accent6" w:themeFillTint="33"/>
            <w:vAlign w:val="center"/>
          </w:tcPr>
          <w:p w:rsidR="00730FE4" w:rsidRPr="005B2759" w:rsidRDefault="00730FE4" w:rsidP="0073163E">
            <w:pPr>
              <w:spacing w:line="240" w:lineRule="auto"/>
              <w:jc w:val="center"/>
              <w:rPr>
                <w:sz w:val="20"/>
                <w:szCs w:val="20"/>
              </w:rPr>
            </w:pPr>
            <w:r>
              <w:rPr>
                <w:b/>
                <w:sz w:val="20"/>
                <w:szCs w:val="20"/>
              </w:rPr>
              <w:t>6,75</w:t>
            </w:r>
          </w:p>
        </w:tc>
        <w:tc>
          <w:tcPr>
            <w:tcW w:w="1716" w:type="dxa"/>
            <w:vAlign w:val="center"/>
          </w:tcPr>
          <w:p w:rsidR="00730FE4" w:rsidRPr="00730FE4" w:rsidRDefault="00730FE4" w:rsidP="0073163E">
            <w:pPr>
              <w:spacing w:line="240" w:lineRule="auto"/>
              <w:jc w:val="center"/>
              <w:rPr>
                <w:rFonts w:eastAsia="Times New Roman" w:cs="Times New Roman"/>
                <w:color w:val="000000"/>
                <w:sz w:val="20"/>
                <w:szCs w:val="20"/>
                <w:lang w:eastAsia="lv-LV"/>
              </w:rPr>
            </w:pPr>
            <w:r w:rsidRPr="00730FE4">
              <w:rPr>
                <w:sz w:val="20"/>
                <w:szCs w:val="20"/>
              </w:rPr>
              <w:t>6,81</w:t>
            </w:r>
          </w:p>
        </w:tc>
        <w:tc>
          <w:tcPr>
            <w:tcW w:w="1363" w:type="dxa"/>
            <w:vAlign w:val="center"/>
          </w:tcPr>
          <w:p w:rsidR="00730FE4" w:rsidRPr="005B2759" w:rsidRDefault="00730FE4" w:rsidP="0073163E">
            <w:pPr>
              <w:spacing w:line="240" w:lineRule="auto"/>
              <w:jc w:val="center"/>
              <w:rPr>
                <w:b/>
                <w:sz w:val="20"/>
                <w:szCs w:val="20"/>
              </w:rPr>
            </w:pPr>
            <w:r w:rsidRPr="002071BB">
              <w:rPr>
                <w:rFonts w:eastAsia="Times New Roman" w:cs="Times New Roman"/>
                <w:color w:val="000000"/>
                <w:sz w:val="20"/>
                <w:szCs w:val="20"/>
                <w:lang w:eastAsia="lv-LV"/>
              </w:rPr>
              <w:t>7,58</w:t>
            </w:r>
          </w:p>
        </w:tc>
      </w:tr>
      <w:tr w:rsidR="00730FE4" w:rsidTr="00730FE4">
        <w:tc>
          <w:tcPr>
            <w:tcW w:w="1684" w:type="dxa"/>
            <w:vMerge/>
          </w:tcPr>
          <w:p w:rsidR="00730FE4" w:rsidRPr="005B2759" w:rsidRDefault="00730FE4" w:rsidP="0073163E">
            <w:pPr>
              <w:spacing w:line="240" w:lineRule="auto"/>
              <w:jc w:val="left"/>
              <w:rPr>
                <w:sz w:val="20"/>
                <w:szCs w:val="20"/>
              </w:rPr>
            </w:pPr>
          </w:p>
        </w:tc>
        <w:tc>
          <w:tcPr>
            <w:tcW w:w="2148" w:type="dxa"/>
            <w:vAlign w:val="center"/>
          </w:tcPr>
          <w:p w:rsidR="00730FE4" w:rsidRPr="00C25A77" w:rsidRDefault="00730FE4" w:rsidP="0073163E">
            <w:pPr>
              <w:spacing w:line="240" w:lineRule="auto"/>
              <w:jc w:val="left"/>
              <w:rPr>
                <w:i/>
                <w:sz w:val="20"/>
                <w:szCs w:val="20"/>
              </w:rPr>
            </w:pPr>
            <w:r w:rsidRPr="00C25A77">
              <w:rPr>
                <w:i/>
                <w:sz w:val="20"/>
                <w:szCs w:val="20"/>
              </w:rPr>
              <w:t>Izmaiņas (%)</w:t>
            </w:r>
          </w:p>
        </w:tc>
        <w:tc>
          <w:tcPr>
            <w:tcW w:w="1044" w:type="dxa"/>
            <w:vAlign w:val="center"/>
          </w:tcPr>
          <w:p w:rsidR="00730FE4" w:rsidRPr="005B2759" w:rsidRDefault="00730FE4" w:rsidP="0073163E">
            <w:pPr>
              <w:spacing w:line="240" w:lineRule="auto"/>
              <w:jc w:val="center"/>
              <w:rPr>
                <w:sz w:val="20"/>
                <w:szCs w:val="20"/>
              </w:rPr>
            </w:pPr>
            <w:r>
              <w:rPr>
                <w:sz w:val="20"/>
                <w:szCs w:val="20"/>
              </w:rPr>
              <w:t>---</w:t>
            </w:r>
          </w:p>
        </w:tc>
        <w:tc>
          <w:tcPr>
            <w:tcW w:w="1311" w:type="dxa"/>
            <w:shd w:val="clear" w:color="auto" w:fill="E2EFD9" w:themeFill="accent6" w:themeFillTint="33"/>
            <w:vAlign w:val="center"/>
          </w:tcPr>
          <w:p w:rsidR="00730FE4" w:rsidRPr="005B2759" w:rsidRDefault="00730FE4" w:rsidP="0073163E">
            <w:pPr>
              <w:spacing w:line="240" w:lineRule="auto"/>
              <w:jc w:val="center"/>
              <w:rPr>
                <w:sz w:val="20"/>
                <w:szCs w:val="20"/>
              </w:rPr>
            </w:pPr>
            <w:r w:rsidRPr="00054A0D">
              <w:rPr>
                <w:rFonts w:cs="Times New Roman"/>
                <w:b/>
                <w:bCs/>
                <w:color w:val="00B050"/>
                <w:sz w:val="20"/>
              </w:rPr>
              <w:t>0,0%</w:t>
            </w:r>
          </w:p>
        </w:tc>
        <w:tc>
          <w:tcPr>
            <w:tcW w:w="1716" w:type="dxa"/>
            <w:vAlign w:val="center"/>
          </w:tcPr>
          <w:p w:rsidR="00730FE4" w:rsidRPr="00730FE4" w:rsidRDefault="00730FE4" w:rsidP="0073163E">
            <w:pPr>
              <w:spacing w:line="240" w:lineRule="auto"/>
              <w:jc w:val="center"/>
              <w:rPr>
                <w:rFonts w:eastAsia="Times New Roman" w:cs="Times New Roman"/>
                <w:bCs/>
                <w:color w:val="C00000"/>
                <w:sz w:val="20"/>
                <w:szCs w:val="20"/>
                <w:lang w:eastAsia="lv-LV"/>
              </w:rPr>
            </w:pPr>
            <w:r w:rsidRPr="00730FE4">
              <w:rPr>
                <w:rFonts w:eastAsia="Times New Roman" w:cs="Times New Roman"/>
                <w:bCs/>
                <w:color w:val="FF0000"/>
                <w:sz w:val="20"/>
                <w:szCs w:val="20"/>
                <w:lang w:eastAsia="lv-LV"/>
              </w:rPr>
              <w:t>+0,9%</w:t>
            </w:r>
            <w:r w:rsidRPr="00730FE4">
              <w:rPr>
                <w:color w:val="FF0000"/>
                <w:sz w:val="20"/>
                <w:szCs w:val="20"/>
                <w:vertAlign w:val="superscript"/>
              </w:rPr>
              <w:t>*</w:t>
            </w:r>
          </w:p>
        </w:tc>
        <w:tc>
          <w:tcPr>
            <w:tcW w:w="1363" w:type="dxa"/>
            <w:vAlign w:val="center"/>
          </w:tcPr>
          <w:p w:rsidR="00730FE4" w:rsidRPr="005B2759" w:rsidRDefault="00730FE4" w:rsidP="0073163E">
            <w:pPr>
              <w:spacing w:line="240" w:lineRule="auto"/>
              <w:jc w:val="center"/>
              <w:rPr>
                <w:b/>
                <w:sz w:val="20"/>
                <w:szCs w:val="20"/>
              </w:rPr>
            </w:pPr>
            <w:r w:rsidRPr="002071BB">
              <w:rPr>
                <w:rFonts w:eastAsia="Times New Roman" w:cs="Times New Roman"/>
                <w:b/>
                <w:bCs/>
                <w:color w:val="FF0000"/>
                <w:sz w:val="20"/>
                <w:szCs w:val="20"/>
                <w:lang w:eastAsia="lv-LV"/>
              </w:rPr>
              <w:t>+12,3%</w:t>
            </w:r>
          </w:p>
        </w:tc>
      </w:tr>
      <w:tr w:rsidR="00730FE4" w:rsidTr="00730FE4">
        <w:tc>
          <w:tcPr>
            <w:tcW w:w="1684" w:type="dxa"/>
            <w:vMerge w:val="restart"/>
          </w:tcPr>
          <w:p w:rsidR="00730FE4" w:rsidRPr="005B2759" w:rsidRDefault="00730FE4" w:rsidP="0073163E">
            <w:pPr>
              <w:spacing w:line="240" w:lineRule="auto"/>
              <w:jc w:val="left"/>
              <w:rPr>
                <w:sz w:val="20"/>
                <w:szCs w:val="20"/>
              </w:rPr>
            </w:pPr>
            <w:r>
              <w:rPr>
                <w:rFonts w:eastAsia="Times New Roman" w:cs="Times New Roman"/>
                <w:color w:val="000000"/>
                <w:sz w:val="20"/>
                <w:szCs w:val="20"/>
                <w:lang w:eastAsia="lv-LV"/>
              </w:rPr>
              <w:t>Mazs</w:t>
            </w:r>
            <w:r w:rsidRPr="002071BB">
              <w:rPr>
                <w:rFonts w:eastAsia="Times New Roman" w:cs="Times New Roman"/>
                <w:color w:val="000000"/>
                <w:sz w:val="20"/>
                <w:szCs w:val="20"/>
                <w:lang w:eastAsia="lv-LV"/>
              </w:rPr>
              <w:t xml:space="preserve"> </w:t>
            </w:r>
            <w:r>
              <w:rPr>
                <w:rFonts w:eastAsia="Times New Roman" w:cs="Times New Roman"/>
                <w:color w:val="000000"/>
                <w:sz w:val="20"/>
                <w:szCs w:val="20"/>
                <w:lang w:eastAsia="lv-LV"/>
              </w:rPr>
              <w:t xml:space="preserve">ražojošs </w:t>
            </w:r>
            <w:r w:rsidRPr="002071BB">
              <w:rPr>
                <w:rFonts w:eastAsia="Times New Roman" w:cs="Times New Roman"/>
                <w:color w:val="000000"/>
                <w:sz w:val="20"/>
                <w:szCs w:val="20"/>
                <w:lang w:eastAsia="lv-LV"/>
              </w:rPr>
              <w:t>uzņēmum</w:t>
            </w:r>
            <w:r>
              <w:rPr>
                <w:rFonts w:eastAsia="Times New Roman" w:cs="Times New Roman"/>
                <w:color w:val="000000"/>
                <w:sz w:val="20"/>
                <w:szCs w:val="20"/>
                <w:lang w:eastAsia="lv-LV"/>
              </w:rPr>
              <w:t xml:space="preserve">s </w:t>
            </w:r>
            <w:r w:rsidRPr="002071BB">
              <w:rPr>
                <w:rFonts w:eastAsia="Times New Roman" w:cs="Times New Roman"/>
                <w:color w:val="000000"/>
                <w:sz w:val="20"/>
                <w:szCs w:val="20"/>
                <w:lang w:eastAsia="lv-LV"/>
              </w:rPr>
              <w:t>(</w:t>
            </w:r>
            <w:r w:rsidRPr="00C25A77">
              <w:rPr>
                <w:rFonts w:eastAsia="Times New Roman" w:cs="Times New Roman"/>
                <w:i/>
                <w:color w:val="000000"/>
                <w:sz w:val="20"/>
                <w:szCs w:val="20"/>
                <w:lang w:eastAsia="lv-LV"/>
              </w:rPr>
              <w:t>patēriņš 15,6 MWh/mēnesī)</w:t>
            </w:r>
          </w:p>
        </w:tc>
        <w:tc>
          <w:tcPr>
            <w:tcW w:w="2148" w:type="dxa"/>
            <w:vAlign w:val="center"/>
          </w:tcPr>
          <w:p w:rsidR="00730FE4" w:rsidRPr="00C25A77" w:rsidRDefault="00730FE4" w:rsidP="0073163E">
            <w:pPr>
              <w:spacing w:line="240" w:lineRule="auto"/>
              <w:jc w:val="left"/>
              <w:rPr>
                <w:i/>
                <w:sz w:val="20"/>
                <w:szCs w:val="20"/>
              </w:rPr>
            </w:pPr>
            <w:r w:rsidRPr="00C25A77">
              <w:rPr>
                <w:i/>
                <w:sz w:val="20"/>
                <w:szCs w:val="20"/>
              </w:rPr>
              <w:t xml:space="preserve">EUR/mēnesī </w:t>
            </w:r>
          </w:p>
        </w:tc>
        <w:tc>
          <w:tcPr>
            <w:tcW w:w="1044" w:type="dxa"/>
            <w:vAlign w:val="center"/>
          </w:tcPr>
          <w:p w:rsidR="00730FE4" w:rsidRPr="005B2759" w:rsidRDefault="00730FE4" w:rsidP="0073163E">
            <w:pPr>
              <w:spacing w:line="240" w:lineRule="auto"/>
              <w:jc w:val="center"/>
              <w:rPr>
                <w:sz w:val="20"/>
                <w:szCs w:val="20"/>
              </w:rPr>
            </w:pPr>
            <w:r>
              <w:rPr>
                <w:sz w:val="20"/>
                <w:szCs w:val="20"/>
              </w:rPr>
              <w:t>2008</w:t>
            </w:r>
          </w:p>
        </w:tc>
        <w:tc>
          <w:tcPr>
            <w:tcW w:w="1311" w:type="dxa"/>
            <w:shd w:val="clear" w:color="auto" w:fill="E2EFD9" w:themeFill="accent6" w:themeFillTint="33"/>
            <w:vAlign w:val="center"/>
          </w:tcPr>
          <w:p w:rsidR="00730FE4" w:rsidRPr="005B2759" w:rsidRDefault="00730FE4" w:rsidP="0073163E">
            <w:pPr>
              <w:spacing w:line="240" w:lineRule="auto"/>
              <w:jc w:val="center"/>
              <w:rPr>
                <w:sz w:val="20"/>
                <w:szCs w:val="20"/>
              </w:rPr>
            </w:pPr>
            <w:r w:rsidRPr="00C25A77">
              <w:rPr>
                <w:b/>
                <w:sz w:val="20"/>
                <w:szCs w:val="20"/>
              </w:rPr>
              <w:t>1</w:t>
            </w:r>
            <w:r>
              <w:rPr>
                <w:b/>
                <w:sz w:val="20"/>
                <w:szCs w:val="20"/>
              </w:rPr>
              <w:t xml:space="preserve"> 946</w:t>
            </w:r>
          </w:p>
        </w:tc>
        <w:tc>
          <w:tcPr>
            <w:tcW w:w="1716" w:type="dxa"/>
            <w:vAlign w:val="center"/>
          </w:tcPr>
          <w:p w:rsidR="00730FE4" w:rsidRPr="00730FE4" w:rsidRDefault="00730FE4" w:rsidP="0073163E">
            <w:pPr>
              <w:spacing w:line="240" w:lineRule="auto"/>
              <w:jc w:val="center"/>
              <w:rPr>
                <w:rFonts w:eastAsia="Times New Roman" w:cs="Times New Roman"/>
                <w:color w:val="000000"/>
                <w:sz w:val="20"/>
                <w:szCs w:val="20"/>
                <w:lang w:eastAsia="lv-LV"/>
              </w:rPr>
            </w:pPr>
            <w:r w:rsidRPr="00730FE4">
              <w:rPr>
                <w:sz w:val="20"/>
                <w:szCs w:val="20"/>
              </w:rPr>
              <w:t>1 960</w:t>
            </w:r>
          </w:p>
        </w:tc>
        <w:tc>
          <w:tcPr>
            <w:tcW w:w="1363" w:type="dxa"/>
            <w:vAlign w:val="center"/>
          </w:tcPr>
          <w:p w:rsidR="00730FE4" w:rsidRPr="005B2759" w:rsidRDefault="00730FE4" w:rsidP="0073163E">
            <w:pPr>
              <w:spacing w:line="240" w:lineRule="auto"/>
              <w:jc w:val="center"/>
              <w:rPr>
                <w:b/>
                <w:sz w:val="20"/>
                <w:szCs w:val="20"/>
              </w:rPr>
            </w:pPr>
            <w:r w:rsidRPr="002071BB">
              <w:rPr>
                <w:rFonts w:eastAsia="Times New Roman" w:cs="Times New Roman"/>
                <w:color w:val="000000"/>
                <w:sz w:val="20"/>
                <w:szCs w:val="20"/>
                <w:lang w:eastAsia="lv-LV"/>
              </w:rPr>
              <w:t>2</w:t>
            </w:r>
            <w:r>
              <w:rPr>
                <w:rFonts w:eastAsia="Times New Roman" w:cs="Times New Roman"/>
                <w:color w:val="000000"/>
                <w:sz w:val="20"/>
                <w:szCs w:val="20"/>
                <w:lang w:eastAsia="lv-LV"/>
              </w:rPr>
              <w:t xml:space="preserve"> </w:t>
            </w:r>
            <w:r w:rsidRPr="002071BB">
              <w:rPr>
                <w:rFonts w:eastAsia="Times New Roman" w:cs="Times New Roman"/>
                <w:color w:val="000000"/>
                <w:sz w:val="20"/>
                <w:szCs w:val="20"/>
                <w:lang w:eastAsia="lv-LV"/>
              </w:rPr>
              <w:t>132</w:t>
            </w:r>
          </w:p>
        </w:tc>
      </w:tr>
      <w:tr w:rsidR="00730FE4" w:rsidTr="00730FE4">
        <w:tc>
          <w:tcPr>
            <w:tcW w:w="1684" w:type="dxa"/>
            <w:vMerge/>
          </w:tcPr>
          <w:p w:rsidR="00730FE4" w:rsidRPr="005B2759" w:rsidRDefault="00730FE4" w:rsidP="0073163E">
            <w:pPr>
              <w:spacing w:line="240" w:lineRule="auto"/>
              <w:jc w:val="left"/>
              <w:rPr>
                <w:sz w:val="20"/>
                <w:szCs w:val="20"/>
              </w:rPr>
            </w:pPr>
          </w:p>
        </w:tc>
        <w:tc>
          <w:tcPr>
            <w:tcW w:w="2148" w:type="dxa"/>
            <w:vAlign w:val="center"/>
          </w:tcPr>
          <w:p w:rsidR="00730FE4" w:rsidRPr="00C25A77" w:rsidRDefault="00730FE4" w:rsidP="0073163E">
            <w:pPr>
              <w:spacing w:line="240" w:lineRule="auto"/>
              <w:jc w:val="left"/>
              <w:rPr>
                <w:i/>
                <w:sz w:val="20"/>
                <w:szCs w:val="20"/>
              </w:rPr>
            </w:pPr>
            <w:r w:rsidRPr="00C25A77">
              <w:rPr>
                <w:i/>
                <w:sz w:val="20"/>
                <w:szCs w:val="20"/>
              </w:rPr>
              <w:t>Izmaiņas (%)</w:t>
            </w:r>
          </w:p>
        </w:tc>
        <w:tc>
          <w:tcPr>
            <w:tcW w:w="1044" w:type="dxa"/>
            <w:vAlign w:val="center"/>
          </w:tcPr>
          <w:p w:rsidR="00730FE4" w:rsidRPr="005B2759" w:rsidRDefault="00730FE4" w:rsidP="0073163E">
            <w:pPr>
              <w:spacing w:line="240" w:lineRule="auto"/>
              <w:jc w:val="center"/>
              <w:rPr>
                <w:sz w:val="20"/>
                <w:szCs w:val="20"/>
              </w:rPr>
            </w:pPr>
            <w:r>
              <w:rPr>
                <w:sz w:val="20"/>
                <w:szCs w:val="20"/>
              </w:rPr>
              <w:t>---</w:t>
            </w:r>
          </w:p>
        </w:tc>
        <w:tc>
          <w:tcPr>
            <w:tcW w:w="1311" w:type="dxa"/>
            <w:shd w:val="clear" w:color="auto" w:fill="E2EFD9" w:themeFill="accent6" w:themeFillTint="33"/>
            <w:vAlign w:val="center"/>
          </w:tcPr>
          <w:p w:rsidR="00730FE4" w:rsidRPr="005B2759" w:rsidRDefault="00730FE4" w:rsidP="0073163E">
            <w:pPr>
              <w:spacing w:line="240" w:lineRule="auto"/>
              <w:jc w:val="center"/>
              <w:rPr>
                <w:sz w:val="20"/>
                <w:szCs w:val="20"/>
              </w:rPr>
            </w:pPr>
            <w:r>
              <w:rPr>
                <w:rFonts w:eastAsia="Times New Roman" w:cs="Times New Roman"/>
                <w:b/>
                <w:bCs/>
                <w:color w:val="00B050"/>
                <w:sz w:val="20"/>
                <w:szCs w:val="20"/>
                <w:lang w:eastAsia="lv-LV"/>
              </w:rPr>
              <w:t>-3,1</w:t>
            </w:r>
            <w:r w:rsidRPr="003C5374">
              <w:rPr>
                <w:rFonts w:eastAsia="Times New Roman" w:cs="Times New Roman"/>
                <w:b/>
                <w:bCs/>
                <w:color w:val="00B050"/>
                <w:sz w:val="20"/>
                <w:szCs w:val="20"/>
                <w:lang w:eastAsia="lv-LV"/>
              </w:rPr>
              <w:t>%</w:t>
            </w:r>
          </w:p>
        </w:tc>
        <w:tc>
          <w:tcPr>
            <w:tcW w:w="1716" w:type="dxa"/>
            <w:vAlign w:val="center"/>
          </w:tcPr>
          <w:p w:rsidR="00730FE4" w:rsidRPr="00730FE4" w:rsidRDefault="00730FE4" w:rsidP="0073163E">
            <w:pPr>
              <w:spacing w:line="240" w:lineRule="auto"/>
              <w:jc w:val="center"/>
              <w:rPr>
                <w:rFonts w:eastAsia="Times New Roman" w:cs="Times New Roman"/>
                <w:bCs/>
                <w:color w:val="00B050"/>
                <w:sz w:val="20"/>
                <w:szCs w:val="20"/>
                <w:lang w:eastAsia="lv-LV"/>
              </w:rPr>
            </w:pPr>
            <w:r w:rsidRPr="00730FE4">
              <w:rPr>
                <w:rFonts w:eastAsia="Times New Roman" w:cs="Times New Roman"/>
                <w:bCs/>
                <w:color w:val="00B050"/>
                <w:sz w:val="20"/>
                <w:szCs w:val="20"/>
                <w:lang w:eastAsia="lv-LV"/>
              </w:rPr>
              <w:t>-2,4%</w:t>
            </w:r>
          </w:p>
        </w:tc>
        <w:tc>
          <w:tcPr>
            <w:tcW w:w="1363" w:type="dxa"/>
            <w:vAlign w:val="center"/>
          </w:tcPr>
          <w:p w:rsidR="00730FE4" w:rsidRPr="005B2759" w:rsidRDefault="00730FE4" w:rsidP="0073163E">
            <w:pPr>
              <w:spacing w:line="240" w:lineRule="auto"/>
              <w:jc w:val="center"/>
              <w:rPr>
                <w:b/>
                <w:sz w:val="20"/>
                <w:szCs w:val="20"/>
              </w:rPr>
            </w:pPr>
            <w:r w:rsidRPr="002071BB">
              <w:rPr>
                <w:rFonts w:eastAsia="Times New Roman" w:cs="Times New Roman"/>
                <w:b/>
                <w:bCs/>
                <w:color w:val="FF0000"/>
                <w:sz w:val="20"/>
                <w:szCs w:val="20"/>
                <w:lang w:eastAsia="lv-LV"/>
              </w:rPr>
              <w:t>+6,1%</w:t>
            </w:r>
          </w:p>
        </w:tc>
      </w:tr>
      <w:tr w:rsidR="00730FE4" w:rsidTr="00730FE4">
        <w:tc>
          <w:tcPr>
            <w:tcW w:w="1684" w:type="dxa"/>
            <w:vMerge w:val="restart"/>
          </w:tcPr>
          <w:p w:rsidR="00730FE4" w:rsidRPr="005B2759" w:rsidRDefault="00730FE4" w:rsidP="0073163E">
            <w:pPr>
              <w:spacing w:line="240" w:lineRule="auto"/>
              <w:jc w:val="left"/>
              <w:rPr>
                <w:sz w:val="20"/>
                <w:szCs w:val="20"/>
              </w:rPr>
            </w:pPr>
            <w:r>
              <w:rPr>
                <w:rFonts w:eastAsia="Times New Roman" w:cs="Times New Roman"/>
                <w:color w:val="000000"/>
                <w:sz w:val="20"/>
                <w:szCs w:val="20"/>
                <w:lang w:eastAsia="lv-LV"/>
              </w:rPr>
              <w:t>V</w:t>
            </w:r>
            <w:r w:rsidRPr="002071BB">
              <w:rPr>
                <w:rFonts w:eastAsia="Times New Roman" w:cs="Times New Roman"/>
                <w:color w:val="000000"/>
                <w:sz w:val="20"/>
                <w:szCs w:val="20"/>
                <w:lang w:eastAsia="lv-LV"/>
              </w:rPr>
              <w:t>idēj</w:t>
            </w:r>
            <w:r>
              <w:rPr>
                <w:rFonts w:eastAsia="Times New Roman" w:cs="Times New Roman"/>
                <w:color w:val="000000"/>
                <w:sz w:val="20"/>
                <w:szCs w:val="20"/>
                <w:lang w:eastAsia="lv-LV"/>
              </w:rPr>
              <w:t xml:space="preserve">s </w:t>
            </w:r>
            <w:r w:rsidRPr="002071BB">
              <w:rPr>
                <w:rFonts w:eastAsia="Times New Roman" w:cs="Times New Roman"/>
                <w:color w:val="000000"/>
                <w:sz w:val="20"/>
                <w:szCs w:val="20"/>
                <w:lang w:eastAsia="lv-LV"/>
              </w:rPr>
              <w:t>r</w:t>
            </w:r>
            <w:r>
              <w:rPr>
                <w:rFonts w:eastAsia="Times New Roman" w:cs="Times New Roman"/>
                <w:color w:val="000000"/>
                <w:sz w:val="20"/>
                <w:szCs w:val="20"/>
                <w:lang w:eastAsia="lv-LV"/>
              </w:rPr>
              <w:t xml:space="preserve">ažojošs </w:t>
            </w:r>
            <w:r w:rsidRPr="002071BB">
              <w:rPr>
                <w:rFonts w:eastAsia="Times New Roman" w:cs="Times New Roman"/>
                <w:color w:val="000000"/>
                <w:sz w:val="20"/>
                <w:szCs w:val="20"/>
                <w:lang w:eastAsia="lv-LV"/>
              </w:rPr>
              <w:t>uzņēmum</w:t>
            </w:r>
            <w:r>
              <w:rPr>
                <w:rFonts w:eastAsia="Times New Roman" w:cs="Times New Roman"/>
                <w:color w:val="000000"/>
                <w:sz w:val="20"/>
                <w:szCs w:val="20"/>
                <w:lang w:eastAsia="lv-LV"/>
              </w:rPr>
              <w:t xml:space="preserve">s </w:t>
            </w:r>
            <w:r w:rsidRPr="00C25A77">
              <w:rPr>
                <w:rFonts w:eastAsia="Times New Roman" w:cs="Times New Roman"/>
                <w:i/>
                <w:color w:val="000000"/>
                <w:sz w:val="20"/>
                <w:szCs w:val="20"/>
                <w:lang w:eastAsia="lv-LV"/>
              </w:rPr>
              <w:t>(patēriņš 413 MWh/mēnesī)</w:t>
            </w:r>
          </w:p>
        </w:tc>
        <w:tc>
          <w:tcPr>
            <w:tcW w:w="2148" w:type="dxa"/>
            <w:vAlign w:val="center"/>
          </w:tcPr>
          <w:p w:rsidR="00730FE4" w:rsidRPr="00C25A77" w:rsidRDefault="00730FE4" w:rsidP="0073163E">
            <w:pPr>
              <w:spacing w:line="240" w:lineRule="auto"/>
              <w:jc w:val="left"/>
              <w:rPr>
                <w:i/>
                <w:sz w:val="20"/>
                <w:szCs w:val="20"/>
              </w:rPr>
            </w:pPr>
            <w:r w:rsidRPr="00C25A77">
              <w:rPr>
                <w:i/>
                <w:sz w:val="20"/>
                <w:szCs w:val="20"/>
              </w:rPr>
              <w:t xml:space="preserve">EUR/mēnesī </w:t>
            </w:r>
          </w:p>
        </w:tc>
        <w:tc>
          <w:tcPr>
            <w:tcW w:w="1044" w:type="dxa"/>
            <w:vAlign w:val="center"/>
          </w:tcPr>
          <w:p w:rsidR="00730FE4" w:rsidRPr="005B2759" w:rsidRDefault="00730FE4" w:rsidP="0073163E">
            <w:pPr>
              <w:spacing w:line="240" w:lineRule="auto"/>
              <w:jc w:val="center"/>
              <w:rPr>
                <w:sz w:val="20"/>
                <w:szCs w:val="20"/>
              </w:rPr>
            </w:pPr>
            <w:r w:rsidRPr="002071BB">
              <w:rPr>
                <w:rFonts w:eastAsia="Times New Roman" w:cs="Times New Roman"/>
                <w:color w:val="000000"/>
                <w:sz w:val="20"/>
                <w:szCs w:val="20"/>
                <w:lang w:eastAsia="lv-LV"/>
              </w:rPr>
              <w:t>41</w:t>
            </w:r>
            <w:r>
              <w:rPr>
                <w:rFonts w:eastAsia="Times New Roman" w:cs="Times New Roman"/>
                <w:color w:val="000000"/>
                <w:sz w:val="20"/>
                <w:szCs w:val="20"/>
                <w:lang w:eastAsia="lv-LV"/>
              </w:rPr>
              <w:t xml:space="preserve"> </w:t>
            </w:r>
            <w:r w:rsidRPr="002071BB">
              <w:rPr>
                <w:rFonts w:eastAsia="Times New Roman" w:cs="Times New Roman"/>
                <w:color w:val="000000"/>
                <w:sz w:val="20"/>
                <w:szCs w:val="20"/>
                <w:lang w:eastAsia="lv-LV"/>
              </w:rPr>
              <w:t>521</w:t>
            </w:r>
          </w:p>
        </w:tc>
        <w:tc>
          <w:tcPr>
            <w:tcW w:w="1311" w:type="dxa"/>
            <w:shd w:val="clear" w:color="auto" w:fill="E2EFD9" w:themeFill="accent6" w:themeFillTint="33"/>
            <w:vAlign w:val="center"/>
          </w:tcPr>
          <w:p w:rsidR="00730FE4" w:rsidRPr="005B2759" w:rsidRDefault="00730FE4" w:rsidP="0073163E">
            <w:pPr>
              <w:spacing w:line="240" w:lineRule="auto"/>
              <w:jc w:val="center"/>
              <w:rPr>
                <w:sz w:val="20"/>
                <w:szCs w:val="20"/>
              </w:rPr>
            </w:pPr>
            <w:r>
              <w:rPr>
                <w:b/>
                <w:sz w:val="20"/>
                <w:szCs w:val="20"/>
              </w:rPr>
              <w:t>39 869</w:t>
            </w:r>
          </w:p>
        </w:tc>
        <w:tc>
          <w:tcPr>
            <w:tcW w:w="1716" w:type="dxa"/>
            <w:vAlign w:val="center"/>
          </w:tcPr>
          <w:p w:rsidR="00730FE4" w:rsidRPr="00730FE4" w:rsidRDefault="00730FE4" w:rsidP="0073163E">
            <w:pPr>
              <w:spacing w:line="240" w:lineRule="auto"/>
              <w:jc w:val="center"/>
              <w:rPr>
                <w:rFonts w:eastAsia="Times New Roman" w:cs="Times New Roman"/>
                <w:color w:val="000000"/>
                <w:sz w:val="20"/>
                <w:szCs w:val="20"/>
                <w:lang w:eastAsia="lv-LV"/>
              </w:rPr>
            </w:pPr>
            <w:r w:rsidRPr="00730FE4">
              <w:rPr>
                <w:sz w:val="20"/>
                <w:szCs w:val="20"/>
              </w:rPr>
              <w:t>40 232</w:t>
            </w:r>
          </w:p>
        </w:tc>
        <w:tc>
          <w:tcPr>
            <w:tcW w:w="1363" w:type="dxa"/>
            <w:vAlign w:val="center"/>
          </w:tcPr>
          <w:p w:rsidR="00730FE4" w:rsidRPr="005B2759" w:rsidRDefault="00730FE4" w:rsidP="0073163E">
            <w:pPr>
              <w:spacing w:line="240" w:lineRule="auto"/>
              <w:jc w:val="center"/>
              <w:rPr>
                <w:b/>
                <w:sz w:val="20"/>
                <w:szCs w:val="20"/>
              </w:rPr>
            </w:pPr>
            <w:r w:rsidRPr="002071BB">
              <w:rPr>
                <w:rFonts w:eastAsia="Times New Roman" w:cs="Times New Roman"/>
                <w:color w:val="000000"/>
                <w:sz w:val="20"/>
                <w:szCs w:val="20"/>
                <w:lang w:eastAsia="lv-LV"/>
              </w:rPr>
              <w:t>44</w:t>
            </w:r>
            <w:r>
              <w:rPr>
                <w:rFonts w:eastAsia="Times New Roman" w:cs="Times New Roman"/>
                <w:color w:val="000000"/>
                <w:sz w:val="20"/>
                <w:szCs w:val="20"/>
                <w:lang w:eastAsia="lv-LV"/>
              </w:rPr>
              <w:t xml:space="preserve"> </w:t>
            </w:r>
            <w:r w:rsidRPr="002071BB">
              <w:rPr>
                <w:rFonts w:eastAsia="Times New Roman" w:cs="Times New Roman"/>
                <w:color w:val="000000"/>
                <w:sz w:val="20"/>
                <w:szCs w:val="20"/>
                <w:lang w:eastAsia="lv-LV"/>
              </w:rPr>
              <w:t>770</w:t>
            </w:r>
          </w:p>
        </w:tc>
      </w:tr>
      <w:tr w:rsidR="00730FE4" w:rsidTr="00730FE4">
        <w:tc>
          <w:tcPr>
            <w:tcW w:w="1684" w:type="dxa"/>
            <w:vMerge/>
          </w:tcPr>
          <w:p w:rsidR="00730FE4" w:rsidRPr="002071BB" w:rsidRDefault="00730FE4" w:rsidP="0073163E">
            <w:pPr>
              <w:spacing w:line="240" w:lineRule="auto"/>
              <w:jc w:val="left"/>
              <w:rPr>
                <w:rFonts w:eastAsia="Times New Roman" w:cs="Times New Roman"/>
                <w:color w:val="000000"/>
                <w:sz w:val="20"/>
                <w:szCs w:val="20"/>
                <w:lang w:eastAsia="lv-LV"/>
              </w:rPr>
            </w:pPr>
          </w:p>
        </w:tc>
        <w:tc>
          <w:tcPr>
            <w:tcW w:w="2148" w:type="dxa"/>
            <w:vAlign w:val="center"/>
          </w:tcPr>
          <w:p w:rsidR="00730FE4" w:rsidRPr="00C25A77" w:rsidRDefault="00730FE4" w:rsidP="0073163E">
            <w:pPr>
              <w:spacing w:line="240" w:lineRule="auto"/>
              <w:jc w:val="left"/>
              <w:rPr>
                <w:i/>
                <w:sz w:val="20"/>
                <w:szCs w:val="20"/>
              </w:rPr>
            </w:pPr>
            <w:r w:rsidRPr="00C25A77">
              <w:rPr>
                <w:i/>
                <w:sz w:val="20"/>
                <w:szCs w:val="20"/>
              </w:rPr>
              <w:t>Izmaiņas (%)</w:t>
            </w:r>
          </w:p>
        </w:tc>
        <w:tc>
          <w:tcPr>
            <w:tcW w:w="1044" w:type="dxa"/>
            <w:vAlign w:val="center"/>
          </w:tcPr>
          <w:p w:rsidR="00730FE4" w:rsidRPr="005B2759" w:rsidRDefault="00730FE4" w:rsidP="0073163E">
            <w:pPr>
              <w:spacing w:line="240" w:lineRule="auto"/>
              <w:jc w:val="center"/>
              <w:rPr>
                <w:sz w:val="20"/>
                <w:szCs w:val="20"/>
              </w:rPr>
            </w:pPr>
            <w:r w:rsidRPr="00C25A77">
              <w:rPr>
                <w:sz w:val="20"/>
                <w:szCs w:val="20"/>
              </w:rPr>
              <w:t>---</w:t>
            </w:r>
          </w:p>
        </w:tc>
        <w:tc>
          <w:tcPr>
            <w:tcW w:w="1311" w:type="dxa"/>
            <w:shd w:val="clear" w:color="auto" w:fill="E2EFD9" w:themeFill="accent6" w:themeFillTint="33"/>
            <w:vAlign w:val="center"/>
          </w:tcPr>
          <w:p w:rsidR="00730FE4" w:rsidRPr="005B2759" w:rsidRDefault="00730FE4" w:rsidP="00C44BE3">
            <w:pPr>
              <w:spacing w:line="240" w:lineRule="auto"/>
              <w:jc w:val="center"/>
              <w:rPr>
                <w:sz w:val="20"/>
                <w:szCs w:val="20"/>
              </w:rPr>
            </w:pPr>
            <w:r w:rsidRPr="003C5374">
              <w:rPr>
                <w:rFonts w:eastAsia="Times New Roman" w:cs="Times New Roman"/>
                <w:b/>
                <w:bCs/>
                <w:color w:val="00B050"/>
                <w:sz w:val="20"/>
                <w:szCs w:val="20"/>
                <w:lang w:eastAsia="lv-LV"/>
              </w:rPr>
              <w:t>-</w:t>
            </w:r>
            <w:r>
              <w:rPr>
                <w:rFonts w:eastAsia="Times New Roman" w:cs="Times New Roman"/>
                <w:b/>
                <w:bCs/>
                <w:color w:val="00B050"/>
                <w:sz w:val="20"/>
                <w:szCs w:val="20"/>
                <w:lang w:eastAsia="lv-LV"/>
              </w:rPr>
              <w:t>4,0</w:t>
            </w:r>
            <w:r w:rsidRPr="003C5374">
              <w:rPr>
                <w:rFonts w:eastAsia="Times New Roman" w:cs="Times New Roman"/>
                <w:b/>
                <w:bCs/>
                <w:color w:val="00B050"/>
                <w:sz w:val="20"/>
                <w:szCs w:val="20"/>
                <w:lang w:eastAsia="lv-LV"/>
              </w:rPr>
              <w:t>%</w:t>
            </w:r>
          </w:p>
        </w:tc>
        <w:tc>
          <w:tcPr>
            <w:tcW w:w="1716" w:type="dxa"/>
            <w:vAlign w:val="center"/>
          </w:tcPr>
          <w:p w:rsidR="00730FE4" w:rsidRPr="00730FE4" w:rsidRDefault="00730FE4" w:rsidP="0073163E">
            <w:pPr>
              <w:spacing w:line="240" w:lineRule="auto"/>
              <w:jc w:val="center"/>
              <w:rPr>
                <w:rFonts w:eastAsia="Times New Roman" w:cs="Times New Roman"/>
                <w:bCs/>
                <w:color w:val="00B050"/>
                <w:sz w:val="20"/>
                <w:szCs w:val="20"/>
                <w:lang w:eastAsia="lv-LV"/>
              </w:rPr>
            </w:pPr>
            <w:r w:rsidRPr="00730FE4">
              <w:rPr>
                <w:rFonts w:eastAsia="Times New Roman" w:cs="Times New Roman"/>
                <w:bCs/>
                <w:color w:val="00B050"/>
                <w:sz w:val="20"/>
                <w:szCs w:val="20"/>
                <w:lang w:eastAsia="lv-LV"/>
              </w:rPr>
              <w:t>-3,1%</w:t>
            </w:r>
          </w:p>
        </w:tc>
        <w:tc>
          <w:tcPr>
            <w:tcW w:w="1363" w:type="dxa"/>
            <w:vAlign w:val="center"/>
          </w:tcPr>
          <w:p w:rsidR="00730FE4" w:rsidRPr="005B2759" w:rsidRDefault="00730FE4" w:rsidP="0073163E">
            <w:pPr>
              <w:spacing w:line="240" w:lineRule="auto"/>
              <w:jc w:val="center"/>
              <w:rPr>
                <w:b/>
                <w:sz w:val="20"/>
                <w:szCs w:val="20"/>
              </w:rPr>
            </w:pPr>
            <w:r w:rsidRPr="00DC2ADF">
              <w:rPr>
                <w:rFonts w:eastAsia="Times New Roman" w:cs="Times New Roman"/>
                <w:b/>
                <w:bCs/>
                <w:color w:val="FF0000"/>
                <w:sz w:val="20"/>
                <w:szCs w:val="20"/>
                <w:lang w:eastAsia="lv-LV"/>
              </w:rPr>
              <w:t>+7,8%</w:t>
            </w:r>
          </w:p>
        </w:tc>
      </w:tr>
      <w:tr w:rsidR="00730FE4" w:rsidTr="00730FE4">
        <w:tc>
          <w:tcPr>
            <w:tcW w:w="1684" w:type="dxa"/>
            <w:vMerge w:val="restart"/>
          </w:tcPr>
          <w:p w:rsidR="00730FE4" w:rsidRPr="002071BB" w:rsidRDefault="00730FE4" w:rsidP="0073163E">
            <w:pPr>
              <w:spacing w:line="240" w:lineRule="auto"/>
              <w:jc w:val="left"/>
              <w:rPr>
                <w:rFonts w:eastAsia="Times New Roman" w:cs="Times New Roman"/>
                <w:color w:val="000000"/>
                <w:sz w:val="20"/>
                <w:szCs w:val="20"/>
                <w:lang w:eastAsia="lv-LV"/>
              </w:rPr>
            </w:pPr>
            <w:r>
              <w:rPr>
                <w:rFonts w:eastAsia="Times New Roman" w:cs="Times New Roman"/>
                <w:color w:val="000000"/>
                <w:sz w:val="20"/>
                <w:szCs w:val="20"/>
                <w:lang w:eastAsia="lv-LV"/>
              </w:rPr>
              <w:t>L</w:t>
            </w:r>
            <w:r w:rsidRPr="002071BB">
              <w:rPr>
                <w:rFonts w:eastAsia="Times New Roman" w:cs="Times New Roman"/>
                <w:color w:val="000000"/>
                <w:sz w:val="20"/>
                <w:szCs w:val="20"/>
                <w:lang w:eastAsia="lv-LV"/>
              </w:rPr>
              <w:t>iel</w:t>
            </w:r>
            <w:r>
              <w:rPr>
                <w:rFonts w:eastAsia="Times New Roman" w:cs="Times New Roman"/>
                <w:color w:val="000000"/>
                <w:sz w:val="20"/>
                <w:szCs w:val="20"/>
                <w:lang w:eastAsia="lv-LV"/>
              </w:rPr>
              <w:t xml:space="preserve">s </w:t>
            </w:r>
            <w:r w:rsidRPr="002071BB">
              <w:rPr>
                <w:rFonts w:eastAsia="Times New Roman" w:cs="Times New Roman"/>
                <w:color w:val="000000"/>
                <w:sz w:val="20"/>
                <w:szCs w:val="20"/>
                <w:lang w:eastAsia="lv-LV"/>
              </w:rPr>
              <w:t>energointensīv</w:t>
            </w:r>
            <w:r>
              <w:rPr>
                <w:rFonts w:eastAsia="Times New Roman" w:cs="Times New Roman"/>
                <w:color w:val="000000"/>
                <w:sz w:val="20"/>
                <w:szCs w:val="20"/>
                <w:lang w:eastAsia="lv-LV"/>
              </w:rPr>
              <w:t xml:space="preserve">s ražojošs </w:t>
            </w:r>
            <w:r w:rsidRPr="002071BB">
              <w:rPr>
                <w:rFonts w:eastAsia="Times New Roman" w:cs="Times New Roman"/>
                <w:color w:val="000000"/>
                <w:sz w:val="20"/>
                <w:szCs w:val="20"/>
                <w:lang w:eastAsia="lv-LV"/>
              </w:rPr>
              <w:t>uzņēmum</w:t>
            </w:r>
            <w:r>
              <w:rPr>
                <w:rFonts w:eastAsia="Times New Roman" w:cs="Times New Roman"/>
                <w:color w:val="000000"/>
                <w:sz w:val="20"/>
                <w:szCs w:val="20"/>
                <w:lang w:eastAsia="lv-LV"/>
              </w:rPr>
              <w:t xml:space="preserve">s </w:t>
            </w:r>
            <w:r w:rsidRPr="003C5374">
              <w:rPr>
                <w:rFonts w:eastAsia="Times New Roman" w:cs="Times New Roman"/>
                <w:i/>
                <w:color w:val="000000"/>
                <w:sz w:val="20"/>
                <w:szCs w:val="20"/>
                <w:lang w:eastAsia="lv-LV"/>
              </w:rPr>
              <w:t>(patēriņš 6374 MWh/mēnesī)</w:t>
            </w:r>
          </w:p>
        </w:tc>
        <w:tc>
          <w:tcPr>
            <w:tcW w:w="2148" w:type="dxa"/>
            <w:vAlign w:val="center"/>
          </w:tcPr>
          <w:p w:rsidR="00730FE4" w:rsidRPr="00C25A77" w:rsidRDefault="00730FE4" w:rsidP="0073163E">
            <w:pPr>
              <w:spacing w:line="240" w:lineRule="auto"/>
              <w:jc w:val="left"/>
              <w:rPr>
                <w:i/>
                <w:sz w:val="20"/>
                <w:szCs w:val="20"/>
              </w:rPr>
            </w:pPr>
            <w:r w:rsidRPr="00C25A77">
              <w:rPr>
                <w:i/>
                <w:sz w:val="20"/>
                <w:szCs w:val="20"/>
              </w:rPr>
              <w:t xml:space="preserve">EUR/mēnesī </w:t>
            </w:r>
          </w:p>
        </w:tc>
        <w:tc>
          <w:tcPr>
            <w:tcW w:w="1044" w:type="dxa"/>
            <w:vAlign w:val="center"/>
          </w:tcPr>
          <w:p w:rsidR="00730FE4" w:rsidRPr="005B2759" w:rsidRDefault="00730FE4" w:rsidP="0073163E">
            <w:pPr>
              <w:spacing w:line="240" w:lineRule="auto"/>
              <w:jc w:val="center"/>
              <w:rPr>
                <w:sz w:val="20"/>
                <w:szCs w:val="20"/>
              </w:rPr>
            </w:pPr>
            <w:r w:rsidRPr="002071BB">
              <w:rPr>
                <w:rFonts w:eastAsia="Times New Roman" w:cs="Times New Roman"/>
                <w:color w:val="000000"/>
                <w:sz w:val="20"/>
                <w:szCs w:val="20"/>
                <w:lang w:eastAsia="lv-LV"/>
              </w:rPr>
              <w:t>544</w:t>
            </w:r>
            <w:r>
              <w:rPr>
                <w:rFonts w:eastAsia="Times New Roman" w:cs="Times New Roman"/>
                <w:color w:val="000000"/>
                <w:sz w:val="20"/>
                <w:szCs w:val="20"/>
                <w:lang w:eastAsia="lv-LV"/>
              </w:rPr>
              <w:t xml:space="preserve"> </w:t>
            </w:r>
            <w:r w:rsidRPr="002071BB">
              <w:rPr>
                <w:rFonts w:eastAsia="Times New Roman" w:cs="Times New Roman"/>
                <w:color w:val="000000"/>
                <w:sz w:val="20"/>
                <w:szCs w:val="20"/>
                <w:lang w:eastAsia="lv-LV"/>
              </w:rPr>
              <w:t>369</w:t>
            </w:r>
          </w:p>
        </w:tc>
        <w:tc>
          <w:tcPr>
            <w:tcW w:w="1311" w:type="dxa"/>
            <w:shd w:val="clear" w:color="auto" w:fill="E2EFD9" w:themeFill="accent6" w:themeFillTint="33"/>
            <w:vAlign w:val="center"/>
          </w:tcPr>
          <w:p w:rsidR="00730FE4" w:rsidRPr="005B2759" w:rsidRDefault="00730FE4" w:rsidP="0073163E">
            <w:pPr>
              <w:spacing w:line="240" w:lineRule="auto"/>
              <w:jc w:val="center"/>
              <w:rPr>
                <w:sz w:val="20"/>
                <w:szCs w:val="20"/>
              </w:rPr>
            </w:pPr>
            <w:r>
              <w:rPr>
                <w:rFonts w:eastAsia="Times New Roman" w:cs="Times New Roman"/>
                <w:color w:val="000000"/>
                <w:sz w:val="20"/>
                <w:szCs w:val="20"/>
                <w:lang w:eastAsia="lv-LV"/>
              </w:rPr>
              <w:t>493 907</w:t>
            </w:r>
          </w:p>
        </w:tc>
        <w:tc>
          <w:tcPr>
            <w:tcW w:w="1716" w:type="dxa"/>
            <w:vAlign w:val="center"/>
          </w:tcPr>
          <w:p w:rsidR="00730FE4" w:rsidRPr="00730FE4" w:rsidRDefault="00730FE4" w:rsidP="0073163E">
            <w:pPr>
              <w:spacing w:line="240" w:lineRule="auto"/>
              <w:jc w:val="center"/>
              <w:rPr>
                <w:rFonts w:eastAsia="Times New Roman" w:cs="Times New Roman"/>
                <w:color w:val="000000"/>
                <w:sz w:val="20"/>
                <w:szCs w:val="20"/>
                <w:lang w:eastAsia="lv-LV"/>
              </w:rPr>
            </w:pPr>
            <w:r w:rsidRPr="00730FE4">
              <w:rPr>
                <w:rFonts w:eastAsia="Times New Roman" w:cs="Times New Roman"/>
                <w:color w:val="000000"/>
                <w:sz w:val="20"/>
                <w:szCs w:val="20"/>
                <w:lang w:eastAsia="lv-LV"/>
              </w:rPr>
              <w:t>497 859</w:t>
            </w:r>
          </w:p>
        </w:tc>
        <w:tc>
          <w:tcPr>
            <w:tcW w:w="1363" w:type="dxa"/>
            <w:vAlign w:val="center"/>
          </w:tcPr>
          <w:p w:rsidR="00730FE4" w:rsidRPr="005B2759" w:rsidRDefault="00730FE4" w:rsidP="0073163E">
            <w:pPr>
              <w:spacing w:line="240" w:lineRule="auto"/>
              <w:jc w:val="center"/>
              <w:rPr>
                <w:b/>
                <w:sz w:val="20"/>
                <w:szCs w:val="20"/>
              </w:rPr>
            </w:pPr>
            <w:r w:rsidRPr="002071BB">
              <w:rPr>
                <w:rFonts w:eastAsia="Times New Roman" w:cs="Times New Roman"/>
                <w:color w:val="000000"/>
                <w:sz w:val="20"/>
                <w:szCs w:val="20"/>
                <w:lang w:eastAsia="lv-LV"/>
              </w:rPr>
              <w:t>547</w:t>
            </w:r>
            <w:r>
              <w:rPr>
                <w:rFonts w:eastAsia="Times New Roman" w:cs="Times New Roman"/>
                <w:color w:val="000000"/>
                <w:sz w:val="20"/>
                <w:szCs w:val="20"/>
                <w:lang w:eastAsia="lv-LV"/>
              </w:rPr>
              <w:t xml:space="preserve"> </w:t>
            </w:r>
            <w:r w:rsidRPr="002071BB">
              <w:rPr>
                <w:rFonts w:eastAsia="Times New Roman" w:cs="Times New Roman"/>
                <w:color w:val="000000"/>
                <w:sz w:val="20"/>
                <w:szCs w:val="20"/>
                <w:lang w:eastAsia="lv-LV"/>
              </w:rPr>
              <w:t>206</w:t>
            </w:r>
          </w:p>
        </w:tc>
      </w:tr>
      <w:tr w:rsidR="00730FE4" w:rsidTr="00730FE4">
        <w:tc>
          <w:tcPr>
            <w:tcW w:w="1684" w:type="dxa"/>
            <w:vMerge/>
          </w:tcPr>
          <w:p w:rsidR="00730FE4" w:rsidRPr="002071BB" w:rsidRDefault="00730FE4" w:rsidP="0073163E">
            <w:pPr>
              <w:spacing w:line="240" w:lineRule="auto"/>
              <w:rPr>
                <w:rFonts w:eastAsia="Times New Roman" w:cs="Times New Roman"/>
                <w:color w:val="000000"/>
                <w:sz w:val="20"/>
                <w:szCs w:val="20"/>
                <w:lang w:eastAsia="lv-LV"/>
              </w:rPr>
            </w:pPr>
          </w:p>
        </w:tc>
        <w:tc>
          <w:tcPr>
            <w:tcW w:w="2148" w:type="dxa"/>
            <w:vAlign w:val="center"/>
          </w:tcPr>
          <w:p w:rsidR="00730FE4" w:rsidRPr="00C25A77" w:rsidRDefault="00730FE4" w:rsidP="0073163E">
            <w:pPr>
              <w:spacing w:line="240" w:lineRule="auto"/>
              <w:jc w:val="left"/>
              <w:rPr>
                <w:i/>
                <w:sz w:val="20"/>
                <w:szCs w:val="20"/>
              </w:rPr>
            </w:pPr>
            <w:r w:rsidRPr="00C25A77">
              <w:rPr>
                <w:i/>
                <w:sz w:val="20"/>
                <w:szCs w:val="20"/>
              </w:rPr>
              <w:t>Izmaiņas (%)</w:t>
            </w:r>
          </w:p>
        </w:tc>
        <w:tc>
          <w:tcPr>
            <w:tcW w:w="1044" w:type="dxa"/>
            <w:vAlign w:val="center"/>
          </w:tcPr>
          <w:p w:rsidR="00730FE4" w:rsidRPr="005B2759" w:rsidRDefault="00730FE4" w:rsidP="0073163E">
            <w:pPr>
              <w:spacing w:line="240" w:lineRule="auto"/>
              <w:jc w:val="center"/>
              <w:rPr>
                <w:sz w:val="20"/>
                <w:szCs w:val="20"/>
              </w:rPr>
            </w:pPr>
            <w:r w:rsidRPr="003C5374">
              <w:rPr>
                <w:sz w:val="20"/>
                <w:szCs w:val="20"/>
              </w:rPr>
              <w:t>---</w:t>
            </w:r>
          </w:p>
        </w:tc>
        <w:tc>
          <w:tcPr>
            <w:tcW w:w="1311" w:type="dxa"/>
            <w:shd w:val="clear" w:color="auto" w:fill="E2EFD9" w:themeFill="accent6" w:themeFillTint="33"/>
            <w:vAlign w:val="center"/>
          </w:tcPr>
          <w:p w:rsidR="00730FE4" w:rsidRPr="005B2759" w:rsidRDefault="00730FE4" w:rsidP="00C44BE3">
            <w:pPr>
              <w:spacing w:line="240" w:lineRule="auto"/>
              <w:jc w:val="center"/>
              <w:rPr>
                <w:sz w:val="20"/>
                <w:szCs w:val="20"/>
              </w:rPr>
            </w:pPr>
            <w:r w:rsidRPr="00DC2ADF">
              <w:rPr>
                <w:rFonts w:eastAsia="Times New Roman" w:cs="Times New Roman"/>
                <w:b/>
                <w:bCs/>
                <w:color w:val="00B050"/>
                <w:sz w:val="20"/>
                <w:szCs w:val="20"/>
                <w:lang w:eastAsia="lv-LV"/>
              </w:rPr>
              <w:t>-</w:t>
            </w:r>
            <w:r>
              <w:rPr>
                <w:rFonts w:eastAsia="Times New Roman" w:cs="Times New Roman"/>
                <w:b/>
                <w:bCs/>
                <w:color w:val="00B050"/>
                <w:sz w:val="20"/>
                <w:szCs w:val="20"/>
                <w:lang w:eastAsia="lv-LV"/>
              </w:rPr>
              <w:t>9,3</w:t>
            </w:r>
            <w:r w:rsidRPr="00DC2ADF">
              <w:rPr>
                <w:rFonts w:eastAsia="Times New Roman" w:cs="Times New Roman"/>
                <w:b/>
                <w:bCs/>
                <w:color w:val="00B050"/>
                <w:sz w:val="20"/>
                <w:szCs w:val="20"/>
                <w:lang w:eastAsia="lv-LV"/>
              </w:rPr>
              <w:t>%</w:t>
            </w:r>
          </w:p>
        </w:tc>
        <w:tc>
          <w:tcPr>
            <w:tcW w:w="1716" w:type="dxa"/>
            <w:vAlign w:val="center"/>
          </w:tcPr>
          <w:p w:rsidR="00730FE4" w:rsidRPr="00730FE4" w:rsidRDefault="00730FE4" w:rsidP="0073163E">
            <w:pPr>
              <w:spacing w:line="240" w:lineRule="auto"/>
              <w:jc w:val="center"/>
              <w:rPr>
                <w:rFonts w:eastAsia="Times New Roman" w:cs="Times New Roman"/>
                <w:bCs/>
                <w:color w:val="00B050"/>
                <w:sz w:val="20"/>
                <w:szCs w:val="20"/>
                <w:lang w:eastAsia="lv-LV"/>
              </w:rPr>
            </w:pPr>
            <w:r w:rsidRPr="00730FE4">
              <w:rPr>
                <w:rFonts w:eastAsia="Times New Roman" w:cs="Times New Roman"/>
                <w:bCs/>
                <w:color w:val="00B050"/>
                <w:sz w:val="20"/>
                <w:szCs w:val="20"/>
                <w:lang w:eastAsia="lv-LV"/>
              </w:rPr>
              <w:t>-8,5%</w:t>
            </w:r>
          </w:p>
        </w:tc>
        <w:tc>
          <w:tcPr>
            <w:tcW w:w="1363" w:type="dxa"/>
            <w:vAlign w:val="center"/>
          </w:tcPr>
          <w:p w:rsidR="00730FE4" w:rsidRPr="00DC2ADF" w:rsidRDefault="00730FE4" w:rsidP="0073163E">
            <w:pPr>
              <w:spacing w:line="240" w:lineRule="auto"/>
              <w:jc w:val="center"/>
              <w:rPr>
                <w:rFonts w:eastAsia="Times New Roman" w:cs="Times New Roman"/>
                <w:b/>
                <w:bCs/>
                <w:color w:val="00B050"/>
                <w:sz w:val="20"/>
                <w:szCs w:val="20"/>
                <w:lang w:eastAsia="lv-LV"/>
              </w:rPr>
            </w:pPr>
            <w:r w:rsidRPr="002071BB">
              <w:rPr>
                <w:rFonts w:eastAsia="Times New Roman" w:cs="Times New Roman"/>
                <w:b/>
                <w:bCs/>
                <w:color w:val="FF0000"/>
                <w:sz w:val="20"/>
                <w:szCs w:val="20"/>
                <w:lang w:eastAsia="lv-LV"/>
              </w:rPr>
              <w:t>+0,5%</w:t>
            </w:r>
          </w:p>
        </w:tc>
      </w:tr>
    </w:tbl>
    <w:p w:rsidR="00EE758E" w:rsidRPr="0004386E" w:rsidRDefault="00EE758E" w:rsidP="00EE758E">
      <w:pPr>
        <w:spacing w:after="0" w:line="240" w:lineRule="auto"/>
        <w:rPr>
          <w:sz w:val="20"/>
          <w:szCs w:val="20"/>
        </w:rPr>
      </w:pPr>
      <w:r w:rsidRPr="00EE758E">
        <w:rPr>
          <w:sz w:val="20"/>
          <w:szCs w:val="20"/>
          <w:vertAlign w:val="superscript"/>
        </w:rPr>
        <w:t xml:space="preserve">*  </w:t>
      </w:r>
      <w:r w:rsidRPr="00EE758E">
        <w:rPr>
          <w:sz w:val="20"/>
          <w:szCs w:val="20"/>
        </w:rPr>
        <w:t xml:space="preserve">Ņemot vērā to, ka aizsargātajiem lietotājiem elektroenerģijas izmaksas būtu saglabājamas elektroenerģijas „Starta tarifa” līmenī, </w:t>
      </w:r>
      <w:r w:rsidR="00B16273">
        <w:rPr>
          <w:sz w:val="20"/>
          <w:szCs w:val="20"/>
        </w:rPr>
        <w:t>izmaksu pieaugumu kompensēs</w:t>
      </w:r>
      <w:r w:rsidRPr="00EE758E">
        <w:rPr>
          <w:sz w:val="20"/>
          <w:szCs w:val="20"/>
        </w:rPr>
        <w:t xml:space="preserve"> </w:t>
      </w:r>
      <w:r w:rsidR="00B16273">
        <w:rPr>
          <w:sz w:val="20"/>
          <w:szCs w:val="20"/>
        </w:rPr>
        <w:t>aizsargātā lietotāja mehānisma ietvaros</w:t>
      </w:r>
      <w:r w:rsidRPr="00EE758E">
        <w:rPr>
          <w:sz w:val="20"/>
          <w:szCs w:val="20"/>
        </w:rPr>
        <w:t>.</w:t>
      </w:r>
    </w:p>
    <w:p w:rsidR="0070414D" w:rsidRDefault="0070414D" w:rsidP="00070190">
      <w:pPr>
        <w:spacing w:after="0" w:line="240" w:lineRule="auto"/>
        <w:ind w:firstLine="851"/>
        <w:rPr>
          <w:sz w:val="28"/>
          <w:szCs w:val="28"/>
        </w:rPr>
      </w:pPr>
    </w:p>
    <w:p w:rsidR="00070190" w:rsidRPr="000F75E7" w:rsidRDefault="00070190" w:rsidP="00070190">
      <w:pPr>
        <w:spacing w:after="0" w:line="240" w:lineRule="auto"/>
        <w:ind w:firstLine="851"/>
        <w:rPr>
          <w:sz w:val="28"/>
          <w:szCs w:val="28"/>
        </w:rPr>
      </w:pPr>
      <w:r w:rsidRPr="000F75E7">
        <w:rPr>
          <w:sz w:val="28"/>
          <w:szCs w:val="28"/>
        </w:rPr>
        <w:t>Ekonomikas ministrijas īstenotā nozares politika ir vērsta uz elektroenerģijas cenu ilgtermiņa pieaugu</w:t>
      </w:r>
      <w:r w:rsidR="0070414D">
        <w:rPr>
          <w:sz w:val="28"/>
          <w:szCs w:val="28"/>
        </w:rPr>
        <w:t xml:space="preserve">ma ierobežošanu (nepieaugšanu). </w:t>
      </w:r>
      <w:r>
        <w:rPr>
          <w:sz w:val="28"/>
          <w:szCs w:val="28"/>
        </w:rPr>
        <w:t>Līdz ar to piedāvātie risinājumi pieļauj kontrolētu OIK pieaugumu</w:t>
      </w:r>
      <w:r w:rsidRPr="000F75E7">
        <w:rPr>
          <w:sz w:val="28"/>
          <w:szCs w:val="28"/>
        </w:rPr>
        <w:t xml:space="preserve">, sekojot līdzi elektroenerģijas tirgus cenām un nepalielinot kopējos elektroenerģijas lietotāju maksājumus par elektroenerģiju. </w:t>
      </w:r>
    </w:p>
    <w:p w:rsidR="00070190" w:rsidRDefault="00070190" w:rsidP="00070190">
      <w:pPr>
        <w:spacing w:after="0" w:line="240" w:lineRule="auto"/>
        <w:ind w:firstLine="851"/>
        <w:rPr>
          <w:sz w:val="28"/>
          <w:szCs w:val="28"/>
        </w:rPr>
      </w:pPr>
      <w:r w:rsidRPr="000F75E7">
        <w:rPr>
          <w:sz w:val="28"/>
          <w:szCs w:val="28"/>
        </w:rPr>
        <w:t>Tā kā līdz ar Baltijas reģiona stiprāku integrāciju Ziemeļvalstu elektroenerģijas tirgos ir sagaidāms arī elektroenerģijas cenu samazinājums elektroenerģijas lietotājiem, tad ir iespējama arī kontrolēta OIK palielināšana līdz pat 5 EUR/MWh, kas ļautu mazināt nepieciešam</w:t>
      </w:r>
      <w:r w:rsidR="00B16273">
        <w:rPr>
          <w:sz w:val="28"/>
          <w:szCs w:val="28"/>
        </w:rPr>
        <w:t xml:space="preserve">o budžeta dotāciju līdz 35 000 000 </w:t>
      </w:r>
      <w:r w:rsidRPr="000F75E7">
        <w:rPr>
          <w:sz w:val="28"/>
          <w:szCs w:val="28"/>
        </w:rPr>
        <w:t>EUR gadā.</w:t>
      </w:r>
    </w:p>
    <w:p w:rsidR="00070190" w:rsidRPr="00B41498" w:rsidRDefault="00070190" w:rsidP="00070190">
      <w:pPr>
        <w:spacing w:after="0" w:line="240" w:lineRule="auto"/>
        <w:ind w:firstLine="851"/>
        <w:rPr>
          <w:sz w:val="28"/>
          <w:szCs w:val="28"/>
        </w:rPr>
      </w:pPr>
      <w:r>
        <w:rPr>
          <w:sz w:val="28"/>
          <w:szCs w:val="28"/>
        </w:rPr>
        <w:t xml:space="preserve">Lai gan kontrolēta OIK kāpuma scenārijs nepalielinātu elektroenerģijas lietotāju kopējos maksājumus par elektroenerģiju, tomēr tas visticamāk pazeminās apstrādes rūpniecības konkurētspēju reģionālajos tirgos, jo </w:t>
      </w:r>
      <w:r>
        <w:rPr>
          <w:sz w:val="28"/>
          <w:szCs w:val="28"/>
        </w:rPr>
        <w:lastRenderedPageBreak/>
        <w:t>elektroenerģijas cenu samazinājumu izjutīs arī citās valstīs (piemēram, Lietuvā).</w:t>
      </w:r>
      <w:r w:rsidR="00953DB0">
        <w:rPr>
          <w:sz w:val="28"/>
          <w:szCs w:val="28"/>
        </w:rPr>
        <w:t xml:space="preserve"> </w:t>
      </w:r>
      <w:r>
        <w:rPr>
          <w:sz w:val="28"/>
          <w:szCs w:val="28"/>
        </w:rPr>
        <w:t>Taču, ņemot vērā paredzēto atbalstu energointensīviem apstrādes rūpniecības uzņēmumiem</w:t>
      </w:r>
      <w:r w:rsidR="00964E69">
        <w:rPr>
          <w:sz w:val="28"/>
          <w:szCs w:val="28"/>
        </w:rPr>
        <w:t xml:space="preserve"> </w:t>
      </w:r>
      <w:r w:rsidR="00742C6C">
        <w:rPr>
          <w:sz w:val="28"/>
          <w:szCs w:val="28"/>
        </w:rPr>
        <w:t xml:space="preserve">to </w:t>
      </w:r>
      <w:r>
        <w:rPr>
          <w:sz w:val="28"/>
          <w:szCs w:val="28"/>
        </w:rPr>
        <w:t>konkurētspēj</w:t>
      </w:r>
      <w:r w:rsidR="00742C6C">
        <w:rPr>
          <w:sz w:val="28"/>
          <w:szCs w:val="28"/>
        </w:rPr>
        <w:t>as veicināšanai</w:t>
      </w:r>
      <w:r>
        <w:rPr>
          <w:sz w:val="28"/>
          <w:szCs w:val="28"/>
        </w:rPr>
        <w:t xml:space="preserve">, šāds risinājums </w:t>
      </w:r>
      <w:r w:rsidR="00742C6C">
        <w:rPr>
          <w:sz w:val="28"/>
          <w:szCs w:val="28"/>
        </w:rPr>
        <w:t>ir pieļaujams</w:t>
      </w:r>
      <w:r>
        <w:rPr>
          <w:sz w:val="28"/>
          <w:szCs w:val="28"/>
        </w:rPr>
        <w:t>.</w:t>
      </w:r>
    </w:p>
    <w:p w:rsidR="00070190" w:rsidRPr="001F5C8D" w:rsidRDefault="00070190" w:rsidP="00C87E2C">
      <w:pPr>
        <w:pStyle w:val="Heading2"/>
        <w:rPr>
          <w:szCs w:val="28"/>
        </w:rPr>
      </w:pPr>
      <w:bookmarkStart w:id="21" w:name="_Toc428188939"/>
      <w:r>
        <w:t>3.</w:t>
      </w:r>
      <w:r w:rsidR="006E4BDB">
        <w:t>3</w:t>
      </w:r>
      <w:r>
        <w:t xml:space="preserve">. </w:t>
      </w:r>
      <w:r w:rsidR="00953DB0">
        <w:t xml:space="preserve">Risinājumi </w:t>
      </w:r>
      <w:r w:rsidR="006E4BDB">
        <w:t xml:space="preserve">turpmākai </w:t>
      </w:r>
      <w:r w:rsidR="00B16273">
        <w:t>obligātā iepirkuma komponentes</w:t>
      </w:r>
      <w:r w:rsidR="00953DB0">
        <w:t xml:space="preserve"> samazināšanai</w:t>
      </w:r>
      <w:bookmarkEnd w:id="21"/>
      <w:r w:rsidR="00953DB0">
        <w:t xml:space="preserve"> </w:t>
      </w:r>
    </w:p>
    <w:p w:rsidR="00747166" w:rsidRPr="00EA69F1" w:rsidRDefault="00070190" w:rsidP="00B16273">
      <w:pPr>
        <w:pStyle w:val="Heading3"/>
        <w:spacing w:before="0"/>
      </w:pPr>
      <w:bookmarkStart w:id="22" w:name="_Toc428188940"/>
      <w:r>
        <w:t>3.</w:t>
      </w:r>
      <w:r w:rsidR="006E4BDB">
        <w:t>3</w:t>
      </w:r>
      <w:r>
        <w:t>.</w:t>
      </w:r>
      <w:r w:rsidR="00953DB0">
        <w:t>1</w:t>
      </w:r>
      <w:r>
        <w:t>. O</w:t>
      </w:r>
      <w:r w:rsidR="00747166" w:rsidRPr="00EA69F1">
        <w:t>bligātā iepirkuma maksājumu mazināšana</w:t>
      </w:r>
      <w:r w:rsidR="0079136D">
        <w:t xml:space="preserve"> un </w:t>
      </w:r>
      <w:r w:rsidR="00B16273">
        <w:t>subsidētās elektroenerģijas nodokļa</w:t>
      </w:r>
      <w:r w:rsidR="0079136D">
        <w:t xml:space="preserve"> turpināšana</w:t>
      </w:r>
      <w:bookmarkEnd w:id="22"/>
    </w:p>
    <w:p w:rsidR="00070190" w:rsidRPr="00CF3328" w:rsidRDefault="00070190" w:rsidP="00CF3328">
      <w:pPr>
        <w:spacing w:after="0" w:line="240" w:lineRule="auto"/>
        <w:ind w:firstLine="851"/>
        <w:rPr>
          <w:sz w:val="28"/>
          <w:szCs w:val="28"/>
        </w:rPr>
      </w:pPr>
      <w:r w:rsidRPr="00CF3328">
        <w:rPr>
          <w:sz w:val="28"/>
          <w:szCs w:val="28"/>
        </w:rPr>
        <w:t>Ņemot vērā, ka kopš 2010.gada apmēram 90% no visām jaunajām iekārtām, kas ražo elektroenerģiju, izmantojot atjaunojamos energoresursus, ir saņēmušas papildus darbības atbalstam (</w:t>
      </w:r>
      <w:r w:rsidR="00B16273">
        <w:rPr>
          <w:sz w:val="28"/>
          <w:szCs w:val="28"/>
        </w:rPr>
        <w:t>obligātais iepirkums</w:t>
      </w:r>
      <w:r w:rsidRPr="00CF3328">
        <w:rPr>
          <w:sz w:val="28"/>
          <w:szCs w:val="28"/>
        </w:rPr>
        <w:t xml:space="preserve">) arī investīciju atbalstu šo staciju izbūvei, pastāv liela varbūtība, ka </w:t>
      </w:r>
      <w:r w:rsidR="00B16273">
        <w:rPr>
          <w:sz w:val="28"/>
          <w:szCs w:val="28"/>
        </w:rPr>
        <w:t>EK</w:t>
      </w:r>
      <w:r w:rsidRPr="00CF3328">
        <w:rPr>
          <w:sz w:val="28"/>
          <w:szCs w:val="28"/>
        </w:rPr>
        <w:t xml:space="preserve"> savā lēmumā par atbilstību Eiropas Savienības iekšējam tirgum prasīs sagatavot un ieviest mehānismu pārsubsidācijas novēršanai.</w:t>
      </w:r>
    </w:p>
    <w:p w:rsidR="00747166" w:rsidRPr="00CF3328" w:rsidRDefault="00747166" w:rsidP="00CF3328">
      <w:pPr>
        <w:spacing w:after="0" w:line="240" w:lineRule="auto"/>
        <w:ind w:firstLine="851"/>
        <w:rPr>
          <w:sz w:val="28"/>
          <w:szCs w:val="28"/>
        </w:rPr>
      </w:pPr>
      <w:r w:rsidRPr="00CF3328">
        <w:rPr>
          <w:sz w:val="28"/>
          <w:szCs w:val="28"/>
        </w:rPr>
        <w:t>Vērtējot iespējamos obligātā iepirkuma maksājumu mazināšanas pasākumus, būtu jāvērtē arī valsts uzņemtās ilgtermiņa saistības no tiesiskās paļāvības viedokļa. Lēmumiem par maksājumu samazināšanu būtu jābalstās uz konkrētās nozares ekonomiskās atdeves rādītājiem</w:t>
      </w:r>
      <w:r w:rsidR="00B16273">
        <w:rPr>
          <w:sz w:val="28"/>
          <w:szCs w:val="28"/>
        </w:rPr>
        <w:t>,</w:t>
      </w:r>
      <w:r w:rsidRPr="00CF3328">
        <w:rPr>
          <w:sz w:val="28"/>
          <w:szCs w:val="28"/>
        </w:rPr>
        <w:t xml:space="preserve"> un </w:t>
      </w:r>
      <w:r w:rsidR="00964E69" w:rsidRPr="00CF3328">
        <w:rPr>
          <w:sz w:val="28"/>
          <w:szCs w:val="28"/>
        </w:rPr>
        <w:t xml:space="preserve">tie </w:t>
      </w:r>
      <w:r w:rsidRPr="00CF3328">
        <w:rPr>
          <w:sz w:val="28"/>
          <w:szCs w:val="28"/>
        </w:rPr>
        <w:t xml:space="preserve">būtu </w:t>
      </w:r>
      <w:r w:rsidR="00070190" w:rsidRPr="00CF3328">
        <w:rPr>
          <w:sz w:val="28"/>
          <w:szCs w:val="28"/>
        </w:rPr>
        <w:t>pieļaujami</w:t>
      </w:r>
      <w:r w:rsidRPr="00CF3328">
        <w:rPr>
          <w:sz w:val="28"/>
          <w:szCs w:val="28"/>
        </w:rPr>
        <w:t>, ja esošie maksājumi radītu ražotāju pārsubsidēšanas risku. Atsevišķos gadījumos būt</w:t>
      </w:r>
      <w:r w:rsidR="006457D4" w:rsidRPr="00CF3328">
        <w:rPr>
          <w:sz w:val="28"/>
          <w:szCs w:val="28"/>
        </w:rPr>
        <w:t>u</w:t>
      </w:r>
      <w:r w:rsidRPr="00CF3328">
        <w:rPr>
          <w:sz w:val="28"/>
          <w:szCs w:val="28"/>
        </w:rPr>
        <w:t xml:space="preserve"> pieļaujama arī esošā atbalsta pārskatīšana, ja konkrētās elektroenerģijas ražošanas jaudas nebūtu nepieciešamas no apgādes drošuma viedokļa, paredzot attiecīgu kompensāciju mehānismu, lai neradītu negatīvus regulācijas vides precedentus. </w:t>
      </w:r>
    </w:p>
    <w:p w:rsidR="00747166" w:rsidRPr="00CF3328" w:rsidRDefault="00747166" w:rsidP="00CF3328">
      <w:pPr>
        <w:spacing w:after="0" w:line="240" w:lineRule="auto"/>
        <w:ind w:firstLine="851"/>
        <w:rPr>
          <w:sz w:val="28"/>
          <w:szCs w:val="28"/>
        </w:rPr>
      </w:pPr>
      <w:r w:rsidRPr="00CF3328">
        <w:rPr>
          <w:sz w:val="28"/>
          <w:szCs w:val="28"/>
        </w:rPr>
        <w:t xml:space="preserve">Ekonomikas ministrija turpina darbu pie esošā atbalsta mehānisma saskaņošanas </w:t>
      </w:r>
      <w:r w:rsidR="00B16273">
        <w:rPr>
          <w:sz w:val="28"/>
          <w:szCs w:val="28"/>
        </w:rPr>
        <w:t>EK</w:t>
      </w:r>
      <w:r w:rsidRPr="00CF3328">
        <w:rPr>
          <w:sz w:val="28"/>
          <w:szCs w:val="28"/>
        </w:rPr>
        <w:t xml:space="preserve">, un šīs saskaņošanas procesā varētu rasties arī nepieciešamība pie atsevišķu </w:t>
      </w:r>
      <w:r w:rsidRPr="00CF3328">
        <w:rPr>
          <w:b/>
          <w:sz w:val="28"/>
          <w:szCs w:val="28"/>
        </w:rPr>
        <w:t>atbalsta formulu pārskatīšanas</w:t>
      </w:r>
      <w:r w:rsidRPr="00CF3328">
        <w:rPr>
          <w:sz w:val="28"/>
          <w:szCs w:val="28"/>
        </w:rPr>
        <w:t xml:space="preserve">, ja tiktu konstatēts esošā atbalsta pārsubsidēšanas risks. </w:t>
      </w:r>
    </w:p>
    <w:p w:rsidR="0079136D" w:rsidRPr="00CF3328" w:rsidRDefault="00B16273" w:rsidP="00CF3328">
      <w:pPr>
        <w:spacing w:after="0" w:line="240" w:lineRule="auto"/>
        <w:ind w:firstLine="709"/>
        <w:rPr>
          <w:rFonts w:cs="Times New Roman"/>
          <w:iCs/>
          <w:color w:val="000000"/>
          <w:sz w:val="28"/>
          <w:szCs w:val="28"/>
          <w:lang w:eastAsia="lv-LV"/>
        </w:rPr>
      </w:pPr>
      <w:r>
        <w:rPr>
          <w:rFonts w:cs="Times New Roman"/>
          <w:iCs/>
          <w:color w:val="000000"/>
          <w:sz w:val="28"/>
          <w:szCs w:val="28"/>
          <w:lang w:eastAsia="lv-LV"/>
        </w:rPr>
        <w:t>EK</w:t>
      </w:r>
      <w:r w:rsidR="0079136D" w:rsidRPr="00CF3328">
        <w:rPr>
          <w:rFonts w:cs="Times New Roman"/>
          <w:iCs/>
          <w:color w:val="000000"/>
          <w:sz w:val="28"/>
          <w:szCs w:val="28"/>
          <w:lang w:eastAsia="lv-LV"/>
        </w:rPr>
        <w:t xml:space="preserve"> valsts atbalsta saskaņošanas sarunu ietvaros, par ko informācija sniegta Konceptuālā ziņojuma 2.1.apakšnodaļā, izteica ierosinājumu</w:t>
      </w:r>
      <w:r w:rsidR="00BF4D66">
        <w:rPr>
          <w:rFonts w:cs="Times New Roman"/>
          <w:iCs/>
          <w:color w:val="000000"/>
          <w:sz w:val="28"/>
          <w:szCs w:val="28"/>
          <w:lang w:eastAsia="lv-LV"/>
        </w:rPr>
        <w:t xml:space="preserve"> (š.g. 22.jūlija e-pasts)</w:t>
      </w:r>
      <w:r w:rsidR="0079136D" w:rsidRPr="00CF3328">
        <w:rPr>
          <w:rFonts w:cs="Times New Roman"/>
          <w:iCs/>
          <w:color w:val="000000"/>
          <w:sz w:val="28"/>
          <w:szCs w:val="28"/>
          <w:lang w:eastAsia="lv-LV"/>
        </w:rPr>
        <w:t xml:space="preserve"> pārsubsidācijas novēršanai apsvērt risinājumu </w:t>
      </w:r>
      <w:r w:rsidR="0079136D" w:rsidRPr="00CF3328">
        <w:rPr>
          <w:rFonts w:cs="Times New Roman"/>
          <w:b/>
          <w:iCs/>
          <w:color w:val="000000"/>
          <w:sz w:val="28"/>
          <w:szCs w:val="28"/>
          <w:lang w:eastAsia="lv-LV"/>
        </w:rPr>
        <w:t>turpināt SEN piemērošanu</w:t>
      </w:r>
      <w:r w:rsidR="0079136D" w:rsidRPr="00CF3328">
        <w:rPr>
          <w:rFonts w:cs="Times New Roman"/>
          <w:iCs/>
          <w:color w:val="000000"/>
          <w:sz w:val="28"/>
          <w:szCs w:val="28"/>
          <w:lang w:eastAsia="lv-LV"/>
        </w:rPr>
        <w:t xml:space="preserve"> arī pēc šobrīd Subsidētās elektroenerģijas nodokļa likumā noteiktā perioda.</w:t>
      </w:r>
    </w:p>
    <w:p w:rsidR="0079136D" w:rsidRPr="00CF3328" w:rsidRDefault="0079136D" w:rsidP="00CF3328">
      <w:pPr>
        <w:spacing w:after="0" w:line="240" w:lineRule="auto"/>
        <w:ind w:firstLine="709"/>
        <w:rPr>
          <w:sz w:val="28"/>
          <w:szCs w:val="28"/>
        </w:rPr>
      </w:pPr>
      <w:r w:rsidRPr="00CF3328">
        <w:rPr>
          <w:rFonts w:cs="Times New Roman"/>
          <w:iCs/>
          <w:color w:val="000000"/>
          <w:sz w:val="28"/>
          <w:szCs w:val="28"/>
          <w:lang w:eastAsia="lv-LV"/>
        </w:rPr>
        <w:t>Līdz ar to SEN būtu piemērojams apliekamajiem ienākumiem, kas gūti no obligātā iepirkuma ietvaros pārdotās elektroenerģijas, saņemtās garantētās maksas par koģenerācijas stacijā vai elektrostacijā uzstādīto elektrisko jaudu, arī pēc  2017. gada 31. decembra, pēc Eiropas Komisijas lēmuma par valsts atbalstu saņemšanas</w:t>
      </w:r>
      <w:r w:rsidR="00B16273">
        <w:rPr>
          <w:rFonts w:cs="Times New Roman"/>
          <w:iCs/>
          <w:color w:val="000000"/>
          <w:sz w:val="28"/>
          <w:szCs w:val="28"/>
          <w:lang w:eastAsia="lv-LV"/>
        </w:rPr>
        <w:t>,</w:t>
      </w:r>
      <w:r w:rsidRPr="00CF3328">
        <w:rPr>
          <w:rFonts w:cs="Times New Roman"/>
          <w:iCs/>
          <w:color w:val="000000"/>
          <w:sz w:val="28"/>
          <w:szCs w:val="28"/>
          <w:lang w:eastAsia="lv-LV"/>
        </w:rPr>
        <w:t xml:space="preserve"> izvērtējot SEN likmes un to noteikšanas kritērijus, lai novērstu pārsubsidācijas risku.</w:t>
      </w:r>
      <w:r w:rsidRPr="00CF3328">
        <w:rPr>
          <w:sz w:val="28"/>
          <w:szCs w:val="28"/>
        </w:rPr>
        <w:t xml:space="preserve"> </w:t>
      </w:r>
    </w:p>
    <w:p w:rsidR="00A50CEC" w:rsidRPr="00CF3328" w:rsidRDefault="00A50CEC" w:rsidP="00CF3328">
      <w:pPr>
        <w:pStyle w:val="BodyTextIndent2"/>
        <w:spacing w:after="0" w:line="240" w:lineRule="auto"/>
        <w:ind w:left="0" w:firstLine="720"/>
        <w:rPr>
          <w:color w:val="000000"/>
          <w:sz w:val="28"/>
          <w:szCs w:val="28"/>
        </w:rPr>
      </w:pPr>
      <w:r w:rsidRPr="00CF3328">
        <w:rPr>
          <w:color w:val="000000"/>
          <w:sz w:val="28"/>
          <w:szCs w:val="28"/>
        </w:rPr>
        <w:t xml:space="preserve">Lai spētu nodrošināt plānotos SEN ieņēmumus valsts budžetā 2016.gadā un turpmākajos gados, kā arī, lai nodrošinātu finansējumu elektroenerģijas lietotāju atbalstam, </w:t>
      </w:r>
      <w:r w:rsidRPr="00CF3328">
        <w:rPr>
          <w:b/>
          <w:color w:val="000000"/>
          <w:sz w:val="28"/>
          <w:szCs w:val="28"/>
          <w:u w:val="single"/>
        </w:rPr>
        <w:t>ir nepieciešams saglabāt</w:t>
      </w:r>
      <w:r w:rsidRPr="00CF3328">
        <w:rPr>
          <w:color w:val="000000"/>
          <w:sz w:val="28"/>
          <w:szCs w:val="28"/>
        </w:rPr>
        <w:t xml:space="preserve"> Subsidētās elektroenerģijas nodokļa likumā noteiktās un pašreiz komersantiem piemērojamās SEN likmes.</w:t>
      </w:r>
    </w:p>
    <w:p w:rsidR="0079136D" w:rsidRPr="00CF3328" w:rsidRDefault="0079136D" w:rsidP="00CF3328">
      <w:pPr>
        <w:spacing w:after="0" w:line="240" w:lineRule="auto"/>
        <w:ind w:firstLine="709"/>
        <w:rPr>
          <w:rFonts w:cs="Times New Roman"/>
          <w:iCs/>
          <w:color w:val="000000"/>
          <w:sz w:val="28"/>
          <w:szCs w:val="28"/>
          <w:lang w:eastAsia="lv-LV"/>
        </w:rPr>
      </w:pPr>
      <w:r w:rsidRPr="00CF3328">
        <w:rPr>
          <w:rFonts w:cs="Times New Roman"/>
          <w:iCs/>
          <w:color w:val="000000"/>
          <w:sz w:val="28"/>
          <w:szCs w:val="28"/>
          <w:lang w:eastAsia="lv-LV"/>
        </w:rPr>
        <w:lastRenderedPageBreak/>
        <w:t>Turpinot SEN piemērošanu arī pēc 2017. gada 31. decembra, risinājumam būs pozitīva ietekme uz valsts budžetu. Iegūtos ieņēmumus būs iespējams izmantot OIK novēršanai attiecīgajā periodā.</w:t>
      </w:r>
    </w:p>
    <w:p w:rsidR="00CF3328" w:rsidRPr="00CF3328" w:rsidRDefault="00CF3328" w:rsidP="00CF3328">
      <w:pPr>
        <w:spacing w:after="0" w:line="240" w:lineRule="auto"/>
        <w:ind w:firstLine="709"/>
        <w:rPr>
          <w:rFonts w:eastAsiaTheme="minorHAnsi"/>
          <w:b/>
          <w:bCs/>
          <w:sz w:val="28"/>
          <w:szCs w:val="28"/>
          <w:u w:val="single"/>
        </w:rPr>
      </w:pPr>
      <w:r w:rsidRPr="00CF3328">
        <w:rPr>
          <w:color w:val="000000"/>
          <w:sz w:val="28"/>
          <w:szCs w:val="28"/>
        </w:rPr>
        <w:t xml:space="preserve">Papildus būtu izvērtējamas esošā </w:t>
      </w:r>
      <w:r w:rsidRPr="00CF3328">
        <w:rPr>
          <w:sz w:val="28"/>
          <w:szCs w:val="28"/>
        </w:rPr>
        <w:t xml:space="preserve">jaudas maksājumu regulējuma izmaiņas koģenerācijas stacijām, kuras kā kurināmo izmanto dabasgāzi, un kuru uzstādītā elektriskā jauda pārsniedz 4 MW, atsakoties no prasības obligātas uzstādītās jaudas izmantošanas 1200 stundu gadā, bet vienlaikus daloties ar iespējamiem papildu ieņēmumiem no elektroenerģijas pārdošanas tirgū, sākot ar </w:t>
      </w:r>
      <w:r w:rsidRPr="00CF3328">
        <w:rPr>
          <w:sz w:val="28"/>
          <w:szCs w:val="28"/>
          <w:u w:val="single"/>
        </w:rPr>
        <w:t>pirmo</w:t>
      </w:r>
      <w:r w:rsidRPr="00CF3328">
        <w:rPr>
          <w:sz w:val="28"/>
          <w:szCs w:val="28"/>
        </w:rPr>
        <w:t xml:space="preserve"> kWh, tādā veidā samazinot maksājamo jaudas komponenti.</w:t>
      </w:r>
    </w:p>
    <w:p w:rsidR="00CF3328" w:rsidRPr="00CF3328" w:rsidRDefault="00CF3328" w:rsidP="00CF3328">
      <w:pPr>
        <w:spacing w:after="0" w:line="240" w:lineRule="auto"/>
        <w:ind w:firstLine="851"/>
        <w:rPr>
          <w:sz w:val="28"/>
          <w:szCs w:val="28"/>
        </w:rPr>
      </w:pPr>
      <w:r w:rsidRPr="00CF3328">
        <w:rPr>
          <w:sz w:val="28"/>
          <w:szCs w:val="28"/>
        </w:rPr>
        <w:t xml:space="preserve">Esošā jaudas maksājumu regulējums paredz, ka koģenerācijas stacijām ir obligāti jānodrošina uzstādītās jaudas izmantošana 1200 stundas gadā, kuru laikā ražotājs pilnībā uzņemas mainīgo izmaksu (galvenokārt kurināmā) riskus, proti, pat ja kurināmā izmaksas pārsniedz elektroenerģijas tirgus cenu un elektroenerģijas ražošana no elektroenerģijas tirgus viedokļa nav nepieciešama, 1200 stundu nosacījums uzliek ražotājam par pienākumu obligāti ražot elektroenerģiju. Savukārt, situācijā, kad elektroenerģijas cenas tirgū ir augstākas par ražošanas mainīgajām izmaksām, ražotājs gūst papildus ienākumus. Regulējums arī nosaka, ka pēc koģenerācijā saražotām un sistēmā nodotā elektroenerģijas apjoma, kas atbilst 1200 stundām gadā, ražotājam ir jāuzsāk dalīšanās ar potenciālo papildus peļņu 75% apmērā, efektīvi mazinot jaudas komponentes maksājumus. </w:t>
      </w:r>
    </w:p>
    <w:p w:rsidR="00992F41" w:rsidRDefault="00992F41" w:rsidP="00742C6C">
      <w:pPr>
        <w:pStyle w:val="Heading3"/>
      </w:pPr>
      <w:bookmarkStart w:id="23" w:name="_Toc428188941"/>
      <w:r>
        <w:t>3.</w:t>
      </w:r>
      <w:r w:rsidR="006E4BDB">
        <w:t>3</w:t>
      </w:r>
      <w:r w:rsidR="00742C6C">
        <w:t>.</w:t>
      </w:r>
      <w:r w:rsidR="006E4BDB">
        <w:t>2</w:t>
      </w:r>
      <w:r>
        <w:t>. Risinājums spēkā esošā atbalsta mehānisma izbeigšanai</w:t>
      </w:r>
      <w:bookmarkEnd w:id="23"/>
    </w:p>
    <w:p w:rsidR="00992F41" w:rsidRDefault="00992F41" w:rsidP="00992F41">
      <w:pPr>
        <w:spacing w:after="0" w:line="240" w:lineRule="auto"/>
        <w:ind w:firstLine="851"/>
        <w:rPr>
          <w:sz w:val="28"/>
          <w:szCs w:val="28"/>
        </w:rPr>
      </w:pPr>
      <w:r w:rsidRPr="00750C27">
        <w:rPr>
          <w:sz w:val="28"/>
          <w:szCs w:val="28"/>
        </w:rPr>
        <w:t xml:space="preserve">Reaģējot uz pieaugošo pieprasījumu aizvien jaunu tiesību saņemšanai pārdot elektroenerģiju obligātā iepirkuma ietvaros vai saņemt garantēto maksu par uzstādīto elektrisko jaudu, izvērtējot riskus, </w:t>
      </w:r>
      <w:r w:rsidR="00BB2500">
        <w:rPr>
          <w:sz w:val="28"/>
          <w:szCs w:val="28"/>
        </w:rPr>
        <w:t xml:space="preserve">Ministru kabineta 2010. gada 16.marta </w:t>
      </w:r>
      <w:r w:rsidRPr="00750C27">
        <w:rPr>
          <w:sz w:val="28"/>
          <w:szCs w:val="28"/>
        </w:rPr>
        <w:t xml:space="preserve">noteikumu Nr.262 </w:t>
      </w:r>
      <w:r w:rsidR="00BB2500">
        <w:rPr>
          <w:sz w:val="28"/>
          <w:szCs w:val="28"/>
        </w:rPr>
        <w:t xml:space="preserve">“Noteikumi par elektroenerģijas ražošanu, izmantojot atjaunojamos energoresursus, un cenu noteikšanas kārtība” (turpmāk – </w:t>
      </w:r>
      <w:r w:rsidR="00BB2500" w:rsidRPr="00750C27">
        <w:rPr>
          <w:sz w:val="28"/>
          <w:szCs w:val="28"/>
        </w:rPr>
        <w:t>MK</w:t>
      </w:r>
      <w:r w:rsidR="00BB2500">
        <w:rPr>
          <w:sz w:val="28"/>
          <w:szCs w:val="28"/>
        </w:rPr>
        <w:t xml:space="preserve"> </w:t>
      </w:r>
      <w:r w:rsidR="00BB2500" w:rsidRPr="00750C27">
        <w:rPr>
          <w:sz w:val="28"/>
          <w:szCs w:val="28"/>
        </w:rPr>
        <w:t>not</w:t>
      </w:r>
      <w:r w:rsidR="00BB2500">
        <w:rPr>
          <w:sz w:val="28"/>
          <w:szCs w:val="28"/>
        </w:rPr>
        <w:t>eikumi</w:t>
      </w:r>
      <w:r w:rsidR="00BB2500" w:rsidRPr="00750C27">
        <w:rPr>
          <w:sz w:val="28"/>
          <w:szCs w:val="28"/>
        </w:rPr>
        <w:t xml:space="preserve"> Nr.2</w:t>
      </w:r>
      <w:r w:rsidR="00BB2500">
        <w:rPr>
          <w:sz w:val="28"/>
          <w:szCs w:val="28"/>
        </w:rPr>
        <w:t xml:space="preserve">62) </w:t>
      </w:r>
      <w:r w:rsidRPr="00750C27">
        <w:rPr>
          <w:sz w:val="28"/>
          <w:szCs w:val="28"/>
        </w:rPr>
        <w:t xml:space="preserve">100. punktā un </w:t>
      </w:r>
      <w:r w:rsidR="00BB2500">
        <w:rPr>
          <w:sz w:val="28"/>
          <w:szCs w:val="28"/>
        </w:rPr>
        <w:t xml:space="preserve">Ministru kabineta 2009. gada 10.marta </w:t>
      </w:r>
      <w:r w:rsidR="00BB2500" w:rsidRPr="00750C27">
        <w:rPr>
          <w:sz w:val="28"/>
          <w:szCs w:val="28"/>
        </w:rPr>
        <w:t xml:space="preserve">noteikumu </w:t>
      </w:r>
      <w:r w:rsidR="00BB2500">
        <w:rPr>
          <w:sz w:val="28"/>
          <w:szCs w:val="28"/>
        </w:rPr>
        <w:t xml:space="preserve">Nr.221 “Noteikumi par elektroenerģijas ražošanu un cenu noteikšanu, ražojot elektroenerģiju koģenerācijā” (turpmāk – </w:t>
      </w:r>
      <w:r w:rsidRPr="00750C27">
        <w:rPr>
          <w:sz w:val="28"/>
          <w:szCs w:val="28"/>
        </w:rPr>
        <w:t>MK noteikum</w:t>
      </w:r>
      <w:r w:rsidR="00BB2500">
        <w:rPr>
          <w:sz w:val="28"/>
          <w:szCs w:val="28"/>
        </w:rPr>
        <w:t>i</w:t>
      </w:r>
      <w:r w:rsidRPr="00750C27">
        <w:rPr>
          <w:sz w:val="28"/>
          <w:szCs w:val="28"/>
        </w:rPr>
        <w:t xml:space="preserve"> Nr.221</w:t>
      </w:r>
      <w:r w:rsidR="00BB2500">
        <w:rPr>
          <w:sz w:val="28"/>
          <w:szCs w:val="28"/>
        </w:rPr>
        <w:t>)</w:t>
      </w:r>
      <w:r w:rsidRPr="00750C27">
        <w:rPr>
          <w:sz w:val="28"/>
          <w:szCs w:val="28"/>
        </w:rPr>
        <w:t xml:space="preserve"> 70. punktā tika ietverts nosacījums, ka elektroenerģijas ražotāji nevar saņemt jaunas tiesības pārdot elektroenerģiju obligātā iepirkuma ietvaros vai iegūt tiesības saņemt garantētu maksu par uzstādīto elektrisko jaudu līdz 2016. gada 1. janvārim.</w:t>
      </w:r>
      <w:r>
        <w:rPr>
          <w:sz w:val="28"/>
          <w:szCs w:val="28"/>
        </w:rPr>
        <w:t xml:space="preserve"> Līdz ar to attiecībā uz valsts atbalsta mehānisma turpmāko darbību tika noteikts ierobežojums</w:t>
      </w:r>
      <w:r w:rsidR="00742C6C">
        <w:rPr>
          <w:sz w:val="28"/>
          <w:szCs w:val="28"/>
        </w:rPr>
        <w:t xml:space="preserve"> </w:t>
      </w:r>
      <w:r>
        <w:rPr>
          <w:sz w:val="28"/>
          <w:szCs w:val="28"/>
        </w:rPr>
        <w:t>komersantiem saņemt jaunas tiesības pārdot elektroenerģiju obligātā iepirkuma ietvaros vai tiesības saņemt garantētu maksu par elektrostacijā uzstādīto jaudu ne saskaņā ar MK noteikumiem Nr.262, ne arī saskaņā ar MK noteikumiem Nr.221.</w:t>
      </w:r>
    </w:p>
    <w:p w:rsidR="00992F41" w:rsidRPr="00750C27" w:rsidRDefault="00992F41" w:rsidP="00992F41">
      <w:pPr>
        <w:spacing w:after="0" w:line="240" w:lineRule="auto"/>
        <w:ind w:firstLine="851"/>
        <w:rPr>
          <w:sz w:val="28"/>
          <w:szCs w:val="28"/>
        </w:rPr>
      </w:pPr>
      <w:r w:rsidRPr="002045C3">
        <w:rPr>
          <w:sz w:val="28"/>
          <w:szCs w:val="28"/>
        </w:rPr>
        <w:t xml:space="preserve">Pēc Ekonomikas ministrijai pieejamās informācijas, ražotāji, kas jau ir saņēmuši tiesības pārdot elektroenerģiju obligātā iepirkuma ietvaros vai tiesības saņemt garantētu maksu par elektrostacijā uzstādīto jaudu, savas saskaņā ar MK </w:t>
      </w:r>
      <w:r w:rsidRPr="002045C3">
        <w:rPr>
          <w:sz w:val="28"/>
          <w:szCs w:val="28"/>
        </w:rPr>
        <w:lastRenderedPageBreak/>
        <w:t xml:space="preserve">noteikumiem </w:t>
      </w:r>
      <w:r w:rsidR="0095036A">
        <w:rPr>
          <w:sz w:val="28"/>
          <w:szCs w:val="28"/>
        </w:rPr>
        <w:t>Nr.</w:t>
      </w:r>
      <w:r w:rsidRPr="002045C3">
        <w:rPr>
          <w:sz w:val="28"/>
          <w:szCs w:val="28"/>
        </w:rPr>
        <w:t xml:space="preserve">262 vai MK noteikumiem </w:t>
      </w:r>
      <w:r w:rsidR="0095036A">
        <w:rPr>
          <w:sz w:val="28"/>
          <w:szCs w:val="28"/>
        </w:rPr>
        <w:t>Nr.</w:t>
      </w:r>
      <w:r w:rsidRPr="002045C3">
        <w:rPr>
          <w:sz w:val="28"/>
          <w:szCs w:val="28"/>
        </w:rPr>
        <w:t>221 saņemtās tiesības turpinās īstenot līdz pat 2033.</w:t>
      </w:r>
      <w:r w:rsidR="00B16273">
        <w:rPr>
          <w:sz w:val="28"/>
          <w:szCs w:val="28"/>
        </w:rPr>
        <w:t xml:space="preserve"> </w:t>
      </w:r>
      <w:r w:rsidRPr="002045C3">
        <w:rPr>
          <w:sz w:val="28"/>
          <w:szCs w:val="28"/>
        </w:rPr>
        <w:t>gadam.</w:t>
      </w:r>
    </w:p>
    <w:p w:rsidR="00992F41" w:rsidRPr="00F93C75" w:rsidRDefault="00992F41" w:rsidP="00992F41">
      <w:pPr>
        <w:spacing w:after="0" w:line="240" w:lineRule="auto"/>
        <w:ind w:firstLine="851"/>
        <w:rPr>
          <w:sz w:val="28"/>
          <w:szCs w:val="28"/>
        </w:rPr>
      </w:pPr>
      <w:r w:rsidRPr="00F93C75">
        <w:rPr>
          <w:sz w:val="28"/>
          <w:szCs w:val="28"/>
        </w:rPr>
        <w:t>2014. gada 1. jūlijā spēkā stājās Pamatnostādnes par valsts atbalstu vides aizsardzībai un enerģētikai 2014.-2020. ga</w:t>
      </w:r>
      <w:r>
        <w:rPr>
          <w:sz w:val="28"/>
          <w:szCs w:val="28"/>
        </w:rPr>
        <w:t xml:space="preserve">dam (ES OV C/200, 28.06.2014) </w:t>
      </w:r>
      <w:r w:rsidRPr="00F93C75">
        <w:rPr>
          <w:sz w:val="28"/>
          <w:szCs w:val="28"/>
        </w:rPr>
        <w:t>(turpmāk – Pamatnostādnes), kas ietver nosacījumus, kas Eiropas Savienības dalībvalstīm jāņem vērā, cita starpā</w:t>
      </w:r>
      <w:r>
        <w:rPr>
          <w:sz w:val="28"/>
          <w:szCs w:val="28"/>
        </w:rPr>
        <w:t>,</w:t>
      </w:r>
      <w:r w:rsidRPr="00F93C75">
        <w:rPr>
          <w:sz w:val="28"/>
          <w:szCs w:val="28"/>
        </w:rPr>
        <w:t xml:space="preserve"> izstrādājot atbalsta mehānismus atjaunojamās enerģijas veicināšanai.</w:t>
      </w:r>
      <w:r>
        <w:rPr>
          <w:sz w:val="28"/>
          <w:szCs w:val="28"/>
        </w:rPr>
        <w:t xml:space="preserve"> </w:t>
      </w:r>
      <w:r w:rsidRPr="00F93C75">
        <w:rPr>
          <w:sz w:val="28"/>
          <w:szCs w:val="28"/>
        </w:rPr>
        <w:t xml:space="preserve">Ņemot vērā </w:t>
      </w:r>
      <w:r>
        <w:rPr>
          <w:sz w:val="28"/>
          <w:szCs w:val="28"/>
        </w:rPr>
        <w:t xml:space="preserve">gan </w:t>
      </w:r>
      <w:r w:rsidRPr="00F93C75">
        <w:rPr>
          <w:sz w:val="28"/>
          <w:szCs w:val="28"/>
        </w:rPr>
        <w:t xml:space="preserve">Pamatnostādnēs noteikto, </w:t>
      </w:r>
      <w:r>
        <w:rPr>
          <w:sz w:val="28"/>
          <w:szCs w:val="28"/>
        </w:rPr>
        <w:t>gan budžeta ierobežojumus Ekonomikas ministrija secināja</w:t>
      </w:r>
      <w:r w:rsidRPr="00F93C75">
        <w:rPr>
          <w:sz w:val="28"/>
          <w:szCs w:val="28"/>
        </w:rPr>
        <w:t>, ka esoš</w:t>
      </w:r>
      <w:r>
        <w:rPr>
          <w:sz w:val="28"/>
          <w:szCs w:val="28"/>
        </w:rPr>
        <w:t>ā</w:t>
      </w:r>
      <w:r w:rsidRPr="00F93C75">
        <w:rPr>
          <w:sz w:val="28"/>
          <w:szCs w:val="28"/>
        </w:rPr>
        <w:t xml:space="preserve"> valsts atbalsta mehānisma darbību, kura ietvars izveidots ar </w:t>
      </w:r>
      <w:r w:rsidR="00B16273">
        <w:rPr>
          <w:sz w:val="28"/>
          <w:szCs w:val="28"/>
        </w:rPr>
        <w:t>Elektroenerģijas tirgus likumu</w:t>
      </w:r>
      <w:r w:rsidRPr="00F93C75">
        <w:rPr>
          <w:sz w:val="28"/>
          <w:szCs w:val="28"/>
        </w:rPr>
        <w:t xml:space="preserve">, MK noteikumiem Nr.262 un MK noteikumiem Nr.221, </w:t>
      </w:r>
      <w:r w:rsidRPr="00742C6C">
        <w:rPr>
          <w:b/>
          <w:sz w:val="28"/>
          <w:szCs w:val="28"/>
          <w:u w:val="single"/>
        </w:rPr>
        <w:t>pēc 2016. gada 1. janvāra nebūs iespējams turpināt</w:t>
      </w:r>
      <w:r w:rsidRPr="00F93C75">
        <w:rPr>
          <w:sz w:val="28"/>
          <w:szCs w:val="28"/>
        </w:rPr>
        <w:t xml:space="preserve">. </w:t>
      </w:r>
    </w:p>
    <w:p w:rsidR="00F45E36" w:rsidRDefault="00992F41" w:rsidP="00B16273">
      <w:pPr>
        <w:spacing w:after="0" w:line="240" w:lineRule="auto"/>
        <w:ind w:firstLine="851"/>
        <w:rPr>
          <w:sz w:val="28"/>
          <w:szCs w:val="28"/>
        </w:rPr>
      </w:pPr>
      <w:r w:rsidRPr="00F93C75">
        <w:rPr>
          <w:sz w:val="28"/>
          <w:szCs w:val="28"/>
        </w:rPr>
        <w:t>Ņemot vērā iepriekš minētos ar</w:t>
      </w:r>
      <w:r>
        <w:rPr>
          <w:sz w:val="28"/>
          <w:szCs w:val="28"/>
        </w:rPr>
        <w:t>gumentus, Ekonomikas ministrija s</w:t>
      </w:r>
      <w:r w:rsidR="00B16273">
        <w:rPr>
          <w:sz w:val="28"/>
          <w:szCs w:val="28"/>
        </w:rPr>
        <w:t>agatavoja likumprojektu „</w:t>
      </w:r>
      <w:r>
        <w:rPr>
          <w:sz w:val="28"/>
          <w:szCs w:val="28"/>
        </w:rPr>
        <w:t xml:space="preserve">Grozījumi Elektroenerģijas tirgus likumā”, </w:t>
      </w:r>
      <w:r w:rsidRPr="00F93C75">
        <w:rPr>
          <w:sz w:val="28"/>
          <w:szCs w:val="28"/>
        </w:rPr>
        <w:t xml:space="preserve">paredzot </w:t>
      </w:r>
      <w:r>
        <w:rPr>
          <w:sz w:val="28"/>
          <w:szCs w:val="28"/>
        </w:rPr>
        <w:t>to</w:t>
      </w:r>
      <w:r w:rsidRPr="00F93C75">
        <w:rPr>
          <w:sz w:val="28"/>
          <w:szCs w:val="28"/>
        </w:rPr>
        <w:t xml:space="preserve"> pantu spēka z</w:t>
      </w:r>
      <w:r>
        <w:rPr>
          <w:sz w:val="28"/>
          <w:szCs w:val="28"/>
        </w:rPr>
        <w:t>audējumu no 2016.</w:t>
      </w:r>
      <w:r>
        <w:t> </w:t>
      </w:r>
      <w:r>
        <w:rPr>
          <w:sz w:val="28"/>
          <w:szCs w:val="28"/>
        </w:rPr>
        <w:t xml:space="preserve">gada 1. janvāra, kas nosaka komersanta paļāvību, ka tas pēc 2016. gada 1. janvāra varētu iegūt tiesības </w:t>
      </w:r>
      <w:r w:rsidRPr="00F93C75">
        <w:rPr>
          <w:sz w:val="28"/>
          <w:szCs w:val="28"/>
        </w:rPr>
        <w:t>pārdot saražoto elektroenerģiju obligāt</w:t>
      </w:r>
      <w:r>
        <w:rPr>
          <w:sz w:val="28"/>
          <w:szCs w:val="28"/>
        </w:rPr>
        <w:t>ā iepirkuma ietvaros vai</w:t>
      </w:r>
      <w:r w:rsidRPr="00F93C75">
        <w:rPr>
          <w:sz w:val="28"/>
          <w:szCs w:val="28"/>
        </w:rPr>
        <w:t xml:space="preserve"> iepērkamā elektroenerģijas apjoma veidā</w:t>
      </w:r>
      <w:r>
        <w:rPr>
          <w:sz w:val="28"/>
          <w:szCs w:val="28"/>
        </w:rPr>
        <w:t xml:space="preserve">, vai tiesības </w:t>
      </w:r>
      <w:r w:rsidRPr="00F93C75">
        <w:rPr>
          <w:sz w:val="28"/>
          <w:szCs w:val="28"/>
        </w:rPr>
        <w:t>saņemt garantētu maksu par elektrostacijā uzstādīto elektrisko jaudu</w:t>
      </w:r>
      <w:r>
        <w:rPr>
          <w:sz w:val="28"/>
          <w:szCs w:val="28"/>
        </w:rPr>
        <w:t xml:space="preserve">. Nodrošinot sabiedrības līdzdalību likumdošanā, </w:t>
      </w:r>
      <w:r w:rsidR="00B16273">
        <w:rPr>
          <w:sz w:val="28"/>
          <w:szCs w:val="28"/>
        </w:rPr>
        <w:t>likumprojektu „</w:t>
      </w:r>
      <w:r w:rsidRPr="003A23DE">
        <w:rPr>
          <w:sz w:val="28"/>
          <w:szCs w:val="28"/>
        </w:rPr>
        <w:t>Grozījumi Elektroenerģijas tirgus likumā”</w:t>
      </w:r>
      <w:r>
        <w:rPr>
          <w:sz w:val="28"/>
          <w:szCs w:val="28"/>
        </w:rPr>
        <w:t xml:space="preserve"> </w:t>
      </w:r>
      <w:r w:rsidRPr="003A23DE">
        <w:rPr>
          <w:sz w:val="28"/>
          <w:szCs w:val="28"/>
        </w:rPr>
        <w:t xml:space="preserve">un tā anotācija, </w:t>
      </w:r>
      <w:r>
        <w:rPr>
          <w:sz w:val="28"/>
          <w:szCs w:val="28"/>
        </w:rPr>
        <w:t>pieejama Ekonomikas minist</w:t>
      </w:r>
      <w:r w:rsidR="00B16273">
        <w:rPr>
          <w:sz w:val="28"/>
          <w:szCs w:val="28"/>
        </w:rPr>
        <w:t xml:space="preserve">rijas tīmekļa vietnē internetā </w:t>
      </w:r>
      <w:hyperlink r:id="rId19" w:history="1">
        <w:r w:rsidRPr="00B16273">
          <w:rPr>
            <w:rStyle w:val="Hyperlink"/>
            <w:sz w:val="28"/>
            <w:szCs w:val="28"/>
          </w:rPr>
          <w:t>https://em.gov.lv/lv/par_ministriju/sabiedribas_lidzdaliba/diskusiju_dokumenti/</w:t>
        </w:r>
      </w:hyperlink>
      <w:r w:rsidRPr="00B16273">
        <w:rPr>
          <w:sz w:val="28"/>
          <w:szCs w:val="28"/>
        </w:rPr>
        <w:t xml:space="preserve">.   </w:t>
      </w:r>
    </w:p>
    <w:p w:rsidR="00DC2ADF" w:rsidRDefault="00DC2ADF" w:rsidP="00DC2ADF">
      <w:pPr>
        <w:pStyle w:val="Heading1"/>
        <w:numPr>
          <w:ilvl w:val="0"/>
          <w:numId w:val="19"/>
        </w:numPr>
      </w:pPr>
      <w:bookmarkStart w:id="24" w:name="_Toc428188942"/>
      <w:r>
        <w:t>Secinājumi</w:t>
      </w:r>
      <w:bookmarkEnd w:id="24"/>
      <w:r>
        <w:t xml:space="preserve"> </w:t>
      </w:r>
    </w:p>
    <w:p w:rsidR="00DC2ADF" w:rsidRPr="00DC2ADF" w:rsidRDefault="00DC2ADF" w:rsidP="00DC2ADF">
      <w:pPr>
        <w:spacing w:after="0" w:line="240" w:lineRule="auto"/>
        <w:ind w:firstLine="851"/>
        <w:rPr>
          <w:sz w:val="28"/>
          <w:szCs w:val="28"/>
        </w:rPr>
      </w:pPr>
      <w:r>
        <w:rPr>
          <w:sz w:val="28"/>
          <w:szCs w:val="28"/>
        </w:rPr>
        <w:t>Elektroenerģijas izmaksas ir svarīgas gan uzņēmumu konkurētspējas, gan mājsaimniecību maksātspējas uzlabošanai. Līdz ar to ir svarīgi sabalansēt dažādas komponentes, kā piemēram</w:t>
      </w:r>
      <w:r w:rsidR="00B16273">
        <w:rPr>
          <w:sz w:val="28"/>
          <w:szCs w:val="28"/>
        </w:rPr>
        <w:t>,</w:t>
      </w:r>
      <w:r>
        <w:rPr>
          <w:sz w:val="28"/>
          <w:szCs w:val="28"/>
        </w:rPr>
        <w:t xml:space="preserve"> </w:t>
      </w:r>
      <w:r w:rsidR="00B16273">
        <w:rPr>
          <w:sz w:val="28"/>
          <w:szCs w:val="28"/>
        </w:rPr>
        <w:t>OIK</w:t>
      </w:r>
      <w:r>
        <w:rPr>
          <w:sz w:val="28"/>
          <w:szCs w:val="28"/>
        </w:rPr>
        <w:t xml:space="preserve">, </w:t>
      </w:r>
      <w:r w:rsidR="00B16273">
        <w:rPr>
          <w:sz w:val="28"/>
          <w:szCs w:val="28"/>
        </w:rPr>
        <w:t>SEN</w:t>
      </w:r>
      <w:r>
        <w:rPr>
          <w:sz w:val="28"/>
          <w:szCs w:val="28"/>
        </w:rPr>
        <w:t xml:space="preserve"> un lietotāja maksājumus par elektroenerģijas nodokli. </w:t>
      </w:r>
    </w:p>
    <w:p w:rsidR="00DC2ADF" w:rsidRDefault="00DC2ADF" w:rsidP="00DC2ADF">
      <w:pPr>
        <w:spacing w:after="0" w:line="240" w:lineRule="auto"/>
        <w:ind w:firstLine="851"/>
        <w:rPr>
          <w:sz w:val="28"/>
          <w:szCs w:val="28"/>
        </w:rPr>
      </w:pPr>
      <w:r>
        <w:rPr>
          <w:sz w:val="28"/>
          <w:szCs w:val="28"/>
        </w:rPr>
        <w:t>Līdz ar to Ekonomikas ministrija piedāvā 1</w:t>
      </w:r>
      <w:r w:rsidR="0070414D">
        <w:rPr>
          <w:sz w:val="28"/>
          <w:szCs w:val="28"/>
        </w:rPr>
        <w:t xml:space="preserve">.risinājumu, kas paredz, ka </w:t>
      </w:r>
      <w:r>
        <w:rPr>
          <w:sz w:val="28"/>
          <w:szCs w:val="28"/>
        </w:rPr>
        <w:t>valsts b</w:t>
      </w:r>
      <w:r w:rsidR="00B16273">
        <w:rPr>
          <w:sz w:val="28"/>
          <w:szCs w:val="28"/>
        </w:rPr>
        <w:t>udžeta apakšprogrammā 29.02.00 „</w:t>
      </w:r>
      <w:r w:rsidRPr="008C06AE">
        <w:rPr>
          <w:sz w:val="28"/>
          <w:szCs w:val="28"/>
        </w:rPr>
        <w:t>Elek</w:t>
      </w:r>
      <w:r>
        <w:rPr>
          <w:sz w:val="28"/>
          <w:szCs w:val="28"/>
        </w:rPr>
        <w:t>troenerģijas lietotāju atbalsts</w:t>
      </w:r>
      <w:r w:rsidR="00B16273">
        <w:rPr>
          <w:sz w:val="28"/>
          <w:szCs w:val="28"/>
        </w:rPr>
        <w:t>” tiek iekļauti līdzekļi no AS „</w:t>
      </w:r>
      <w:r>
        <w:rPr>
          <w:sz w:val="28"/>
          <w:szCs w:val="28"/>
        </w:rPr>
        <w:t xml:space="preserve">Latvenergo” dividendēm 2016. gadā </w:t>
      </w:r>
      <w:r w:rsidR="002F178D">
        <w:rPr>
          <w:sz w:val="28"/>
          <w:szCs w:val="28"/>
        </w:rPr>
        <w:t>23 665 609 EUR</w:t>
      </w:r>
      <w:r>
        <w:rPr>
          <w:sz w:val="28"/>
          <w:szCs w:val="28"/>
        </w:rPr>
        <w:t xml:space="preserve"> (papildus bāzes finansējumam – </w:t>
      </w:r>
      <w:r w:rsidRPr="00821C00">
        <w:rPr>
          <w:sz w:val="28"/>
          <w:szCs w:val="28"/>
        </w:rPr>
        <w:t>11</w:t>
      </w:r>
      <w:r>
        <w:rPr>
          <w:sz w:val="28"/>
          <w:szCs w:val="28"/>
        </w:rPr>
        <w:t> </w:t>
      </w:r>
      <w:r w:rsidRPr="00821C00">
        <w:rPr>
          <w:sz w:val="28"/>
          <w:szCs w:val="28"/>
        </w:rPr>
        <w:t>952</w:t>
      </w:r>
      <w:r>
        <w:rPr>
          <w:sz w:val="28"/>
          <w:szCs w:val="28"/>
        </w:rPr>
        <w:t> </w:t>
      </w:r>
      <w:r w:rsidRPr="00821C00">
        <w:rPr>
          <w:sz w:val="28"/>
          <w:szCs w:val="28"/>
        </w:rPr>
        <w:t>123</w:t>
      </w:r>
      <w:r>
        <w:rPr>
          <w:sz w:val="28"/>
          <w:szCs w:val="28"/>
        </w:rPr>
        <w:t xml:space="preserve"> EUR, nepieciešams novirzīt </w:t>
      </w:r>
      <w:r w:rsidRPr="00275C82">
        <w:rPr>
          <w:b/>
          <w:sz w:val="28"/>
          <w:szCs w:val="28"/>
        </w:rPr>
        <w:t>10%</w:t>
      </w:r>
      <w:r w:rsidR="00B16273">
        <w:rPr>
          <w:sz w:val="28"/>
          <w:szCs w:val="28"/>
        </w:rPr>
        <w:t xml:space="preserve"> AS „</w:t>
      </w:r>
      <w:r>
        <w:rPr>
          <w:sz w:val="28"/>
          <w:szCs w:val="28"/>
        </w:rPr>
        <w:t xml:space="preserve">Latvenergo” dividenžu – </w:t>
      </w:r>
      <w:r w:rsidR="002F178D">
        <w:rPr>
          <w:sz w:val="28"/>
          <w:szCs w:val="28"/>
        </w:rPr>
        <w:t>11 713 486 EUR</w:t>
      </w:r>
      <w:r>
        <w:rPr>
          <w:sz w:val="28"/>
          <w:szCs w:val="28"/>
        </w:rPr>
        <w:t>)</w:t>
      </w:r>
      <w:r w:rsidR="00B16273">
        <w:rPr>
          <w:sz w:val="28"/>
          <w:szCs w:val="28"/>
        </w:rPr>
        <w:t>,</w:t>
      </w:r>
      <w:r w:rsidR="00692C86">
        <w:rPr>
          <w:sz w:val="28"/>
          <w:szCs w:val="28"/>
        </w:rPr>
        <w:t xml:space="preserve"> </w:t>
      </w:r>
      <w:r>
        <w:rPr>
          <w:sz w:val="28"/>
          <w:szCs w:val="28"/>
        </w:rPr>
        <w:t>kā arī līdzekļi no SEN ieņēmu</w:t>
      </w:r>
      <w:r w:rsidR="00B16273">
        <w:rPr>
          <w:sz w:val="28"/>
          <w:szCs w:val="28"/>
        </w:rPr>
        <w:t>miem, kas 2016. gadā plānoti 33 </w:t>
      </w:r>
      <w:r w:rsidRPr="002C5571">
        <w:rPr>
          <w:sz w:val="28"/>
          <w:szCs w:val="28"/>
        </w:rPr>
        <w:t>876</w:t>
      </w:r>
      <w:r w:rsidR="00B16273">
        <w:rPr>
          <w:sz w:val="28"/>
          <w:szCs w:val="28"/>
        </w:rPr>
        <w:t xml:space="preserve"> 000 </w:t>
      </w:r>
      <w:r>
        <w:rPr>
          <w:sz w:val="28"/>
          <w:szCs w:val="28"/>
        </w:rPr>
        <w:t>EUR apmērā</w:t>
      </w:r>
      <w:r w:rsidR="00692C86">
        <w:rPr>
          <w:sz w:val="28"/>
          <w:szCs w:val="28"/>
        </w:rPr>
        <w:t xml:space="preserve">. </w:t>
      </w:r>
    </w:p>
    <w:p w:rsidR="00DC2ADF" w:rsidRDefault="00B16273" w:rsidP="00DC2ADF">
      <w:pPr>
        <w:spacing w:after="0" w:line="240" w:lineRule="auto"/>
        <w:ind w:firstLine="851"/>
        <w:rPr>
          <w:sz w:val="28"/>
          <w:szCs w:val="28"/>
        </w:rPr>
      </w:pPr>
      <w:r>
        <w:rPr>
          <w:sz w:val="28"/>
          <w:szCs w:val="28"/>
        </w:rPr>
        <w:t>Ņ</w:t>
      </w:r>
      <w:r w:rsidR="00DC2ADF">
        <w:rPr>
          <w:sz w:val="28"/>
          <w:szCs w:val="28"/>
        </w:rPr>
        <w:t>emot vērā</w:t>
      </w:r>
      <w:r>
        <w:rPr>
          <w:sz w:val="28"/>
          <w:szCs w:val="28"/>
        </w:rPr>
        <w:t>,</w:t>
      </w:r>
      <w:r w:rsidR="00DC2ADF">
        <w:rPr>
          <w:sz w:val="28"/>
          <w:szCs w:val="28"/>
        </w:rPr>
        <w:t xml:space="preserve"> ka OIK tiek noteikta </w:t>
      </w:r>
      <w:bookmarkStart w:id="25" w:name="_GoBack"/>
      <w:bookmarkEnd w:id="25"/>
      <w:r w:rsidR="00DC2ADF">
        <w:rPr>
          <w:sz w:val="28"/>
          <w:szCs w:val="28"/>
        </w:rPr>
        <w:t xml:space="preserve">periodam no kārtējā gada 1. aprīļa līdz nākamā gada 31. martam, valsts budžeta dotāciju publiskajam tirgotājam paredzēts iekļaut budžetā un izmaksāt proporcionāli OIK maksājumiem, t.i. </w:t>
      </w:r>
      <w:r w:rsidR="00DC2ADF" w:rsidRPr="00275C82">
        <w:rPr>
          <w:b/>
          <w:sz w:val="28"/>
          <w:szCs w:val="28"/>
        </w:rPr>
        <w:t>¾ no nepieciešamās subsīdijas izmaksāt no kārtējā gada budžeta, savukārt atlikušo ¼ iekļauj vidēja termiņa budžeta ietvarā nākamajā gadā</w:t>
      </w:r>
      <w:r w:rsidR="00692C86">
        <w:rPr>
          <w:b/>
          <w:sz w:val="28"/>
          <w:szCs w:val="28"/>
        </w:rPr>
        <w:t xml:space="preserve">. </w:t>
      </w:r>
    </w:p>
    <w:p w:rsidR="00DC2ADF" w:rsidRDefault="00DC2ADF" w:rsidP="00DC2ADF">
      <w:pPr>
        <w:spacing w:after="0" w:line="240" w:lineRule="auto"/>
        <w:ind w:firstLine="851"/>
        <w:rPr>
          <w:sz w:val="28"/>
          <w:szCs w:val="28"/>
        </w:rPr>
      </w:pPr>
      <w:r>
        <w:rPr>
          <w:sz w:val="28"/>
          <w:szCs w:val="28"/>
        </w:rPr>
        <w:t>Lai nodrošinātu nepieciešamo finansējumu arī 2018. </w:t>
      </w:r>
      <w:r w:rsidR="00692C86">
        <w:rPr>
          <w:sz w:val="28"/>
          <w:szCs w:val="28"/>
        </w:rPr>
        <w:t>g</w:t>
      </w:r>
      <w:r>
        <w:rPr>
          <w:sz w:val="28"/>
          <w:szCs w:val="28"/>
        </w:rPr>
        <w:t>adā</w:t>
      </w:r>
      <w:r w:rsidR="00692C86">
        <w:rPr>
          <w:sz w:val="28"/>
          <w:szCs w:val="28"/>
        </w:rPr>
        <w:t xml:space="preserve">, </w:t>
      </w:r>
      <w:r w:rsidR="00370043">
        <w:rPr>
          <w:sz w:val="28"/>
          <w:szCs w:val="28"/>
        </w:rPr>
        <w:t xml:space="preserve">būs nepieciešams veikt grozījumus Subsidētās elektroenerģijas nodokļa likumā, </w:t>
      </w:r>
      <w:r w:rsidR="00370043">
        <w:rPr>
          <w:sz w:val="28"/>
          <w:szCs w:val="28"/>
        </w:rPr>
        <w:lastRenderedPageBreak/>
        <w:t xml:space="preserve">nosakot ka </w:t>
      </w:r>
      <w:r w:rsidR="00692C86">
        <w:rPr>
          <w:sz w:val="28"/>
          <w:szCs w:val="28"/>
        </w:rPr>
        <w:t>SEN būtu jāturpina</w:t>
      </w:r>
      <w:r w:rsidR="00370043">
        <w:rPr>
          <w:sz w:val="28"/>
          <w:szCs w:val="28"/>
        </w:rPr>
        <w:t xml:space="preserve"> arī</w:t>
      </w:r>
      <w:r w:rsidR="00692C86">
        <w:rPr>
          <w:sz w:val="28"/>
          <w:szCs w:val="28"/>
        </w:rPr>
        <w:t xml:space="preserve"> </w:t>
      </w:r>
      <w:r>
        <w:rPr>
          <w:sz w:val="28"/>
          <w:szCs w:val="28"/>
        </w:rPr>
        <w:t>pēc 2017.</w:t>
      </w:r>
      <w:r w:rsidR="00B16273">
        <w:rPr>
          <w:sz w:val="28"/>
          <w:szCs w:val="28"/>
        </w:rPr>
        <w:t xml:space="preserve"> </w:t>
      </w:r>
      <w:r>
        <w:rPr>
          <w:sz w:val="28"/>
          <w:szCs w:val="28"/>
        </w:rPr>
        <w:t>gada</w:t>
      </w:r>
      <w:r w:rsidRPr="00BA4586">
        <w:rPr>
          <w:sz w:val="28"/>
          <w:szCs w:val="28"/>
        </w:rPr>
        <w:t xml:space="preserve">, </w:t>
      </w:r>
      <w:r w:rsidR="00692C86">
        <w:rPr>
          <w:sz w:val="28"/>
          <w:szCs w:val="28"/>
        </w:rPr>
        <w:t xml:space="preserve">selektīvi izvērtējot </w:t>
      </w:r>
      <w:r>
        <w:rPr>
          <w:rFonts w:cs="Times New Roman"/>
          <w:iCs/>
          <w:color w:val="000000"/>
          <w:sz w:val="28"/>
          <w:szCs w:val="28"/>
          <w:lang w:eastAsia="lv-LV"/>
        </w:rPr>
        <w:t xml:space="preserve">pēc </w:t>
      </w:r>
      <w:r w:rsidR="00B16273">
        <w:rPr>
          <w:rFonts w:cs="Times New Roman"/>
          <w:iCs/>
          <w:color w:val="000000"/>
          <w:sz w:val="28"/>
          <w:szCs w:val="28"/>
          <w:lang w:eastAsia="lv-LV"/>
        </w:rPr>
        <w:t>EK</w:t>
      </w:r>
      <w:r>
        <w:rPr>
          <w:rFonts w:cs="Times New Roman"/>
          <w:iCs/>
          <w:color w:val="000000"/>
          <w:sz w:val="28"/>
          <w:szCs w:val="28"/>
          <w:lang w:eastAsia="lv-LV"/>
        </w:rPr>
        <w:t xml:space="preserve"> lēmuma par valsts atbalstu saņemšanas</w:t>
      </w:r>
      <w:r w:rsidRPr="00BA4586">
        <w:rPr>
          <w:sz w:val="28"/>
          <w:szCs w:val="28"/>
        </w:rPr>
        <w:t xml:space="preserve">, </w:t>
      </w:r>
      <w:r w:rsidR="00692C86">
        <w:rPr>
          <w:sz w:val="28"/>
          <w:szCs w:val="28"/>
        </w:rPr>
        <w:t xml:space="preserve">kurām </w:t>
      </w:r>
      <w:r w:rsidR="00B16273">
        <w:rPr>
          <w:sz w:val="28"/>
          <w:szCs w:val="28"/>
        </w:rPr>
        <w:t xml:space="preserve">tehnoloģiju </w:t>
      </w:r>
      <w:r w:rsidR="00692C86">
        <w:rPr>
          <w:sz w:val="28"/>
          <w:szCs w:val="28"/>
        </w:rPr>
        <w:t xml:space="preserve">grupām ir pārsubsidēšanas risks. </w:t>
      </w:r>
    </w:p>
    <w:p w:rsidR="00DC2ADF" w:rsidRDefault="00692C86" w:rsidP="00DC2ADF">
      <w:pPr>
        <w:spacing w:after="0" w:line="240" w:lineRule="auto"/>
        <w:ind w:firstLine="851"/>
        <w:rPr>
          <w:sz w:val="28"/>
          <w:szCs w:val="28"/>
        </w:rPr>
      </w:pPr>
      <w:r>
        <w:rPr>
          <w:sz w:val="28"/>
          <w:szCs w:val="28"/>
        </w:rPr>
        <w:t xml:space="preserve">1.risinājuma </w:t>
      </w:r>
      <w:r w:rsidR="00DC2ADF">
        <w:rPr>
          <w:sz w:val="28"/>
          <w:szCs w:val="28"/>
        </w:rPr>
        <w:t xml:space="preserve">rezultātā no 2016. gada 1. aprīļa </w:t>
      </w:r>
      <w:r w:rsidR="00DC2ADF" w:rsidRPr="0079136D">
        <w:rPr>
          <w:b/>
          <w:sz w:val="28"/>
          <w:szCs w:val="28"/>
        </w:rPr>
        <w:t xml:space="preserve">OIK </w:t>
      </w:r>
      <w:r w:rsidR="00730FE4">
        <w:rPr>
          <w:b/>
          <w:sz w:val="28"/>
          <w:szCs w:val="28"/>
        </w:rPr>
        <w:t>saglabājas</w:t>
      </w:r>
      <w:r w:rsidR="00DC2ADF" w:rsidRPr="0079136D">
        <w:rPr>
          <w:b/>
          <w:sz w:val="28"/>
          <w:szCs w:val="28"/>
        </w:rPr>
        <w:t xml:space="preserve"> </w:t>
      </w:r>
      <w:r w:rsidR="00C44BE3">
        <w:rPr>
          <w:b/>
          <w:sz w:val="28"/>
          <w:szCs w:val="28"/>
        </w:rPr>
        <w:t xml:space="preserve">26,79 </w:t>
      </w:r>
      <w:r w:rsidR="00DC2ADF" w:rsidRPr="0079136D">
        <w:rPr>
          <w:b/>
          <w:sz w:val="28"/>
          <w:szCs w:val="28"/>
        </w:rPr>
        <w:t>EUR/MWh</w:t>
      </w:r>
      <w:r>
        <w:rPr>
          <w:b/>
          <w:sz w:val="28"/>
          <w:szCs w:val="28"/>
        </w:rPr>
        <w:t xml:space="preserve">. </w:t>
      </w:r>
      <w:r>
        <w:rPr>
          <w:sz w:val="28"/>
          <w:szCs w:val="28"/>
        </w:rPr>
        <w:t>Jāmin, ka</w:t>
      </w:r>
      <w:r w:rsidR="00B16273">
        <w:rPr>
          <w:sz w:val="28"/>
          <w:szCs w:val="28"/>
        </w:rPr>
        <w:t>,</w:t>
      </w:r>
      <w:r>
        <w:rPr>
          <w:sz w:val="28"/>
          <w:szCs w:val="28"/>
        </w:rPr>
        <w:t xml:space="preserve"> izvēloties šo risinājumu</w:t>
      </w:r>
      <w:r w:rsidR="00B16273">
        <w:rPr>
          <w:sz w:val="28"/>
          <w:szCs w:val="28"/>
        </w:rPr>
        <w:t>,</w:t>
      </w:r>
      <w:r>
        <w:rPr>
          <w:sz w:val="28"/>
          <w:szCs w:val="28"/>
        </w:rPr>
        <w:t xml:space="preserve"> elektroenerģijas lietotāju kopējā cena aizvien samazinās, jo tiek prognozēts elektroenerģijas vairumtirdzniecības cenas samazināšanās.  </w:t>
      </w:r>
    </w:p>
    <w:p w:rsidR="00692C86" w:rsidRDefault="00692C86" w:rsidP="00DC2ADF">
      <w:pPr>
        <w:spacing w:after="0" w:line="240" w:lineRule="auto"/>
        <w:ind w:firstLine="851"/>
        <w:rPr>
          <w:sz w:val="28"/>
          <w:szCs w:val="28"/>
        </w:rPr>
      </w:pPr>
      <w:r>
        <w:rPr>
          <w:sz w:val="28"/>
          <w:szCs w:val="28"/>
        </w:rPr>
        <w:t>Ņemot vērā, ka OIK pieaug līdz 2018.gada beigām, tad jauna atbalsta instrumenta uzsākšana līdz 2018.gada beigām nav iespējama. V</w:t>
      </w:r>
      <w:r w:rsidRPr="00692C86">
        <w:rPr>
          <w:sz w:val="28"/>
          <w:szCs w:val="28"/>
        </w:rPr>
        <w:t>alstij atsevišķas saistības būs spēkā līdz 2033.gadam</w:t>
      </w:r>
      <w:r>
        <w:rPr>
          <w:sz w:val="28"/>
          <w:szCs w:val="28"/>
        </w:rPr>
        <w:t xml:space="preserve">. </w:t>
      </w:r>
    </w:p>
    <w:p w:rsidR="00F45E36" w:rsidRDefault="00F45E36" w:rsidP="00F45E36">
      <w:pPr>
        <w:spacing w:after="0" w:line="276" w:lineRule="auto"/>
        <w:jc w:val="left"/>
        <w:rPr>
          <w:rFonts w:eastAsia="Calibri" w:cs="Times New Roman"/>
          <w:bCs/>
          <w:sz w:val="20"/>
          <w:szCs w:val="20"/>
          <w:lang w:eastAsia="lv-LV"/>
        </w:rPr>
      </w:pPr>
    </w:p>
    <w:p w:rsidR="00F45E36" w:rsidRDefault="00F45E36" w:rsidP="00F45E36">
      <w:pPr>
        <w:spacing w:after="0" w:line="276" w:lineRule="auto"/>
        <w:jc w:val="left"/>
        <w:rPr>
          <w:rFonts w:eastAsia="Calibri" w:cs="Times New Roman"/>
          <w:bCs/>
          <w:sz w:val="20"/>
          <w:szCs w:val="20"/>
          <w:lang w:eastAsia="lv-LV"/>
        </w:rPr>
      </w:pPr>
    </w:p>
    <w:p w:rsidR="001E2475" w:rsidRDefault="001E2475" w:rsidP="000E1EFE">
      <w:pPr>
        <w:spacing w:after="0" w:line="276" w:lineRule="auto"/>
        <w:jc w:val="left"/>
        <w:rPr>
          <w:rFonts w:eastAsia="Calibri" w:cs="Times New Roman"/>
          <w:bCs/>
          <w:sz w:val="28"/>
          <w:szCs w:val="28"/>
          <w:lang w:eastAsia="lv-LV"/>
        </w:rPr>
      </w:pPr>
      <w:r>
        <w:rPr>
          <w:rFonts w:eastAsia="Calibri" w:cs="Times New Roman"/>
          <w:bCs/>
          <w:sz w:val="28"/>
          <w:szCs w:val="28"/>
          <w:lang w:eastAsia="lv-LV"/>
        </w:rPr>
        <w:t>Iesniedzējs:</w:t>
      </w:r>
    </w:p>
    <w:p w:rsidR="000E1EFE" w:rsidRPr="000E1EFE" w:rsidRDefault="000E1EFE" w:rsidP="000E1EFE">
      <w:pPr>
        <w:spacing w:after="0" w:line="276" w:lineRule="auto"/>
        <w:jc w:val="left"/>
        <w:rPr>
          <w:rFonts w:eastAsia="Calibri" w:cs="Times New Roman"/>
          <w:bCs/>
          <w:sz w:val="28"/>
          <w:szCs w:val="28"/>
          <w:lang w:eastAsia="lv-LV"/>
        </w:rPr>
      </w:pPr>
      <w:r>
        <w:rPr>
          <w:rFonts w:eastAsia="Calibri" w:cs="Times New Roman"/>
          <w:bCs/>
          <w:sz w:val="28"/>
          <w:szCs w:val="28"/>
          <w:lang w:eastAsia="lv-LV"/>
        </w:rPr>
        <w:t>Ekonomikas ministre</w:t>
      </w:r>
      <w:r w:rsidRPr="000E1EFE">
        <w:rPr>
          <w:rFonts w:eastAsia="Calibri" w:cs="Times New Roman"/>
          <w:bCs/>
          <w:sz w:val="28"/>
          <w:szCs w:val="28"/>
          <w:lang w:eastAsia="lv-LV"/>
        </w:rPr>
        <w:t>                                           </w:t>
      </w:r>
      <w:r>
        <w:rPr>
          <w:rFonts w:eastAsia="Calibri" w:cs="Times New Roman"/>
          <w:bCs/>
          <w:sz w:val="28"/>
          <w:szCs w:val="28"/>
          <w:lang w:eastAsia="lv-LV"/>
        </w:rPr>
        <w:t>                     D.Reizniece-Ozola</w:t>
      </w:r>
    </w:p>
    <w:p w:rsidR="000E1EFE" w:rsidRPr="000E1EFE" w:rsidRDefault="000E1EFE" w:rsidP="000E1EFE">
      <w:pPr>
        <w:spacing w:after="0" w:line="276" w:lineRule="auto"/>
        <w:jc w:val="left"/>
        <w:rPr>
          <w:rFonts w:eastAsia="Calibri" w:cs="Times New Roman"/>
          <w:bCs/>
          <w:sz w:val="28"/>
          <w:szCs w:val="28"/>
          <w:lang w:eastAsia="lv-LV"/>
        </w:rPr>
      </w:pPr>
    </w:p>
    <w:p w:rsidR="000E1EFE" w:rsidRPr="000E1EFE" w:rsidRDefault="000E1EFE" w:rsidP="000E1EFE">
      <w:pPr>
        <w:spacing w:after="0" w:line="276" w:lineRule="auto"/>
        <w:jc w:val="left"/>
        <w:rPr>
          <w:rFonts w:eastAsia="Calibri" w:cs="Times New Roman"/>
          <w:bCs/>
          <w:sz w:val="28"/>
          <w:szCs w:val="28"/>
          <w:lang w:eastAsia="lv-LV"/>
        </w:rPr>
      </w:pPr>
      <w:r w:rsidRPr="000E1EFE">
        <w:rPr>
          <w:rFonts w:eastAsia="Calibri" w:cs="Times New Roman"/>
          <w:bCs/>
          <w:sz w:val="28"/>
          <w:szCs w:val="28"/>
          <w:lang w:eastAsia="lv-LV"/>
        </w:rPr>
        <w:t xml:space="preserve">Vīza: </w:t>
      </w:r>
    </w:p>
    <w:p w:rsidR="000E1EFE" w:rsidRPr="000E1EFE" w:rsidRDefault="001E2475" w:rsidP="000E1EFE">
      <w:pPr>
        <w:spacing w:after="0" w:line="276" w:lineRule="auto"/>
        <w:jc w:val="left"/>
        <w:rPr>
          <w:rFonts w:eastAsia="Calibri" w:cs="Times New Roman"/>
          <w:bCs/>
          <w:sz w:val="28"/>
          <w:szCs w:val="28"/>
          <w:lang w:eastAsia="lv-LV"/>
        </w:rPr>
      </w:pPr>
      <w:r>
        <w:rPr>
          <w:rFonts w:eastAsia="Calibri" w:cs="Times New Roman"/>
          <w:bCs/>
          <w:sz w:val="28"/>
          <w:szCs w:val="28"/>
          <w:lang w:eastAsia="lv-LV"/>
        </w:rPr>
        <w:t>Valsts s</w:t>
      </w:r>
      <w:r w:rsidR="000E1EFE" w:rsidRPr="000E1EFE">
        <w:rPr>
          <w:rFonts w:eastAsia="Calibri" w:cs="Times New Roman"/>
          <w:bCs/>
          <w:sz w:val="28"/>
          <w:szCs w:val="28"/>
          <w:lang w:eastAsia="lv-LV"/>
        </w:rPr>
        <w:t>ekretār</w:t>
      </w:r>
      <w:r w:rsidR="000E1EFE">
        <w:rPr>
          <w:rFonts w:eastAsia="Calibri" w:cs="Times New Roman"/>
          <w:bCs/>
          <w:sz w:val="28"/>
          <w:szCs w:val="28"/>
          <w:lang w:eastAsia="lv-LV"/>
        </w:rPr>
        <w:t>s</w:t>
      </w:r>
      <w:r w:rsidR="000E1EFE" w:rsidRPr="000E1EFE">
        <w:rPr>
          <w:rFonts w:eastAsia="Calibri" w:cs="Times New Roman"/>
          <w:bCs/>
          <w:sz w:val="28"/>
          <w:szCs w:val="28"/>
          <w:lang w:eastAsia="lv-LV"/>
        </w:rPr>
        <w:t xml:space="preserve">                                                                                 </w:t>
      </w:r>
      <w:r w:rsidR="000E1EFE">
        <w:rPr>
          <w:rFonts w:eastAsia="Calibri" w:cs="Times New Roman"/>
          <w:bCs/>
          <w:sz w:val="28"/>
          <w:szCs w:val="28"/>
          <w:lang w:eastAsia="lv-LV"/>
        </w:rPr>
        <w:t>R.Beinarovičs</w:t>
      </w:r>
    </w:p>
    <w:p w:rsidR="00D212C7" w:rsidRPr="000E1EFE" w:rsidRDefault="00D212C7" w:rsidP="00F45E36">
      <w:pPr>
        <w:spacing w:after="0" w:line="276" w:lineRule="auto"/>
        <w:jc w:val="left"/>
        <w:rPr>
          <w:rFonts w:eastAsia="Calibri" w:cs="Times New Roman"/>
          <w:bCs/>
          <w:sz w:val="28"/>
          <w:szCs w:val="28"/>
          <w:lang w:eastAsia="lv-LV"/>
        </w:rPr>
      </w:pPr>
    </w:p>
    <w:p w:rsidR="00D212C7" w:rsidRDefault="00D212C7" w:rsidP="00F45E36">
      <w:pPr>
        <w:spacing w:after="0" w:line="276" w:lineRule="auto"/>
        <w:jc w:val="left"/>
        <w:rPr>
          <w:rFonts w:eastAsia="Calibri" w:cs="Times New Roman"/>
          <w:bCs/>
          <w:sz w:val="20"/>
          <w:szCs w:val="20"/>
          <w:lang w:eastAsia="lv-LV"/>
        </w:rPr>
      </w:pPr>
    </w:p>
    <w:p w:rsidR="00D212C7" w:rsidRDefault="00D212C7" w:rsidP="00F45E36">
      <w:pPr>
        <w:spacing w:after="0" w:line="276" w:lineRule="auto"/>
        <w:jc w:val="left"/>
        <w:rPr>
          <w:rFonts w:eastAsia="Calibri" w:cs="Times New Roman"/>
          <w:bCs/>
          <w:sz w:val="20"/>
          <w:szCs w:val="20"/>
          <w:lang w:eastAsia="lv-LV"/>
        </w:rPr>
      </w:pPr>
    </w:p>
    <w:p w:rsidR="00D212C7" w:rsidRPr="00F45E36" w:rsidRDefault="00D212C7" w:rsidP="00F45E36">
      <w:pPr>
        <w:spacing w:after="0" w:line="276" w:lineRule="auto"/>
        <w:jc w:val="left"/>
        <w:rPr>
          <w:rFonts w:eastAsia="Calibri" w:cs="Times New Roman"/>
          <w:bCs/>
          <w:sz w:val="20"/>
          <w:szCs w:val="20"/>
          <w:lang w:eastAsia="lv-LV"/>
        </w:rPr>
      </w:pPr>
    </w:p>
    <w:p w:rsidR="00F45E36" w:rsidRPr="00F45E36" w:rsidRDefault="00007BB1" w:rsidP="00F45E36">
      <w:pPr>
        <w:spacing w:after="0" w:line="276" w:lineRule="auto"/>
        <w:jc w:val="left"/>
        <w:rPr>
          <w:rFonts w:eastAsia="Calibri" w:cs="Times New Roman"/>
          <w:bCs/>
          <w:sz w:val="20"/>
          <w:szCs w:val="20"/>
          <w:lang w:eastAsia="lv-LV"/>
        </w:rPr>
      </w:pPr>
      <w:r>
        <w:rPr>
          <w:rFonts w:eastAsia="Calibri" w:cs="Times New Roman"/>
          <w:bCs/>
          <w:sz w:val="20"/>
          <w:szCs w:val="20"/>
          <w:lang w:eastAsia="lv-LV"/>
        </w:rPr>
        <w:t>31</w:t>
      </w:r>
      <w:r w:rsidR="00F45E36" w:rsidRPr="00F45E36">
        <w:rPr>
          <w:rFonts w:eastAsia="Calibri" w:cs="Times New Roman"/>
          <w:bCs/>
          <w:sz w:val="20"/>
          <w:szCs w:val="20"/>
          <w:lang w:eastAsia="lv-LV"/>
        </w:rPr>
        <w:t xml:space="preserve">.08.2015. </w:t>
      </w:r>
      <w:r w:rsidR="0058756F">
        <w:rPr>
          <w:rFonts w:eastAsia="Calibri" w:cs="Times New Roman"/>
          <w:bCs/>
          <w:sz w:val="20"/>
          <w:szCs w:val="20"/>
          <w:lang w:eastAsia="lv-LV"/>
        </w:rPr>
        <w:t>16:12</w:t>
      </w:r>
    </w:p>
    <w:p w:rsidR="00F45E36" w:rsidRPr="00F45E36" w:rsidRDefault="0058756F" w:rsidP="00F45E36">
      <w:pPr>
        <w:spacing w:after="0" w:line="276" w:lineRule="auto"/>
        <w:jc w:val="left"/>
        <w:rPr>
          <w:rFonts w:eastAsia="Calibri" w:cs="Times New Roman"/>
          <w:bCs/>
          <w:sz w:val="20"/>
          <w:szCs w:val="20"/>
          <w:lang w:eastAsia="lv-LV"/>
        </w:rPr>
      </w:pPr>
      <w:r>
        <w:rPr>
          <w:rFonts w:eastAsia="Calibri" w:cs="Times New Roman"/>
          <w:bCs/>
          <w:sz w:val="20"/>
          <w:szCs w:val="20"/>
          <w:lang w:eastAsia="lv-LV"/>
        </w:rPr>
        <w:t>8657</w:t>
      </w:r>
    </w:p>
    <w:p w:rsidR="00F45E36" w:rsidRPr="00F45E36" w:rsidRDefault="00F45E36" w:rsidP="00F45E36">
      <w:pPr>
        <w:spacing w:after="0" w:line="276" w:lineRule="auto"/>
        <w:jc w:val="left"/>
        <w:rPr>
          <w:rFonts w:eastAsia="Calibri" w:cs="Times New Roman"/>
          <w:bCs/>
          <w:sz w:val="20"/>
          <w:szCs w:val="20"/>
          <w:lang w:eastAsia="lv-LV"/>
        </w:rPr>
      </w:pPr>
      <w:r w:rsidRPr="00F45E36">
        <w:rPr>
          <w:rFonts w:eastAsia="Calibri" w:cs="Times New Roman"/>
          <w:bCs/>
          <w:sz w:val="20"/>
          <w:szCs w:val="20"/>
          <w:lang w:eastAsia="lv-LV"/>
        </w:rPr>
        <w:t>I.Iļjina</w:t>
      </w:r>
    </w:p>
    <w:p w:rsidR="00F45E36" w:rsidRDefault="00F45E36" w:rsidP="00F45E36">
      <w:pPr>
        <w:spacing w:after="0" w:line="276" w:lineRule="auto"/>
        <w:jc w:val="left"/>
        <w:rPr>
          <w:rFonts w:eastAsia="Calibri" w:cs="Times New Roman"/>
          <w:bCs/>
          <w:sz w:val="20"/>
          <w:szCs w:val="20"/>
          <w:lang w:eastAsia="lv-LV"/>
        </w:rPr>
      </w:pPr>
      <w:r w:rsidRPr="00F45E36">
        <w:rPr>
          <w:rFonts w:eastAsia="Calibri" w:cs="Times New Roman"/>
          <w:bCs/>
          <w:sz w:val="20"/>
          <w:szCs w:val="20"/>
          <w:lang w:eastAsia="lv-LV"/>
        </w:rPr>
        <w:t xml:space="preserve">67013149, </w:t>
      </w:r>
      <w:hyperlink r:id="rId20" w:history="1">
        <w:r w:rsidRPr="00392A43">
          <w:rPr>
            <w:rStyle w:val="Hyperlink"/>
            <w:rFonts w:eastAsia="Calibri" w:cs="Times New Roman"/>
            <w:bCs/>
            <w:sz w:val="20"/>
            <w:szCs w:val="20"/>
            <w:lang w:eastAsia="lv-LV"/>
          </w:rPr>
          <w:t>Inga.Iljina@em.gov.lv</w:t>
        </w:r>
      </w:hyperlink>
    </w:p>
    <w:p w:rsidR="00F45E36" w:rsidRDefault="00305245" w:rsidP="00F45E36">
      <w:pPr>
        <w:spacing w:after="0" w:line="276" w:lineRule="auto"/>
        <w:jc w:val="left"/>
        <w:rPr>
          <w:rFonts w:eastAsia="Calibri" w:cs="Times New Roman"/>
          <w:bCs/>
          <w:sz w:val="20"/>
          <w:szCs w:val="20"/>
          <w:lang w:eastAsia="lv-LV"/>
        </w:rPr>
      </w:pPr>
      <w:r>
        <w:rPr>
          <w:rFonts w:eastAsia="Calibri" w:cs="Times New Roman"/>
          <w:bCs/>
          <w:sz w:val="20"/>
          <w:szCs w:val="20"/>
          <w:lang w:eastAsia="lv-LV"/>
        </w:rPr>
        <w:t>R.Meijers</w:t>
      </w:r>
    </w:p>
    <w:p w:rsidR="00305245" w:rsidRDefault="00305245" w:rsidP="00F45E36">
      <w:pPr>
        <w:spacing w:after="0" w:line="276" w:lineRule="auto"/>
        <w:jc w:val="left"/>
        <w:rPr>
          <w:rFonts w:eastAsia="Calibri" w:cs="Times New Roman"/>
          <w:bCs/>
          <w:sz w:val="20"/>
          <w:szCs w:val="20"/>
          <w:lang w:eastAsia="lv-LV"/>
        </w:rPr>
      </w:pPr>
      <w:r>
        <w:rPr>
          <w:rFonts w:eastAsia="Calibri" w:cs="Times New Roman"/>
          <w:bCs/>
          <w:sz w:val="20"/>
          <w:szCs w:val="20"/>
          <w:lang w:eastAsia="lv-LV"/>
        </w:rPr>
        <w:t xml:space="preserve">67013176, </w:t>
      </w:r>
      <w:hyperlink r:id="rId21" w:history="1">
        <w:r w:rsidRPr="00392A43">
          <w:rPr>
            <w:rStyle w:val="Hyperlink"/>
            <w:rFonts w:eastAsia="Calibri" w:cs="Times New Roman"/>
            <w:bCs/>
            <w:sz w:val="20"/>
            <w:szCs w:val="20"/>
            <w:lang w:eastAsia="lv-LV"/>
          </w:rPr>
          <w:t>Roberts.Meijers@em.gov.lv</w:t>
        </w:r>
      </w:hyperlink>
    </w:p>
    <w:p w:rsidR="00305245" w:rsidRDefault="00305245" w:rsidP="00F45E36">
      <w:pPr>
        <w:spacing w:after="0" w:line="276" w:lineRule="auto"/>
        <w:jc w:val="left"/>
        <w:rPr>
          <w:rFonts w:eastAsia="Calibri" w:cs="Times New Roman"/>
          <w:bCs/>
          <w:sz w:val="20"/>
          <w:szCs w:val="20"/>
          <w:lang w:eastAsia="lv-LV"/>
        </w:rPr>
      </w:pPr>
      <w:r>
        <w:rPr>
          <w:rFonts w:eastAsia="Calibri" w:cs="Times New Roman"/>
          <w:bCs/>
          <w:sz w:val="20"/>
          <w:szCs w:val="20"/>
          <w:lang w:eastAsia="lv-LV"/>
        </w:rPr>
        <w:t>R.Šņuka</w:t>
      </w:r>
    </w:p>
    <w:p w:rsidR="00A90CAB" w:rsidRDefault="00305245" w:rsidP="00007BB1">
      <w:pPr>
        <w:spacing w:after="0" w:line="276" w:lineRule="auto"/>
        <w:jc w:val="left"/>
        <w:rPr>
          <w:rFonts w:eastAsia="Calibri" w:cs="Times New Roman"/>
        </w:rPr>
      </w:pPr>
      <w:r>
        <w:rPr>
          <w:rFonts w:eastAsia="Calibri" w:cs="Times New Roman"/>
          <w:bCs/>
          <w:sz w:val="20"/>
          <w:szCs w:val="20"/>
          <w:lang w:eastAsia="lv-LV"/>
        </w:rPr>
        <w:t xml:space="preserve">67013234, </w:t>
      </w:r>
      <w:hyperlink r:id="rId22" w:history="1">
        <w:r w:rsidRPr="00392A43">
          <w:rPr>
            <w:rStyle w:val="Hyperlink"/>
            <w:rFonts w:eastAsia="Calibri" w:cs="Times New Roman"/>
            <w:bCs/>
            <w:sz w:val="20"/>
            <w:szCs w:val="20"/>
            <w:lang w:eastAsia="lv-LV"/>
          </w:rPr>
          <w:t>Rota.Snuka@em.gov.lv</w:t>
        </w:r>
      </w:hyperlink>
      <w:r>
        <w:rPr>
          <w:rFonts w:eastAsia="Calibri" w:cs="Times New Roman"/>
          <w:bCs/>
          <w:sz w:val="20"/>
          <w:szCs w:val="20"/>
          <w:lang w:eastAsia="lv-LV"/>
        </w:rPr>
        <w:t xml:space="preserve"> </w:t>
      </w:r>
    </w:p>
    <w:p w:rsidR="00A90CAB" w:rsidRPr="00A90CAB" w:rsidRDefault="00A90CAB" w:rsidP="00A90CAB">
      <w:pPr>
        <w:rPr>
          <w:rFonts w:eastAsia="Calibri" w:cs="Times New Roman"/>
        </w:rPr>
      </w:pPr>
    </w:p>
    <w:p w:rsidR="00A90CAB" w:rsidRDefault="00A90CAB" w:rsidP="00A90CAB">
      <w:pPr>
        <w:rPr>
          <w:rFonts w:eastAsia="Calibri" w:cs="Times New Roman"/>
        </w:rPr>
      </w:pPr>
    </w:p>
    <w:p w:rsidR="00007BB1" w:rsidRPr="00A90CAB" w:rsidRDefault="00A90CAB" w:rsidP="00A90CAB">
      <w:pPr>
        <w:tabs>
          <w:tab w:val="left" w:pos="1667"/>
        </w:tabs>
        <w:rPr>
          <w:rFonts w:eastAsia="Calibri" w:cs="Times New Roman"/>
        </w:rPr>
      </w:pPr>
      <w:r>
        <w:rPr>
          <w:rFonts w:eastAsia="Calibri" w:cs="Times New Roman"/>
        </w:rPr>
        <w:tab/>
      </w:r>
    </w:p>
    <w:sectPr w:rsidR="00007BB1" w:rsidRPr="00A90CAB" w:rsidSect="007E607A">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C25" w:rsidRDefault="00243C25" w:rsidP="00DE60B5">
      <w:pPr>
        <w:spacing w:after="0" w:line="240" w:lineRule="auto"/>
      </w:pPr>
      <w:r>
        <w:separator/>
      </w:r>
    </w:p>
  </w:endnote>
  <w:endnote w:type="continuationSeparator" w:id="0">
    <w:p w:rsidR="00243C25" w:rsidRDefault="00243C25" w:rsidP="00DE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5F" w:rsidRDefault="00D27C5F">
    <w:pPr>
      <w:pStyle w:val="Footer"/>
    </w:pPr>
    <w:r>
      <w:t>EMkonc_270815_KomPas, Konceptuāls ziņojums “</w:t>
    </w:r>
    <w:r w:rsidRPr="00B41498">
      <w:t>Kompleksi pasākumi elektroenerģijas tirgus attīstībai</w:t>
    </w:r>
    <w:r>
      <w:t>”</w:t>
    </w:r>
  </w:p>
  <w:p w:rsidR="00D27C5F" w:rsidRDefault="00D27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5F" w:rsidRDefault="00D27C5F">
    <w:pPr>
      <w:pStyle w:val="Footer"/>
    </w:pPr>
    <w:r>
      <w:t>EMkonc_310815_KomPas, Konceptuāls ziņojums “</w:t>
    </w:r>
    <w:r w:rsidRPr="00B41498">
      <w:t>Kompleksi pasākumi elektroenerģijas tirgus attīstībai</w:t>
    </w:r>
    <w:r>
      <w:t>”</w:t>
    </w:r>
  </w:p>
  <w:p w:rsidR="00D27C5F" w:rsidRDefault="00D27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C25" w:rsidRDefault="00243C25" w:rsidP="00DE60B5">
      <w:pPr>
        <w:spacing w:after="0" w:line="240" w:lineRule="auto"/>
      </w:pPr>
      <w:r>
        <w:separator/>
      </w:r>
    </w:p>
  </w:footnote>
  <w:footnote w:type="continuationSeparator" w:id="0">
    <w:p w:rsidR="00243C25" w:rsidRDefault="00243C25" w:rsidP="00DE60B5">
      <w:pPr>
        <w:spacing w:after="0" w:line="240" w:lineRule="auto"/>
      </w:pPr>
      <w:r>
        <w:continuationSeparator/>
      </w:r>
    </w:p>
  </w:footnote>
  <w:footnote w:id="1">
    <w:p w:rsidR="00D27C5F" w:rsidRDefault="00D27C5F" w:rsidP="00C86F19">
      <w:pPr>
        <w:pStyle w:val="FootnoteText"/>
      </w:pPr>
      <w:r>
        <w:rPr>
          <w:rStyle w:val="FootnoteReference"/>
        </w:rPr>
        <w:footnoteRef/>
      </w:r>
      <w:r>
        <w:t xml:space="preserve"> GEODE Position Paper on the Development of the DSO’s Tariff Structure, GOEDE Working Group Tariffs, September 2013, p.6-11</w:t>
      </w:r>
    </w:p>
  </w:footnote>
  <w:footnote w:id="2">
    <w:p w:rsidR="00D27C5F" w:rsidRDefault="00D27C5F" w:rsidP="00BC6019">
      <w:pPr>
        <w:pStyle w:val="FootnoteText"/>
      </w:pPr>
      <w:r>
        <w:rPr>
          <w:rStyle w:val="FootnoteReference"/>
        </w:rPr>
        <w:footnoteRef/>
      </w:r>
      <w:r>
        <w:t xml:space="preserve"> Refe, Mercados, Indra, Study on tariff design for distribution systems, December, 2014, p.33</w:t>
      </w:r>
    </w:p>
  </w:footnote>
  <w:footnote w:id="3">
    <w:p w:rsidR="00D27C5F" w:rsidRPr="00C37302" w:rsidRDefault="00D27C5F" w:rsidP="00BC6019">
      <w:pPr>
        <w:pStyle w:val="NormalWeb"/>
        <w:spacing w:before="0" w:beforeAutospacing="0" w:after="0" w:afterAutospacing="0"/>
        <w:jc w:val="both"/>
        <w:rPr>
          <w:sz w:val="28"/>
          <w:szCs w:val="28"/>
        </w:rPr>
      </w:pPr>
      <w:r>
        <w:rPr>
          <w:rStyle w:val="FootnoteReference"/>
        </w:rPr>
        <w:footnoteRef/>
      </w:r>
      <w:r>
        <w:t xml:space="preserve"> </w:t>
      </w:r>
      <w:r w:rsidRPr="00BC6019">
        <w:rPr>
          <w:sz w:val="20"/>
          <w:szCs w:val="20"/>
        </w:rPr>
        <w:t>Kvintile ir viena piektā daļa (20%) n</w:t>
      </w:r>
      <w:r>
        <w:rPr>
          <w:sz w:val="20"/>
          <w:szCs w:val="20"/>
        </w:rPr>
        <w:t>o mājsaimniecību skaita, kuras m</w:t>
      </w:r>
      <w:r w:rsidRPr="00BC6019">
        <w:rPr>
          <w:sz w:val="20"/>
          <w:szCs w:val="20"/>
        </w:rPr>
        <w:t>ājsaimniecību budžeta apsekojumā sagrupētas augošā secībā pēc to rīcībā esošā ienākuma uz vienu mājsaimniecības locekli. 1.kvinteles iedzīvotāji ir pakļauti lielākam enerģētikas nabadzības riskam.</w:t>
      </w:r>
    </w:p>
    <w:p w:rsidR="00D27C5F" w:rsidRDefault="00D27C5F">
      <w:pPr>
        <w:pStyle w:val="FootnoteText"/>
      </w:pPr>
    </w:p>
  </w:footnote>
  <w:footnote w:id="4">
    <w:p w:rsidR="00D27C5F" w:rsidRPr="00BF66F0" w:rsidRDefault="00D27C5F" w:rsidP="00D707C1">
      <w:pPr>
        <w:pStyle w:val="FootnoteText"/>
        <w:rPr>
          <w:color w:val="000000" w:themeColor="text1"/>
        </w:rPr>
      </w:pPr>
      <w:r w:rsidRPr="00BF66F0">
        <w:rPr>
          <w:rStyle w:val="FootnoteReference"/>
          <w:color w:val="000000" w:themeColor="text1"/>
        </w:rPr>
        <w:footnoteRef/>
      </w:r>
      <w:r w:rsidRPr="00BF66F0">
        <w:rPr>
          <w:color w:val="000000" w:themeColor="text1"/>
          <w:sz w:val="16"/>
          <w:szCs w:val="16"/>
        </w:rPr>
        <w:t xml:space="preserve"> Izskatīts Ministru kabineta  2013. gada 13. augusta  </w:t>
      </w:r>
      <w:r w:rsidRPr="00BF66F0">
        <w:rPr>
          <w:bCs/>
          <w:color w:val="000000" w:themeColor="text1"/>
          <w:sz w:val="16"/>
          <w:szCs w:val="16"/>
        </w:rPr>
        <w:t xml:space="preserve">sēdē </w:t>
      </w:r>
      <w:r w:rsidRPr="00BF66F0">
        <w:rPr>
          <w:b/>
          <w:bCs/>
          <w:color w:val="000000" w:themeColor="text1"/>
          <w:sz w:val="16"/>
          <w:szCs w:val="16"/>
        </w:rPr>
        <w:t>(</w:t>
      </w:r>
      <w:r w:rsidRPr="00BF66F0">
        <w:rPr>
          <w:color w:val="000000" w:themeColor="text1"/>
          <w:sz w:val="16"/>
          <w:szCs w:val="16"/>
        </w:rPr>
        <w:t>prot. Nr. 44 156.§). Aplūkojams Ministru kabineta tīmekļa vietnē: (</w:t>
      </w:r>
      <w:hyperlink r:id="rId1" w:tgtFrame="_blank" w:history="1">
        <w:r w:rsidRPr="00BF66F0">
          <w:rPr>
            <w:rStyle w:val="Hyperlink"/>
            <w:color w:val="000000" w:themeColor="text1"/>
            <w:sz w:val="16"/>
            <w:szCs w:val="16"/>
          </w:rPr>
          <w:t>http://www.mk.gov.lv/lv/mk/tap/?pid=40294599&amp;mode=mk&amp;date=2013-08-13</w:t>
        </w:r>
      </w:hyperlink>
      <w:r w:rsidRPr="00BF66F0">
        <w:rPr>
          <w:rStyle w:val="Hyperlink"/>
          <w:color w:val="000000" w:themeColor="text1"/>
          <w:sz w:val="16"/>
          <w:szCs w:val="16"/>
        </w:rPr>
        <w:t>).</w:t>
      </w:r>
    </w:p>
  </w:footnote>
  <w:footnote w:id="5">
    <w:p w:rsidR="00D27C5F" w:rsidRPr="00BF66F0" w:rsidRDefault="00D27C5F" w:rsidP="00D707C1">
      <w:pPr>
        <w:pStyle w:val="FootnoteText"/>
        <w:rPr>
          <w:color w:val="000000" w:themeColor="text1"/>
        </w:rPr>
      </w:pPr>
      <w:r w:rsidRPr="00BF66F0">
        <w:rPr>
          <w:rStyle w:val="FootnoteReference"/>
          <w:color w:val="000000" w:themeColor="text1"/>
        </w:rPr>
        <w:footnoteRef/>
      </w:r>
      <w:r w:rsidRPr="00BF66F0">
        <w:rPr>
          <w:color w:val="000000" w:themeColor="text1"/>
          <w:sz w:val="16"/>
          <w:szCs w:val="16"/>
        </w:rPr>
        <w:t xml:space="preserve"> Izskatīts Ministru kabineta  2013. gada 13. augusta  </w:t>
      </w:r>
      <w:r w:rsidRPr="00BF66F0">
        <w:rPr>
          <w:bCs/>
          <w:color w:val="000000" w:themeColor="text1"/>
          <w:sz w:val="16"/>
          <w:szCs w:val="16"/>
        </w:rPr>
        <w:t xml:space="preserve">sēdē </w:t>
      </w:r>
      <w:r w:rsidRPr="00BF66F0">
        <w:rPr>
          <w:b/>
          <w:bCs/>
          <w:color w:val="000000" w:themeColor="text1"/>
          <w:sz w:val="16"/>
          <w:szCs w:val="16"/>
        </w:rPr>
        <w:t>(</w:t>
      </w:r>
      <w:r w:rsidRPr="00BF66F0">
        <w:rPr>
          <w:color w:val="000000" w:themeColor="text1"/>
          <w:sz w:val="16"/>
          <w:szCs w:val="16"/>
        </w:rPr>
        <w:t>prot. Nr. 44 156.§). Aplūkojams Ministru kabineta tīmekļa vietnē: (</w:t>
      </w:r>
      <w:hyperlink r:id="rId2" w:tgtFrame="_blank" w:history="1">
        <w:r w:rsidRPr="00BF66F0">
          <w:rPr>
            <w:rStyle w:val="Hyperlink"/>
            <w:color w:val="000000" w:themeColor="text1"/>
            <w:sz w:val="16"/>
            <w:szCs w:val="16"/>
          </w:rPr>
          <w:t>http://www.mk.gov.lv/lv/mk/tap/?pid=40294599&amp;mode=mk&amp;date=2013-08-13</w:t>
        </w:r>
      </w:hyperlink>
      <w:r w:rsidRPr="00BF66F0">
        <w:rPr>
          <w:rStyle w:val="Hyperlink"/>
          <w:color w:val="000000" w:themeColor="text1"/>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07105"/>
      <w:docPartObj>
        <w:docPartGallery w:val="Page Numbers (Top of Page)"/>
        <w:docPartUnique/>
      </w:docPartObj>
    </w:sdtPr>
    <w:sdtEndPr>
      <w:rPr>
        <w:noProof/>
      </w:rPr>
    </w:sdtEndPr>
    <w:sdtContent>
      <w:p w:rsidR="00D27C5F" w:rsidRDefault="00D27C5F">
        <w:pPr>
          <w:pStyle w:val="Header"/>
          <w:jc w:val="right"/>
        </w:pPr>
        <w:r>
          <w:fldChar w:fldCharType="begin"/>
        </w:r>
        <w:r>
          <w:instrText xml:space="preserve"> PAGE   \* MERGEFORMAT </w:instrText>
        </w:r>
        <w:r>
          <w:fldChar w:fldCharType="separate"/>
        </w:r>
        <w:r w:rsidR="0058756F">
          <w:rPr>
            <w:noProof/>
          </w:rPr>
          <w:t>24</w:t>
        </w:r>
        <w:r>
          <w:rPr>
            <w:noProof/>
          </w:rPr>
          <w:fldChar w:fldCharType="end"/>
        </w:r>
      </w:p>
    </w:sdtContent>
  </w:sdt>
  <w:p w:rsidR="00D27C5F" w:rsidRDefault="00D27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15258"/>
      <w:docPartObj>
        <w:docPartGallery w:val="Page Numbers (Top of Page)"/>
        <w:docPartUnique/>
      </w:docPartObj>
    </w:sdtPr>
    <w:sdtEndPr>
      <w:rPr>
        <w:noProof/>
      </w:rPr>
    </w:sdtEndPr>
    <w:sdtContent>
      <w:p w:rsidR="00D27C5F" w:rsidRDefault="00D27C5F">
        <w:pPr>
          <w:pStyle w:val="Header"/>
          <w:jc w:val="right"/>
        </w:pPr>
        <w:r>
          <w:fldChar w:fldCharType="begin"/>
        </w:r>
        <w:r>
          <w:instrText xml:space="preserve"> PAGE   \* MERGEFORMAT </w:instrText>
        </w:r>
        <w:r>
          <w:fldChar w:fldCharType="separate"/>
        </w:r>
        <w:r w:rsidR="0058756F">
          <w:rPr>
            <w:noProof/>
          </w:rPr>
          <w:t>32</w:t>
        </w:r>
        <w:r>
          <w:rPr>
            <w:noProof/>
          </w:rPr>
          <w:fldChar w:fldCharType="end"/>
        </w:r>
      </w:p>
    </w:sdtContent>
  </w:sdt>
  <w:p w:rsidR="00D27C5F" w:rsidRDefault="00D27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24F"/>
    <w:multiLevelType w:val="hybridMultilevel"/>
    <w:tmpl w:val="C3981B52"/>
    <w:lvl w:ilvl="0" w:tplc="8BB28C16">
      <w:start w:val="30"/>
      <w:numFmt w:val="lowerRoman"/>
      <w:lvlText w:val="%1."/>
      <w:lvlJc w:val="left"/>
      <w:pPr>
        <w:ind w:left="1446" w:hanging="72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
    <w:nsid w:val="088510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B574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48314D"/>
    <w:multiLevelType w:val="hybridMultilevel"/>
    <w:tmpl w:val="895E7B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7F0AB5"/>
    <w:multiLevelType w:val="hybridMultilevel"/>
    <w:tmpl w:val="1C22BEFC"/>
    <w:lvl w:ilvl="0" w:tplc="432C7998">
      <w:start w:val="30"/>
      <w:numFmt w:val="lowerRoman"/>
      <w:lvlText w:val="%1."/>
      <w:lvlJc w:val="left"/>
      <w:pPr>
        <w:ind w:left="1439" w:hanging="72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5">
    <w:nsid w:val="23FB11E2"/>
    <w:multiLevelType w:val="hybridMultilevel"/>
    <w:tmpl w:val="1D1E5544"/>
    <w:lvl w:ilvl="0" w:tplc="8E6C35A8">
      <w:start w:val="1"/>
      <w:numFmt w:val="decimal"/>
      <w:lvlText w:val="%1."/>
      <w:lvlJc w:val="left"/>
      <w:pPr>
        <w:ind w:left="644"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AA367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F11ECE"/>
    <w:multiLevelType w:val="hybridMultilevel"/>
    <w:tmpl w:val="5A909CDC"/>
    <w:lvl w:ilvl="0" w:tplc="0426000F">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8">
    <w:nsid w:val="3AFD301F"/>
    <w:multiLevelType w:val="hybridMultilevel"/>
    <w:tmpl w:val="A5C851C4"/>
    <w:lvl w:ilvl="0" w:tplc="DBB68B8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45EC3E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AA1A96"/>
    <w:multiLevelType w:val="hybridMultilevel"/>
    <w:tmpl w:val="D3AABE46"/>
    <w:lvl w:ilvl="0" w:tplc="DFF4153A">
      <w:start w:val="1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C657B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AA3E65"/>
    <w:multiLevelType w:val="hybridMultilevel"/>
    <w:tmpl w:val="B6C2BD66"/>
    <w:lvl w:ilvl="0" w:tplc="70F281F2">
      <w:start w:val="30"/>
      <w:numFmt w:val="lowerRoman"/>
      <w:lvlText w:val="%1."/>
      <w:lvlJc w:val="left"/>
      <w:pPr>
        <w:ind w:left="1446" w:hanging="720"/>
      </w:pPr>
      <w:rPr>
        <w:rFonts w:hint="default"/>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3">
    <w:nsid w:val="507679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960F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C036CD"/>
    <w:multiLevelType w:val="hybridMultilevel"/>
    <w:tmpl w:val="89F05FD2"/>
    <w:lvl w:ilvl="0" w:tplc="6D5616D6">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C723D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2C443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C676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716E37"/>
    <w:multiLevelType w:val="hybridMultilevel"/>
    <w:tmpl w:val="AACA7D2C"/>
    <w:lvl w:ilvl="0" w:tplc="E50A711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0">
    <w:nsid w:val="6D6C1E7E"/>
    <w:multiLevelType w:val="hybridMultilevel"/>
    <w:tmpl w:val="7982EAEE"/>
    <w:lvl w:ilvl="0" w:tplc="3E2CAE2C">
      <w:start w:val="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F8B7273"/>
    <w:multiLevelType w:val="multilevel"/>
    <w:tmpl w:val="091CD6A2"/>
    <w:lvl w:ilvl="0">
      <w:start w:val="1"/>
      <w:numFmt w:val="decimal"/>
      <w:lvlText w:val="%1."/>
      <w:lvlJc w:val="left"/>
      <w:pPr>
        <w:ind w:left="360" w:hanging="360"/>
      </w:pPr>
      <w:rPr>
        <w:rFonts w:hint="default"/>
      </w:rPr>
    </w:lvl>
    <w:lvl w:ilvl="1">
      <w:start w:val="1"/>
      <w:numFmt w:val="decimal"/>
      <w:lvlText w:val="%1.%2."/>
      <w:lvlJc w:val="center"/>
      <w:pPr>
        <w:ind w:left="851" w:hanging="51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26D14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5917BD"/>
    <w:multiLevelType w:val="hybridMultilevel"/>
    <w:tmpl w:val="02A022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63E678A"/>
    <w:multiLevelType w:val="hybridMultilevel"/>
    <w:tmpl w:val="D6E6D9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85E7DE3"/>
    <w:multiLevelType w:val="hybridMultilevel"/>
    <w:tmpl w:val="96363810"/>
    <w:lvl w:ilvl="0" w:tplc="E6D40C06">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78AE789B"/>
    <w:multiLevelType w:val="hybridMultilevel"/>
    <w:tmpl w:val="50E2881E"/>
    <w:lvl w:ilvl="0" w:tplc="D6180C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7E8C1A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
  </w:num>
  <w:num w:numId="3">
    <w:abstractNumId w:val="6"/>
  </w:num>
  <w:num w:numId="4">
    <w:abstractNumId w:val="21"/>
  </w:num>
  <w:num w:numId="5">
    <w:abstractNumId w:val="13"/>
  </w:num>
  <w:num w:numId="6">
    <w:abstractNumId w:val="18"/>
  </w:num>
  <w:num w:numId="7">
    <w:abstractNumId w:val="16"/>
  </w:num>
  <w:num w:numId="8">
    <w:abstractNumId w:val="11"/>
  </w:num>
  <w:num w:numId="9">
    <w:abstractNumId w:val="9"/>
  </w:num>
  <w:num w:numId="10">
    <w:abstractNumId w:val="14"/>
  </w:num>
  <w:num w:numId="11">
    <w:abstractNumId w:val="1"/>
  </w:num>
  <w:num w:numId="12">
    <w:abstractNumId w:val="17"/>
  </w:num>
  <w:num w:numId="13">
    <w:abstractNumId w:val="22"/>
  </w:num>
  <w:num w:numId="14">
    <w:abstractNumId w:val="27"/>
  </w:num>
  <w:num w:numId="15">
    <w:abstractNumId w:val="26"/>
  </w:num>
  <w:num w:numId="16">
    <w:abstractNumId w:val="20"/>
  </w:num>
  <w:num w:numId="17">
    <w:abstractNumId w:val="15"/>
  </w:num>
  <w:num w:numId="18">
    <w:abstractNumId w:val="25"/>
  </w:num>
  <w:num w:numId="19">
    <w:abstractNumId w:val="24"/>
  </w:num>
  <w:num w:numId="20">
    <w:abstractNumId w:val="7"/>
  </w:num>
  <w:num w:numId="21">
    <w:abstractNumId w:val="5"/>
  </w:num>
  <w:num w:numId="22">
    <w:abstractNumId w:val="4"/>
  </w:num>
  <w:num w:numId="23">
    <w:abstractNumId w:val="0"/>
  </w:num>
  <w:num w:numId="24">
    <w:abstractNumId w:val="12"/>
  </w:num>
  <w:num w:numId="25">
    <w:abstractNumId w:val="19"/>
  </w:num>
  <w:num w:numId="26">
    <w:abstractNumId w:val="3"/>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57"/>
    <w:rsid w:val="00001D64"/>
    <w:rsid w:val="00002BE0"/>
    <w:rsid w:val="000047AE"/>
    <w:rsid w:val="00007BB1"/>
    <w:rsid w:val="00015810"/>
    <w:rsid w:val="00030CEF"/>
    <w:rsid w:val="00031B46"/>
    <w:rsid w:val="00037E68"/>
    <w:rsid w:val="0004532A"/>
    <w:rsid w:val="00054074"/>
    <w:rsid w:val="00054A0D"/>
    <w:rsid w:val="00061273"/>
    <w:rsid w:val="00070190"/>
    <w:rsid w:val="00077BAD"/>
    <w:rsid w:val="000841F8"/>
    <w:rsid w:val="000879EB"/>
    <w:rsid w:val="00094631"/>
    <w:rsid w:val="00097488"/>
    <w:rsid w:val="000A16EA"/>
    <w:rsid w:val="000B18D4"/>
    <w:rsid w:val="000B4228"/>
    <w:rsid w:val="000B616E"/>
    <w:rsid w:val="000D0656"/>
    <w:rsid w:val="000D6030"/>
    <w:rsid w:val="000E1EFE"/>
    <w:rsid w:val="000E37C7"/>
    <w:rsid w:val="000E688E"/>
    <w:rsid w:val="000F07B2"/>
    <w:rsid w:val="000F4596"/>
    <w:rsid w:val="000F573F"/>
    <w:rsid w:val="000F75E7"/>
    <w:rsid w:val="000F7FEA"/>
    <w:rsid w:val="00102952"/>
    <w:rsid w:val="0011733F"/>
    <w:rsid w:val="00120494"/>
    <w:rsid w:val="0012628F"/>
    <w:rsid w:val="00136F03"/>
    <w:rsid w:val="001452BA"/>
    <w:rsid w:val="00150F6B"/>
    <w:rsid w:val="001510C3"/>
    <w:rsid w:val="001657EF"/>
    <w:rsid w:val="00182783"/>
    <w:rsid w:val="00182943"/>
    <w:rsid w:val="001860A7"/>
    <w:rsid w:val="00186EC3"/>
    <w:rsid w:val="00192A93"/>
    <w:rsid w:val="001B5424"/>
    <w:rsid w:val="001C29CE"/>
    <w:rsid w:val="001D11A3"/>
    <w:rsid w:val="001D5192"/>
    <w:rsid w:val="001E2475"/>
    <w:rsid w:val="001F0C40"/>
    <w:rsid w:val="001F5C8D"/>
    <w:rsid w:val="001F78D5"/>
    <w:rsid w:val="002045C3"/>
    <w:rsid w:val="0020516A"/>
    <w:rsid w:val="002071BB"/>
    <w:rsid w:val="00207CB4"/>
    <w:rsid w:val="00215C4C"/>
    <w:rsid w:val="00221E57"/>
    <w:rsid w:val="00222718"/>
    <w:rsid w:val="00225064"/>
    <w:rsid w:val="00227CC2"/>
    <w:rsid w:val="002341EB"/>
    <w:rsid w:val="00243296"/>
    <w:rsid w:val="00243C25"/>
    <w:rsid w:val="00247AE6"/>
    <w:rsid w:val="00252577"/>
    <w:rsid w:val="00255BEE"/>
    <w:rsid w:val="0025654E"/>
    <w:rsid w:val="00260F00"/>
    <w:rsid w:val="00262426"/>
    <w:rsid w:val="00273C72"/>
    <w:rsid w:val="00275C82"/>
    <w:rsid w:val="002838E4"/>
    <w:rsid w:val="00285983"/>
    <w:rsid w:val="002860D8"/>
    <w:rsid w:val="002A2DA4"/>
    <w:rsid w:val="002A5450"/>
    <w:rsid w:val="002B05E8"/>
    <w:rsid w:val="002B1232"/>
    <w:rsid w:val="002B53C9"/>
    <w:rsid w:val="002B5604"/>
    <w:rsid w:val="002C5571"/>
    <w:rsid w:val="002D0749"/>
    <w:rsid w:val="002D3731"/>
    <w:rsid w:val="002E3702"/>
    <w:rsid w:val="002F178D"/>
    <w:rsid w:val="002F67EC"/>
    <w:rsid w:val="002F7DA1"/>
    <w:rsid w:val="00305245"/>
    <w:rsid w:val="00314977"/>
    <w:rsid w:val="003226C5"/>
    <w:rsid w:val="0034008F"/>
    <w:rsid w:val="00352401"/>
    <w:rsid w:val="00353BFE"/>
    <w:rsid w:val="00355B59"/>
    <w:rsid w:val="003634D4"/>
    <w:rsid w:val="00366D0B"/>
    <w:rsid w:val="00370043"/>
    <w:rsid w:val="0037197B"/>
    <w:rsid w:val="00372D95"/>
    <w:rsid w:val="003773DD"/>
    <w:rsid w:val="00383834"/>
    <w:rsid w:val="00387B1D"/>
    <w:rsid w:val="00392ED8"/>
    <w:rsid w:val="00393AD1"/>
    <w:rsid w:val="003A053F"/>
    <w:rsid w:val="003A23DE"/>
    <w:rsid w:val="003A7374"/>
    <w:rsid w:val="003B1D59"/>
    <w:rsid w:val="003B2A1E"/>
    <w:rsid w:val="003B2E52"/>
    <w:rsid w:val="003B77D3"/>
    <w:rsid w:val="003C5374"/>
    <w:rsid w:val="003D7497"/>
    <w:rsid w:val="003D7FAA"/>
    <w:rsid w:val="003E487B"/>
    <w:rsid w:val="003F2B58"/>
    <w:rsid w:val="003F7DAC"/>
    <w:rsid w:val="00406CFC"/>
    <w:rsid w:val="004073A1"/>
    <w:rsid w:val="00407C0D"/>
    <w:rsid w:val="00410AC7"/>
    <w:rsid w:val="00410C00"/>
    <w:rsid w:val="00426643"/>
    <w:rsid w:val="004304CB"/>
    <w:rsid w:val="00430769"/>
    <w:rsid w:val="004335F2"/>
    <w:rsid w:val="0045063B"/>
    <w:rsid w:val="00452BDB"/>
    <w:rsid w:val="00454D9B"/>
    <w:rsid w:val="004566A5"/>
    <w:rsid w:val="00463D85"/>
    <w:rsid w:val="0046450C"/>
    <w:rsid w:val="00466B48"/>
    <w:rsid w:val="00466FB6"/>
    <w:rsid w:val="00487D3C"/>
    <w:rsid w:val="004A0C32"/>
    <w:rsid w:val="004A49EE"/>
    <w:rsid w:val="004B4420"/>
    <w:rsid w:val="004C07C8"/>
    <w:rsid w:val="004C3BCA"/>
    <w:rsid w:val="004C665C"/>
    <w:rsid w:val="004D53CC"/>
    <w:rsid w:val="004F414C"/>
    <w:rsid w:val="0050192D"/>
    <w:rsid w:val="0051100E"/>
    <w:rsid w:val="00520F4C"/>
    <w:rsid w:val="005212F8"/>
    <w:rsid w:val="00521A4B"/>
    <w:rsid w:val="005227A8"/>
    <w:rsid w:val="00522A4D"/>
    <w:rsid w:val="00522E34"/>
    <w:rsid w:val="00525FC4"/>
    <w:rsid w:val="0052754F"/>
    <w:rsid w:val="005345B4"/>
    <w:rsid w:val="00535990"/>
    <w:rsid w:val="00544322"/>
    <w:rsid w:val="00545528"/>
    <w:rsid w:val="0055287D"/>
    <w:rsid w:val="00556505"/>
    <w:rsid w:val="0055711C"/>
    <w:rsid w:val="005605DB"/>
    <w:rsid w:val="0056285B"/>
    <w:rsid w:val="00565BC7"/>
    <w:rsid w:val="00576BBE"/>
    <w:rsid w:val="00576C66"/>
    <w:rsid w:val="00580625"/>
    <w:rsid w:val="0058756F"/>
    <w:rsid w:val="005879AA"/>
    <w:rsid w:val="00593ABD"/>
    <w:rsid w:val="00596716"/>
    <w:rsid w:val="005A36D3"/>
    <w:rsid w:val="005B2759"/>
    <w:rsid w:val="005F4512"/>
    <w:rsid w:val="00605870"/>
    <w:rsid w:val="00605ADC"/>
    <w:rsid w:val="00610D7C"/>
    <w:rsid w:val="00611BA4"/>
    <w:rsid w:val="0061691A"/>
    <w:rsid w:val="0064241E"/>
    <w:rsid w:val="006457D4"/>
    <w:rsid w:val="0065401B"/>
    <w:rsid w:val="00656972"/>
    <w:rsid w:val="00656EDF"/>
    <w:rsid w:val="006633DA"/>
    <w:rsid w:val="00673375"/>
    <w:rsid w:val="0068007C"/>
    <w:rsid w:val="00680FB8"/>
    <w:rsid w:val="00690948"/>
    <w:rsid w:val="006910C3"/>
    <w:rsid w:val="00692C86"/>
    <w:rsid w:val="00693CCB"/>
    <w:rsid w:val="0069619C"/>
    <w:rsid w:val="006A5474"/>
    <w:rsid w:val="006B2893"/>
    <w:rsid w:val="006B639C"/>
    <w:rsid w:val="006C33EB"/>
    <w:rsid w:val="006C6506"/>
    <w:rsid w:val="006D189E"/>
    <w:rsid w:val="006D1AC1"/>
    <w:rsid w:val="006E4BDB"/>
    <w:rsid w:val="006F4F4A"/>
    <w:rsid w:val="007010A8"/>
    <w:rsid w:val="0070414D"/>
    <w:rsid w:val="00710011"/>
    <w:rsid w:val="007200F5"/>
    <w:rsid w:val="007200F8"/>
    <w:rsid w:val="00725DE1"/>
    <w:rsid w:val="00730FE4"/>
    <w:rsid w:val="0073163E"/>
    <w:rsid w:val="007372A5"/>
    <w:rsid w:val="00742C6C"/>
    <w:rsid w:val="00744291"/>
    <w:rsid w:val="00744EC6"/>
    <w:rsid w:val="00747166"/>
    <w:rsid w:val="00750C27"/>
    <w:rsid w:val="00751BAD"/>
    <w:rsid w:val="007670F9"/>
    <w:rsid w:val="0077060C"/>
    <w:rsid w:val="00772264"/>
    <w:rsid w:val="0077685D"/>
    <w:rsid w:val="0079136D"/>
    <w:rsid w:val="007915BF"/>
    <w:rsid w:val="007916DD"/>
    <w:rsid w:val="007A0A2A"/>
    <w:rsid w:val="007B1B2E"/>
    <w:rsid w:val="007B5968"/>
    <w:rsid w:val="007C0039"/>
    <w:rsid w:val="007C6201"/>
    <w:rsid w:val="007D4471"/>
    <w:rsid w:val="007E1F77"/>
    <w:rsid w:val="007E607A"/>
    <w:rsid w:val="007F117A"/>
    <w:rsid w:val="007F6DBB"/>
    <w:rsid w:val="00801DBE"/>
    <w:rsid w:val="008056A7"/>
    <w:rsid w:val="00806EA3"/>
    <w:rsid w:val="00816C3D"/>
    <w:rsid w:val="00821C00"/>
    <w:rsid w:val="0082772A"/>
    <w:rsid w:val="00830E57"/>
    <w:rsid w:val="008446D8"/>
    <w:rsid w:val="008511B0"/>
    <w:rsid w:val="008548DE"/>
    <w:rsid w:val="00860749"/>
    <w:rsid w:val="00862CB8"/>
    <w:rsid w:val="00871A5E"/>
    <w:rsid w:val="00874271"/>
    <w:rsid w:val="00892EFF"/>
    <w:rsid w:val="008961AB"/>
    <w:rsid w:val="008A6291"/>
    <w:rsid w:val="008B1D61"/>
    <w:rsid w:val="008B5E59"/>
    <w:rsid w:val="008C06AE"/>
    <w:rsid w:val="008C1780"/>
    <w:rsid w:val="008C1DFB"/>
    <w:rsid w:val="008C321D"/>
    <w:rsid w:val="008C4A83"/>
    <w:rsid w:val="008C4B74"/>
    <w:rsid w:val="008D2DF2"/>
    <w:rsid w:val="008D3443"/>
    <w:rsid w:val="008E0131"/>
    <w:rsid w:val="008E3DE3"/>
    <w:rsid w:val="008E5081"/>
    <w:rsid w:val="008F2676"/>
    <w:rsid w:val="0091210E"/>
    <w:rsid w:val="00920BB6"/>
    <w:rsid w:val="0095036A"/>
    <w:rsid w:val="00953DB0"/>
    <w:rsid w:val="00954CE4"/>
    <w:rsid w:val="00955D96"/>
    <w:rsid w:val="00956672"/>
    <w:rsid w:val="009571FC"/>
    <w:rsid w:val="00962023"/>
    <w:rsid w:val="00964E69"/>
    <w:rsid w:val="0096754E"/>
    <w:rsid w:val="00970A46"/>
    <w:rsid w:val="00970D2F"/>
    <w:rsid w:val="009759C6"/>
    <w:rsid w:val="00976281"/>
    <w:rsid w:val="0098506D"/>
    <w:rsid w:val="00992F41"/>
    <w:rsid w:val="009973B2"/>
    <w:rsid w:val="009A751D"/>
    <w:rsid w:val="009B1898"/>
    <w:rsid w:val="009B2AEC"/>
    <w:rsid w:val="009B40C6"/>
    <w:rsid w:val="009B4759"/>
    <w:rsid w:val="009C4E98"/>
    <w:rsid w:val="009D6265"/>
    <w:rsid w:val="009E280D"/>
    <w:rsid w:val="009E3EEA"/>
    <w:rsid w:val="009F1E38"/>
    <w:rsid w:val="009F3EEF"/>
    <w:rsid w:val="009F4E92"/>
    <w:rsid w:val="009F62BB"/>
    <w:rsid w:val="00A06287"/>
    <w:rsid w:val="00A1013A"/>
    <w:rsid w:val="00A13FE0"/>
    <w:rsid w:val="00A16D71"/>
    <w:rsid w:val="00A24CDE"/>
    <w:rsid w:val="00A25F21"/>
    <w:rsid w:val="00A267A0"/>
    <w:rsid w:val="00A33BC1"/>
    <w:rsid w:val="00A50CEC"/>
    <w:rsid w:val="00A528EE"/>
    <w:rsid w:val="00A573F9"/>
    <w:rsid w:val="00A61B7D"/>
    <w:rsid w:val="00A65887"/>
    <w:rsid w:val="00A72440"/>
    <w:rsid w:val="00A90CAB"/>
    <w:rsid w:val="00AA06F4"/>
    <w:rsid w:val="00AA509F"/>
    <w:rsid w:val="00AC6625"/>
    <w:rsid w:val="00AD051A"/>
    <w:rsid w:val="00AD5F48"/>
    <w:rsid w:val="00AD7811"/>
    <w:rsid w:val="00AD7C9B"/>
    <w:rsid w:val="00AE1993"/>
    <w:rsid w:val="00AE794D"/>
    <w:rsid w:val="00AF433D"/>
    <w:rsid w:val="00B108D2"/>
    <w:rsid w:val="00B14950"/>
    <w:rsid w:val="00B16273"/>
    <w:rsid w:val="00B32C6E"/>
    <w:rsid w:val="00B41498"/>
    <w:rsid w:val="00B43BB9"/>
    <w:rsid w:val="00B729D6"/>
    <w:rsid w:val="00B76802"/>
    <w:rsid w:val="00B80CFB"/>
    <w:rsid w:val="00B8231E"/>
    <w:rsid w:val="00B85A70"/>
    <w:rsid w:val="00B905C5"/>
    <w:rsid w:val="00BA4586"/>
    <w:rsid w:val="00BA5DF3"/>
    <w:rsid w:val="00BB2500"/>
    <w:rsid w:val="00BC6019"/>
    <w:rsid w:val="00BD0451"/>
    <w:rsid w:val="00BD627C"/>
    <w:rsid w:val="00BE60B6"/>
    <w:rsid w:val="00BF181A"/>
    <w:rsid w:val="00BF4D66"/>
    <w:rsid w:val="00BF501B"/>
    <w:rsid w:val="00C056E7"/>
    <w:rsid w:val="00C157CB"/>
    <w:rsid w:val="00C234C7"/>
    <w:rsid w:val="00C25A77"/>
    <w:rsid w:val="00C31255"/>
    <w:rsid w:val="00C44BE3"/>
    <w:rsid w:val="00C56C43"/>
    <w:rsid w:val="00C60881"/>
    <w:rsid w:val="00C66DD7"/>
    <w:rsid w:val="00C729B3"/>
    <w:rsid w:val="00C729B5"/>
    <w:rsid w:val="00C73257"/>
    <w:rsid w:val="00C74B58"/>
    <w:rsid w:val="00C75996"/>
    <w:rsid w:val="00C83F7A"/>
    <w:rsid w:val="00C859E7"/>
    <w:rsid w:val="00C86F19"/>
    <w:rsid w:val="00C87E2C"/>
    <w:rsid w:val="00C9222C"/>
    <w:rsid w:val="00C923E0"/>
    <w:rsid w:val="00C9401A"/>
    <w:rsid w:val="00CA10D0"/>
    <w:rsid w:val="00CA29B2"/>
    <w:rsid w:val="00CA5DAC"/>
    <w:rsid w:val="00CC4B07"/>
    <w:rsid w:val="00CC5B2B"/>
    <w:rsid w:val="00CC7F41"/>
    <w:rsid w:val="00CD2333"/>
    <w:rsid w:val="00CF3328"/>
    <w:rsid w:val="00CF6EE4"/>
    <w:rsid w:val="00D03FE5"/>
    <w:rsid w:val="00D116AC"/>
    <w:rsid w:val="00D11E21"/>
    <w:rsid w:val="00D212C7"/>
    <w:rsid w:val="00D27C5F"/>
    <w:rsid w:val="00D46674"/>
    <w:rsid w:val="00D47AB0"/>
    <w:rsid w:val="00D52E88"/>
    <w:rsid w:val="00D564DD"/>
    <w:rsid w:val="00D67152"/>
    <w:rsid w:val="00D707C1"/>
    <w:rsid w:val="00D71281"/>
    <w:rsid w:val="00D71BB5"/>
    <w:rsid w:val="00D828A0"/>
    <w:rsid w:val="00D83B6D"/>
    <w:rsid w:val="00D8656A"/>
    <w:rsid w:val="00D87AE5"/>
    <w:rsid w:val="00D90FFB"/>
    <w:rsid w:val="00DB1B5E"/>
    <w:rsid w:val="00DC2ADF"/>
    <w:rsid w:val="00DC52C0"/>
    <w:rsid w:val="00DC792B"/>
    <w:rsid w:val="00DD3663"/>
    <w:rsid w:val="00DD678E"/>
    <w:rsid w:val="00DE00CB"/>
    <w:rsid w:val="00DE22AA"/>
    <w:rsid w:val="00DE3D01"/>
    <w:rsid w:val="00DE60B5"/>
    <w:rsid w:val="00DF1F4E"/>
    <w:rsid w:val="00E011D5"/>
    <w:rsid w:val="00E01A30"/>
    <w:rsid w:val="00E05FBC"/>
    <w:rsid w:val="00E078DE"/>
    <w:rsid w:val="00E07DB3"/>
    <w:rsid w:val="00E234BD"/>
    <w:rsid w:val="00E23E14"/>
    <w:rsid w:val="00E37DF0"/>
    <w:rsid w:val="00E42DA0"/>
    <w:rsid w:val="00E439C3"/>
    <w:rsid w:val="00E67E1C"/>
    <w:rsid w:val="00E72C11"/>
    <w:rsid w:val="00E9324F"/>
    <w:rsid w:val="00E9515B"/>
    <w:rsid w:val="00EA695E"/>
    <w:rsid w:val="00EA69F1"/>
    <w:rsid w:val="00ED2595"/>
    <w:rsid w:val="00ED69C0"/>
    <w:rsid w:val="00ED711D"/>
    <w:rsid w:val="00ED721E"/>
    <w:rsid w:val="00ED77F1"/>
    <w:rsid w:val="00EE3594"/>
    <w:rsid w:val="00EE4744"/>
    <w:rsid w:val="00EE758E"/>
    <w:rsid w:val="00EF072B"/>
    <w:rsid w:val="00EF2F9C"/>
    <w:rsid w:val="00EF3139"/>
    <w:rsid w:val="00EF3FB6"/>
    <w:rsid w:val="00F04866"/>
    <w:rsid w:val="00F068F6"/>
    <w:rsid w:val="00F1007E"/>
    <w:rsid w:val="00F10770"/>
    <w:rsid w:val="00F12DA0"/>
    <w:rsid w:val="00F261DE"/>
    <w:rsid w:val="00F2712B"/>
    <w:rsid w:val="00F3184C"/>
    <w:rsid w:val="00F350E8"/>
    <w:rsid w:val="00F3562B"/>
    <w:rsid w:val="00F401A4"/>
    <w:rsid w:val="00F413D7"/>
    <w:rsid w:val="00F42C47"/>
    <w:rsid w:val="00F42DE1"/>
    <w:rsid w:val="00F45E36"/>
    <w:rsid w:val="00F46A7A"/>
    <w:rsid w:val="00F46F18"/>
    <w:rsid w:val="00F474B2"/>
    <w:rsid w:val="00F556F0"/>
    <w:rsid w:val="00F624BC"/>
    <w:rsid w:val="00F67624"/>
    <w:rsid w:val="00F911E8"/>
    <w:rsid w:val="00F93C75"/>
    <w:rsid w:val="00FA5A7F"/>
    <w:rsid w:val="00FA6897"/>
    <w:rsid w:val="00FC285B"/>
    <w:rsid w:val="00FD21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E"/>
    <w:pPr>
      <w:spacing w:line="36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DC2ADF"/>
    <w:pPr>
      <w:keepNext/>
      <w:keepLines/>
      <w:spacing w:before="240" w:after="240"/>
      <w:jc w:val="left"/>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564DD"/>
    <w:pPr>
      <w:keepNext/>
      <w:keepLines/>
      <w:spacing w:before="240" w:after="120" w:line="240" w:lineRule="auto"/>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F3EEF"/>
    <w:pPr>
      <w:keepNext/>
      <w:keepLines/>
      <w:spacing w:before="200" w:after="0"/>
      <w:outlineLvl w:val="2"/>
    </w:pPr>
    <w:rPr>
      <w:rFonts w:ascii="Times New Roman Bold" w:eastAsiaTheme="majorEastAsia" w:hAnsi="Times New Roman Bold" w:cstheme="majorBidi"/>
      <w:b/>
      <w:bCs/>
      <w:sz w:val="28"/>
    </w:rPr>
  </w:style>
  <w:style w:type="paragraph" w:styleId="Heading4">
    <w:name w:val="heading 4"/>
    <w:basedOn w:val="Normal"/>
    <w:next w:val="Normal"/>
    <w:link w:val="Heading4Char"/>
    <w:uiPriority w:val="9"/>
    <w:unhideWhenUsed/>
    <w:qFormat/>
    <w:rsid w:val="00D564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DF"/>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D564DD"/>
    <w:rPr>
      <w:rFonts w:ascii="Times New Roman" w:eastAsiaTheme="majorEastAsia" w:hAnsi="Times New Roman" w:cstheme="majorBidi"/>
      <w:b/>
      <w:sz w:val="28"/>
      <w:szCs w:val="26"/>
    </w:rPr>
  </w:style>
  <w:style w:type="paragraph" w:styleId="ListParagraph">
    <w:name w:val="List Paragraph"/>
    <w:basedOn w:val="Normal"/>
    <w:uiPriority w:val="34"/>
    <w:qFormat/>
    <w:rsid w:val="004A0C32"/>
    <w:pPr>
      <w:ind w:left="720"/>
      <w:contextualSpacing/>
    </w:pPr>
  </w:style>
  <w:style w:type="paragraph" w:styleId="TOCHeading">
    <w:name w:val="TOC Heading"/>
    <w:basedOn w:val="Heading1"/>
    <w:next w:val="Normal"/>
    <w:uiPriority w:val="39"/>
    <w:unhideWhenUsed/>
    <w:qFormat/>
    <w:rsid w:val="00521A4B"/>
    <w:pPr>
      <w:spacing w:line="259" w:lineRule="auto"/>
      <w:outlineLvl w:val="9"/>
    </w:pPr>
    <w:rPr>
      <w:b w:val="0"/>
      <w:color w:val="2E74B5" w:themeColor="accent1" w:themeShade="BF"/>
      <w:lang w:val="en-US"/>
    </w:rPr>
  </w:style>
  <w:style w:type="paragraph" w:styleId="TOC1">
    <w:name w:val="toc 1"/>
    <w:basedOn w:val="Normal"/>
    <w:next w:val="Normal"/>
    <w:autoRedefine/>
    <w:uiPriority w:val="39"/>
    <w:unhideWhenUsed/>
    <w:rsid w:val="0077685D"/>
    <w:pPr>
      <w:tabs>
        <w:tab w:val="left" w:pos="567"/>
        <w:tab w:val="right" w:leader="dot" w:pos="9071"/>
      </w:tabs>
      <w:spacing w:after="0" w:line="240" w:lineRule="auto"/>
    </w:pPr>
  </w:style>
  <w:style w:type="paragraph" w:styleId="TOC2">
    <w:name w:val="toc 2"/>
    <w:basedOn w:val="Normal"/>
    <w:next w:val="Normal"/>
    <w:autoRedefine/>
    <w:uiPriority w:val="39"/>
    <w:unhideWhenUsed/>
    <w:rsid w:val="0077685D"/>
    <w:pPr>
      <w:tabs>
        <w:tab w:val="right" w:leader="dot" w:pos="9061"/>
      </w:tabs>
      <w:spacing w:after="100"/>
    </w:pPr>
  </w:style>
  <w:style w:type="character" w:styleId="Hyperlink">
    <w:name w:val="Hyperlink"/>
    <w:basedOn w:val="DefaultParagraphFont"/>
    <w:uiPriority w:val="99"/>
    <w:unhideWhenUsed/>
    <w:rsid w:val="00521A4B"/>
    <w:rPr>
      <w:color w:val="0563C1" w:themeColor="hyperlink"/>
      <w:u w:val="single"/>
    </w:rPr>
  </w:style>
  <w:style w:type="character" w:styleId="LineNumber">
    <w:name w:val="line number"/>
    <w:basedOn w:val="DefaultParagraphFont"/>
    <w:uiPriority w:val="99"/>
    <w:semiHidden/>
    <w:unhideWhenUsed/>
    <w:rsid w:val="00DE60B5"/>
  </w:style>
  <w:style w:type="paragraph" w:styleId="Header">
    <w:name w:val="header"/>
    <w:basedOn w:val="Normal"/>
    <w:link w:val="HeaderChar"/>
    <w:uiPriority w:val="99"/>
    <w:unhideWhenUsed/>
    <w:rsid w:val="00DE6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0B5"/>
    <w:rPr>
      <w:rFonts w:eastAsiaTheme="minorEastAsia"/>
      <w:sz w:val="24"/>
    </w:rPr>
  </w:style>
  <w:style w:type="paragraph" w:styleId="Footer">
    <w:name w:val="footer"/>
    <w:basedOn w:val="Normal"/>
    <w:link w:val="FooterChar"/>
    <w:uiPriority w:val="99"/>
    <w:unhideWhenUsed/>
    <w:rsid w:val="00DE6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0B5"/>
    <w:rPr>
      <w:rFonts w:eastAsiaTheme="minorEastAsia"/>
      <w:sz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unhideWhenUsed/>
    <w:rsid w:val="00750C27"/>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750C27"/>
    <w:rPr>
      <w:rFonts w:ascii="Times New Roman" w:eastAsiaTheme="minorEastAsia" w:hAnsi="Times New Roman"/>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unhideWhenUsed/>
    <w:qFormat/>
    <w:rsid w:val="00750C27"/>
    <w:rPr>
      <w:vertAlign w:val="superscript"/>
    </w:rPr>
  </w:style>
  <w:style w:type="paragraph" w:styleId="BodyText">
    <w:name w:val="Body Text"/>
    <w:basedOn w:val="Normal"/>
    <w:link w:val="BodyTextChar"/>
    <w:semiHidden/>
    <w:rsid w:val="009E280D"/>
    <w:pPr>
      <w:spacing w:after="0" w:line="240" w:lineRule="auto"/>
      <w:jc w:val="left"/>
    </w:pPr>
    <w:rPr>
      <w:rFonts w:eastAsia="Times New Roman" w:cs="Times New Roman"/>
      <w:i/>
      <w:szCs w:val="20"/>
      <w:lang w:eastAsia="lv-LV"/>
    </w:rPr>
  </w:style>
  <w:style w:type="character" w:customStyle="1" w:styleId="BodyTextChar">
    <w:name w:val="Body Text Char"/>
    <w:basedOn w:val="DefaultParagraphFont"/>
    <w:link w:val="BodyText"/>
    <w:semiHidden/>
    <w:rsid w:val="009E280D"/>
    <w:rPr>
      <w:rFonts w:ascii="Times New Roman" w:eastAsia="Times New Roman" w:hAnsi="Times New Roman" w:cs="Times New Roman"/>
      <w:i/>
      <w:sz w:val="24"/>
      <w:szCs w:val="20"/>
      <w:lang w:eastAsia="lv-LV"/>
    </w:rPr>
  </w:style>
  <w:style w:type="paragraph" w:styleId="BodyText2">
    <w:name w:val="Body Text 2"/>
    <w:basedOn w:val="Normal"/>
    <w:link w:val="BodyText2Char"/>
    <w:semiHidden/>
    <w:rsid w:val="009E280D"/>
    <w:pPr>
      <w:spacing w:after="0" w:line="240" w:lineRule="auto"/>
    </w:pPr>
    <w:rPr>
      <w:rFonts w:eastAsia="Times New Roman" w:cs="Times New Roman"/>
      <w:szCs w:val="20"/>
      <w:lang w:eastAsia="lv-LV"/>
    </w:rPr>
  </w:style>
  <w:style w:type="character" w:customStyle="1" w:styleId="BodyText2Char">
    <w:name w:val="Body Text 2 Char"/>
    <w:basedOn w:val="DefaultParagraphFont"/>
    <w:link w:val="BodyText2"/>
    <w:semiHidden/>
    <w:rsid w:val="009E280D"/>
    <w:rPr>
      <w:rFonts w:ascii="Times New Roman" w:eastAsia="Times New Roman" w:hAnsi="Times New Roman" w:cs="Times New Roman"/>
      <w:sz w:val="24"/>
      <w:szCs w:val="20"/>
      <w:lang w:eastAsia="lv-LV"/>
    </w:rPr>
  </w:style>
  <w:style w:type="paragraph" w:styleId="Caption">
    <w:name w:val="caption"/>
    <w:basedOn w:val="Normal"/>
    <w:next w:val="Normal"/>
    <w:link w:val="CaptionChar"/>
    <w:unhideWhenUsed/>
    <w:rsid w:val="009E280D"/>
    <w:pPr>
      <w:widowControl w:val="0"/>
      <w:adjustRightInd w:val="0"/>
      <w:spacing w:after="120" w:line="0" w:lineRule="atLeast"/>
      <w:textAlignment w:val="baseline"/>
    </w:pPr>
    <w:rPr>
      <w:rFonts w:ascii="Arial" w:eastAsia="Times New Roman" w:hAnsi="Arial" w:cs="Times New Roman"/>
      <w:b/>
      <w:bCs/>
      <w:color w:val="000000"/>
      <w:sz w:val="14"/>
      <w:szCs w:val="18"/>
    </w:rPr>
  </w:style>
  <w:style w:type="character" w:customStyle="1" w:styleId="CaptionChar">
    <w:name w:val="Caption Char"/>
    <w:link w:val="Caption"/>
    <w:rsid w:val="009E280D"/>
    <w:rPr>
      <w:rFonts w:ascii="Arial" w:eastAsia="Times New Roman" w:hAnsi="Arial" w:cs="Times New Roman"/>
      <w:b/>
      <w:bCs/>
      <w:color w:val="000000"/>
      <w:sz w:val="14"/>
      <w:szCs w:val="18"/>
    </w:rPr>
  </w:style>
  <w:style w:type="table" w:styleId="TableGrid">
    <w:name w:val="Table Grid"/>
    <w:basedOn w:val="TableNormal"/>
    <w:rsid w:val="009E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3FE0"/>
    <w:rPr>
      <w:color w:val="954F72" w:themeColor="followedHyperlink"/>
      <w:u w:val="single"/>
    </w:rPr>
  </w:style>
  <w:style w:type="character" w:styleId="CommentReference">
    <w:name w:val="annotation reference"/>
    <w:basedOn w:val="DefaultParagraphFont"/>
    <w:uiPriority w:val="99"/>
    <w:semiHidden/>
    <w:unhideWhenUsed/>
    <w:rsid w:val="00D67152"/>
    <w:rPr>
      <w:sz w:val="16"/>
      <w:szCs w:val="16"/>
    </w:rPr>
  </w:style>
  <w:style w:type="paragraph" w:styleId="CommentText">
    <w:name w:val="annotation text"/>
    <w:basedOn w:val="Normal"/>
    <w:link w:val="CommentTextChar"/>
    <w:uiPriority w:val="99"/>
    <w:semiHidden/>
    <w:unhideWhenUsed/>
    <w:rsid w:val="00D67152"/>
    <w:pPr>
      <w:spacing w:line="240" w:lineRule="auto"/>
    </w:pPr>
    <w:rPr>
      <w:sz w:val="20"/>
      <w:szCs w:val="20"/>
    </w:rPr>
  </w:style>
  <w:style w:type="character" w:customStyle="1" w:styleId="CommentTextChar">
    <w:name w:val="Comment Text Char"/>
    <w:basedOn w:val="DefaultParagraphFont"/>
    <w:link w:val="CommentText"/>
    <w:uiPriority w:val="99"/>
    <w:semiHidden/>
    <w:rsid w:val="00D67152"/>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D67152"/>
    <w:rPr>
      <w:b/>
      <w:bCs/>
    </w:rPr>
  </w:style>
  <w:style w:type="character" w:customStyle="1" w:styleId="CommentSubjectChar">
    <w:name w:val="Comment Subject Char"/>
    <w:basedOn w:val="CommentTextChar"/>
    <w:link w:val="CommentSubject"/>
    <w:uiPriority w:val="99"/>
    <w:semiHidden/>
    <w:rsid w:val="00D67152"/>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D67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52"/>
    <w:rPr>
      <w:rFonts w:ascii="Segoe UI" w:eastAsiaTheme="minorEastAsia" w:hAnsi="Segoe UI" w:cs="Segoe UI"/>
      <w:sz w:val="18"/>
      <w:szCs w:val="18"/>
    </w:rPr>
  </w:style>
  <w:style w:type="paragraph" w:customStyle="1" w:styleId="FootnoteRefernece">
    <w:name w:val="Footnote Refernece"/>
    <w:aliases w:val="ftref,Odwołanie przypisu,Footnotes refss,Ref,de nota al pie,-E Fußnotenzeichen,E,E FNZ"/>
    <w:basedOn w:val="Normal"/>
    <w:next w:val="Normal"/>
    <w:link w:val="FootnoteReference"/>
    <w:rsid w:val="00D67152"/>
    <w:pPr>
      <w:spacing w:line="240" w:lineRule="exact"/>
      <w:textAlignment w:val="baseline"/>
    </w:pPr>
    <w:rPr>
      <w:rFonts w:asciiTheme="minorHAnsi" w:eastAsiaTheme="minorHAnsi" w:hAnsiTheme="minorHAnsi"/>
      <w:sz w:val="22"/>
      <w:vertAlign w:val="superscript"/>
    </w:rPr>
  </w:style>
  <w:style w:type="paragraph" w:styleId="BodyTextIndent2">
    <w:name w:val="Body Text Indent 2"/>
    <w:basedOn w:val="Normal"/>
    <w:link w:val="BodyTextIndent2Char"/>
    <w:uiPriority w:val="99"/>
    <w:unhideWhenUsed/>
    <w:rsid w:val="00D87AE5"/>
    <w:pPr>
      <w:spacing w:after="120" w:line="480" w:lineRule="auto"/>
      <w:ind w:left="283"/>
    </w:pPr>
  </w:style>
  <w:style w:type="character" w:customStyle="1" w:styleId="BodyTextIndent2Char">
    <w:name w:val="Body Text Indent 2 Char"/>
    <w:basedOn w:val="DefaultParagraphFont"/>
    <w:link w:val="BodyTextIndent2"/>
    <w:uiPriority w:val="99"/>
    <w:rsid w:val="00D87AE5"/>
    <w:rPr>
      <w:rFonts w:ascii="Times New Roman" w:eastAsiaTheme="minorEastAsia" w:hAnsi="Times New Roman"/>
      <w:sz w:val="24"/>
    </w:rPr>
  </w:style>
  <w:style w:type="character" w:customStyle="1" w:styleId="Heading3Char">
    <w:name w:val="Heading 3 Char"/>
    <w:basedOn w:val="DefaultParagraphFont"/>
    <w:link w:val="Heading3"/>
    <w:uiPriority w:val="9"/>
    <w:rsid w:val="009F3EEF"/>
    <w:rPr>
      <w:rFonts w:ascii="Times New Roman Bold" w:eastAsiaTheme="majorEastAsia" w:hAnsi="Times New Roman Bold" w:cstheme="majorBidi"/>
      <w:b/>
      <w:bCs/>
      <w:sz w:val="28"/>
    </w:rPr>
  </w:style>
  <w:style w:type="character" w:customStyle="1" w:styleId="Heading4Char">
    <w:name w:val="Heading 4 Char"/>
    <w:basedOn w:val="DefaultParagraphFont"/>
    <w:link w:val="Heading4"/>
    <w:uiPriority w:val="9"/>
    <w:rsid w:val="00D564DD"/>
    <w:rPr>
      <w:rFonts w:asciiTheme="majorHAnsi" w:eastAsiaTheme="majorEastAsia" w:hAnsiTheme="majorHAnsi" w:cstheme="majorBidi"/>
      <w:b/>
      <w:bCs/>
      <w:i/>
      <w:iCs/>
      <w:color w:val="5B9BD5" w:themeColor="accent1"/>
      <w:sz w:val="24"/>
    </w:rPr>
  </w:style>
  <w:style w:type="paragraph" w:styleId="TOC3">
    <w:name w:val="toc 3"/>
    <w:basedOn w:val="Normal"/>
    <w:next w:val="Normal"/>
    <w:autoRedefine/>
    <w:uiPriority w:val="39"/>
    <w:unhideWhenUsed/>
    <w:rsid w:val="00D564DD"/>
    <w:pPr>
      <w:spacing w:after="100"/>
      <w:ind w:left="480"/>
    </w:pPr>
  </w:style>
  <w:style w:type="character" w:styleId="Strong">
    <w:name w:val="Strong"/>
    <w:basedOn w:val="DefaultParagraphFont"/>
    <w:uiPriority w:val="22"/>
    <w:qFormat/>
    <w:rsid w:val="000B4228"/>
    <w:rPr>
      <w:b/>
      <w:bCs/>
    </w:rPr>
  </w:style>
  <w:style w:type="paragraph" w:styleId="Revision">
    <w:name w:val="Revision"/>
    <w:hidden/>
    <w:uiPriority w:val="99"/>
    <w:semiHidden/>
    <w:rsid w:val="0091210E"/>
    <w:pPr>
      <w:spacing w:after="0" w:line="240" w:lineRule="auto"/>
    </w:pPr>
    <w:rPr>
      <w:rFonts w:ascii="Times New Roman" w:eastAsiaTheme="minorEastAsia" w:hAnsi="Times New Roman"/>
      <w:sz w:val="24"/>
    </w:rPr>
  </w:style>
  <w:style w:type="paragraph" w:customStyle="1" w:styleId="tvhtml">
    <w:name w:val="tv_html"/>
    <w:basedOn w:val="Normal"/>
    <w:rsid w:val="00605ADC"/>
    <w:pPr>
      <w:spacing w:before="100" w:beforeAutospacing="1" w:after="100" w:afterAutospacing="1" w:line="240" w:lineRule="auto"/>
      <w:jc w:val="left"/>
    </w:pPr>
    <w:rPr>
      <w:rFonts w:eastAsia="Times New Roman" w:cs="Times New Roman"/>
      <w:szCs w:val="24"/>
      <w:lang w:eastAsia="lv-LV"/>
    </w:rPr>
  </w:style>
  <w:style w:type="paragraph" w:styleId="NormalWeb">
    <w:name w:val="Normal (Web)"/>
    <w:basedOn w:val="Normal"/>
    <w:uiPriority w:val="99"/>
    <w:unhideWhenUsed/>
    <w:rsid w:val="00BC6019"/>
    <w:pPr>
      <w:spacing w:before="100" w:beforeAutospacing="1" w:after="100" w:afterAutospacing="1" w:line="240" w:lineRule="auto"/>
      <w:jc w:val="left"/>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E"/>
    <w:pPr>
      <w:spacing w:line="360" w:lineRule="auto"/>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DC2ADF"/>
    <w:pPr>
      <w:keepNext/>
      <w:keepLines/>
      <w:spacing w:before="240" w:after="240"/>
      <w:jc w:val="left"/>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564DD"/>
    <w:pPr>
      <w:keepNext/>
      <w:keepLines/>
      <w:spacing w:before="240" w:after="120" w:line="240" w:lineRule="auto"/>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F3EEF"/>
    <w:pPr>
      <w:keepNext/>
      <w:keepLines/>
      <w:spacing w:before="200" w:after="0"/>
      <w:outlineLvl w:val="2"/>
    </w:pPr>
    <w:rPr>
      <w:rFonts w:ascii="Times New Roman Bold" w:eastAsiaTheme="majorEastAsia" w:hAnsi="Times New Roman Bold" w:cstheme="majorBidi"/>
      <w:b/>
      <w:bCs/>
      <w:sz w:val="28"/>
    </w:rPr>
  </w:style>
  <w:style w:type="paragraph" w:styleId="Heading4">
    <w:name w:val="heading 4"/>
    <w:basedOn w:val="Normal"/>
    <w:next w:val="Normal"/>
    <w:link w:val="Heading4Char"/>
    <w:uiPriority w:val="9"/>
    <w:unhideWhenUsed/>
    <w:qFormat/>
    <w:rsid w:val="00D564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DF"/>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D564DD"/>
    <w:rPr>
      <w:rFonts w:ascii="Times New Roman" w:eastAsiaTheme="majorEastAsia" w:hAnsi="Times New Roman" w:cstheme="majorBidi"/>
      <w:b/>
      <w:sz w:val="28"/>
      <w:szCs w:val="26"/>
    </w:rPr>
  </w:style>
  <w:style w:type="paragraph" w:styleId="ListParagraph">
    <w:name w:val="List Paragraph"/>
    <w:basedOn w:val="Normal"/>
    <w:uiPriority w:val="34"/>
    <w:qFormat/>
    <w:rsid w:val="004A0C32"/>
    <w:pPr>
      <w:ind w:left="720"/>
      <w:contextualSpacing/>
    </w:pPr>
  </w:style>
  <w:style w:type="paragraph" w:styleId="TOCHeading">
    <w:name w:val="TOC Heading"/>
    <w:basedOn w:val="Heading1"/>
    <w:next w:val="Normal"/>
    <w:uiPriority w:val="39"/>
    <w:unhideWhenUsed/>
    <w:qFormat/>
    <w:rsid w:val="00521A4B"/>
    <w:pPr>
      <w:spacing w:line="259" w:lineRule="auto"/>
      <w:outlineLvl w:val="9"/>
    </w:pPr>
    <w:rPr>
      <w:b w:val="0"/>
      <w:color w:val="2E74B5" w:themeColor="accent1" w:themeShade="BF"/>
      <w:lang w:val="en-US"/>
    </w:rPr>
  </w:style>
  <w:style w:type="paragraph" w:styleId="TOC1">
    <w:name w:val="toc 1"/>
    <w:basedOn w:val="Normal"/>
    <w:next w:val="Normal"/>
    <w:autoRedefine/>
    <w:uiPriority w:val="39"/>
    <w:unhideWhenUsed/>
    <w:rsid w:val="0077685D"/>
    <w:pPr>
      <w:tabs>
        <w:tab w:val="left" w:pos="567"/>
        <w:tab w:val="right" w:leader="dot" w:pos="9071"/>
      </w:tabs>
      <w:spacing w:after="0" w:line="240" w:lineRule="auto"/>
    </w:pPr>
  </w:style>
  <w:style w:type="paragraph" w:styleId="TOC2">
    <w:name w:val="toc 2"/>
    <w:basedOn w:val="Normal"/>
    <w:next w:val="Normal"/>
    <w:autoRedefine/>
    <w:uiPriority w:val="39"/>
    <w:unhideWhenUsed/>
    <w:rsid w:val="0077685D"/>
    <w:pPr>
      <w:tabs>
        <w:tab w:val="right" w:leader="dot" w:pos="9061"/>
      </w:tabs>
      <w:spacing w:after="100"/>
    </w:pPr>
  </w:style>
  <w:style w:type="character" w:styleId="Hyperlink">
    <w:name w:val="Hyperlink"/>
    <w:basedOn w:val="DefaultParagraphFont"/>
    <w:uiPriority w:val="99"/>
    <w:unhideWhenUsed/>
    <w:rsid w:val="00521A4B"/>
    <w:rPr>
      <w:color w:val="0563C1" w:themeColor="hyperlink"/>
      <w:u w:val="single"/>
    </w:rPr>
  </w:style>
  <w:style w:type="character" w:styleId="LineNumber">
    <w:name w:val="line number"/>
    <w:basedOn w:val="DefaultParagraphFont"/>
    <w:uiPriority w:val="99"/>
    <w:semiHidden/>
    <w:unhideWhenUsed/>
    <w:rsid w:val="00DE60B5"/>
  </w:style>
  <w:style w:type="paragraph" w:styleId="Header">
    <w:name w:val="header"/>
    <w:basedOn w:val="Normal"/>
    <w:link w:val="HeaderChar"/>
    <w:uiPriority w:val="99"/>
    <w:unhideWhenUsed/>
    <w:rsid w:val="00DE6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0B5"/>
    <w:rPr>
      <w:rFonts w:eastAsiaTheme="minorEastAsia"/>
      <w:sz w:val="24"/>
    </w:rPr>
  </w:style>
  <w:style w:type="paragraph" w:styleId="Footer">
    <w:name w:val="footer"/>
    <w:basedOn w:val="Normal"/>
    <w:link w:val="FooterChar"/>
    <w:uiPriority w:val="99"/>
    <w:unhideWhenUsed/>
    <w:rsid w:val="00DE6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0B5"/>
    <w:rPr>
      <w:rFonts w:eastAsiaTheme="minorEastAsia"/>
      <w:sz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unhideWhenUsed/>
    <w:rsid w:val="00750C27"/>
    <w:pPr>
      <w:spacing w:after="0" w:line="240" w:lineRule="auto"/>
    </w:pPr>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750C27"/>
    <w:rPr>
      <w:rFonts w:ascii="Times New Roman" w:eastAsiaTheme="minorEastAsia" w:hAnsi="Times New Roman"/>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unhideWhenUsed/>
    <w:qFormat/>
    <w:rsid w:val="00750C27"/>
    <w:rPr>
      <w:vertAlign w:val="superscript"/>
    </w:rPr>
  </w:style>
  <w:style w:type="paragraph" w:styleId="BodyText">
    <w:name w:val="Body Text"/>
    <w:basedOn w:val="Normal"/>
    <w:link w:val="BodyTextChar"/>
    <w:semiHidden/>
    <w:rsid w:val="009E280D"/>
    <w:pPr>
      <w:spacing w:after="0" w:line="240" w:lineRule="auto"/>
      <w:jc w:val="left"/>
    </w:pPr>
    <w:rPr>
      <w:rFonts w:eastAsia="Times New Roman" w:cs="Times New Roman"/>
      <w:i/>
      <w:szCs w:val="20"/>
      <w:lang w:eastAsia="lv-LV"/>
    </w:rPr>
  </w:style>
  <w:style w:type="character" w:customStyle="1" w:styleId="BodyTextChar">
    <w:name w:val="Body Text Char"/>
    <w:basedOn w:val="DefaultParagraphFont"/>
    <w:link w:val="BodyText"/>
    <w:semiHidden/>
    <w:rsid w:val="009E280D"/>
    <w:rPr>
      <w:rFonts w:ascii="Times New Roman" w:eastAsia="Times New Roman" w:hAnsi="Times New Roman" w:cs="Times New Roman"/>
      <w:i/>
      <w:sz w:val="24"/>
      <w:szCs w:val="20"/>
      <w:lang w:eastAsia="lv-LV"/>
    </w:rPr>
  </w:style>
  <w:style w:type="paragraph" w:styleId="BodyText2">
    <w:name w:val="Body Text 2"/>
    <w:basedOn w:val="Normal"/>
    <w:link w:val="BodyText2Char"/>
    <w:semiHidden/>
    <w:rsid w:val="009E280D"/>
    <w:pPr>
      <w:spacing w:after="0" w:line="240" w:lineRule="auto"/>
    </w:pPr>
    <w:rPr>
      <w:rFonts w:eastAsia="Times New Roman" w:cs="Times New Roman"/>
      <w:szCs w:val="20"/>
      <w:lang w:eastAsia="lv-LV"/>
    </w:rPr>
  </w:style>
  <w:style w:type="character" w:customStyle="1" w:styleId="BodyText2Char">
    <w:name w:val="Body Text 2 Char"/>
    <w:basedOn w:val="DefaultParagraphFont"/>
    <w:link w:val="BodyText2"/>
    <w:semiHidden/>
    <w:rsid w:val="009E280D"/>
    <w:rPr>
      <w:rFonts w:ascii="Times New Roman" w:eastAsia="Times New Roman" w:hAnsi="Times New Roman" w:cs="Times New Roman"/>
      <w:sz w:val="24"/>
      <w:szCs w:val="20"/>
      <w:lang w:eastAsia="lv-LV"/>
    </w:rPr>
  </w:style>
  <w:style w:type="paragraph" w:styleId="Caption">
    <w:name w:val="caption"/>
    <w:basedOn w:val="Normal"/>
    <w:next w:val="Normal"/>
    <w:link w:val="CaptionChar"/>
    <w:unhideWhenUsed/>
    <w:rsid w:val="009E280D"/>
    <w:pPr>
      <w:widowControl w:val="0"/>
      <w:adjustRightInd w:val="0"/>
      <w:spacing w:after="120" w:line="0" w:lineRule="atLeast"/>
      <w:textAlignment w:val="baseline"/>
    </w:pPr>
    <w:rPr>
      <w:rFonts w:ascii="Arial" w:eastAsia="Times New Roman" w:hAnsi="Arial" w:cs="Times New Roman"/>
      <w:b/>
      <w:bCs/>
      <w:color w:val="000000"/>
      <w:sz w:val="14"/>
      <w:szCs w:val="18"/>
    </w:rPr>
  </w:style>
  <w:style w:type="character" w:customStyle="1" w:styleId="CaptionChar">
    <w:name w:val="Caption Char"/>
    <w:link w:val="Caption"/>
    <w:rsid w:val="009E280D"/>
    <w:rPr>
      <w:rFonts w:ascii="Arial" w:eastAsia="Times New Roman" w:hAnsi="Arial" w:cs="Times New Roman"/>
      <w:b/>
      <w:bCs/>
      <w:color w:val="000000"/>
      <w:sz w:val="14"/>
      <w:szCs w:val="18"/>
    </w:rPr>
  </w:style>
  <w:style w:type="table" w:styleId="TableGrid">
    <w:name w:val="Table Grid"/>
    <w:basedOn w:val="TableNormal"/>
    <w:rsid w:val="009E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3FE0"/>
    <w:rPr>
      <w:color w:val="954F72" w:themeColor="followedHyperlink"/>
      <w:u w:val="single"/>
    </w:rPr>
  </w:style>
  <w:style w:type="character" w:styleId="CommentReference">
    <w:name w:val="annotation reference"/>
    <w:basedOn w:val="DefaultParagraphFont"/>
    <w:uiPriority w:val="99"/>
    <w:semiHidden/>
    <w:unhideWhenUsed/>
    <w:rsid w:val="00D67152"/>
    <w:rPr>
      <w:sz w:val="16"/>
      <w:szCs w:val="16"/>
    </w:rPr>
  </w:style>
  <w:style w:type="paragraph" w:styleId="CommentText">
    <w:name w:val="annotation text"/>
    <w:basedOn w:val="Normal"/>
    <w:link w:val="CommentTextChar"/>
    <w:uiPriority w:val="99"/>
    <w:semiHidden/>
    <w:unhideWhenUsed/>
    <w:rsid w:val="00D67152"/>
    <w:pPr>
      <w:spacing w:line="240" w:lineRule="auto"/>
    </w:pPr>
    <w:rPr>
      <w:sz w:val="20"/>
      <w:szCs w:val="20"/>
    </w:rPr>
  </w:style>
  <w:style w:type="character" w:customStyle="1" w:styleId="CommentTextChar">
    <w:name w:val="Comment Text Char"/>
    <w:basedOn w:val="DefaultParagraphFont"/>
    <w:link w:val="CommentText"/>
    <w:uiPriority w:val="99"/>
    <w:semiHidden/>
    <w:rsid w:val="00D67152"/>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D67152"/>
    <w:rPr>
      <w:b/>
      <w:bCs/>
    </w:rPr>
  </w:style>
  <w:style w:type="character" w:customStyle="1" w:styleId="CommentSubjectChar">
    <w:name w:val="Comment Subject Char"/>
    <w:basedOn w:val="CommentTextChar"/>
    <w:link w:val="CommentSubject"/>
    <w:uiPriority w:val="99"/>
    <w:semiHidden/>
    <w:rsid w:val="00D67152"/>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D67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52"/>
    <w:rPr>
      <w:rFonts w:ascii="Segoe UI" w:eastAsiaTheme="minorEastAsia" w:hAnsi="Segoe UI" w:cs="Segoe UI"/>
      <w:sz w:val="18"/>
      <w:szCs w:val="18"/>
    </w:rPr>
  </w:style>
  <w:style w:type="paragraph" w:customStyle="1" w:styleId="FootnoteRefernece">
    <w:name w:val="Footnote Refernece"/>
    <w:aliases w:val="ftref,Odwołanie przypisu,Footnotes refss,Ref,de nota al pie,-E Fußnotenzeichen,E,E FNZ"/>
    <w:basedOn w:val="Normal"/>
    <w:next w:val="Normal"/>
    <w:link w:val="FootnoteReference"/>
    <w:rsid w:val="00D67152"/>
    <w:pPr>
      <w:spacing w:line="240" w:lineRule="exact"/>
      <w:textAlignment w:val="baseline"/>
    </w:pPr>
    <w:rPr>
      <w:rFonts w:asciiTheme="minorHAnsi" w:eastAsiaTheme="minorHAnsi" w:hAnsiTheme="minorHAnsi"/>
      <w:sz w:val="22"/>
      <w:vertAlign w:val="superscript"/>
    </w:rPr>
  </w:style>
  <w:style w:type="paragraph" w:styleId="BodyTextIndent2">
    <w:name w:val="Body Text Indent 2"/>
    <w:basedOn w:val="Normal"/>
    <w:link w:val="BodyTextIndent2Char"/>
    <w:uiPriority w:val="99"/>
    <w:unhideWhenUsed/>
    <w:rsid w:val="00D87AE5"/>
    <w:pPr>
      <w:spacing w:after="120" w:line="480" w:lineRule="auto"/>
      <w:ind w:left="283"/>
    </w:pPr>
  </w:style>
  <w:style w:type="character" w:customStyle="1" w:styleId="BodyTextIndent2Char">
    <w:name w:val="Body Text Indent 2 Char"/>
    <w:basedOn w:val="DefaultParagraphFont"/>
    <w:link w:val="BodyTextIndent2"/>
    <w:uiPriority w:val="99"/>
    <w:rsid w:val="00D87AE5"/>
    <w:rPr>
      <w:rFonts w:ascii="Times New Roman" w:eastAsiaTheme="minorEastAsia" w:hAnsi="Times New Roman"/>
      <w:sz w:val="24"/>
    </w:rPr>
  </w:style>
  <w:style w:type="character" w:customStyle="1" w:styleId="Heading3Char">
    <w:name w:val="Heading 3 Char"/>
    <w:basedOn w:val="DefaultParagraphFont"/>
    <w:link w:val="Heading3"/>
    <w:uiPriority w:val="9"/>
    <w:rsid w:val="009F3EEF"/>
    <w:rPr>
      <w:rFonts w:ascii="Times New Roman Bold" w:eastAsiaTheme="majorEastAsia" w:hAnsi="Times New Roman Bold" w:cstheme="majorBidi"/>
      <w:b/>
      <w:bCs/>
      <w:sz w:val="28"/>
    </w:rPr>
  </w:style>
  <w:style w:type="character" w:customStyle="1" w:styleId="Heading4Char">
    <w:name w:val="Heading 4 Char"/>
    <w:basedOn w:val="DefaultParagraphFont"/>
    <w:link w:val="Heading4"/>
    <w:uiPriority w:val="9"/>
    <w:rsid w:val="00D564DD"/>
    <w:rPr>
      <w:rFonts w:asciiTheme="majorHAnsi" w:eastAsiaTheme="majorEastAsia" w:hAnsiTheme="majorHAnsi" w:cstheme="majorBidi"/>
      <w:b/>
      <w:bCs/>
      <w:i/>
      <w:iCs/>
      <w:color w:val="5B9BD5" w:themeColor="accent1"/>
      <w:sz w:val="24"/>
    </w:rPr>
  </w:style>
  <w:style w:type="paragraph" w:styleId="TOC3">
    <w:name w:val="toc 3"/>
    <w:basedOn w:val="Normal"/>
    <w:next w:val="Normal"/>
    <w:autoRedefine/>
    <w:uiPriority w:val="39"/>
    <w:unhideWhenUsed/>
    <w:rsid w:val="00D564DD"/>
    <w:pPr>
      <w:spacing w:after="100"/>
      <w:ind w:left="480"/>
    </w:pPr>
  </w:style>
  <w:style w:type="character" w:styleId="Strong">
    <w:name w:val="Strong"/>
    <w:basedOn w:val="DefaultParagraphFont"/>
    <w:uiPriority w:val="22"/>
    <w:qFormat/>
    <w:rsid w:val="000B4228"/>
    <w:rPr>
      <w:b/>
      <w:bCs/>
    </w:rPr>
  </w:style>
  <w:style w:type="paragraph" w:styleId="Revision">
    <w:name w:val="Revision"/>
    <w:hidden/>
    <w:uiPriority w:val="99"/>
    <w:semiHidden/>
    <w:rsid w:val="0091210E"/>
    <w:pPr>
      <w:spacing w:after="0" w:line="240" w:lineRule="auto"/>
    </w:pPr>
    <w:rPr>
      <w:rFonts w:ascii="Times New Roman" w:eastAsiaTheme="minorEastAsia" w:hAnsi="Times New Roman"/>
      <w:sz w:val="24"/>
    </w:rPr>
  </w:style>
  <w:style w:type="paragraph" w:customStyle="1" w:styleId="tvhtml">
    <w:name w:val="tv_html"/>
    <w:basedOn w:val="Normal"/>
    <w:rsid w:val="00605ADC"/>
    <w:pPr>
      <w:spacing w:before="100" w:beforeAutospacing="1" w:after="100" w:afterAutospacing="1" w:line="240" w:lineRule="auto"/>
      <w:jc w:val="left"/>
    </w:pPr>
    <w:rPr>
      <w:rFonts w:eastAsia="Times New Roman" w:cs="Times New Roman"/>
      <w:szCs w:val="24"/>
      <w:lang w:eastAsia="lv-LV"/>
    </w:rPr>
  </w:style>
  <w:style w:type="paragraph" w:styleId="NormalWeb">
    <w:name w:val="Normal (Web)"/>
    <w:basedOn w:val="Normal"/>
    <w:uiPriority w:val="99"/>
    <w:unhideWhenUsed/>
    <w:rsid w:val="00BC6019"/>
    <w:pPr>
      <w:spacing w:before="100" w:beforeAutospacing="1" w:after="100" w:afterAutospacing="1" w:line="240" w:lineRule="auto"/>
      <w:jc w:val="left"/>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3364">
      <w:bodyDiv w:val="1"/>
      <w:marLeft w:val="0"/>
      <w:marRight w:val="0"/>
      <w:marTop w:val="0"/>
      <w:marBottom w:val="0"/>
      <w:divBdr>
        <w:top w:val="none" w:sz="0" w:space="0" w:color="auto"/>
        <w:left w:val="none" w:sz="0" w:space="0" w:color="auto"/>
        <w:bottom w:val="none" w:sz="0" w:space="0" w:color="auto"/>
        <w:right w:val="none" w:sz="0" w:space="0" w:color="auto"/>
      </w:divBdr>
    </w:div>
    <w:div w:id="22291308">
      <w:bodyDiv w:val="1"/>
      <w:marLeft w:val="0"/>
      <w:marRight w:val="0"/>
      <w:marTop w:val="0"/>
      <w:marBottom w:val="0"/>
      <w:divBdr>
        <w:top w:val="none" w:sz="0" w:space="0" w:color="auto"/>
        <w:left w:val="none" w:sz="0" w:space="0" w:color="auto"/>
        <w:bottom w:val="none" w:sz="0" w:space="0" w:color="auto"/>
        <w:right w:val="none" w:sz="0" w:space="0" w:color="auto"/>
      </w:divBdr>
    </w:div>
    <w:div w:id="36198841">
      <w:bodyDiv w:val="1"/>
      <w:marLeft w:val="0"/>
      <w:marRight w:val="0"/>
      <w:marTop w:val="0"/>
      <w:marBottom w:val="0"/>
      <w:divBdr>
        <w:top w:val="none" w:sz="0" w:space="0" w:color="auto"/>
        <w:left w:val="none" w:sz="0" w:space="0" w:color="auto"/>
        <w:bottom w:val="none" w:sz="0" w:space="0" w:color="auto"/>
        <w:right w:val="none" w:sz="0" w:space="0" w:color="auto"/>
      </w:divBdr>
    </w:div>
    <w:div w:id="111635275">
      <w:bodyDiv w:val="1"/>
      <w:marLeft w:val="0"/>
      <w:marRight w:val="0"/>
      <w:marTop w:val="0"/>
      <w:marBottom w:val="0"/>
      <w:divBdr>
        <w:top w:val="none" w:sz="0" w:space="0" w:color="auto"/>
        <w:left w:val="none" w:sz="0" w:space="0" w:color="auto"/>
        <w:bottom w:val="none" w:sz="0" w:space="0" w:color="auto"/>
        <w:right w:val="none" w:sz="0" w:space="0" w:color="auto"/>
      </w:divBdr>
    </w:div>
    <w:div w:id="175728178">
      <w:bodyDiv w:val="1"/>
      <w:marLeft w:val="0"/>
      <w:marRight w:val="0"/>
      <w:marTop w:val="0"/>
      <w:marBottom w:val="0"/>
      <w:divBdr>
        <w:top w:val="none" w:sz="0" w:space="0" w:color="auto"/>
        <w:left w:val="none" w:sz="0" w:space="0" w:color="auto"/>
        <w:bottom w:val="none" w:sz="0" w:space="0" w:color="auto"/>
        <w:right w:val="none" w:sz="0" w:space="0" w:color="auto"/>
      </w:divBdr>
    </w:div>
    <w:div w:id="222182814">
      <w:bodyDiv w:val="1"/>
      <w:marLeft w:val="0"/>
      <w:marRight w:val="0"/>
      <w:marTop w:val="0"/>
      <w:marBottom w:val="0"/>
      <w:divBdr>
        <w:top w:val="none" w:sz="0" w:space="0" w:color="auto"/>
        <w:left w:val="none" w:sz="0" w:space="0" w:color="auto"/>
        <w:bottom w:val="none" w:sz="0" w:space="0" w:color="auto"/>
        <w:right w:val="none" w:sz="0" w:space="0" w:color="auto"/>
      </w:divBdr>
    </w:div>
    <w:div w:id="239953221">
      <w:bodyDiv w:val="1"/>
      <w:marLeft w:val="0"/>
      <w:marRight w:val="0"/>
      <w:marTop w:val="0"/>
      <w:marBottom w:val="0"/>
      <w:divBdr>
        <w:top w:val="none" w:sz="0" w:space="0" w:color="auto"/>
        <w:left w:val="none" w:sz="0" w:space="0" w:color="auto"/>
        <w:bottom w:val="none" w:sz="0" w:space="0" w:color="auto"/>
        <w:right w:val="none" w:sz="0" w:space="0" w:color="auto"/>
      </w:divBdr>
    </w:div>
    <w:div w:id="415244444">
      <w:bodyDiv w:val="1"/>
      <w:marLeft w:val="0"/>
      <w:marRight w:val="0"/>
      <w:marTop w:val="0"/>
      <w:marBottom w:val="0"/>
      <w:divBdr>
        <w:top w:val="none" w:sz="0" w:space="0" w:color="auto"/>
        <w:left w:val="none" w:sz="0" w:space="0" w:color="auto"/>
        <w:bottom w:val="none" w:sz="0" w:space="0" w:color="auto"/>
        <w:right w:val="none" w:sz="0" w:space="0" w:color="auto"/>
      </w:divBdr>
    </w:div>
    <w:div w:id="488447640">
      <w:bodyDiv w:val="1"/>
      <w:marLeft w:val="0"/>
      <w:marRight w:val="0"/>
      <w:marTop w:val="0"/>
      <w:marBottom w:val="0"/>
      <w:divBdr>
        <w:top w:val="none" w:sz="0" w:space="0" w:color="auto"/>
        <w:left w:val="none" w:sz="0" w:space="0" w:color="auto"/>
        <w:bottom w:val="none" w:sz="0" w:space="0" w:color="auto"/>
        <w:right w:val="none" w:sz="0" w:space="0" w:color="auto"/>
      </w:divBdr>
    </w:div>
    <w:div w:id="502163193">
      <w:bodyDiv w:val="1"/>
      <w:marLeft w:val="0"/>
      <w:marRight w:val="0"/>
      <w:marTop w:val="0"/>
      <w:marBottom w:val="0"/>
      <w:divBdr>
        <w:top w:val="none" w:sz="0" w:space="0" w:color="auto"/>
        <w:left w:val="none" w:sz="0" w:space="0" w:color="auto"/>
        <w:bottom w:val="none" w:sz="0" w:space="0" w:color="auto"/>
        <w:right w:val="none" w:sz="0" w:space="0" w:color="auto"/>
      </w:divBdr>
    </w:div>
    <w:div w:id="654995658">
      <w:bodyDiv w:val="1"/>
      <w:marLeft w:val="0"/>
      <w:marRight w:val="0"/>
      <w:marTop w:val="0"/>
      <w:marBottom w:val="0"/>
      <w:divBdr>
        <w:top w:val="none" w:sz="0" w:space="0" w:color="auto"/>
        <w:left w:val="none" w:sz="0" w:space="0" w:color="auto"/>
        <w:bottom w:val="none" w:sz="0" w:space="0" w:color="auto"/>
        <w:right w:val="none" w:sz="0" w:space="0" w:color="auto"/>
      </w:divBdr>
    </w:div>
    <w:div w:id="741953279">
      <w:bodyDiv w:val="1"/>
      <w:marLeft w:val="0"/>
      <w:marRight w:val="0"/>
      <w:marTop w:val="0"/>
      <w:marBottom w:val="0"/>
      <w:divBdr>
        <w:top w:val="none" w:sz="0" w:space="0" w:color="auto"/>
        <w:left w:val="none" w:sz="0" w:space="0" w:color="auto"/>
        <w:bottom w:val="none" w:sz="0" w:space="0" w:color="auto"/>
        <w:right w:val="none" w:sz="0" w:space="0" w:color="auto"/>
      </w:divBdr>
    </w:div>
    <w:div w:id="811674555">
      <w:bodyDiv w:val="1"/>
      <w:marLeft w:val="0"/>
      <w:marRight w:val="0"/>
      <w:marTop w:val="0"/>
      <w:marBottom w:val="0"/>
      <w:divBdr>
        <w:top w:val="none" w:sz="0" w:space="0" w:color="auto"/>
        <w:left w:val="none" w:sz="0" w:space="0" w:color="auto"/>
        <w:bottom w:val="none" w:sz="0" w:space="0" w:color="auto"/>
        <w:right w:val="none" w:sz="0" w:space="0" w:color="auto"/>
      </w:divBdr>
    </w:div>
    <w:div w:id="834490345">
      <w:bodyDiv w:val="1"/>
      <w:marLeft w:val="0"/>
      <w:marRight w:val="0"/>
      <w:marTop w:val="0"/>
      <w:marBottom w:val="0"/>
      <w:divBdr>
        <w:top w:val="none" w:sz="0" w:space="0" w:color="auto"/>
        <w:left w:val="none" w:sz="0" w:space="0" w:color="auto"/>
        <w:bottom w:val="none" w:sz="0" w:space="0" w:color="auto"/>
        <w:right w:val="none" w:sz="0" w:space="0" w:color="auto"/>
      </w:divBdr>
    </w:div>
    <w:div w:id="887572118">
      <w:bodyDiv w:val="1"/>
      <w:marLeft w:val="0"/>
      <w:marRight w:val="0"/>
      <w:marTop w:val="0"/>
      <w:marBottom w:val="0"/>
      <w:divBdr>
        <w:top w:val="none" w:sz="0" w:space="0" w:color="auto"/>
        <w:left w:val="none" w:sz="0" w:space="0" w:color="auto"/>
        <w:bottom w:val="none" w:sz="0" w:space="0" w:color="auto"/>
        <w:right w:val="none" w:sz="0" w:space="0" w:color="auto"/>
      </w:divBdr>
    </w:div>
    <w:div w:id="962879730">
      <w:bodyDiv w:val="1"/>
      <w:marLeft w:val="0"/>
      <w:marRight w:val="0"/>
      <w:marTop w:val="0"/>
      <w:marBottom w:val="0"/>
      <w:divBdr>
        <w:top w:val="none" w:sz="0" w:space="0" w:color="auto"/>
        <w:left w:val="none" w:sz="0" w:space="0" w:color="auto"/>
        <w:bottom w:val="none" w:sz="0" w:space="0" w:color="auto"/>
        <w:right w:val="none" w:sz="0" w:space="0" w:color="auto"/>
      </w:divBdr>
    </w:div>
    <w:div w:id="977299590">
      <w:bodyDiv w:val="1"/>
      <w:marLeft w:val="0"/>
      <w:marRight w:val="0"/>
      <w:marTop w:val="0"/>
      <w:marBottom w:val="0"/>
      <w:divBdr>
        <w:top w:val="none" w:sz="0" w:space="0" w:color="auto"/>
        <w:left w:val="none" w:sz="0" w:space="0" w:color="auto"/>
        <w:bottom w:val="none" w:sz="0" w:space="0" w:color="auto"/>
        <w:right w:val="none" w:sz="0" w:space="0" w:color="auto"/>
      </w:divBdr>
    </w:div>
    <w:div w:id="1033505798">
      <w:bodyDiv w:val="1"/>
      <w:marLeft w:val="0"/>
      <w:marRight w:val="0"/>
      <w:marTop w:val="0"/>
      <w:marBottom w:val="0"/>
      <w:divBdr>
        <w:top w:val="none" w:sz="0" w:space="0" w:color="auto"/>
        <w:left w:val="none" w:sz="0" w:space="0" w:color="auto"/>
        <w:bottom w:val="none" w:sz="0" w:space="0" w:color="auto"/>
        <w:right w:val="none" w:sz="0" w:space="0" w:color="auto"/>
      </w:divBdr>
    </w:div>
    <w:div w:id="1128084104">
      <w:bodyDiv w:val="1"/>
      <w:marLeft w:val="0"/>
      <w:marRight w:val="0"/>
      <w:marTop w:val="0"/>
      <w:marBottom w:val="0"/>
      <w:divBdr>
        <w:top w:val="none" w:sz="0" w:space="0" w:color="auto"/>
        <w:left w:val="none" w:sz="0" w:space="0" w:color="auto"/>
        <w:bottom w:val="none" w:sz="0" w:space="0" w:color="auto"/>
        <w:right w:val="none" w:sz="0" w:space="0" w:color="auto"/>
      </w:divBdr>
    </w:div>
    <w:div w:id="1148789343">
      <w:bodyDiv w:val="1"/>
      <w:marLeft w:val="0"/>
      <w:marRight w:val="0"/>
      <w:marTop w:val="0"/>
      <w:marBottom w:val="0"/>
      <w:divBdr>
        <w:top w:val="none" w:sz="0" w:space="0" w:color="auto"/>
        <w:left w:val="none" w:sz="0" w:space="0" w:color="auto"/>
        <w:bottom w:val="none" w:sz="0" w:space="0" w:color="auto"/>
        <w:right w:val="none" w:sz="0" w:space="0" w:color="auto"/>
      </w:divBdr>
    </w:div>
    <w:div w:id="1250850691">
      <w:bodyDiv w:val="1"/>
      <w:marLeft w:val="0"/>
      <w:marRight w:val="0"/>
      <w:marTop w:val="0"/>
      <w:marBottom w:val="0"/>
      <w:divBdr>
        <w:top w:val="none" w:sz="0" w:space="0" w:color="auto"/>
        <w:left w:val="none" w:sz="0" w:space="0" w:color="auto"/>
        <w:bottom w:val="none" w:sz="0" w:space="0" w:color="auto"/>
        <w:right w:val="none" w:sz="0" w:space="0" w:color="auto"/>
      </w:divBdr>
    </w:div>
    <w:div w:id="1318921562">
      <w:bodyDiv w:val="1"/>
      <w:marLeft w:val="0"/>
      <w:marRight w:val="0"/>
      <w:marTop w:val="0"/>
      <w:marBottom w:val="0"/>
      <w:divBdr>
        <w:top w:val="none" w:sz="0" w:space="0" w:color="auto"/>
        <w:left w:val="none" w:sz="0" w:space="0" w:color="auto"/>
        <w:bottom w:val="none" w:sz="0" w:space="0" w:color="auto"/>
        <w:right w:val="none" w:sz="0" w:space="0" w:color="auto"/>
      </w:divBdr>
    </w:div>
    <w:div w:id="1386415812">
      <w:bodyDiv w:val="1"/>
      <w:marLeft w:val="0"/>
      <w:marRight w:val="0"/>
      <w:marTop w:val="0"/>
      <w:marBottom w:val="0"/>
      <w:divBdr>
        <w:top w:val="none" w:sz="0" w:space="0" w:color="auto"/>
        <w:left w:val="none" w:sz="0" w:space="0" w:color="auto"/>
        <w:bottom w:val="none" w:sz="0" w:space="0" w:color="auto"/>
        <w:right w:val="none" w:sz="0" w:space="0" w:color="auto"/>
      </w:divBdr>
      <w:divsChild>
        <w:div w:id="87041465">
          <w:marLeft w:val="0"/>
          <w:marRight w:val="0"/>
          <w:marTop w:val="240"/>
          <w:marBottom w:val="0"/>
          <w:divBdr>
            <w:top w:val="none" w:sz="0" w:space="0" w:color="auto"/>
            <w:left w:val="none" w:sz="0" w:space="0" w:color="auto"/>
            <w:bottom w:val="none" w:sz="0" w:space="0" w:color="auto"/>
            <w:right w:val="none" w:sz="0" w:space="0" w:color="auto"/>
          </w:divBdr>
        </w:div>
        <w:div w:id="1109131276">
          <w:marLeft w:val="0"/>
          <w:marRight w:val="0"/>
          <w:marTop w:val="240"/>
          <w:marBottom w:val="0"/>
          <w:divBdr>
            <w:top w:val="none" w:sz="0" w:space="0" w:color="auto"/>
            <w:left w:val="none" w:sz="0" w:space="0" w:color="auto"/>
            <w:bottom w:val="none" w:sz="0" w:space="0" w:color="auto"/>
            <w:right w:val="none" w:sz="0" w:space="0" w:color="auto"/>
          </w:divBdr>
        </w:div>
      </w:divsChild>
    </w:div>
    <w:div w:id="1557274090">
      <w:bodyDiv w:val="1"/>
      <w:marLeft w:val="0"/>
      <w:marRight w:val="0"/>
      <w:marTop w:val="0"/>
      <w:marBottom w:val="0"/>
      <w:divBdr>
        <w:top w:val="none" w:sz="0" w:space="0" w:color="auto"/>
        <w:left w:val="none" w:sz="0" w:space="0" w:color="auto"/>
        <w:bottom w:val="none" w:sz="0" w:space="0" w:color="auto"/>
        <w:right w:val="none" w:sz="0" w:space="0" w:color="auto"/>
      </w:divBdr>
    </w:div>
    <w:div w:id="1562058063">
      <w:bodyDiv w:val="1"/>
      <w:marLeft w:val="0"/>
      <w:marRight w:val="0"/>
      <w:marTop w:val="0"/>
      <w:marBottom w:val="0"/>
      <w:divBdr>
        <w:top w:val="none" w:sz="0" w:space="0" w:color="auto"/>
        <w:left w:val="none" w:sz="0" w:space="0" w:color="auto"/>
        <w:bottom w:val="none" w:sz="0" w:space="0" w:color="auto"/>
        <w:right w:val="none" w:sz="0" w:space="0" w:color="auto"/>
      </w:divBdr>
    </w:div>
    <w:div w:id="1587766394">
      <w:bodyDiv w:val="1"/>
      <w:marLeft w:val="0"/>
      <w:marRight w:val="0"/>
      <w:marTop w:val="0"/>
      <w:marBottom w:val="0"/>
      <w:divBdr>
        <w:top w:val="none" w:sz="0" w:space="0" w:color="auto"/>
        <w:left w:val="none" w:sz="0" w:space="0" w:color="auto"/>
        <w:bottom w:val="none" w:sz="0" w:space="0" w:color="auto"/>
        <w:right w:val="none" w:sz="0" w:space="0" w:color="auto"/>
      </w:divBdr>
    </w:div>
    <w:div w:id="1691223434">
      <w:bodyDiv w:val="1"/>
      <w:marLeft w:val="0"/>
      <w:marRight w:val="0"/>
      <w:marTop w:val="0"/>
      <w:marBottom w:val="0"/>
      <w:divBdr>
        <w:top w:val="none" w:sz="0" w:space="0" w:color="auto"/>
        <w:left w:val="none" w:sz="0" w:space="0" w:color="auto"/>
        <w:bottom w:val="none" w:sz="0" w:space="0" w:color="auto"/>
        <w:right w:val="none" w:sz="0" w:space="0" w:color="auto"/>
      </w:divBdr>
    </w:div>
    <w:div w:id="1753163821">
      <w:bodyDiv w:val="1"/>
      <w:marLeft w:val="0"/>
      <w:marRight w:val="0"/>
      <w:marTop w:val="0"/>
      <w:marBottom w:val="0"/>
      <w:divBdr>
        <w:top w:val="none" w:sz="0" w:space="0" w:color="auto"/>
        <w:left w:val="none" w:sz="0" w:space="0" w:color="auto"/>
        <w:bottom w:val="none" w:sz="0" w:space="0" w:color="auto"/>
        <w:right w:val="none" w:sz="0" w:space="0" w:color="auto"/>
      </w:divBdr>
    </w:div>
    <w:div w:id="1840077953">
      <w:bodyDiv w:val="1"/>
      <w:marLeft w:val="0"/>
      <w:marRight w:val="0"/>
      <w:marTop w:val="0"/>
      <w:marBottom w:val="0"/>
      <w:divBdr>
        <w:top w:val="none" w:sz="0" w:space="0" w:color="auto"/>
        <w:left w:val="none" w:sz="0" w:space="0" w:color="auto"/>
        <w:bottom w:val="none" w:sz="0" w:space="0" w:color="auto"/>
        <w:right w:val="none" w:sz="0" w:space="0" w:color="auto"/>
      </w:divBdr>
      <w:divsChild>
        <w:div w:id="140462942">
          <w:marLeft w:val="0"/>
          <w:marRight w:val="0"/>
          <w:marTop w:val="400"/>
          <w:marBottom w:val="0"/>
          <w:divBdr>
            <w:top w:val="none" w:sz="0" w:space="0" w:color="auto"/>
            <w:left w:val="none" w:sz="0" w:space="0" w:color="auto"/>
            <w:bottom w:val="none" w:sz="0" w:space="0" w:color="auto"/>
            <w:right w:val="none" w:sz="0" w:space="0" w:color="auto"/>
          </w:divBdr>
        </w:div>
        <w:div w:id="59400582">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
    <w:div w:id="2032948802">
      <w:bodyDiv w:val="1"/>
      <w:marLeft w:val="0"/>
      <w:marRight w:val="0"/>
      <w:marTop w:val="0"/>
      <w:marBottom w:val="0"/>
      <w:divBdr>
        <w:top w:val="none" w:sz="0" w:space="0" w:color="auto"/>
        <w:left w:val="none" w:sz="0" w:space="0" w:color="auto"/>
        <w:bottom w:val="none" w:sz="0" w:space="0" w:color="auto"/>
        <w:right w:val="none" w:sz="0" w:space="0" w:color="auto"/>
      </w:divBdr>
    </w:div>
    <w:div w:id="20948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oberts.Meijers@em.gov.lv"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ga.Iljina@em.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em.gov.lv/lv/par_ministriju/sabiedribas_lidzdaliba/diskusiju_dokumenti/"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mailto:Rota.Snuka@e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k.gov.lv/lv/mk/tap/?pid=40294599&amp;mode=mk&amp;date=2013-08-13" TargetMode="External"/><Relationship Id="rId1" Type="http://schemas.openxmlformats.org/officeDocument/2006/relationships/hyperlink" Target="http://www.mk.gov.lv/lv/mk/tap/?pid=40294599&amp;mode=mk&amp;date=2013-08-13"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ls5\Atjaunojamo%20energoresursu%20un%20energoefektivitates%20departaments\Atjaunojamo%20energoresursu%20noda&#316;a\konceptu&#257;lais%20zi&#326;ojums\Copy%20of%20temp_grafikiem.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ls5\Atjaunojamo%20energoresursu%20un%20energoefektivitates%20departaments\Atjaunojamo%20energoresursu%20noda&#316;a\konceptu&#257;lais%20zi&#326;ojums\Copy%20of%202015%20-OIK-Aizs-R&#363;pn.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ls5\Atjaunojamo%20energoresursu%20un%20energoefektivitates%20departaments\Atjaunojamo%20energoresursu%20noda&#316;a\konceptu&#257;lais%20zi&#326;ojums\Copy%20of%202015%20-OIK-Aizs-R&#363;pn.xls"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1"/>
          <c:order val="0"/>
          <c:tx>
            <c:strRef>
              <c:f>Tables!$A$16</c:f>
              <c:strCache>
                <c:ptCount val="1"/>
                <c:pt idx="0">
                  <c:v>OIK, EUR/MWh</c:v>
                </c:pt>
              </c:strCache>
            </c:strRef>
          </c:tx>
          <c:spPr>
            <a:solidFill>
              <a:srgbClr val="C00000"/>
            </a:solidFill>
          </c:spPr>
          <c:invertIfNegative val="0"/>
          <c:dPt>
            <c:idx val="6"/>
            <c:invertIfNegative val="0"/>
            <c:bubble3D val="0"/>
            <c:spPr>
              <a:solidFill>
                <a:schemeClr val="accent1"/>
              </a:solidFill>
            </c:spPr>
          </c:dPt>
          <c:dPt>
            <c:idx val="7"/>
            <c:invertIfNegative val="0"/>
            <c:bubble3D val="0"/>
            <c:spPr>
              <a:solidFill>
                <a:schemeClr val="accent1"/>
              </a:solidFill>
            </c:spPr>
          </c:dPt>
          <c:dLbls>
            <c:spPr>
              <a:noFill/>
              <a:ln>
                <a:noFill/>
              </a:ln>
              <a:effectLst/>
            </c:spPr>
            <c:txPr>
              <a:bodyPr wrap="square" lIns="38100" tIns="19050" rIns="38100" bIns="19050" anchor="ctr">
                <a:spAutoFit/>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Tables!$B$2:$T$2</c:f>
              <c:numCache>
                <c:formatCode>General</c:formatCode>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numCache>
            </c:numRef>
          </c:cat>
          <c:val>
            <c:numRef>
              <c:f>Tables!$B$16:$T$16</c:f>
              <c:numCache>
                <c:formatCode>General</c:formatCode>
                <c:ptCount val="18"/>
                <c:pt idx="0">
                  <c:v>9.3000000000000007</c:v>
                </c:pt>
                <c:pt idx="1">
                  <c:v>11.2</c:v>
                </c:pt>
                <c:pt idx="2">
                  <c:v>16.399999999999999</c:v>
                </c:pt>
                <c:pt idx="3">
                  <c:v>16.7</c:v>
                </c:pt>
                <c:pt idx="4">
                  <c:v>17.5</c:v>
                </c:pt>
                <c:pt idx="5">
                  <c:v>26.9</c:v>
                </c:pt>
                <c:pt idx="6">
                  <c:v>26.79</c:v>
                </c:pt>
                <c:pt idx="7" formatCode="0.00">
                  <c:v>26.79</c:v>
                </c:pt>
                <c:pt idx="8" formatCode="0.00">
                  <c:v>38.661076710536086</c:v>
                </c:pt>
                <c:pt idx="9" formatCode="0.00">
                  <c:v>39.299378016447818</c:v>
                </c:pt>
                <c:pt idx="10" formatCode="0.00">
                  <c:v>41.275482497320951</c:v>
                </c:pt>
                <c:pt idx="11" formatCode="0.00">
                  <c:v>39.763745739910412</c:v>
                </c:pt>
                <c:pt idx="12" formatCode="0.00">
                  <c:v>38.614770886096991</c:v>
                </c:pt>
                <c:pt idx="13" formatCode="0.00">
                  <c:v>36.776812104608133</c:v>
                </c:pt>
                <c:pt idx="14" formatCode="0.00">
                  <c:v>33.122442077659869</c:v>
                </c:pt>
                <c:pt idx="15" formatCode="0.00">
                  <c:v>28.650216755221127</c:v>
                </c:pt>
                <c:pt idx="16" formatCode="0.00">
                  <c:v>24.71376535924675</c:v>
                </c:pt>
                <c:pt idx="17" formatCode="0.00">
                  <c:v>22.93664353165358</c:v>
                </c:pt>
              </c:numCache>
            </c:numRef>
          </c:val>
        </c:ser>
        <c:dLbls>
          <c:showLegendKey val="0"/>
          <c:showVal val="0"/>
          <c:showCatName val="0"/>
          <c:showSerName val="0"/>
          <c:showPercent val="0"/>
          <c:showBubbleSize val="0"/>
        </c:dLbls>
        <c:gapWidth val="150"/>
        <c:axId val="162185216"/>
        <c:axId val="162186752"/>
      </c:barChart>
      <c:catAx>
        <c:axId val="162185216"/>
        <c:scaling>
          <c:orientation val="minMax"/>
        </c:scaling>
        <c:delete val="0"/>
        <c:axPos val="b"/>
        <c:numFmt formatCode="General" sourceLinked="1"/>
        <c:majorTickMark val="out"/>
        <c:minorTickMark val="none"/>
        <c:tickLblPos val="nextTo"/>
        <c:crossAx val="162186752"/>
        <c:crosses val="autoZero"/>
        <c:auto val="1"/>
        <c:lblAlgn val="ctr"/>
        <c:lblOffset val="100"/>
        <c:noMultiLvlLbl val="0"/>
      </c:catAx>
      <c:valAx>
        <c:axId val="162186752"/>
        <c:scaling>
          <c:orientation val="minMax"/>
          <c:min val="0"/>
        </c:scaling>
        <c:delete val="0"/>
        <c:axPos val="l"/>
        <c:majorGridlines/>
        <c:title>
          <c:tx>
            <c:rich>
              <a:bodyPr rot="-5400000" vert="horz"/>
              <a:lstStyle/>
              <a:p>
                <a:pPr>
                  <a:defRPr/>
                </a:pPr>
                <a:r>
                  <a:rPr lang="en-US"/>
                  <a:t>EUR/MWh</a:t>
                </a:r>
              </a:p>
            </c:rich>
          </c:tx>
          <c:overlay val="0"/>
        </c:title>
        <c:numFmt formatCode="General" sourceLinked="1"/>
        <c:majorTickMark val="out"/>
        <c:minorTickMark val="none"/>
        <c:tickLblPos val="nextTo"/>
        <c:crossAx val="16218521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Sheet1!$G$1</c:f>
              <c:strCache>
                <c:ptCount val="1"/>
                <c:pt idx="0">
                  <c:v>Plānotie SEN ieņēmumi, milj.EUR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Sheet1!$F$2:$F$8</c:f>
              <c:strCache>
                <c:ptCount val="7"/>
                <c:pt idx="0">
                  <c:v>Janvāris</c:v>
                </c:pt>
                <c:pt idx="1">
                  <c:v>Februāris</c:v>
                </c:pt>
                <c:pt idx="2">
                  <c:v>Marts</c:v>
                </c:pt>
                <c:pt idx="3">
                  <c:v>Aprīlis</c:v>
                </c:pt>
                <c:pt idx="4">
                  <c:v>Maijs</c:v>
                </c:pt>
                <c:pt idx="5">
                  <c:v>Jūnijs</c:v>
                </c:pt>
                <c:pt idx="6">
                  <c:v>Jūlijs</c:v>
                </c:pt>
              </c:strCache>
            </c:strRef>
          </c:cat>
          <c:val>
            <c:numRef>
              <c:f>Sheet1!$G$2:$G$8</c:f>
              <c:numCache>
                <c:formatCode>#,##0.00</c:formatCode>
                <c:ptCount val="7"/>
                <c:pt idx="0">
                  <c:v>2.8839999999999999</c:v>
                </c:pt>
                <c:pt idx="1">
                  <c:v>3.1559999999999997</c:v>
                </c:pt>
                <c:pt idx="2">
                  <c:v>3.1539999999999999</c:v>
                </c:pt>
                <c:pt idx="3">
                  <c:v>2.9009999999999998</c:v>
                </c:pt>
                <c:pt idx="4">
                  <c:v>3.1319999999999997</c:v>
                </c:pt>
                <c:pt idx="5">
                  <c:v>3.1179999999999999</c:v>
                </c:pt>
                <c:pt idx="6">
                  <c:v>2.9509999999999992</c:v>
                </c:pt>
              </c:numCache>
            </c:numRef>
          </c:val>
        </c:ser>
        <c:ser>
          <c:idx val="1"/>
          <c:order val="1"/>
          <c:tx>
            <c:strRef>
              <c:f>Sheet1!$H$1</c:f>
              <c:strCache>
                <c:ptCount val="1"/>
                <c:pt idx="0">
                  <c:v>Faktiskie SEN ieņēmumi, milj.EUR</c:v>
                </c:pt>
              </c:strCache>
            </c:strRef>
          </c:tx>
          <c:spPr>
            <a:solidFill>
              <a:schemeClr val="accent2"/>
            </a:solidFill>
            <a:ln>
              <a:noFill/>
            </a:ln>
            <a:effectLst/>
          </c:spPr>
          <c:invertIfNegative val="0"/>
          <c:dLbls>
            <c:dLbl>
              <c:idx val="0"/>
              <c:layout>
                <c:manualLayout>
                  <c:x val="5.5555555555555558E-3"/>
                  <c:y val="1.38888888888888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336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8304E-3"/>
                  <c:y val="1.85185185185185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111111111111117E-2"/>
                  <c:y val="1.85185185185185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5555555555555558E-3"/>
                  <c:y val="9.25925925925924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5555555555555558E-3"/>
                  <c:y val="9.25925925925926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3333333333333367E-3"/>
                  <c:y val="1.85185185185185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Sheet1!$F$2:$F$8</c:f>
              <c:strCache>
                <c:ptCount val="7"/>
                <c:pt idx="0">
                  <c:v>Janvāris</c:v>
                </c:pt>
                <c:pt idx="1">
                  <c:v>Februāris</c:v>
                </c:pt>
                <c:pt idx="2">
                  <c:v>Marts</c:v>
                </c:pt>
                <c:pt idx="3">
                  <c:v>Aprīlis</c:v>
                </c:pt>
                <c:pt idx="4">
                  <c:v>Maijs</c:v>
                </c:pt>
                <c:pt idx="5">
                  <c:v>Jūnijs</c:v>
                </c:pt>
                <c:pt idx="6">
                  <c:v>Jūlijs</c:v>
                </c:pt>
              </c:strCache>
            </c:strRef>
          </c:cat>
          <c:val>
            <c:numRef>
              <c:f>Sheet1!$H$2:$H$8</c:f>
              <c:numCache>
                <c:formatCode>#,##0.00</c:formatCode>
                <c:ptCount val="7"/>
                <c:pt idx="0">
                  <c:v>2.6579000000000002</c:v>
                </c:pt>
                <c:pt idx="1">
                  <c:v>2.6659000000000002</c:v>
                </c:pt>
                <c:pt idx="2">
                  <c:v>2.8182999999999994</c:v>
                </c:pt>
                <c:pt idx="3">
                  <c:v>2.7897999999999992</c:v>
                </c:pt>
                <c:pt idx="4">
                  <c:v>2.7885000000000009</c:v>
                </c:pt>
                <c:pt idx="5">
                  <c:v>2.7060000000000017</c:v>
                </c:pt>
                <c:pt idx="6">
                  <c:v>2.609</c:v>
                </c:pt>
              </c:numCache>
            </c:numRef>
          </c:val>
        </c:ser>
        <c:dLbls>
          <c:showLegendKey val="0"/>
          <c:showVal val="0"/>
          <c:showCatName val="0"/>
          <c:showSerName val="0"/>
          <c:showPercent val="0"/>
          <c:showBubbleSize val="0"/>
        </c:dLbls>
        <c:gapWidth val="219"/>
        <c:overlap val="-27"/>
        <c:axId val="162245248"/>
        <c:axId val="162247040"/>
      </c:barChart>
      <c:catAx>
        <c:axId val="16224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47040"/>
        <c:crosses val="autoZero"/>
        <c:auto val="1"/>
        <c:lblAlgn val="ctr"/>
        <c:lblOffset val="100"/>
        <c:noMultiLvlLbl val="0"/>
      </c:catAx>
      <c:valAx>
        <c:axId val="162247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milj.EUR</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4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1.kvintiles ienākumi pret elektroenerģijas cenu</a:t>
            </a:r>
          </a:p>
        </c:rich>
      </c:tx>
      <c:layout>
        <c:manualLayout>
          <c:xMode val="edge"/>
          <c:yMode val="edge"/>
          <c:x val="0.20139075163681461"/>
          <c:y val="4.2979942693409739E-2"/>
        </c:manualLayout>
      </c:layout>
      <c:overlay val="0"/>
      <c:spPr>
        <a:noFill/>
        <a:ln w="25400">
          <a:noFill/>
        </a:ln>
      </c:spPr>
    </c:title>
    <c:autoTitleDeleted val="0"/>
    <c:plotArea>
      <c:layout>
        <c:manualLayout>
          <c:layoutTarget val="inner"/>
          <c:xMode val="edge"/>
          <c:yMode val="edge"/>
          <c:x val="5.3867064693836349E-2"/>
          <c:y val="0.22010506208213945"/>
          <c:w val="0.92159081076403915"/>
          <c:h val="0.45941497642307605"/>
        </c:manualLayout>
      </c:layout>
      <c:barChart>
        <c:barDir val="col"/>
        <c:grouping val="clustered"/>
        <c:varyColors val="0"/>
        <c:ser>
          <c:idx val="0"/>
          <c:order val="0"/>
          <c:tx>
            <c:strRef>
              <c:f>Data!$B$47</c:f>
              <c:strCache>
                <c:ptCount val="1"/>
                <c:pt idx="0">
                  <c:v>MWh/gadā</c:v>
                </c:pt>
              </c:strCache>
            </c:strRef>
          </c:tx>
          <c:spPr>
            <a:solidFill>
              <a:srgbClr val="5B9BD5"/>
            </a:solidFill>
            <a:ln w="25400">
              <a:noFill/>
            </a:ln>
          </c:spPr>
          <c:invertIfNegative val="0"/>
          <c:dPt>
            <c:idx val="15"/>
            <c:invertIfNegative val="0"/>
            <c:bubble3D val="0"/>
            <c:spPr>
              <a:solidFill>
                <a:srgbClr val="ED7D31"/>
              </a:solidFill>
              <a:ln w="25400">
                <a:noFill/>
              </a:ln>
            </c:spPr>
          </c:dPt>
          <c:cat>
            <c:strRef>
              <c:f>Data!$A$48:$A$76</c:f>
              <c:strCache>
                <c:ptCount val="29"/>
                <c:pt idx="0">
                  <c:v>Luxembourg</c:v>
                </c:pt>
                <c:pt idx="1">
                  <c:v>Denmark</c:v>
                </c:pt>
                <c:pt idx="2">
                  <c:v>Finland</c:v>
                </c:pt>
                <c:pt idx="3">
                  <c:v>Belgium</c:v>
                </c:pt>
                <c:pt idx="4">
                  <c:v>Sweden</c:v>
                </c:pt>
                <c:pt idx="5">
                  <c:v>France</c:v>
                </c:pt>
                <c:pt idx="6">
                  <c:v>UK</c:v>
                </c:pt>
                <c:pt idx="7">
                  <c:v>Austria</c:v>
                </c:pt>
                <c:pt idx="8">
                  <c:v>Cyprus</c:v>
                </c:pt>
                <c:pt idx="9">
                  <c:v>Slovenia</c:v>
                </c:pt>
                <c:pt idx="10">
                  <c:v>Italy</c:v>
                </c:pt>
                <c:pt idx="11">
                  <c:v>Euro area</c:v>
                </c:pt>
                <c:pt idx="12">
                  <c:v>EU28</c:v>
                </c:pt>
                <c:pt idx="13">
                  <c:v>Estonia</c:v>
                </c:pt>
                <c:pt idx="14">
                  <c:v>Germany</c:v>
                </c:pt>
                <c:pt idx="15">
                  <c:v>Latvia</c:v>
                </c:pt>
                <c:pt idx="16">
                  <c:v>Hungary</c:v>
                </c:pt>
                <c:pt idx="17">
                  <c:v>Malta</c:v>
                </c:pt>
                <c:pt idx="18">
                  <c:v>Greece</c:v>
                </c:pt>
                <c:pt idx="19">
                  <c:v>Lithuania</c:v>
                </c:pt>
                <c:pt idx="20">
                  <c:v>Czech Republic</c:v>
                </c:pt>
                <c:pt idx="21">
                  <c:v>Slovakia</c:v>
                </c:pt>
                <c:pt idx="22">
                  <c:v>Ireland</c:v>
                </c:pt>
                <c:pt idx="23">
                  <c:v>Bulgaria</c:v>
                </c:pt>
                <c:pt idx="24">
                  <c:v>Poland</c:v>
                </c:pt>
                <c:pt idx="25">
                  <c:v>Spain</c:v>
                </c:pt>
                <c:pt idx="26">
                  <c:v>Croatia</c:v>
                </c:pt>
                <c:pt idx="27">
                  <c:v>Portugal</c:v>
                </c:pt>
                <c:pt idx="28">
                  <c:v>Romania</c:v>
                </c:pt>
              </c:strCache>
            </c:strRef>
          </c:cat>
          <c:val>
            <c:numRef>
              <c:f>Data!$B$48:$B$76</c:f>
              <c:numCache>
                <c:formatCode>General</c:formatCode>
                <c:ptCount val="29"/>
                <c:pt idx="0">
                  <c:v>90.526092490453976</c:v>
                </c:pt>
                <c:pt idx="1">
                  <c:v>55.992757996379005</c:v>
                </c:pt>
                <c:pt idx="2">
                  <c:v>54.232184677149554</c:v>
                </c:pt>
                <c:pt idx="3">
                  <c:v>54.065510597302506</c:v>
                </c:pt>
                <c:pt idx="4">
                  <c:v>50.132059567294185</c:v>
                </c:pt>
                <c:pt idx="5">
                  <c:v>49.043358568479007</c:v>
                </c:pt>
                <c:pt idx="6">
                  <c:v>48.369956052736711</c:v>
                </c:pt>
                <c:pt idx="7">
                  <c:v>47.446134347275034</c:v>
                </c:pt>
                <c:pt idx="8">
                  <c:v>39.527798933739525</c:v>
                </c:pt>
                <c:pt idx="9">
                  <c:v>38.116486613433537</c:v>
                </c:pt>
                <c:pt idx="10">
                  <c:v>33.099897013388258</c:v>
                </c:pt>
                <c:pt idx="11">
                  <c:v>32.159704461494748</c:v>
                </c:pt>
                <c:pt idx="12">
                  <c:v>31.547394852479595</c:v>
                </c:pt>
                <c:pt idx="13">
                  <c:v>29.62882096069869</c:v>
                </c:pt>
                <c:pt idx="14">
                  <c:v>29.605627306273064</c:v>
                </c:pt>
                <c:pt idx="15">
                  <c:v>25.47254725472547</c:v>
                </c:pt>
                <c:pt idx="16">
                  <c:v>23.187641296156741</c:v>
                </c:pt>
                <c:pt idx="17">
                  <c:v>22.698830409356724</c:v>
                </c:pt>
                <c:pt idx="18">
                  <c:v>21.98304286387188</c:v>
                </c:pt>
                <c:pt idx="19">
                  <c:v>20.516605166051662</c:v>
                </c:pt>
                <c:pt idx="20">
                  <c:v>20.28298549699328</c:v>
                </c:pt>
                <c:pt idx="21">
                  <c:v>19.6689824274622</c:v>
                </c:pt>
                <c:pt idx="22">
                  <c:v>19.224060150375941</c:v>
                </c:pt>
                <c:pt idx="23">
                  <c:v>18.741794310722103</c:v>
                </c:pt>
                <c:pt idx="24">
                  <c:v>18.327759197324415</c:v>
                </c:pt>
                <c:pt idx="25">
                  <c:v>17.264150943396228</c:v>
                </c:pt>
                <c:pt idx="26">
                  <c:v>14.708413001912046</c:v>
                </c:pt>
                <c:pt idx="27">
                  <c:v>12.984771573604061</c:v>
                </c:pt>
                <c:pt idx="28">
                  <c:v>8.861538461538462</c:v>
                </c:pt>
              </c:numCache>
            </c:numRef>
          </c:val>
        </c:ser>
        <c:dLbls>
          <c:showLegendKey val="0"/>
          <c:showVal val="0"/>
          <c:showCatName val="0"/>
          <c:showSerName val="0"/>
          <c:showPercent val="0"/>
          <c:showBubbleSize val="0"/>
        </c:dLbls>
        <c:gapWidth val="219"/>
        <c:overlap val="-27"/>
        <c:axId val="164263808"/>
        <c:axId val="164265344"/>
      </c:barChart>
      <c:catAx>
        <c:axId val="16426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265344"/>
        <c:crosses val="autoZero"/>
        <c:auto val="1"/>
        <c:lblAlgn val="ctr"/>
        <c:lblOffset val="100"/>
        <c:noMultiLvlLbl val="0"/>
      </c:catAx>
      <c:valAx>
        <c:axId val="164265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nchor="t" anchorCtr="1"/>
              <a:lstStyle/>
              <a:p>
                <a:pPr>
                  <a:defRPr sz="800"/>
                </a:pPr>
                <a:r>
                  <a:rPr lang="lv-LV" sz="800"/>
                  <a:t>MWh/gadā</a:t>
                </a:r>
              </a:p>
            </c:rich>
          </c:tx>
          <c:layout>
            <c:manualLayout>
              <c:xMode val="edge"/>
              <c:yMode val="edge"/>
              <c:x val="0"/>
              <c:y val="0.13413652806293197"/>
            </c:manualLayout>
          </c:layout>
          <c:overlay val="0"/>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26380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025371828521465E-2"/>
          <c:y val="0.15888252148997131"/>
          <c:w val="0.881419072615923"/>
          <c:h val="0.56032646707127221"/>
        </c:manualLayout>
      </c:layout>
      <c:barChart>
        <c:barDir val="col"/>
        <c:grouping val="clustered"/>
        <c:varyColors val="0"/>
        <c:ser>
          <c:idx val="0"/>
          <c:order val="0"/>
          <c:spPr>
            <a:solidFill>
              <a:srgbClr val="5B9BD5"/>
            </a:solidFill>
            <a:ln w="25400">
              <a:noFill/>
            </a:ln>
          </c:spPr>
          <c:invertIfNegative val="0"/>
          <c:dPt>
            <c:idx val="0"/>
            <c:invertIfNegative val="0"/>
            <c:bubble3D val="0"/>
            <c:spPr>
              <a:solidFill>
                <a:srgbClr val="ED7D31"/>
              </a:solidFill>
              <a:ln w="25400">
                <a:noFill/>
              </a:ln>
            </c:spPr>
          </c:dPt>
          <c:cat>
            <c:strRef>
              <c:f>'R"upn'!$I$13:$I$27</c:f>
              <c:strCache>
                <c:ptCount val="15"/>
                <c:pt idx="0">
                  <c:v>Latvia</c:v>
                </c:pt>
                <c:pt idx="1">
                  <c:v>Lithuania</c:v>
                </c:pt>
                <c:pt idx="2">
                  <c:v>Slovakia</c:v>
                </c:pt>
                <c:pt idx="3">
                  <c:v>Denmark</c:v>
                </c:pt>
                <c:pt idx="4">
                  <c:v>Czech Republic</c:v>
                </c:pt>
                <c:pt idx="5">
                  <c:v>Estonia</c:v>
                </c:pt>
                <c:pt idx="6">
                  <c:v>Hungary</c:v>
                </c:pt>
                <c:pt idx="7">
                  <c:v>Romania</c:v>
                </c:pt>
                <c:pt idx="8">
                  <c:v>Germany</c:v>
                </c:pt>
                <c:pt idx="9">
                  <c:v>Poland</c:v>
                </c:pt>
                <c:pt idx="10">
                  <c:v>Croatia</c:v>
                </c:pt>
                <c:pt idx="11">
                  <c:v>Slovenia</c:v>
                </c:pt>
                <c:pt idx="12">
                  <c:v>Finland</c:v>
                </c:pt>
                <c:pt idx="13">
                  <c:v>Sweden</c:v>
                </c:pt>
                <c:pt idx="14">
                  <c:v>Bulgaria</c:v>
                </c:pt>
              </c:strCache>
            </c:strRef>
          </c:cat>
          <c:val>
            <c:numRef>
              <c:f>'R"upn'!$K$13:$K$27</c:f>
              <c:numCache>
                <c:formatCode>General</c:formatCode>
                <c:ptCount val="15"/>
                <c:pt idx="0">
                  <c:v>54.800000000000004</c:v>
                </c:pt>
                <c:pt idx="1">
                  <c:v>52.500000000000007</c:v>
                </c:pt>
                <c:pt idx="2">
                  <c:v>50.899999999999991</c:v>
                </c:pt>
                <c:pt idx="3">
                  <c:v>45.400000000000006</c:v>
                </c:pt>
                <c:pt idx="4">
                  <c:v>37.299999999999997</c:v>
                </c:pt>
                <c:pt idx="5">
                  <c:v>34.299999999999997</c:v>
                </c:pt>
                <c:pt idx="6">
                  <c:v>30.7</c:v>
                </c:pt>
                <c:pt idx="7">
                  <c:v>30.4</c:v>
                </c:pt>
                <c:pt idx="8">
                  <c:v>24.15</c:v>
                </c:pt>
                <c:pt idx="9">
                  <c:v>22.099999999999998</c:v>
                </c:pt>
                <c:pt idx="10">
                  <c:v>20.9</c:v>
                </c:pt>
                <c:pt idx="11">
                  <c:v>18.700000000000003</c:v>
                </c:pt>
                <c:pt idx="12">
                  <c:v>12.9</c:v>
                </c:pt>
                <c:pt idx="13">
                  <c:v>11.1</c:v>
                </c:pt>
                <c:pt idx="14">
                  <c:v>5.4</c:v>
                </c:pt>
              </c:numCache>
            </c:numRef>
          </c:val>
        </c:ser>
        <c:dLbls>
          <c:showLegendKey val="0"/>
          <c:showVal val="0"/>
          <c:showCatName val="0"/>
          <c:showSerName val="0"/>
          <c:showPercent val="0"/>
          <c:showBubbleSize val="0"/>
        </c:dLbls>
        <c:gapWidth val="219"/>
        <c:overlap val="-27"/>
        <c:axId val="164281728"/>
        <c:axId val="164283520"/>
      </c:barChart>
      <c:catAx>
        <c:axId val="164281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283520"/>
        <c:crosses val="autoZero"/>
        <c:auto val="1"/>
        <c:lblAlgn val="ctr"/>
        <c:lblOffset val="100"/>
        <c:noMultiLvlLbl val="0"/>
      </c:catAx>
      <c:valAx>
        <c:axId val="164283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vert="horz"/>
              <a:lstStyle/>
              <a:p>
                <a:pPr>
                  <a:defRPr b="0"/>
                </a:pPr>
                <a:r>
                  <a:rPr lang="lv-LV" b="0"/>
                  <a:t>EUR/MWh</a:t>
                </a:r>
              </a:p>
            </c:rich>
          </c:tx>
          <c:layout>
            <c:manualLayout>
              <c:xMode val="edge"/>
              <c:yMode val="edge"/>
              <c:x val="2.7777777777777776E-2"/>
              <c:y val="5.7670208845670805E-2"/>
            </c:manualLayout>
          </c:layout>
          <c:overlay val="0"/>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42817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76138779007618E-2"/>
          <c:y val="9.0369825008007124E-2"/>
          <c:w val="0.88233417428510641"/>
          <c:h val="0.80370490534958894"/>
        </c:manualLayout>
      </c:layout>
      <c:lineChart>
        <c:grouping val="standard"/>
        <c:varyColors val="0"/>
        <c:ser>
          <c:idx val="0"/>
          <c:order val="0"/>
          <c:tx>
            <c:strRef>
              <c:f>Sheet1!$A$2</c:f>
              <c:strCache>
                <c:ptCount val="1"/>
                <c:pt idx="0">
                  <c:v>OIK (bez dotācijas)</c:v>
                </c:pt>
              </c:strCache>
            </c:strRef>
          </c:tx>
          <c:dLbls>
            <c:dLbl>
              <c:idx val="9"/>
              <c:layout>
                <c:manualLayout>
                  <c:x val="-3.5212201112475791E-2"/>
                  <c:y val="-4.28025339938689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979935707577837E-2"/>
                  <c:y val="-3.7519913814259745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Sheet1!$B$1:$M$1</c:f>
              <c:strCache>
                <c:ptCount val="11"/>
                <c:pt idx="0">
                  <c:v>2015</c:v>
                </c:pt>
                <c:pt idx="1">
                  <c:v>2016</c:v>
                </c:pt>
                <c:pt idx="2">
                  <c:v>2017</c:v>
                </c:pt>
                <c:pt idx="3">
                  <c:v>2018</c:v>
                </c:pt>
                <c:pt idx="4">
                  <c:v>2019</c:v>
                </c:pt>
                <c:pt idx="5">
                  <c:v>2020</c:v>
                </c:pt>
                <c:pt idx="6">
                  <c:v>2021</c:v>
                </c:pt>
                <c:pt idx="7">
                  <c:v>2022</c:v>
                </c:pt>
                <c:pt idx="8">
                  <c:v>2023</c:v>
                </c:pt>
                <c:pt idx="9">
                  <c:v>2024</c:v>
                </c:pt>
                <c:pt idx="10">
                  <c:v>2025</c:v>
                </c:pt>
              </c:strCache>
            </c:strRef>
          </c:cat>
          <c:val>
            <c:numRef>
              <c:f>Sheet1!$B$2:$M$2</c:f>
              <c:numCache>
                <c:formatCode>0.0</c:formatCode>
                <c:ptCount val="11"/>
                <c:pt idx="0">
                  <c:v>36.71795231754821</c:v>
                </c:pt>
                <c:pt idx="1">
                  <c:v>38.661076710536086</c:v>
                </c:pt>
                <c:pt idx="2">
                  <c:v>39.299378016447797</c:v>
                </c:pt>
                <c:pt idx="3">
                  <c:v>41.275482497320944</c:v>
                </c:pt>
                <c:pt idx="4">
                  <c:v>39.763745739910412</c:v>
                </c:pt>
                <c:pt idx="5">
                  <c:v>38.614770886096991</c:v>
                </c:pt>
                <c:pt idx="6">
                  <c:v>36.776812104608126</c:v>
                </c:pt>
                <c:pt idx="7">
                  <c:v>33.122442077659869</c:v>
                </c:pt>
                <c:pt idx="8">
                  <c:v>28.65021675522113</c:v>
                </c:pt>
                <c:pt idx="9">
                  <c:v>24.713765359246743</c:v>
                </c:pt>
                <c:pt idx="10">
                  <c:v>22.936643531653587</c:v>
                </c:pt>
              </c:numCache>
            </c:numRef>
          </c:val>
          <c:smooth val="0"/>
        </c:ser>
        <c:ser>
          <c:idx val="1"/>
          <c:order val="1"/>
          <c:tx>
            <c:strRef>
              <c:f>Sheet1!$A$3</c:f>
              <c:strCache>
                <c:ptCount val="1"/>
                <c:pt idx="0">
                  <c:v>OIK (1.risinājums)</c:v>
                </c:pt>
              </c:strCache>
            </c:strRef>
          </c:tx>
          <c:dLbls>
            <c:dLbl>
              <c:idx val="0"/>
              <c:delete val="1"/>
              <c:extLst>
                <c:ext xmlns:c15="http://schemas.microsoft.com/office/drawing/2012/chart" uri="{CE6537A1-D6FC-4f65-9D91-7224C49458BB}"/>
              </c:extLst>
            </c:dLbl>
            <c:dLbl>
              <c:idx val="1"/>
              <c:layout>
                <c:manualLayout>
                  <c:x val="-2.2935779816513763E-2"/>
                  <c:y val="2.64131008980453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229357798165139E-2"/>
                  <c:y val="2.64131008980453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348623853211052E-2"/>
                  <c:y val="2.1130480718436345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Sheet1!$B$1:$M$1</c:f>
              <c:strCache>
                <c:ptCount val="11"/>
                <c:pt idx="0">
                  <c:v>2015</c:v>
                </c:pt>
                <c:pt idx="1">
                  <c:v>2016</c:v>
                </c:pt>
                <c:pt idx="2">
                  <c:v>2017</c:v>
                </c:pt>
                <c:pt idx="3">
                  <c:v>2018</c:v>
                </c:pt>
                <c:pt idx="4">
                  <c:v>2019</c:v>
                </c:pt>
                <c:pt idx="5">
                  <c:v>2020</c:v>
                </c:pt>
                <c:pt idx="6">
                  <c:v>2021</c:v>
                </c:pt>
                <c:pt idx="7">
                  <c:v>2022</c:v>
                </c:pt>
                <c:pt idx="8">
                  <c:v>2023</c:v>
                </c:pt>
                <c:pt idx="9">
                  <c:v>2024</c:v>
                </c:pt>
                <c:pt idx="10">
                  <c:v>2025</c:v>
                </c:pt>
              </c:strCache>
            </c:strRef>
          </c:cat>
          <c:val>
            <c:numRef>
              <c:f>Sheet1!$B$3:$M$3</c:f>
              <c:numCache>
                <c:formatCode>0.0</c:formatCode>
                <c:ptCount val="11"/>
                <c:pt idx="0">
                  <c:v>26.79</c:v>
                </c:pt>
                <c:pt idx="1">
                  <c:v>27.67</c:v>
                </c:pt>
                <c:pt idx="2">
                  <c:v>27.67</c:v>
                </c:pt>
                <c:pt idx="3">
                  <c:v>27.67</c:v>
                </c:pt>
              </c:numCache>
            </c:numRef>
          </c:val>
          <c:smooth val="0"/>
        </c:ser>
        <c:ser>
          <c:idx val="2"/>
          <c:order val="2"/>
          <c:tx>
            <c:strRef>
              <c:f>Sheet1!$A$4</c:f>
              <c:strCache>
                <c:ptCount val="1"/>
                <c:pt idx="0">
                  <c:v>OIK (2.risinājums)</c:v>
                </c:pt>
              </c:strCache>
            </c:strRef>
          </c:tx>
          <c:dLbls>
            <c:dLbl>
              <c:idx val="0"/>
              <c:delete val="1"/>
              <c:extLst>
                <c:ext xmlns:c15="http://schemas.microsoft.com/office/drawing/2012/chart" uri="{CE6537A1-D6FC-4f65-9D91-7224C49458BB}"/>
              </c:extLst>
            </c:dLbl>
            <c:dLbl>
              <c:idx val="1"/>
              <c:layout>
                <c:manualLayout>
                  <c:x val="-2.5229357798165118E-2"/>
                  <c:y val="-3.69783412572636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229357798165139E-2"/>
                  <c:y val="-4.2260961436872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348623853211052E-2"/>
                  <c:y val="-3.1695721077654518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Sheet1!$B$1:$M$1</c:f>
              <c:strCache>
                <c:ptCount val="11"/>
                <c:pt idx="0">
                  <c:v>2015</c:v>
                </c:pt>
                <c:pt idx="1">
                  <c:v>2016</c:v>
                </c:pt>
                <c:pt idx="2">
                  <c:v>2017</c:v>
                </c:pt>
                <c:pt idx="3">
                  <c:v>2018</c:v>
                </c:pt>
                <c:pt idx="4">
                  <c:v>2019</c:v>
                </c:pt>
                <c:pt idx="5">
                  <c:v>2020</c:v>
                </c:pt>
                <c:pt idx="6">
                  <c:v>2021</c:v>
                </c:pt>
                <c:pt idx="7">
                  <c:v>2022</c:v>
                </c:pt>
                <c:pt idx="8">
                  <c:v>2023</c:v>
                </c:pt>
                <c:pt idx="9">
                  <c:v>2024</c:v>
                </c:pt>
                <c:pt idx="10">
                  <c:v>2025</c:v>
                </c:pt>
              </c:strCache>
            </c:strRef>
          </c:cat>
          <c:val>
            <c:numRef>
              <c:f>Sheet1!$B$4:$M$4</c:f>
              <c:numCache>
                <c:formatCode>0.0</c:formatCode>
                <c:ptCount val="11"/>
                <c:pt idx="0">
                  <c:v>26.79</c:v>
                </c:pt>
                <c:pt idx="1">
                  <c:v>28.24</c:v>
                </c:pt>
                <c:pt idx="2">
                  <c:v>28.24</c:v>
                </c:pt>
                <c:pt idx="3">
                  <c:v>28.24</c:v>
                </c:pt>
              </c:numCache>
            </c:numRef>
          </c:val>
          <c:smooth val="0"/>
        </c:ser>
        <c:ser>
          <c:idx val="3"/>
          <c:order val="3"/>
          <c:tx>
            <c:strRef>
              <c:f>Sheet1!$A$5</c:f>
              <c:strCache>
                <c:ptCount val="1"/>
                <c:pt idx="0">
                  <c:v>Pašreizējais OIK līmenis</c:v>
                </c:pt>
              </c:strCache>
            </c:strRef>
          </c:tx>
          <c:marker>
            <c:symbol val="none"/>
          </c:marker>
          <c:dLbls>
            <c:dLbl>
              <c:idx val="0"/>
              <c:layout>
                <c:manualLayout>
                  <c:x val="-4.8973669002383875E-2"/>
                  <c:y val="3.3795458610462917E-2"/>
                </c:manualLayout>
              </c:layout>
              <c:numFmt formatCode="#,##0.00" sourceLinked="0"/>
              <c:spPr>
                <a:noFill/>
                <a:ln>
                  <a:noFill/>
                </a:ln>
                <a:effectLst/>
              </c:spPr>
              <c:txPr>
                <a:bodyPr wrap="square" lIns="38100" tIns="19050" rIns="38100" bIns="19050" anchor="ctr">
                  <a:noAutofit/>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15:layout>
                    <c:manualLayout>
                      <c:w val="7.7304955573213902E-2"/>
                      <c:h val="9.6170308346955835E-2"/>
                    </c:manualLayout>
                  </c15:layout>
                </c:ext>
              </c:extLst>
            </c:dLbl>
            <c:dLbl>
              <c:idx val="10"/>
              <c:layout>
                <c:manualLayout>
                  <c:x val="-9.1743119266056734E-3"/>
                  <c:y val="0"/>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Sheet1!$B$1:$M$1</c:f>
              <c:strCache>
                <c:ptCount val="11"/>
                <c:pt idx="0">
                  <c:v>2015</c:v>
                </c:pt>
                <c:pt idx="1">
                  <c:v>2016</c:v>
                </c:pt>
                <c:pt idx="2">
                  <c:v>2017</c:v>
                </c:pt>
                <c:pt idx="3">
                  <c:v>2018</c:v>
                </c:pt>
                <c:pt idx="4">
                  <c:v>2019</c:v>
                </c:pt>
                <c:pt idx="5">
                  <c:v>2020</c:v>
                </c:pt>
                <c:pt idx="6">
                  <c:v>2021</c:v>
                </c:pt>
                <c:pt idx="7">
                  <c:v>2022</c:v>
                </c:pt>
                <c:pt idx="8">
                  <c:v>2023</c:v>
                </c:pt>
                <c:pt idx="9">
                  <c:v>2024</c:v>
                </c:pt>
                <c:pt idx="10">
                  <c:v>2025</c:v>
                </c:pt>
              </c:strCache>
            </c:strRef>
          </c:cat>
          <c:val>
            <c:numRef>
              <c:f>Sheet1!$B$5:$M$5</c:f>
              <c:numCache>
                <c:formatCode>0.0</c:formatCode>
                <c:ptCount val="11"/>
                <c:pt idx="0">
                  <c:v>26.79</c:v>
                </c:pt>
                <c:pt idx="1">
                  <c:v>26.79</c:v>
                </c:pt>
                <c:pt idx="2">
                  <c:v>26.79</c:v>
                </c:pt>
                <c:pt idx="3">
                  <c:v>26.79</c:v>
                </c:pt>
                <c:pt idx="4">
                  <c:v>26.79</c:v>
                </c:pt>
                <c:pt idx="5">
                  <c:v>26.79</c:v>
                </c:pt>
                <c:pt idx="6">
                  <c:v>26.79</c:v>
                </c:pt>
                <c:pt idx="7">
                  <c:v>26.79</c:v>
                </c:pt>
                <c:pt idx="8">
                  <c:v>26.79</c:v>
                </c:pt>
                <c:pt idx="9">
                  <c:v>26.79</c:v>
                </c:pt>
                <c:pt idx="10">
                  <c:v>26.79</c:v>
                </c:pt>
              </c:numCache>
            </c:numRef>
          </c:val>
          <c:smooth val="0"/>
        </c:ser>
        <c:dLbls>
          <c:showLegendKey val="0"/>
          <c:showVal val="0"/>
          <c:showCatName val="0"/>
          <c:showSerName val="0"/>
          <c:showPercent val="0"/>
          <c:showBubbleSize val="0"/>
        </c:dLbls>
        <c:marker val="1"/>
        <c:smooth val="0"/>
        <c:axId val="164513280"/>
        <c:axId val="164514816"/>
      </c:lineChart>
      <c:catAx>
        <c:axId val="164513280"/>
        <c:scaling>
          <c:orientation val="minMax"/>
        </c:scaling>
        <c:delete val="0"/>
        <c:axPos val="b"/>
        <c:numFmt formatCode="General" sourceLinked="0"/>
        <c:majorTickMark val="out"/>
        <c:minorTickMark val="none"/>
        <c:tickLblPos val="nextTo"/>
        <c:crossAx val="164514816"/>
        <c:crosses val="autoZero"/>
        <c:auto val="1"/>
        <c:lblAlgn val="ctr"/>
        <c:lblOffset val="100"/>
        <c:noMultiLvlLbl val="0"/>
      </c:catAx>
      <c:valAx>
        <c:axId val="164514816"/>
        <c:scaling>
          <c:orientation val="minMax"/>
          <c:max val="45"/>
          <c:min val="25"/>
        </c:scaling>
        <c:delete val="0"/>
        <c:axPos val="l"/>
        <c:title>
          <c:tx>
            <c:rich>
              <a:bodyPr rot="0" vert="horz"/>
              <a:lstStyle/>
              <a:p>
                <a:pPr>
                  <a:defRPr b="0"/>
                </a:pPr>
                <a:r>
                  <a:rPr lang="lv-LV" b="0"/>
                  <a:t>EUR/MWh</a:t>
                </a:r>
              </a:p>
            </c:rich>
          </c:tx>
          <c:layout>
            <c:manualLayout>
              <c:xMode val="edge"/>
              <c:yMode val="edge"/>
              <c:x val="9.1743119266055051E-3"/>
              <c:y val="4.2693553955517839E-3"/>
            </c:manualLayout>
          </c:layout>
          <c:overlay val="0"/>
        </c:title>
        <c:numFmt formatCode="0" sourceLinked="0"/>
        <c:majorTickMark val="out"/>
        <c:minorTickMark val="none"/>
        <c:tickLblPos val="nextTo"/>
        <c:crossAx val="164513280"/>
        <c:crosses val="autoZero"/>
        <c:crossBetween val="between"/>
        <c:majorUnit val="10"/>
      </c:valAx>
    </c:plotArea>
    <c:legend>
      <c:legendPos val="r"/>
      <c:layout>
        <c:manualLayout>
          <c:xMode val="edge"/>
          <c:yMode val="edge"/>
          <c:x val="0.6577084085819549"/>
          <c:y val="5.407489673933389E-2"/>
          <c:w val="0.32361392039297843"/>
          <c:h val="0.42083099359014353"/>
        </c:manualLayout>
      </c:layout>
      <c:overlay val="0"/>
      <c:txPr>
        <a:bodyPr/>
        <a:lstStyle/>
        <a:p>
          <a:pPr>
            <a:defRPr sz="900"/>
          </a:pPr>
          <a:endParaRPr lang="lv-LV"/>
        </a:p>
      </c:txPr>
    </c:legend>
    <c:plotVisOnly val="1"/>
    <c:dispBlanksAs val="gap"/>
    <c:showDLblsOverMax val="0"/>
  </c:chart>
  <c:spPr>
    <a:ln>
      <a:noFill/>
    </a:ln>
  </c:sp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86396" y="815504"/>
          <a:ext cx="7056784" cy="4633614"/>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C652-1B5B-4513-847C-BEFA72C2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8510</Words>
  <Characters>59230</Characters>
  <Application>Microsoft Office Word</Application>
  <DocSecurity>0</DocSecurity>
  <Lines>2369</Lines>
  <Paragraphs>533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67207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Logina</dc:creator>
  <cp:lastModifiedBy>Aija Timofejeva</cp:lastModifiedBy>
  <cp:revision>2</cp:revision>
  <cp:lastPrinted>2015-08-31T10:10:00Z</cp:lastPrinted>
  <dcterms:created xsi:type="dcterms:W3CDTF">2015-08-31T13:12:00Z</dcterms:created>
  <dcterms:modified xsi:type="dcterms:W3CDTF">2015-08-31T13:12:00Z</dcterms:modified>
</cp:coreProperties>
</file>