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FAB9C" w14:textId="77777777" w:rsidR="00120D10" w:rsidRPr="007822F9" w:rsidRDefault="00120D10" w:rsidP="007822F9">
      <w:pPr>
        <w:pStyle w:val="NoSpacing"/>
        <w:jc w:val="center"/>
        <w:rPr>
          <w:rFonts w:ascii="Times New Roman" w:hAnsi="Times New Roman"/>
          <w:b/>
          <w:sz w:val="24"/>
          <w:szCs w:val="24"/>
          <w:lang w:eastAsia="lv-LV"/>
        </w:rPr>
      </w:pPr>
      <w:r w:rsidRPr="007822F9">
        <w:rPr>
          <w:rFonts w:ascii="Times New Roman" w:hAnsi="Times New Roman"/>
          <w:b/>
          <w:sz w:val="24"/>
          <w:szCs w:val="24"/>
          <w:lang w:eastAsia="lv-LV"/>
        </w:rPr>
        <w:t>Likumprojekta</w:t>
      </w:r>
    </w:p>
    <w:p w14:paraId="25F76354" w14:textId="77777777" w:rsidR="00120D10" w:rsidRPr="007822F9" w:rsidRDefault="00120D10" w:rsidP="007822F9">
      <w:pPr>
        <w:pStyle w:val="NoSpacing"/>
        <w:jc w:val="center"/>
        <w:rPr>
          <w:rFonts w:ascii="Times New Roman" w:hAnsi="Times New Roman"/>
          <w:b/>
          <w:sz w:val="24"/>
          <w:szCs w:val="24"/>
          <w:lang w:eastAsia="lv-LV"/>
        </w:rPr>
      </w:pPr>
      <w:r w:rsidRPr="007822F9">
        <w:rPr>
          <w:rFonts w:ascii="Times New Roman" w:hAnsi="Times New Roman"/>
          <w:b/>
          <w:sz w:val="24"/>
          <w:szCs w:val="24"/>
          <w:lang w:eastAsia="lv-LV"/>
        </w:rPr>
        <w:t>„Grozījum</w:t>
      </w:r>
      <w:r w:rsidR="00591106" w:rsidRPr="007822F9">
        <w:rPr>
          <w:rFonts w:ascii="Times New Roman" w:hAnsi="Times New Roman"/>
          <w:b/>
          <w:sz w:val="24"/>
          <w:szCs w:val="24"/>
          <w:lang w:eastAsia="lv-LV"/>
        </w:rPr>
        <w:t>i likumā “Par nodokļiem un nodevām”</w:t>
      </w:r>
      <w:r w:rsidR="0079432A" w:rsidRPr="007822F9">
        <w:rPr>
          <w:rFonts w:ascii="Times New Roman" w:hAnsi="Times New Roman"/>
          <w:b/>
          <w:sz w:val="24"/>
          <w:szCs w:val="24"/>
          <w:lang w:eastAsia="lv-LV"/>
        </w:rPr>
        <w:t>”</w:t>
      </w:r>
      <w:r w:rsidRPr="007822F9">
        <w:rPr>
          <w:rFonts w:ascii="Times New Roman" w:hAnsi="Times New Roman"/>
          <w:b/>
          <w:sz w:val="24"/>
          <w:szCs w:val="24"/>
          <w:lang w:eastAsia="lv-LV"/>
        </w:rPr>
        <w:t xml:space="preserve"> sākotnējās ietekmes novērtējuma ziņojums (anotācija)</w:t>
      </w:r>
    </w:p>
    <w:p w14:paraId="1EAA5753" w14:textId="77777777" w:rsidR="00120D10" w:rsidRPr="007822F9" w:rsidRDefault="00120D10" w:rsidP="007822F9">
      <w:pPr>
        <w:pStyle w:val="NoSpacing"/>
        <w:jc w:val="both"/>
        <w:rPr>
          <w:rFonts w:ascii="Times New Roman" w:hAnsi="Times New Roman"/>
          <w:b/>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14"/>
        <w:gridCol w:w="1466"/>
        <w:gridCol w:w="7198"/>
      </w:tblGrid>
      <w:tr w:rsidR="00120D10" w:rsidRPr="007822F9" w14:paraId="6CF65DB8" w14:textId="77777777" w:rsidTr="001510C8">
        <w:trPr>
          <w:trHeight w:val="405"/>
        </w:trPr>
        <w:tc>
          <w:tcPr>
            <w:tcW w:w="5000" w:type="pct"/>
            <w:gridSpan w:val="3"/>
            <w:tcBorders>
              <w:top w:val="outset" w:sz="6" w:space="0" w:color="414142"/>
              <w:bottom w:val="outset" w:sz="6" w:space="0" w:color="414142"/>
            </w:tcBorders>
            <w:vAlign w:val="center"/>
          </w:tcPr>
          <w:p w14:paraId="07E4BB69" w14:textId="77777777" w:rsidR="00120D10" w:rsidRPr="007822F9" w:rsidRDefault="00120D10" w:rsidP="007822F9">
            <w:pPr>
              <w:spacing w:after="0" w:line="240" w:lineRule="auto"/>
              <w:jc w:val="center"/>
              <w:rPr>
                <w:rFonts w:ascii="Times New Roman" w:hAnsi="Times New Roman"/>
                <w:b/>
                <w:bCs/>
                <w:sz w:val="24"/>
                <w:szCs w:val="24"/>
                <w:lang w:eastAsia="lv-LV"/>
              </w:rPr>
            </w:pPr>
            <w:r w:rsidRPr="007822F9">
              <w:rPr>
                <w:rFonts w:ascii="Times New Roman" w:hAnsi="Times New Roman"/>
                <w:b/>
                <w:bCs/>
                <w:sz w:val="24"/>
                <w:szCs w:val="24"/>
                <w:lang w:eastAsia="lv-LV"/>
              </w:rPr>
              <w:t>I. Tiesību akta projekta izstrādes nepieciešamība</w:t>
            </w:r>
          </w:p>
        </w:tc>
      </w:tr>
      <w:tr w:rsidR="00120D10" w:rsidRPr="007822F9" w14:paraId="4DEC42DC" w14:textId="77777777" w:rsidTr="001510C8">
        <w:trPr>
          <w:trHeight w:val="405"/>
        </w:trPr>
        <w:tc>
          <w:tcPr>
            <w:tcW w:w="331" w:type="pct"/>
            <w:tcBorders>
              <w:top w:val="outset" w:sz="6" w:space="0" w:color="414142"/>
              <w:bottom w:val="outset" w:sz="6" w:space="0" w:color="414142"/>
              <w:right w:val="outset" w:sz="6" w:space="0" w:color="414142"/>
            </w:tcBorders>
          </w:tcPr>
          <w:p w14:paraId="42764CFC"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1.</w:t>
            </w:r>
          </w:p>
        </w:tc>
        <w:tc>
          <w:tcPr>
            <w:tcW w:w="790" w:type="pct"/>
            <w:tcBorders>
              <w:top w:val="outset" w:sz="6" w:space="0" w:color="414142"/>
              <w:left w:val="outset" w:sz="6" w:space="0" w:color="414142"/>
              <w:bottom w:val="outset" w:sz="6" w:space="0" w:color="414142"/>
              <w:right w:val="outset" w:sz="6" w:space="0" w:color="414142"/>
            </w:tcBorders>
          </w:tcPr>
          <w:p w14:paraId="4F74442D"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Pamatojums</w:t>
            </w:r>
          </w:p>
        </w:tc>
        <w:tc>
          <w:tcPr>
            <w:tcW w:w="3879" w:type="pct"/>
            <w:tcBorders>
              <w:top w:val="outset" w:sz="6" w:space="0" w:color="414142"/>
              <w:left w:val="outset" w:sz="6" w:space="0" w:color="414142"/>
              <w:bottom w:val="outset" w:sz="6" w:space="0" w:color="414142"/>
            </w:tcBorders>
          </w:tcPr>
          <w:p w14:paraId="3A684A04" w14:textId="5292DAE6" w:rsidR="00FD2204" w:rsidRPr="007822F9" w:rsidRDefault="00C63E77" w:rsidP="00CF1DA6">
            <w:pPr>
              <w:spacing w:line="240" w:lineRule="auto"/>
              <w:jc w:val="both"/>
              <w:rPr>
                <w:rFonts w:ascii="Times New Roman" w:hAnsi="Times New Roman"/>
                <w:sz w:val="24"/>
                <w:szCs w:val="24"/>
              </w:rPr>
            </w:pPr>
            <w:r w:rsidRPr="007822F9">
              <w:rPr>
                <w:rFonts w:ascii="Times New Roman" w:hAnsi="Times New Roman"/>
                <w:sz w:val="24"/>
                <w:szCs w:val="24"/>
              </w:rPr>
              <w:t>Ministru kabineta</w:t>
            </w:r>
            <w:r w:rsidR="007651AF" w:rsidRPr="007822F9">
              <w:rPr>
                <w:rFonts w:ascii="Times New Roman" w:hAnsi="Times New Roman"/>
                <w:sz w:val="24"/>
                <w:szCs w:val="24"/>
              </w:rPr>
              <w:t xml:space="preserve"> </w:t>
            </w:r>
            <w:r w:rsidRPr="007822F9">
              <w:rPr>
                <w:rFonts w:ascii="Times New Roman" w:hAnsi="Times New Roman"/>
                <w:sz w:val="24"/>
                <w:szCs w:val="24"/>
              </w:rPr>
              <w:t>2015.</w:t>
            </w:r>
            <w:r w:rsidR="00CF1DA6">
              <w:rPr>
                <w:rFonts w:ascii="Times New Roman" w:hAnsi="Times New Roman"/>
                <w:sz w:val="24"/>
                <w:szCs w:val="24"/>
              </w:rPr>
              <w:t>gada</w:t>
            </w:r>
            <w:r w:rsidR="007651AF" w:rsidRPr="007822F9">
              <w:rPr>
                <w:rFonts w:ascii="Times New Roman" w:hAnsi="Times New Roman"/>
                <w:sz w:val="24"/>
                <w:szCs w:val="24"/>
              </w:rPr>
              <w:t xml:space="preserve"> 25.augusta</w:t>
            </w:r>
            <w:r w:rsidRPr="007822F9">
              <w:rPr>
                <w:rFonts w:ascii="Times New Roman" w:hAnsi="Times New Roman"/>
                <w:sz w:val="24"/>
                <w:szCs w:val="24"/>
              </w:rPr>
              <w:t xml:space="preserve"> </w:t>
            </w:r>
            <w:r w:rsidR="00CF1DA6" w:rsidRPr="007822F9">
              <w:rPr>
                <w:rFonts w:ascii="Times New Roman" w:hAnsi="Times New Roman"/>
                <w:sz w:val="24"/>
                <w:szCs w:val="24"/>
              </w:rPr>
              <w:t xml:space="preserve">sēdes </w:t>
            </w:r>
            <w:proofErr w:type="spellStart"/>
            <w:r w:rsidRPr="007822F9">
              <w:rPr>
                <w:rFonts w:ascii="Times New Roman" w:hAnsi="Times New Roman"/>
                <w:sz w:val="24"/>
                <w:szCs w:val="24"/>
              </w:rPr>
              <w:t>protokollēmuma</w:t>
            </w:r>
            <w:proofErr w:type="spellEnd"/>
            <w:r w:rsidRPr="007822F9">
              <w:rPr>
                <w:rFonts w:ascii="Times New Roman" w:hAnsi="Times New Roman"/>
                <w:sz w:val="24"/>
                <w:szCs w:val="24"/>
              </w:rPr>
              <w:t xml:space="preserve"> (prot. Nr</w:t>
            </w:r>
            <w:r w:rsidR="003F26FE" w:rsidRPr="007822F9">
              <w:rPr>
                <w:rFonts w:ascii="Times New Roman" w:hAnsi="Times New Roman"/>
                <w:sz w:val="24"/>
                <w:szCs w:val="24"/>
              </w:rPr>
              <w:t>.41 43</w:t>
            </w:r>
            <w:r w:rsidRPr="007822F9">
              <w:rPr>
                <w:rFonts w:ascii="Times New Roman" w:hAnsi="Times New Roman"/>
                <w:sz w:val="24"/>
                <w:szCs w:val="24"/>
              </w:rPr>
              <w:t xml:space="preserve">.§) „Par informatīvo ziņojumu “Par iespējām </w:t>
            </w:r>
            <w:r w:rsidR="00B628D6" w:rsidRPr="007822F9">
              <w:rPr>
                <w:rFonts w:ascii="Times New Roman" w:hAnsi="Times New Roman"/>
                <w:sz w:val="24"/>
                <w:szCs w:val="24"/>
              </w:rPr>
              <w:t>palielināt ieņēmumus</w:t>
            </w:r>
            <w:r w:rsidR="00BD26CE">
              <w:rPr>
                <w:rFonts w:ascii="Times New Roman" w:hAnsi="Times New Roman"/>
                <w:sz w:val="24"/>
                <w:szCs w:val="24"/>
              </w:rPr>
              <w:t>”</w:t>
            </w:r>
            <w:bookmarkStart w:id="0" w:name="_GoBack"/>
            <w:bookmarkEnd w:id="0"/>
            <w:r w:rsidR="00B628D6" w:rsidRPr="007822F9">
              <w:rPr>
                <w:rFonts w:ascii="Times New Roman" w:hAnsi="Times New Roman"/>
                <w:sz w:val="24"/>
                <w:szCs w:val="24"/>
              </w:rPr>
              <w:t>” 4.punkts</w:t>
            </w:r>
          </w:p>
        </w:tc>
      </w:tr>
      <w:tr w:rsidR="00120D10" w:rsidRPr="007822F9" w14:paraId="08C89D17" w14:textId="77777777" w:rsidTr="001510C8">
        <w:trPr>
          <w:trHeight w:val="465"/>
        </w:trPr>
        <w:tc>
          <w:tcPr>
            <w:tcW w:w="331" w:type="pct"/>
            <w:tcBorders>
              <w:top w:val="outset" w:sz="6" w:space="0" w:color="414142"/>
              <w:bottom w:val="outset" w:sz="6" w:space="0" w:color="414142"/>
              <w:right w:val="outset" w:sz="6" w:space="0" w:color="414142"/>
            </w:tcBorders>
          </w:tcPr>
          <w:p w14:paraId="7BCDCFBB"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2.</w:t>
            </w:r>
          </w:p>
        </w:tc>
        <w:tc>
          <w:tcPr>
            <w:tcW w:w="790" w:type="pct"/>
            <w:tcBorders>
              <w:top w:val="outset" w:sz="6" w:space="0" w:color="414142"/>
              <w:left w:val="outset" w:sz="6" w:space="0" w:color="414142"/>
              <w:bottom w:val="outset" w:sz="6" w:space="0" w:color="414142"/>
              <w:right w:val="outset" w:sz="6" w:space="0" w:color="414142"/>
            </w:tcBorders>
          </w:tcPr>
          <w:p w14:paraId="21A722A9"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Pašreizējā situācija un problēmas, kuru risināšanai tiesību akta projekts izstrādāts, tiesiskā regulējuma mērķis un būtība</w:t>
            </w:r>
          </w:p>
        </w:tc>
        <w:tc>
          <w:tcPr>
            <w:tcW w:w="3879" w:type="pct"/>
            <w:tcBorders>
              <w:top w:val="outset" w:sz="6" w:space="0" w:color="414142"/>
              <w:left w:val="outset" w:sz="6" w:space="0" w:color="414142"/>
              <w:bottom w:val="outset" w:sz="6" w:space="0" w:color="414142"/>
            </w:tcBorders>
          </w:tcPr>
          <w:p w14:paraId="23E96C43" w14:textId="77777777" w:rsidR="00E74E54" w:rsidRDefault="00581652" w:rsidP="007822F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Saskaņā ar izstrādāto likumprojektu “Solidaritātes nodokļa likums” tiek noteikts jauns obligātais maksājums – solidaritātes nodoklis. </w:t>
            </w:r>
            <w:r w:rsidRPr="00581652">
              <w:rPr>
                <w:rFonts w:ascii="Times New Roman" w:hAnsi="Times New Roman"/>
                <w:sz w:val="24"/>
                <w:szCs w:val="24"/>
              </w:rPr>
              <w:t xml:space="preserve">Solidaritātes nodokļa mērķis ir mazināt darbaspēka nodokļu </w:t>
            </w:r>
            <w:proofErr w:type="spellStart"/>
            <w:r w:rsidRPr="00581652">
              <w:rPr>
                <w:rFonts w:ascii="Times New Roman" w:hAnsi="Times New Roman"/>
                <w:sz w:val="24"/>
                <w:szCs w:val="24"/>
              </w:rPr>
              <w:t>regresivitāti</w:t>
            </w:r>
            <w:proofErr w:type="spellEnd"/>
            <w:r w:rsidRPr="00581652">
              <w:rPr>
                <w:rFonts w:ascii="Times New Roman" w:hAnsi="Times New Roman"/>
                <w:sz w:val="24"/>
                <w:szCs w:val="24"/>
              </w:rPr>
              <w:t xml:space="preserve"> augsta ienākuma līmeņa darba ņēmēju un </w:t>
            </w:r>
            <w:proofErr w:type="spellStart"/>
            <w:r w:rsidRPr="00581652">
              <w:rPr>
                <w:rFonts w:ascii="Times New Roman" w:hAnsi="Times New Roman"/>
                <w:sz w:val="24"/>
                <w:szCs w:val="24"/>
              </w:rPr>
              <w:t>pašnodarbināto</w:t>
            </w:r>
            <w:proofErr w:type="spellEnd"/>
            <w:r w:rsidRPr="00581652">
              <w:rPr>
                <w:rFonts w:ascii="Times New Roman" w:hAnsi="Times New Roman"/>
                <w:sz w:val="24"/>
                <w:szCs w:val="24"/>
              </w:rPr>
              <w:t xml:space="preserve"> kategorijai.</w:t>
            </w:r>
            <w:r w:rsidR="00777C96">
              <w:rPr>
                <w:rFonts w:ascii="Times New Roman" w:hAnsi="Times New Roman"/>
                <w:sz w:val="24"/>
                <w:szCs w:val="24"/>
              </w:rPr>
              <w:t xml:space="preserve"> </w:t>
            </w:r>
          </w:p>
          <w:p w14:paraId="72D8213B" w14:textId="77777777" w:rsidR="00581652" w:rsidRDefault="00404433" w:rsidP="008D4C7B">
            <w:pPr>
              <w:spacing w:after="0" w:line="240" w:lineRule="auto"/>
              <w:jc w:val="both"/>
              <w:rPr>
                <w:rFonts w:ascii="Times New Roman" w:hAnsi="Times New Roman"/>
                <w:sz w:val="24"/>
                <w:szCs w:val="24"/>
              </w:rPr>
            </w:pPr>
            <w:r w:rsidRPr="006959EF">
              <w:rPr>
                <w:rFonts w:ascii="Times New Roman" w:hAnsi="Times New Roman"/>
                <w:sz w:val="24"/>
                <w:szCs w:val="24"/>
              </w:rPr>
              <w:t>Ņemot vērā, ka likums “Par nodokļiem un nodevām” reglamentē</w:t>
            </w:r>
            <w:r>
              <w:rPr>
                <w:rFonts w:ascii="Times New Roman" w:hAnsi="Times New Roman"/>
                <w:sz w:val="24"/>
                <w:szCs w:val="24"/>
              </w:rPr>
              <w:t xml:space="preserve"> visu valsts nodokļu uzskaitījumu un to administrējošās iestādes,</w:t>
            </w:r>
            <w:r w:rsidRPr="006959EF">
              <w:rPr>
                <w:rFonts w:ascii="Times New Roman" w:hAnsi="Times New Roman"/>
                <w:sz w:val="24"/>
                <w:szCs w:val="24"/>
              </w:rPr>
              <w:t xml:space="preserve"> nepieciešams veikt grozījumus likumā “Par nodokļiem un nodevām”, papildinot 8.pantā iekļauto nodokļu uzskaitījumu ar jaunu nodokli un, nosakot solidaritātes nodokļa administrējošo iestādi (20.pants)</w:t>
            </w:r>
            <w:r>
              <w:rPr>
                <w:rFonts w:ascii="Times New Roman" w:hAnsi="Times New Roman"/>
                <w:sz w:val="24"/>
                <w:szCs w:val="24"/>
              </w:rPr>
              <w:t xml:space="preserve"> </w:t>
            </w:r>
            <w:r w:rsidR="00777C96">
              <w:rPr>
                <w:rFonts w:ascii="Times New Roman" w:hAnsi="Times New Roman"/>
                <w:sz w:val="24"/>
                <w:szCs w:val="24"/>
              </w:rPr>
              <w:t>– Valsts ieņēmumu dienests</w:t>
            </w:r>
            <w:r w:rsidR="00E74E54">
              <w:rPr>
                <w:rFonts w:ascii="Times New Roman" w:hAnsi="Times New Roman"/>
                <w:sz w:val="24"/>
                <w:szCs w:val="24"/>
              </w:rPr>
              <w:t xml:space="preserve"> un</w:t>
            </w:r>
            <w:r w:rsidR="00777C96">
              <w:rPr>
                <w:rFonts w:ascii="Times New Roman" w:hAnsi="Times New Roman"/>
                <w:sz w:val="24"/>
                <w:szCs w:val="24"/>
              </w:rPr>
              <w:t xml:space="preserve"> Valsts sociālās</w:t>
            </w:r>
            <w:r w:rsidR="008D4C7B">
              <w:rPr>
                <w:rFonts w:ascii="Times New Roman" w:hAnsi="Times New Roman"/>
                <w:sz w:val="24"/>
                <w:szCs w:val="24"/>
              </w:rPr>
              <w:t xml:space="preserve"> apdrošināšanas </w:t>
            </w:r>
            <w:r w:rsidR="00777C96">
              <w:rPr>
                <w:rFonts w:ascii="Times New Roman" w:hAnsi="Times New Roman"/>
                <w:sz w:val="24"/>
                <w:szCs w:val="24"/>
              </w:rPr>
              <w:t>aģentūra</w:t>
            </w:r>
            <w:r w:rsidRPr="006959EF">
              <w:rPr>
                <w:rFonts w:ascii="Times New Roman" w:hAnsi="Times New Roman"/>
                <w:sz w:val="24"/>
                <w:szCs w:val="24"/>
              </w:rPr>
              <w:t>. Likumprojekts stāsies spēkā vienlaicīgi ar Soli</w:t>
            </w:r>
            <w:r w:rsidR="00777C96" w:rsidRPr="00777C96">
              <w:rPr>
                <w:rFonts w:ascii="Times New Roman" w:hAnsi="Times New Roman"/>
                <w:sz w:val="24"/>
                <w:szCs w:val="24"/>
              </w:rPr>
              <w:t xml:space="preserve">daritātes nodokļa likumu, proti, </w:t>
            </w:r>
            <w:r w:rsidRPr="006959EF">
              <w:rPr>
                <w:rFonts w:ascii="Times New Roman" w:hAnsi="Times New Roman"/>
                <w:sz w:val="24"/>
                <w:szCs w:val="24"/>
              </w:rPr>
              <w:t>ar 2016.gada 1.janvāri.</w:t>
            </w:r>
          </w:p>
          <w:p w14:paraId="687FC580" w14:textId="77777777" w:rsidR="003840DA" w:rsidRPr="007822F9" w:rsidRDefault="003840DA" w:rsidP="00E74E54">
            <w:pPr>
              <w:spacing w:after="0" w:line="240" w:lineRule="auto"/>
              <w:jc w:val="both"/>
              <w:rPr>
                <w:rFonts w:ascii="Times New Roman" w:hAnsi="Times New Roman"/>
                <w:sz w:val="24"/>
                <w:szCs w:val="24"/>
              </w:rPr>
            </w:pPr>
          </w:p>
        </w:tc>
      </w:tr>
      <w:tr w:rsidR="00120D10" w:rsidRPr="007822F9" w14:paraId="43CE9F9C" w14:textId="77777777" w:rsidTr="001510C8">
        <w:trPr>
          <w:trHeight w:val="465"/>
        </w:trPr>
        <w:tc>
          <w:tcPr>
            <w:tcW w:w="331" w:type="pct"/>
            <w:tcBorders>
              <w:top w:val="outset" w:sz="6" w:space="0" w:color="414142"/>
              <w:bottom w:val="outset" w:sz="6" w:space="0" w:color="414142"/>
              <w:right w:val="outset" w:sz="6" w:space="0" w:color="414142"/>
            </w:tcBorders>
          </w:tcPr>
          <w:p w14:paraId="133F29D0"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3.</w:t>
            </w:r>
          </w:p>
        </w:tc>
        <w:tc>
          <w:tcPr>
            <w:tcW w:w="790" w:type="pct"/>
            <w:tcBorders>
              <w:top w:val="outset" w:sz="6" w:space="0" w:color="414142"/>
              <w:left w:val="outset" w:sz="6" w:space="0" w:color="414142"/>
              <w:bottom w:val="outset" w:sz="6" w:space="0" w:color="414142"/>
              <w:right w:val="outset" w:sz="6" w:space="0" w:color="414142"/>
            </w:tcBorders>
          </w:tcPr>
          <w:p w14:paraId="7933DBB6"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Projekta izstrādē iesaistītās institūcijas</w:t>
            </w:r>
          </w:p>
        </w:tc>
        <w:tc>
          <w:tcPr>
            <w:tcW w:w="3879" w:type="pct"/>
            <w:tcBorders>
              <w:top w:val="outset" w:sz="6" w:space="0" w:color="414142"/>
              <w:left w:val="outset" w:sz="6" w:space="0" w:color="414142"/>
              <w:bottom w:val="outset" w:sz="6" w:space="0" w:color="414142"/>
            </w:tcBorders>
          </w:tcPr>
          <w:p w14:paraId="5580DC70" w14:textId="77777777" w:rsidR="006B1EFF" w:rsidRPr="007822F9" w:rsidRDefault="00B628D6" w:rsidP="007822F9">
            <w:pPr>
              <w:spacing w:after="0" w:line="240" w:lineRule="auto"/>
              <w:jc w:val="both"/>
              <w:rPr>
                <w:rFonts w:ascii="Times New Roman" w:hAnsi="Times New Roman"/>
                <w:iCs/>
                <w:sz w:val="24"/>
                <w:szCs w:val="24"/>
              </w:rPr>
            </w:pPr>
            <w:r w:rsidRPr="007822F9">
              <w:rPr>
                <w:rFonts w:ascii="Times New Roman" w:hAnsi="Times New Roman"/>
                <w:iCs/>
                <w:sz w:val="24"/>
                <w:szCs w:val="24"/>
              </w:rPr>
              <w:t>Finanšu ministrija</w:t>
            </w:r>
            <w:r w:rsidR="00CF1DA6">
              <w:rPr>
                <w:rFonts w:ascii="Times New Roman" w:hAnsi="Times New Roman"/>
                <w:iCs/>
                <w:sz w:val="24"/>
                <w:szCs w:val="24"/>
              </w:rPr>
              <w:t xml:space="preserve"> un</w:t>
            </w:r>
            <w:r w:rsidRPr="007822F9">
              <w:rPr>
                <w:rFonts w:ascii="Times New Roman" w:hAnsi="Times New Roman"/>
                <w:iCs/>
                <w:sz w:val="24"/>
                <w:szCs w:val="24"/>
              </w:rPr>
              <w:t xml:space="preserve"> Valsts ieņēmumu dienests</w:t>
            </w:r>
          </w:p>
          <w:p w14:paraId="4B959053" w14:textId="77777777" w:rsidR="003840DA" w:rsidRPr="007822F9" w:rsidRDefault="003840DA" w:rsidP="007822F9">
            <w:pPr>
              <w:spacing w:after="0" w:line="240" w:lineRule="auto"/>
              <w:jc w:val="both"/>
              <w:rPr>
                <w:rFonts w:ascii="Times New Roman" w:hAnsi="Times New Roman"/>
                <w:sz w:val="24"/>
                <w:szCs w:val="24"/>
                <w:lang w:eastAsia="lv-LV"/>
              </w:rPr>
            </w:pPr>
          </w:p>
        </w:tc>
      </w:tr>
      <w:tr w:rsidR="00120D10" w:rsidRPr="007822F9" w14:paraId="1BD451BE" w14:textId="77777777" w:rsidTr="001510C8">
        <w:tc>
          <w:tcPr>
            <w:tcW w:w="331" w:type="pct"/>
            <w:tcBorders>
              <w:top w:val="outset" w:sz="6" w:space="0" w:color="414142"/>
              <w:bottom w:val="outset" w:sz="6" w:space="0" w:color="414142"/>
              <w:right w:val="outset" w:sz="6" w:space="0" w:color="414142"/>
            </w:tcBorders>
          </w:tcPr>
          <w:p w14:paraId="68CE0D3E"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4.</w:t>
            </w:r>
          </w:p>
        </w:tc>
        <w:tc>
          <w:tcPr>
            <w:tcW w:w="790" w:type="pct"/>
            <w:tcBorders>
              <w:top w:val="outset" w:sz="6" w:space="0" w:color="414142"/>
              <w:left w:val="outset" w:sz="6" w:space="0" w:color="414142"/>
              <w:bottom w:val="outset" w:sz="6" w:space="0" w:color="414142"/>
              <w:right w:val="outset" w:sz="6" w:space="0" w:color="414142"/>
            </w:tcBorders>
          </w:tcPr>
          <w:p w14:paraId="43DF011A"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Cita informācija</w:t>
            </w:r>
          </w:p>
        </w:tc>
        <w:tc>
          <w:tcPr>
            <w:tcW w:w="3879" w:type="pct"/>
            <w:tcBorders>
              <w:top w:val="outset" w:sz="6" w:space="0" w:color="414142"/>
              <w:left w:val="outset" w:sz="6" w:space="0" w:color="414142"/>
              <w:bottom w:val="outset" w:sz="6" w:space="0" w:color="414142"/>
            </w:tcBorders>
          </w:tcPr>
          <w:p w14:paraId="5D3A2CC4"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Nav</w:t>
            </w:r>
          </w:p>
        </w:tc>
      </w:tr>
    </w:tbl>
    <w:p w14:paraId="3B50A723" w14:textId="77777777" w:rsidR="00120D10" w:rsidRPr="007822F9" w:rsidRDefault="00120D10" w:rsidP="007822F9">
      <w:pPr>
        <w:spacing w:after="0" w:line="240" w:lineRule="auto"/>
        <w:jc w:val="both"/>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86"/>
        <w:gridCol w:w="2649"/>
        <w:gridCol w:w="5945"/>
      </w:tblGrid>
      <w:tr w:rsidR="00120D10" w:rsidRPr="007822F9" w14:paraId="536D4001" w14:textId="77777777" w:rsidTr="005404ED">
        <w:trPr>
          <w:trHeight w:val="555"/>
        </w:trPr>
        <w:tc>
          <w:tcPr>
            <w:tcW w:w="5000" w:type="pct"/>
            <w:gridSpan w:val="3"/>
            <w:tcBorders>
              <w:top w:val="outset" w:sz="6" w:space="0" w:color="414142"/>
              <w:bottom w:val="outset" w:sz="6" w:space="0" w:color="414142"/>
            </w:tcBorders>
            <w:vAlign w:val="center"/>
          </w:tcPr>
          <w:p w14:paraId="2028BDA3" w14:textId="77777777" w:rsidR="00120D10" w:rsidRPr="007822F9" w:rsidRDefault="00120D10" w:rsidP="007822F9">
            <w:pPr>
              <w:pStyle w:val="NoSpacing"/>
              <w:jc w:val="both"/>
              <w:rPr>
                <w:rFonts w:ascii="Times New Roman" w:hAnsi="Times New Roman"/>
                <w:b/>
                <w:sz w:val="24"/>
                <w:szCs w:val="24"/>
                <w:lang w:eastAsia="lv-LV"/>
              </w:rPr>
            </w:pPr>
            <w:r w:rsidRPr="007822F9">
              <w:rPr>
                <w:rFonts w:ascii="Times New Roman" w:hAnsi="Times New Roman"/>
                <w:b/>
                <w:sz w:val="24"/>
                <w:szCs w:val="24"/>
                <w:lang w:eastAsia="lv-LV"/>
              </w:rPr>
              <w:t>II. Tiesību akta projekta ietekme uz sabiedrību, tautsaimniecības attīstību un</w:t>
            </w:r>
          </w:p>
          <w:p w14:paraId="55FFDA79" w14:textId="77777777" w:rsidR="00120D10" w:rsidRPr="007822F9" w:rsidRDefault="00120D10" w:rsidP="007822F9">
            <w:pPr>
              <w:pStyle w:val="NoSpacing"/>
              <w:jc w:val="both"/>
              <w:rPr>
                <w:rFonts w:ascii="Times New Roman" w:hAnsi="Times New Roman"/>
                <w:sz w:val="24"/>
                <w:szCs w:val="24"/>
                <w:lang w:eastAsia="lv-LV"/>
              </w:rPr>
            </w:pPr>
            <w:r w:rsidRPr="007822F9">
              <w:rPr>
                <w:rFonts w:ascii="Times New Roman" w:hAnsi="Times New Roman"/>
                <w:b/>
                <w:sz w:val="24"/>
                <w:szCs w:val="24"/>
                <w:lang w:eastAsia="lv-LV"/>
              </w:rPr>
              <w:t>administratīvo slogu</w:t>
            </w:r>
          </w:p>
        </w:tc>
      </w:tr>
      <w:tr w:rsidR="00120D10" w:rsidRPr="007822F9" w14:paraId="6CCAAD20" w14:textId="77777777" w:rsidTr="005404ED">
        <w:trPr>
          <w:trHeight w:val="465"/>
        </w:trPr>
        <w:tc>
          <w:tcPr>
            <w:tcW w:w="370" w:type="pct"/>
            <w:tcBorders>
              <w:top w:val="outset" w:sz="6" w:space="0" w:color="414142"/>
              <w:bottom w:val="outset" w:sz="6" w:space="0" w:color="414142"/>
              <w:right w:val="outset" w:sz="6" w:space="0" w:color="414142"/>
            </w:tcBorders>
          </w:tcPr>
          <w:p w14:paraId="213D3D5B"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1.</w:t>
            </w:r>
          </w:p>
        </w:tc>
        <w:tc>
          <w:tcPr>
            <w:tcW w:w="1427" w:type="pct"/>
            <w:tcBorders>
              <w:top w:val="outset" w:sz="6" w:space="0" w:color="414142"/>
              <w:left w:val="outset" w:sz="6" w:space="0" w:color="414142"/>
              <w:bottom w:val="outset" w:sz="6" w:space="0" w:color="414142"/>
              <w:right w:val="outset" w:sz="6" w:space="0" w:color="414142"/>
            </w:tcBorders>
          </w:tcPr>
          <w:p w14:paraId="4567A17A"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 xml:space="preserve">Sabiedrības </w:t>
            </w:r>
            <w:proofErr w:type="spellStart"/>
            <w:r w:rsidRPr="007822F9">
              <w:rPr>
                <w:rFonts w:ascii="Times New Roman" w:hAnsi="Times New Roman"/>
                <w:sz w:val="24"/>
                <w:szCs w:val="24"/>
                <w:lang w:eastAsia="lv-LV"/>
              </w:rPr>
              <w:t>mērķgrupas</w:t>
            </w:r>
            <w:proofErr w:type="spellEnd"/>
            <w:r w:rsidRPr="007822F9">
              <w:rPr>
                <w:rFonts w:ascii="Times New Roman" w:hAnsi="Times New Roman"/>
                <w:sz w:val="24"/>
                <w:szCs w:val="24"/>
                <w:lang w:eastAsia="lv-LV"/>
              </w:rPr>
              <w:t>, kuras tiesiskais regulējums ietekmē vai varētu ietekmēt</w:t>
            </w:r>
          </w:p>
        </w:tc>
        <w:tc>
          <w:tcPr>
            <w:tcW w:w="3203" w:type="pct"/>
            <w:tcBorders>
              <w:top w:val="outset" w:sz="6" w:space="0" w:color="414142"/>
              <w:left w:val="outset" w:sz="6" w:space="0" w:color="414142"/>
              <w:bottom w:val="outset" w:sz="6" w:space="0" w:color="414142"/>
            </w:tcBorders>
          </w:tcPr>
          <w:p w14:paraId="33AAA1DC" w14:textId="77777777" w:rsidR="00F11594" w:rsidRPr="007822F9" w:rsidRDefault="00F11594" w:rsidP="00B40A4D">
            <w:pPr>
              <w:pStyle w:val="ListParagraph"/>
              <w:numPr>
                <w:ilvl w:val="0"/>
                <w:numId w:val="24"/>
              </w:numPr>
              <w:spacing w:after="0" w:line="240" w:lineRule="auto"/>
              <w:ind w:left="0" w:firstLine="0"/>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 xml:space="preserve">Fiziskās personas (darba ņēmēji, </w:t>
            </w:r>
            <w:proofErr w:type="spellStart"/>
            <w:r w:rsidRPr="007822F9">
              <w:rPr>
                <w:rFonts w:ascii="Times New Roman" w:hAnsi="Times New Roman"/>
                <w:color w:val="000000" w:themeColor="text1"/>
                <w:sz w:val="24"/>
                <w:szCs w:val="24"/>
              </w:rPr>
              <w:t>pašnodarbinātie</w:t>
            </w:r>
            <w:proofErr w:type="spellEnd"/>
            <w:r w:rsidRPr="007822F9">
              <w:rPr>
                <w:rFonts w:ascii="Times New Roman" w:hAnsi="Times New Roman"/>
                <w:color w:val="000000" w:themeColor="text1"/>
                <w:sz w:val="24"/>
                <w:szCs w:val="24"/>
              </w:rPr>
              <w:t xml:space="preserve">), kuras ir sociālai apdrošināšanai pakļautas personas un kuru ienākumi pārsniedz kalendāra gada valsts sociālās apdrošināšanas obligāto iemaksu objekta maksimālo  apmēru (2015.gadā 48600 </w:t>
            </w:r>
            <w:proofErr w:type="spellStart"/>
            <w:r w:rsidRPr="007822F9">
              <w:rPr>
                <w:rFonts w:ascii="Times New Roman" w:hAnsi="Times New Roman"/>
                <w:i/>
                <w:color w:val="000000" w:themeColor="text1"/>
                <w:sz w:val="24"/>
                <w:szCs w:val="24"/>
              </w:rPr>
              <w:t>euro</w:t>
            </w:r>
            <w:proofErr w:type="spellEnd"/>
            <w:r w:rsidRPr="007822F9">
              <w:rPr>
                <w:rFonts w:ascii="Times New Roman" w:hAnsi="Times New Roman"/>
                <w:color w:val="000000" w:themeColor="text1"/>
                <w:sz w:val="24"/>
                <w:szCs w:val="24"/>
              </w:rPr>
              <w:t>). Šādu personu skaits 2014.gadā bija 4649 (informācija sagatavota 2015.gada augustā).</w:t>
            </w:r>
          </w:p>
          <w:p w14:paraId="341034E9" w14:textId="77777777" w:rsidR="007464F9" w:rsidRPr="007822F9" w:rsidRDefault="00F11594" w:rsidP="00B40A4D">
            <w:pPr>
              <w:pStyle w:val="ListParagraph"/>
              <w:numPr>
                <w:ilvl w:val="0"/>
                <w:numId w:val="24"/>
              </w:numPr>
              <w:spacing w:after="0" w:line="240" w:lineRule="auto"/>
              <w:ind w:left="0" w:firstLine="0"/>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 xml:space="preserve">Darba devēji, kuru darba ņēmēju gūtie ienākumi pārsniedz  VSAOI </w:t>
            </w:r>
            <w:r w:rsidRPr="007822F9">
              <w:rPr>
                <w:rFonts w:ascii="Times New Roman" w:hAnsi="Times New Roman"/>
                <w:sz w:val="24"/>
                <w:szCs w:val="24"/>
              </w:rPr>
              <w:t xml:space="preserve"> </w:t>
            </w:r>
            <w:r w:rsidR="007C312F" w:rsidRPr="007822F9">
              <w:rPr>
                <w:rFonts w:ascii="Times New Roman" w:hAnsi="Times New Roman"/>
                <w:color w:val="000000" w:themeColor="text1"/>
                <w:sz w:val="24"/>
                <w:szCs w:val="24"/>
              </w:rPr>
              <w:t>maksimālo  apmēru</w:t>
            </w:r>
            <w:r w:rsidR="007B7809">
              <w:rPr>
                <w:rFonts w:ascii="Times New Roman" w:hAnsi="Times New Roman"/>
                <w:color w:val="000000" w:themeColor="text1"/>
                <w:sz w:val="24"/>
                <w:szCs w:val="24"/>
              </w:rPr>
              <w:t>.</w:t>
            </w:r>
          </w:p>
        </w:tc>
      </w:tr>
      <w:tr w:rsidR="00120D10" w:rsidRPr="007822F9" w14:paraId="71C13400" w14:textId="77777777" w:rsidTr="005404ED">
        <w:trPr>
          <w:trHeight w:val="510"/>
        </w:trPr>
        <w:tc>
          <w:tcPr>
            <w:tcW w:w="370" w:type="pct"/>
            <w:tcBorders>
              <w:top w:val="outset" w:sz="6" w:space="0" w:color="414142"/>
              <w:bottom w:val="outset" w:sz="6" w:space="0" w:color="414142"/>
              <w:right w:val="outset" w:sz="6" w:space="0" w:color="414142"/>
            </w:tcBorders>
          </w:tcPr>
          <w:p w14:paraId="3660A6B4"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2.</w:t>
            </w:r>
          </w:p>
        </w:tc>
        <w:tc>
          <w:tcPr>
            <w:tcW w:w="1427" w:type="pct"/>
            <w:tcBorders>
              <w:top w:val="outset" w:sz="6" w:space="0" w:color="414142"/>
              <w:left w:val="outset" w:sz="6" w:space="0" w:color="414142"/>
              <w:bottom w:val="outset" w:sz="6" w:space="0" w:color="414142"/>
              <w:right w:val="outset" w:sz="6" w:space="0" w:color="414142"/>
            </w:tcBorders>
          </w:tcPr>
          <w:p w14:paraId="34E80775" w14:textId="77777777" w:rsidR="00120D10" w:rsidRPr="007822F9" w:rsidRDefault="00120D10" w:rsidP="007822F9">
            <w:pPr>
              <w:spacing w:after="0" w:line="240" w:lineRule="auto"/>
              <w:ind w:right="33"/>
              <w:jc w:val="both"/>
              <w:rPr>
                <w:rFonts w:ascii="Times New Roman" w:hAnsi="Times New Roman"/>
                <w:sz w:val="24"/>
                <w:szCs w:val="24"/>
                <w:lang w:eastAsia="lv-LV"/>
              </w:rPr>
            </w:pPr>
            <w:r w:rsidRPr="007822F9">
              <w:rPr>
                <w:rFonts w:ascii="Times New Roman" w:hAnsi="Times New Roman"/>
                <w:sz w:val="24"/>
                <w:szCs w:val="24"/>
                <w:lang w:eastAsia="lv-LV"/>
              </w:rPr>
              <w:t>Tiesiskā regulējuma ietekme uz tautsaimniecību un administratīvo slogu</w:t>
            </w:r>
          </w:p>
        </w:tc>
        <w:tc>
          <w:tcPr>
            <w:tcW w:w="3203" w:type="pct"/>
            <w:tcBorders>
              <w:top w:val="outset" w:sz="6" w:space="0" w:color="414142"/>
              <w:left w:val="outset" w:sz="6" w:space="0" w:color="414142"/>
              <w:bottom w:val="outset" w:sz="6" w:space="0" w:color="414142"/>
            </w:tcBorders>
          </w:tcPr>
          <w:p w14:paraId="4472D298" w14:textId="77777777" w:rsidR="00F11594" w:rsidRPr="007822F9" w:rsidRDefault="00B628D6" w:rsidP="007822F9">
            <w:pPr>
              <w:spacing w:after="0" w:line="240" w:lineRule="auto"/>
              <w:jc w:val="both"/>
              <w:rPr>
                <w:rFonts w:ascii="Times New Roman" w:hAnsi="Times New Roman"/>
                <w:sz w:val="24"/>
                <w:szCs w:val="24"/>
              </w:rPr>
            </w:pPr>
            <w:r w:rsidRPr="007822F9">
              <w:rPr>
                <w:rFonts w:ascii="Times New Roman" w:hAnsi="Times New Roman"/>
                <w:sz w:val="24"/>
                <w:szCs w:val="24"/>
              </w:rPr>
              <w:t>Attiecībā uz fiziskajām personām – ienākumu guvējām, kā arī darba devējiem admi</w:t>
            </w:r>
            <w:r w:rsidR="00F11594" w:rsidRPr="007822F9">
              <w:rPr>
                <w:rFonts w:ascii="Times New Roman" w:hAnsi="Times New Roman"/>
                <w:sz w:val="24"/>
                <w:szCs w:val="24"/>
              </w:rPr>
              <w:t>nistratīvais slogs nemainīsies.</w:t>
            </w:r>
          </w:p>
          <w:p w14:paraId="114521C4" w14:textId="77777777" w:rsidR="007464F9" w:rsidRDefault="00F11594" w:rsidP="007822F9">
            <w:pPr>
              <w:spacing w:after="0" w:line="240" w:lineRule="auto"/>
              <w:jc w:val="both"/>
              <w:rPr>
                <w:rFonts w:ascii="Times New Roman" w:hAnsi="Times New Roman"/>
                <w:sz w:val="24"/>
                <w:szCs w:val="24"/>
              </w:rPr>
            </w:pPr>
            <w:r w:rsidRPr="007822F9">
              <w:rPr>
                <w:rFonts w:ascii="Times New Roman" w:hAnsi="Times New Roman"/>
                <w:sz w:val="24"/>
                <w:szCs w:val="24"/>
              </w:rPr>
              <w:t>P</w:t>
            </w:r>
            <w:r w:rsidR="00B628D6" w:rsidRPr="007822F9">
              <w:rPr>
                <w:rFonts w:ascii="Times New Roman" w:hAnsi="Times New Roman"/>
                <w:sz w:val="24"/>
                <w:szCs w:val="24"/>
              </w:rPr>
              <w:t xml:space="preserve">alielināsies darbaspēku nodokļu slogs tādu ienākumu guvējiem, kuru ienākumi pārsniedz taksācijas gadam noteikto </w:t>
            </w:r>
            <w:r w:rsidR="00A3388D" w:rsidRPr="007822F9">
              <w:rPr>
                <w:rFonts w:ascii="Times New Roman" w:hAnsi="Times New Roman"/>
                <w:sz w:val="24"/>
                <w:szCs w:val="24"/>
              </w:rPr>
              <w:t xml:space="preserve">VSAOI </w:t>
            </w:r>
            <w:r w:rsidR="00B628D6" w:rsidRPr="007822F9">
              <w:rPr>
                <w:rFonts w:ascii="Times New Roman" w:hAnsi="Times New Roman"/>
                <w:sz w:val="24"/>
                <w:szCs w:val="24"/>
              </w:rPr>
              <w:t>maksimālo objektu, kā arī šādu darba ņēmēju darba devējiem.</w:t>
            </w:r>
          </w:p>
          <w:p w14:paraId="0405E8D0" w14:textId="77777777" w:rsidR="00B40A4D" w:rsidRPr="007822F9" w:rsidRDefault="00B40A4D" w:rsidP="007822F9">
            <w:pPr>
              <w:spacing w:after="0" w:line="240" w:lineRule="auto"/>
              <w:jc w:val="both"/>
              <w:rPr>
                <w:rFonts w:ascii="Times New Roman" w:hAnsi="Times New Roman"/>
                <w:sz w:val="24"/>
                <w:szCs w:val="24"/>
              </w:rPr>
            </w:pPr>
          </w:p>
        </w:tc>
      </w:tr>
      <w:tr w:rsidR="00120D10" w:rsidRPr="007822F9" w14:paraId="74F22896" w14:textId="77777777" w:rsidTr="005404ED">
        <w:trPr>
          <w:trHeight w:val="510"/>
        </w:trPr>
        <w:tc>
          <w:tcPr>
            <w:tcW w:w="370" w:type="pct"/>
            <w:tcBorders>
              <w:top w:val="outset" w:sz="6" w:space="0" w:color="414142"/>
              <w:bottom w:val="outset" w:sz="6" w:space="0" w:color="414142"/>
              <w:right w:val="outset" w:sz="6" w:space="0" w:color="414142"/>
            </w:tcBorders>
          </w:tcPr>
          <w:p w14:paraId="1BF4C5EF"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3.</w:t>
            </w:r>
          </w:p>
        </w:tc>
        <w:tc>
          <w:tcPr>
            <w:tcW w:w="1427" w:type="pct"/>
            <w:tcBorders>
              <w:top w:val="outset" w:sz="6" w:space="0" w:color="414142"/>
              <w:left w:val="outset" w:sz="6" w:space="0" w:color="414142"/>
              <w:bottom w:val="outset" w:sz="6" w:space="0" w:color="414142"/>
              <w:right w:val="outset" w:sz="6" w:space="0" w:color="414142"/>
            </w:tcBorders>
          </w:tcPr>
          <w:p w14:paraId="185A24E3"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Administratīvo izmaksu monetārs novērtējums</w:t>
            </w:r>
          </w:p>
        </w:tc>
        <w:tc>
          <w:tcPr>
            <w:tcW w:w="3203" w:type="pct"/>
            <w:tcBorders>
              <w:top w:val="outset" w:sz="6" w:space="0" w:color="414142"/>
              <w:left w:val="outset" w:sz="6" w:space="0" w:color="414142"/>
              <w:bottom w:val="outset" w:sz="6" w:space="0" w:color="414142"/>
            </w:tcBorders>
          </w:tcPr>
          <w:p w14:paraId="5545E1BE" w14:textId="77777777" w:rsidR="00120D10" w:rsidRPr="007822F9" w:rsidRDefault="00120D10" w:rsidP="007822F9">
            <w:pPr>
              <w:spacing w:after="0" w:line="240" w:lineRule="auto"/>
              <w:ind w:left="48"/>
              <w:jc w:val="both"/>
              <w:rPr>
                <w:rFonts w:ascii="Times New Roman" w:hAnsi="Times New Roman"/>
                <w:sz w:val="24"/>
                <w:szCs w:val="24"/>
                <w:lang w:eastAsia="lv-LV"/>
              </w:rPr>
            </w:pPr>
            <w:r w:rsidRPr="007822F9">
              <w:rPr>
                <w:rFonts w:ascii="Times New Roman" w:hAnsi="Times New Roman"/>
                <w:sz w:val="24"/>
                <w:szCs w:val="24"/>
                <w:lang w:eastAsia="lv-LV"/>
              </w:rPr>
              <w:t>Projekts šo jomu neskar.</w:t>
            </w:r>
          </w:p>
        </w:tc>
      </w:tr>
      <w:tr w:rsidR="00120D10" w:rsidRPr="007822F9" w14:paraId="2BCACCE5" w14:textId="77777777" w:rsidTr="005404ED">
        <w:trPr>
          <w:trHeight w:val="345"/>
        </w:trPr>
        <w:tc>
          <w:tcPr>
            <w:tcW w:w="370" w:type="pct"/>
            <w:tcBorders>
              <w:top w:val="outset" w:sz="6" w:space="0" w:color="414142"/>
              <w:bottom w:val="outset" w:sz="6" w:space="0" w:color="414142"/>
              <w:right w:val="outset" w:sz="6" w:space="0" w:color="414142"/>
            </w:tcBorders>
          </w:tcPr>
          <w:p w14:paraId="090BF848"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4.</w:t>
            </w:r>
          </w:p>
        </w:tc>
        <w:tc>
          <w:tcPr>
            <w:tcW w:w="1427" w:type="pct"/>
            <w:tcBorders>
              <w:top w:val="outset" w:sz="6" w:space="0" w:color="414142"/>
              <w:left w:val="outset" w:sz="6" w:space="0" w:color="414142"/>
              <w:bottom w:val="outset" w:sz="6" w:space="0" w:color="414142"/>
              <w:right w:val="outset" w:sz="6" w:space="0" w:color="414142"/>
            </w:tcBorders>
          </w:tcPr>
          <w:p w14:paraId="2B40AA50"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Cita informācija</w:t>
            </w:r>
          </w:p>
        </w:tc>
        <w:tc>
          <w:tcPr>
            <w:tcW w:w="3203" w:type="pct"/>
            <w:tcBorders>
              <w:top w:val="outset" w:sz="6" w:space="0" w:color="414142"/>
              <w:left w:val="outset" w:sz="6" w:space="0" w:color="414142"/>
              <w:bottom w:val="outset" w:sz="6" w:space="0" w:color="414142"/>
            </w:tcBorders>
          </w:tcPr>
          <w:p w14:paraId="6AD295D4"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Nav</w:t>
            </w:r>
          </w:p>
        </w:tc>
      </w:tr>
    </w:tbl>
    <w:p w14:paraId="1E232FCE" w14:textId="77777777" w:rsidR="005404ED" w:rsidRPr="007822F9" w:rsidRDefault="005404ED" w:rsidP="007822F9">
      <w:pPr>
        <w:spacing w:line="240" w:lineRule="auto"/>
        <w:rPr>
          <w:rFonts w:ascii="Times New Roman" w:hAnsi="Times New Roman"/>
          <w:sz w:val="24"/>
          <w:szCs w:val="24"/>
        </w:rPr>
      </w:pPr>
    </w:p>
    <w:p w14:paraId="46EDB7AB" w14:textId="77777777" w:rsidR="005404ED" w:rsidRPr="007822F9" w:rsidRDefault="005404ED" w:rsidP="007822F9">
      <w:pPr>
        <w:spacing w:line="240" w:lineRule="auto"/>
        <w:jc w:val="both"/>
        <w:rPr>
          <w:rFonts w:ascii="Times New Roman" w:hAnsi="Times New Roman"/>
          <w:sz w:val="24"/>
          <w:szCs w:val="24"/>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1198"/>
        <w:gridCol w:w="1598"/>
        <w:gridCol w:w="1448"/>
        <w:gridCol w:w="149"/>
        <w:gridCol w:w="1300"/>
        <w:gridCol w:w="119"/>
        <w:gridCol w:w="1330"/>
      </w:tblGrid>
      <w:tr w:rsidR="005404ED" w:rsidRPr="007822F9" w14:paraId="698ABFE6" w14:textId="77777777" w:rsidTr="00D17683">
        <w:trPr>
          <w:trHeight w:val="344"/>
          <w:jc w:val="center"/>
        </w:trPr>
        <w:tc>
          <w:tcPr>
            <w:tcW w:w="9184" w:type="dxa"/>
            <w:gridSpan w:val="8"/>
            <w:tcBorders>
              <w:top w:val="single" w:sz="4" w:space="0" w:color="auto"/>
              <w:left w:val="single" w:sz="4" w:space="0" w:color="auto"/>
              <w:bottom w:val="single" w:sz="4" w:space="0" w:color="auto"/>
              <w:right w:val="single" w:sz="4" w:space="0" w:color="auto"/>
            </w:tcBorders>
            <w:vAlign w:val="center"/>
            <w:hideMark/>
          </w:tcPr>
          <w:p w14:paraId="28AC000D" w14:textId="77777777" w:rsidR="005404ED" w:rsidRPr="007822F9" w:rsidRDefault="005404ED" w:rsidP="007822F9">
            <w:pPr>
              <w:widowControl w:val="0"/>
              <w:suppressAutoHyphens/>
              <w:spacing w:line="240" w:lineRule="auto"/>
              <w:jc w:val="center"/>
              <w:rPr>
                <w:rFonts w:ascii="Times New Roman" w:hAnsi="Times New Roman"/>
                <w:b/>
                <w:bCs/>
                <w:i/>
                <w:kern w:val="2"/>
                <w:sz w:val="24"/>
                <w:szCs w:val="24"/>
                <w:lang w:eastAsia="ar-SA"/>
              </w:rPr>
            </w:pPr>
            <w:r w:rsidRPr="007822F9">
              <w:rPr>
                <w:rFonts w:ascii="Times New Roman" w:hAnsi="Times New Roman"/>
                <w:kern w:val="2"/>
                <w:sz w:val="24"/>
                <w:szCs w:val="24"/>
                <w:lang w:eastAsia="ar-SA"/>
              </w:rPr>
              <w:br w:type="page"/>
            </w:r>
            <w:r w:rsidRPr="007822F9">
              <w:rPr>
                <w:rFonts w:ascii="Times New Roman" w:hAnsi="Times New Roman"/>
                <w:b/>
                <w:kern w:val="2"/>
                <w:sz w:val="24"/>
                <w:szCs w:val="24"/>
                <w:lang w:eastAsia="ar-SA"/>
              </w:rPr>
              <w:t>III.</w:t>
            </w:r>
            <w:r w:rsidRPr="007822F9">
              <w:rPr>
                <w:rFonts w:ascii="Times New Roman" w:hAnsi="Times New Roman"/>
                <w:b/>
                <w:bCs/>
                <w:kern w:val="2"/>
                <w:sz w:val="24"/>
                <w:szCs w:val="24"/>
                <w:lang w:eastAsia="ar-SA"/>
              </w:rPr>
              <w:t xml:space="preserve"> Tiesību akta projekta ietekme uz valsts budžetu</w:t>
            </w:r>
          </w:p>
        </w:tc>
      </w:tr>
      <w:tr w:rsidR="005404ED" w:rsidRPr="007822F9" w14:paraId="1CC512E7" w14:textId="77777777" w:rsidTr="00D17683">
        <w:trPr>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14:paraId="0AF0B7D8" w14:textId="77777777" w:rsidR="005404ED" w:rsidRPr="007822F9" w:rsidRDefault="005404ED" w:rsidP="007822F9">
            <w:pPr>
              <w:widowControl w:val="0"/>
              <w:suppressAutoHyphens/>
              <w:spacing w:line="240" w:lineRule="auto"/>
              <w:jc w:val="center"/>
              <w:rPr>
                <w:rFonts w:ascii="Times New Roman" w:hAnsi="Times New Roman"/>
                <w:b/>
                <w:kern w:val="2"/>
                <w:sz w:val="24"/>
                <w:szCs w:val="24"/>
                <w:lang w:eastAsia="ar-SA"/>
              </w:rPr>
            </w:pPr>
            <w:r w:rsidRPr="007822F9">
              <w:rPr>
                <w:rFonts w:ascii="Times New Roman" w:hAnsi="Times New Roman"/>
                <w:b/>
                <w:kern w:val="2"/>
                <w:sz w:val="24"/>
                <w:szCs w:val="24"/>
                <w:lang w:eastAsia="ar-SA"/>
              </w:rPr>
              <w:t>Rādītāji</w:t>
            </w:r>
          </w:p>
        </w:tc>
        <w:tc>
          <w:tcPr>
            <w:tcW w:w="27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C9926A" w14:textId="77777777" w:rsidR="005404ED" w:rsidRPr="007822F9" w:rsidRDefault="005404ED" w:rsidP="007822F9">
            <w:pPr>
              <w:widowControl w:val="0"/>
              <w:suppressAutoHyphens/>
              <w:spacing w:line="240" w:lineRule="auto"/>
              <w:jc w:val="center"/>
              <w:rPr>
                <w:rFonts w:ascii="Times New Roman" w:hAnsi="Times New Roman"/>
                <w:b/>
                <w:kern w:val="2"/>
                <w:sz w:val="24"/>
                <w:szCs w:val="24"/>
                <w:lang w:eastAsia="ar-SA"/>
              </w:rPr>
            </w:pPr>
            <w:r w:rsidRPr="007822F9">
              <w:rPr>
                <w:rFonts w:ascii="Times New Roman" w:hAnsi="Times New Roman"/>
                <w:b/>
                <w:kern w:val="2"/>
                <w:sz w:val="24"/>
                <w:szCs w:val="24"/>
                <w:lang w:eastAsia="ar-SA"/>
              </w:rPr>
              <w:t>2015. gads</w:t>
            </w:r>
          </w:p>
        </w:tc>
        <w:tc>
          <w:tcPr>
            <w:tcW w:w="4346" w:type="dxa"/>
            <w:gridSpan w:val="5"/>
            <w:tcBorders>
              <w:top w:val="single" w:sz="4" w:space="0" w:color="auto"/>
              <w:left w:val="single" w:sz="4" w:space="0" w:color="auto"/>
              <w:bottom w:val="single" w:sz="4" w:space="0" w:color="auto"/>
              <w:right w:val="single" w:sz="4" w:space="0" w:color="auto"/>
            </w:tcBorders>
            <w:vAlign w:val="center"/>
            <w:hideMark/>
          </w:tcPr>
          <w:p w14:paraId="0302C826" w14:textId="77777777" w:rsidR="005404ED" w:rsidRPr="007822F9" w:rsidRDefault="005404ED" w:rsidP="007822F9">
            <w:pPr>
              <w:widowControl w:val="0"/>
              <w:suppressAutoHyphens/>
              <w:spacing w:line="240" w:lineRule="auto"/>
              <w:jc w:val="center"/>
              <w:rPr>
                <w:rFonts w:ascii="Times New Roman" w:hAnsi="Times New Roman"/>
                <w:b/>
                <w:i/>
                <w:kern w:val="2"/>
                <w:sz w:val="24"/>
                <w:szCs w:val="24"/>
                <w:lang w:eastAsia="ar-SA"/>
              </w:rPr>
            </w:pPr>
            <w:r w:rsidRPr="007822F9">
              <w:rPr>
                <w:rFonts w:ascii="Times New Roman" w:hAnsi="Times New Roman"/>
                <w:kern w:val="2"/>
                <w:sz w:val="24"/>
                <w:szCs w:val="24"/>
                <w:lang w:eastAsia="ar-SA"/>
              </w:rPr>
              <w:t>Turpmākie trīs gadi (</w:t>
            </w:r>
            <w:proofErr w:type="spellStart"/>
            <w:r w:rsidRPr="007822F9">
              <w:rPr>
                <w:rFonts w:ascii="Times New Roman" w:hAnsi="Times New Roman"/>
                <w:i/>
                <w:kern w:val="2"/>
                <w:sz w:val="24"/>
                <w:szCs w:val="24"/>
                <w:lang w:eastAsia="ar-SA"/>
              </w:rPr>
              <w:t>euro</w:t>
            </w:r>
            <w:proofErr w:type="spellEnd"/>
            <w:r w:rsidRPr="007822F9">
              <w:rPr>
                <w:rFonts w:ascii="Times New Roman" w:hAnsi="Times New Roman"/>
                <w:kern w:val="2"/>
                <w:sz w:val="24"/>
                <w:szCs w:val="24"/>
                <w:lang w:eastAsia="ar-SA"/>
              </w:rPr>
              <w:t>)</w:t>
            </w:r>
          </w:p>
        </w:tc>
      </w:tr>
      <w:tr w:rsidR="005404ED" w:rsidRPr="007822F9" w14:paraId="5E3A6624" w14:textId="77777777" w:rsidTr="00D17683">
        <w:trPr>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4F72EB21" w14:textId="77777777" w:rsidR="005404ED" w:rsidRPr="007822F9" w:rsidRDefault="005404ED" w:rsidP="007822F9">
            <w:pPr>
              <w:spacing w:line="240" w:lineRule="auto"/>
              <w:rPr>
                <w:rFonts w:ascii="Times New Roman" w:hAnsi="Times New Roman"/>
                <w:b/>
                <w:kern w:val="2"/>
                <w:sz w:val="24"/>
                <w:szCs w:val="24"/>
                <w:lang w:eastAsia="ar-SA"/>
              </w:rPr>
            </w:pPr>
          </w:p>
        </w:tc>
        <w:tc>
          <w:tcPr>
            <w:tcW w:w="2796" w:type="dxa"/>
            <w:gridSpan w:val="2"/>
            <w:vMerge/>
            <w:tcBorders>
              <w:top w:val="single" w:sz="4" w:space="0" w:color="auto"/>
              <w:left w:val="single" w:sz="4" w:space="0" w:color="auto"/>
              <w:bottom w:val="single" w:sz="4" w:space="0" w:color="auto"/>
              <w:right w:val="single" w:sz="4" w:space="0" w:color="auto"/>
            </w:tcBorders>
            <w:vAlign w:val="center"/>
            <w:hideMark/>
          </w:tcPr>
          <w:p w14:paraId="06B33F36" w14:textId="77777777" w:rsidR="005404ED" w:rsidRPr="007822F9" w:rsidRDefault="005404ED" w:rsidP="007822F9">
            <w:pPr>
              <w:spacing w:line="240" w:lineRule="auto"/>
              <w:rPr>
                <w:rFonts w:ascii="Times New Roman" w:hAnsi="Times New Roman"/>
                <w:b/>
                <w:kern w:val="2"/>
                <w:sz w:val="24"/>
                <w:szCs w:val="24"/>
                <w:lang w:eastAsia="ar-SA"/>
              </w:rPr>
            </w:pPr>
          </w:p>
        </w:tc>
        <w:tc>
          <w:tcPr>
            <w:tcW w:w="1597" w:type="dxa"/>
            <w:gridSpan w:val="2"/>
            <w:tcBorders>
              <w:top w:val="single" w:sz="4" w:space="0" w:color="auto"/>
              <w:left w:val="single" w:sz="4" w:space="0" w:color="auto"/>
              <w:bottom w:val="single" w:sz="4" w:space="0" w:color="auto"/>
              <w:right w:val="single" w:sz="4" w:space="0" w:color="auto"/>
            </w:tcBorders>
            <w:vAlign w:val="center"/>
            <w:hideMark/>
          </w:tcPr>
          <w:p w14:paraId="258CB583" w14:textId="77777777" w:rsidR="005404ED" w:rsidRPr="007822F9" w:rsidRDefault="005404ED" w:rsidP="007822F9">
            <w:pPr>
              <w:widowControl w:val="0"/>
              <w:suppressAutoHyphens/>
              <w:spacing w:line="240" w:lineRule="auto"/>
              <w:jc w:val="center"/>
              <w:rPr>
                <w:rFonts w:ascii="Times New Roman" w:hAnsi="Times New Roman"/>
                <w:b/>
                <w:i/>
                <w:kern w:val="2"/>
                <w:sz w:val="24"/>
                <w:szCs w:val="24"/>
                <w:lang w:eastAsia="ar-SA"/>
              </w:rPr>
            </w:pPr>
            <w:r w:rsidRPr="007822F9">
              <w:rPr>
                <w:rFonts w:ascii="Times New Roman" w:hAnsi="Times New Roman"/>
                <w:b/>
                <w:bCs/>
                <w:kern w:val="2"/>
                <w:sz w:val="24"/>
                <w:szCs w:val="24"/>
                <w:lang w:eastAsia="ar-SA"/>
              </w:rPr>
              <w:t>2016.</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14:paraId="221C3397" w14:textId="77777777" w:rsidR="005404ED" w:rsidRPr="007822F9" w:rsidRDefault="005404ED" w:rsidP="007822F9">
            <w:pPr>
              <w:widowControl w:val="0"/>
              <w:suppressAutoHyphens/>
              <w:spacing w:line="240" w:lineRule="auto"/>
              <w:jc w:val="center"/>
              <w:rPr>
                <w:rFonts w:ascii="Times New Roman" w:hAnsi="Times New Roman"/>
                <w:b/>
                <w:i/>
                <w:kern w:val="2"/>
                <w:sz w:val="24"/>
                <w:szCs w:val="24"/>
                <w:lang w:eastAsia="ar-SA"/>
              </w:rPr>
            </w:pPr>
            <w:r w:rsidRPr="007822F9">
              <w:rPr>
                <w:rFonts w:ascii="Times New Roman" w:hAnsi="Times New Roman"/>
                <w:b/>
                <w:bCs/>
                <w:kern w:val="2"/>
                <w:sz w:val="24"/>
                <w:szCs w:val="24"/>
                <w:lang w:eastAsia="ar-SA"/>
              </w:rPr>
              <w:t>2017.</w:t>
            </w:r>
          </w:p>
        </w:tc>
        <w:tc>
          <w:tcPr>
            <w:tcW w:w="1330" w:type="dxa"/>
            <w:tcBorders>
              <w:top w:val="single" w:sz="4" w:space="0" w:color="auto"/>
              <w:left w:val="single" w:sz="4" w:space="0" w:color="auto"/>
              <w:bottom w:val="single" w:sz="4" w:space="0" w:color="auto"/>
              <w:right w:val="single" w:sz="4" w:space="0" w:color="auto"/>
            </w:tcBorders>
            <w:vAlign w:val="center"/>
            <w:hideMark/>
          </w:tcPr>
          <w:p w14:paraId="2EF3E8E5" w14:textId="77777777" w:rsidR="005404ED" w:rsidRPr="007822F9" w:rsidRDefault="005404ED" w:rsidP="007822F9">
            <w:pPr>
              <w:widowControl w:val="0"/>
              <w:suppressAutoHyphens/>
              <w:spacing w:line="240" w:lineRule="auto"/>
              <w:jc w:val="center"/>
              <w:rPr>
                <w:rFonts w:ascii="Times New Roman" w:hAnsi="Times New Roman"/>
                <w:b/>
                <w:i/>
                <w:kern w:val="2"/>
                <w:sz w:val="24"/>
                <w:szCs w:val="24"/>
                <w:lang w:eastAsia="ar-SA"/>
              </w:rPr>
            </w:pPr>
            <w:r w:rsidRPr="007822F9">
              <w:rPr>
                <w:rFonts w:ascii="Times New Roman" w:hAnsi="Times New Roman"/>
                <w:b/>
                <w:bCs/>
                <w:kern w:val="2"/>
                <w:sz w:val="24"/>
                <w:szCs w:val="24"/>
                <w:lang w:eastAsia="ar-SA"/>
              </w:rPr>
              <w:t>2018.</w:t>
            </w:r>
          </w:p>
        </w:tc>
      </w:tr>
      <w:tr w:rsidR="005404ED" w:rsidRPr="007822F9" w14:paraId="744ED54F" w14:textId="77777777" w:rsidTr="00D17683">
        <w:trPr>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016D61D4" w14:textId="77777777" w:rsidR="005404ED" w:rsidRPr="007822F9" w:rsidRDefault="005404ED" w:rsidP="007822F9">
            <w:pPr>
              <w:spacing w:line="240" w:lineRule="auto"/>
              <w:rPr>
                <w:rFonts w:ascii="Times New Roman" w:hAnsi="Times New Roman"/>
                <w:b/>
                <w:kern w:val="2"/>
                <w:sz w:val="24"/>
                <w:szCs w:val="24"/>
                <w:lang w:eastAsia="ar-SA"/>
              </w:rPr>
            </w:pPr>
          </w:p>
        </w:tc>
        <w:tc>
          <w:tcPr>
            <w:tcW w:w="1198" w:type="dxa"/>
            <w:tcBorders>
              <w:top w:val="single" w:sz="4" w:space="0" w:color="auto"/>
              <w:left w:val="single" w:sz="4" w:space="0" w:color="auto"/>
              <w:bottom w:val="single" w:sz="4" w:space="0" w:color="auto"/>
              <w:right w:val="single" w:sz="4" w:space="0" w:color="auto"/>
            </w:tcBorders>
            <w:vAlign w:val="center"/>
            <w:hideMark/>
          </w:tcPr>
          <w:p w14:paraId="5C4EA0F6" w14:textId="77777777" w:rsidR="005404ED" w:rsidRPr="007822F9" w:rsidRDefault="005404ED" w:rsidP="007822F9">
            <w:pPr>
              <w:widowControl w:val="0"/>
              <w:suppressAutoHyphens/>
              <w:spacing w:line="240" w:lineRule="auto"/>
              <w:jc w:val="center"/>
              <w:rPr>
                <w:rFonts w:ascii="Times New Roman" w:hAnsi="Times New Roman"/>
                <w:b/>
                <w:i/>
                <w:kern w:val="2"/>
                <w:sz w:val="24"/>
                <w:szCs w:val="24"/>
                <w:lang w:eastAsia="ar-SA"/>
              </w:rPr>
            </w:pPr>
            <w:r w:rsidRPr="007822F9">
              <w:rPr>
                <w:rFonts w:ascii="Times New Roman" w:hAnsi="Times New Roman"/>
                <w:kern w:val="2"/>
                <w:sz w:val="24"/>
                <w:szCs w:val="24"/>
                <w:lang w:eastAsia="ar-SA"/>
              </w:rPr>
              <w:t>Saskaņā ar valsts budžetu kārtējam gadam</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F81D7E2" w14:textId="77777777" w:rsidR="005404ED" w:rsidRPr="007822F9" w:rsidRDefault="005404ED" w:rsidP="007822F9">
            <w:pPr>
              <w:widowControl w:val="0"/>
              <w:suppressAutoHyphens/>
              <w:spacing w:line="240" w:lineRule="auto"/>
              <w:jc w:val="center"/>
              <w:rPr>
                <w:rFonts w:ascii="Times New Roman" w:hAnsi="Times New Roman"/>
                <w:b/>
                <w:i/>
                <w:kern w:val="2"/>
                <w:sz w:val="24"/>
                <w:szCs w:val="24"/>
                <w:lang w:eastAsia="ar-SA"/>
              </w:rPr>
            </w:pPr>
            <w:r w:rsidRPr="007822F9">
              <w:rPr>
                <w:rFonts w:ascii="Times New Roman" w:hAnsi="Times New Roman"/>
                <w:kern w:val="2"/>
                <w:sz w:val="24"/>
                <w:szCs w:val="24"/>
                <w:lang w:eastAsia="ar-SA"/>
              </w:rPr>
              <w:t>Izmaiņas kārtējā gadā, salīdzinot ar budžetu kārtējam gadam</w:t>
            </w:r>
          </w:p>
        </w:tc>
        <w:tc>
          <w:tcPr>
            <w:tcW w:w="1448" w:type="dxa"/>
            <w:tcBorders>
              <w:top w:val="single" w:sz="4" w:space="0" w:color="auto"/>
              <w:left w:val="single" w:sz="4" w:space="0" w:color="auto"/>
              <w:bottom w:val="single" w:sz="4" w:space="0" w:color="auto"/>
              <w:right w:val="single" w:sz="4" w:space="0" w:color="auto"/>
            </w:tcBorders>
            <w:vAlign w:val="center"/>
            <w:hideMark/>
          </w:tcPr>
          <w:p w14:paraId="4343C83A" w14:textId="77777777" w:rsidR="005404ED" w:rsidRPr="007822F9" w:rsidRDefault="005404ED" w:rsidP="007822F9">
            <w:pPr>
              <w:widowControl w:val="0"/>
              <w:suppressAutoHyphens/>
              <w:spacing w:line="240" w:lineRule="auto"/>
              <w:jc w:val="center"/>
              <w:rPr>
                <w:rFonts w:ascii="Times New Roman" w:hAnsi="Times New Roman"/>
                <w:b/>
                <w:i/>
                <w:kern w:val="2"/>
                <w:sz w:val="24"/>
                <w:szCs w:val="24"/>
                <w:lang w:eastAsia="ar-SA"/>
              </w:rPr>
            </w:pPr>
            <w:r w:rsidRPr="007822F9">
              <w:rPr>
                <w:rFonts w:ascii="Times New Roman" w:hAnsi="Times New Roman"/>
                <w:kern w:val="2"/>
                <w:sz w:val="24"/>
                <w:szCs w:val="24"/>
                <w:lang w:eastAsia="ar-SA"/>
              </w:rPr>
              <w:t>Izmaiņas, salīdzinot ar 2015. gadu</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1A652BB8" w14:textId="77777777" w:rsidR="005404ED" w:rsidRPr="007822F9" w:rsidRDefault="005404ED" w:rsidP="007822F9">
            <w:pPr>
              <w:widowControl w:val="0"/>
              <w:suppressAutoHyphens/>
              <w:spacing w:line="240" w:lineRule="auto"/>
              <w:jc w:val="center"/>
              <w:rPr>
                <w:rFonts w:ascii="Times New Roman" w:hAnsi="Times New Roman"/>
                <w:b/>
                <w:i/>
                <w:kern w:val="2"/>
                <w:sz w:val="24"/>
                <w:szCs w:val="24"/>
                <w:lang w:eastAsia="ar-SA"/>
              </w:rPr>
            </w:pPr>
            <w:r w:rsidRPr="007822F9">
              <w:rPr>
                <w:rFonts w:ascii="Times New Roman" w:hAnsi="Times New Roman"/>
                <w:kern w:val="2"/>
                <w:sz w:val="24"/>
                <w:szCs w:val="24"/>
                <w:lang w:eastAsia="ar-SA"/>
              </w:rPr>
              <w:t>Izmaiņas, salīdzinot ar 2015. gadu</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364AF2BC" w14:textId="77777777" w:rsidR="005404ED" w:rsidRPr="007822F9" w:rsidRDefault="005404ED" w:rsidP="007822F9">
            <w:pPr>
              <w:widowControl w:val="0"/>
              <w:suppressAutoHyphens/>
              <w:spacing w:line="240" w:lineRule="auto"/>
              <w:jc w:val="center"/>
              <w:rPr>
                <w:rFonts w:ascii="Times New Roman" w:hAnsi="Times New Roman"/>
                <w:b/>
                <w:i/>
                <w:kern w:val="2"/>
                <w:sz w:val="24"/>
                <w:szCs w:val="24"/>
                <w:lang w:eastAsia="ar-SA"/>
              </w:rPr>
            </w:pPr>
            <w:r w:rsidRPr="007822F9">
              <w:rPr>
                <w:rFonts w:ascii="Times New Roman" w:hAnsi="Times New Roman"/>
                <w:kern w:val="2"/>
                <w:sz w:val="24"/>
                <w:szCs w:val="24"/>
                <w:lang w:eastAsia="ar-SA"/>
              </w:rPr>
              <w:t>Izmaiņas, salīdzinot ar 2015. gadu</w:t>
            </w:r>
          </w:p>
        </w:tc>
      </w:tr>
      <w:tr w:rsidR="005404ED" w:rsidRPr="007822F9" w14:paraId="7518DACE"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vAlign w:val="center"/>
            <w:hideMark/>
          </w:tcPr>
          <w:p w14:paraId="0F5A2EB0" w14:textId="77777777" w:rsidR="005404ED" w:rsidRPr="007822F9" w:rsidRDefault="005404ED" w:rsidP="007822F9">
            <w:pPr>
              <w:widowControl w:val="0"/>
              <w:suppressAutoHyphens/>
              <w:spacing w:line="240" w:lineRule="auto"/>
              <w:jc w:val="center"/>
              <w:rPr>
                <w:rFonts w:ascii="Times New Roman" w:hAnsi="Times New Roman"/>
                <w:bCs/>
                <w:kern w:val="2"/>
                <w:sz w:val="24"/>
                <w:szCs w:val="24"/>
                <w:lang w:eastAsia="ar-SA"/>
              </w:rPr>
            </w:pPr>
            <w:r w:rsidRPr="007822F9">
              <w:rPr>
                <w:rFonts w:ascii="Times New Roman" w:hAnsi="Times New Roman"/>
                <w:bCs/>
                <w:kern w:val="2"/>
                <w:sz w:val="24"/>
                <w:szCs w:val="24"/>
                <w:lang w:eastAsia="ar-SA"/>
              </w:rPr>
              <w:t>1</w:t>
            </w:r>
          </w:p>
        </w:tc>
        <w:tc>
          <w:tcPr>
            <w:tcW w:w="1198" w:type="dxa"/>
            <w:tcBorders>
              <w:top w:val="single" w:sz="4" w:space="0" w:color="auto"/>
              <w:left w:val="single" w:sz="4" w:space="0" w:color="auto"/>
              <w:bottom w:val="single" w:sz="4" w:space="0" w:color="auto"/>
              <w:right w:val="single" w:sz="4" w:space="0" w:color="auto"/>
            </w:tcBorders>
            <w:vAlign w:val="center"/>
            <w:hideMark/>
          </w:tcPr>
          <w:p w14:paraId="11BDDA80" w14:textId="77777777" w:rsidR="005404ED" w:rsidRPr="007822F9" w:rsidRDefault="005404ED" w:rsidP="007822F9">
            <w:pPr>
              <w:widowControl w:val="0"/>
              <w:suppressAutoHyphens/>
              <w:spacing w:line="240" w:lineRule="auto"/>
              <w:jc w:val="center"/>
              <w:rPr>
                <w:rFonts w:ascii="Times New Roman" w:hAnsi="Times New Roman"/>
                <w:bCs/>
                <w:kern w:val="2"/>
                <w:sz w:val="24"/>
                <w:szCs w:val="24"/>
                <w:lang w:eastAsia="ar-SA"/>
              </w:rPr>
            </w:pPr>
            <w:r w:rsidRPr="007822F9">
              <w:rPr>
                <w:rFonts w:ascii="Times New Roman" w:hAnsi="Times New Roman"/>
                <w:bCs/>
                <w:kern w:val="2"/>
                <w:sz w:val="24"/>
                <w:szCs w:val="24"/>
                <w:lang w:eastAsia="ar-SA"/>
              </w:rPr>
              <w:t>2</w:t>
            </w:r>
          </w:p>
        </w:tc>
        <w:tc>
          <w:tcPr>
            <w:tcW w:w="1598" w:type="dxa"/>
            <w:tcBorders>
              <w:top w:val="single" w:sz="4" w:space="0" w:color="auto"/>
              <w:left w:val="single" w:sz="4" w:space="0" w:color="auto"/>
              <w:bottom w:val="single" w:sz="4" w:space="0" w:color="auto"/>
              <w:right w:val="single" w:sz="4" w:space="0" w:color="auto"/>
            </w:tcBorders>
            <w:vAlign w:val="center"/>
            <w:hideMark/>
          </w:tcPr>
          <w:p w14:paraId="3B741BB2" w14:textId="77777777" w:rsidR="005404ED" w:rsidRPr="007822F9" w:rsidRDefault="005404ED" w:rsidP="007822F9">
            <w:pPr>
              <w:widowControl w:val="0"/>
              <w:suppressAutoHyphens/>
              <w:spacing w:line="240" w:lineRule="auto"/>
              <w:jc w:val="center"/>
              <w:rPr>
                <w:rFonts w:ascii="Times New Roman" w:hAnsi="Times New Roman"/>
                <w:bCs/>
                <w:kern w:val="2"/>
                <w:sz w:val="24"/>
                <w:szCs w:val="24"/>
                <w:lang w:eastAsia="ar-SA"/>
              </w:rPr>
            </w:pPr>
            <w:r w:rsidRPr="007822F9">
              <w:rPr>
                <w:rFonts w:ascii="Times New Roman" w:hAnsi="Times New Roman"/>
                <w:bCs/>
                <w:kern w:val="2"/>
                <w:sz w:val="24"/>
                <w:szCs w:val="24"/>
                <w:lang w:eastAsia="ar-SA"/>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14:paraId="7057422B" w14:textId="77777777" w:rsidR="005404ED" w:rsidRPr="007822F9" w:rsidRDefault="005404ED" w:rsidP="007822F9">
            <w:pPr>
              <w:widowControl w:val="0"/>
              <w:suppressAutoHyphens/>
              <w:spacing w:line="240" w:lineRule="auto"/>
              <w:jc w:val="center"/>
              <w:rPr>
                <w:rFonts w:ascii="Times New Roman" w:hAnsi="Times New Roman"/>
                <w:bCs/>
                <w:kern w:val="2"/>
                <w:sz w:val="24"/>
                <w:szCs w:val="24"/>
                <w:lang w:eastAsia="ar-SA"/>
              </w:rPr>
            </w:pPr>
            <w:r w:rsidRPr="007822F9">
              <w:rPr>
                <w:rFonts w:ascii="Times New Roman" w:hAnsi="Times New Roman"/>
                <w:bCs/>
                <w:kern w:val="2"/>
                <w:sz w:val="24"/>
                <w:szCs w:val="24"/>
                <w:lang w:eastAsia="ar-SA"/>
              </w:rPr>
              <w:t>4</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5E9268E6" w14:textId="77777777" w:rsidR="005404ED" w:rsidRPr="007822F9" w:rsidRDefault="005404ED" w:rsidP="007822F9">
            <w:pPr>
              <w:widowControl w:val="0"/>
              <w:suppressAutoHyphens/>
              <w:spacing w:line="240" w:lineRule="auto"/>
              <w:jc w:val="center"/>
              <w:rPr>
                <w:rFonts w:ascii="Times New Roman" w:hAnsi="Times New Roman"/>
                <w:bCs/>
                <w:kern w:val="2"/>
                <w:sz w:val="24"/>
                <w:szCs w:val="24"/>
                <w:lang w:eastAsia="ar-SA"/>
              </w:rPr>
            </w:pPr>
            <w:r w:rsidRPr="007822F9">
              <w:rPr>
                <w:rFonts w:ascii="Times New Roman" w:hAnsi="Times New Roman"/>
                <w:bCs/>
                <w:kern w:val="2"/>
                <w:sz w:val="24"/>
                <w:szCs w:val="24"/>
                <w:lang w:eastAsia="ar-SA"/>
              </w:rPr>
              <w:t>5</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31CF345E" w14:textId="77777777" w:rsidR="005404ED" w:rsidRPr="007822F9" w:rsidRDefault="005404ED" w:rsidP="007822F9">
            <w:pPr>
              <w:widowControl w:val="0"/>
              <w:suppressAutoHyphens/>
              <w:spacing w:line="240" w:lineRule="auto"/>
              <w:jc w:val="center"/>
              <w:rPr>
                <w:rFonts w:ascii="Times New Roman" w:hAnsi="Times New Roman"/>
                <w:bCs/>
                <w:kern w:val="2"/>
                <w:sz w:val="24"/>
                <w:szCs w:val="24"/>
                <w:lang w:eastAsia="ar-SA"/>
              </w:rPr>
            </w:pPr>
            <w:r w:rsidRPr="007822F9">
              <w:rPr>
                <w:rFonts w:ascii="Times New Roman" w:hAnsi="Times New Roman"/>
                <w:bCs/>
                <w:kern w:val="2"/>
                <w:sz w:val="24"/>
                <w:szCs w:val="24"/>
                <w:lang w:eastAsia="ar-SA"/>
              </w:rPr>
              <w:t>6</w:t>
            </w:r>
          </w:p>
        </w:tc>
      </w:tr>
      <w:tr w:rsidR="005404ED" w:rsidRPr="007822F9" w14:paraId="18DD5F12" w14:textId="77777777" w:rsidTr="00D17683">
        <w:trPr>
          <w:trHeight w:val="207"/>
          <w:jc w:val="center"/>
        </w:trPr>
        <w:tc>
          <w:tcPr>
            <w:tcW w:w="2042" w:type="dxa"/>
            <w:tcBorders>
              <w:top w:val="single" w:sz="4" w:space="0" w:color="auto"/>
              <w:left w:val="single" w:sz="4" w:space="0" w:color="auto"/>
              <w:bottom w:val="single" w:sz="4" w:space="0" w:color="auto"/>
              <w:right w:val="single" w:sz="4" w:space="0" w:color="auto"/>
            </w:tcBorders>
            <w:hideMark/>
          </w:tcPr>
          <w:p w14:paraId="558EF6D0" w14:textId="77777777" w:rsidR="005404ED" w:rsidRPr="007822F9" w:rsidRDefault="005404ED" w:rsidP="007822F9">
            <w:pPr>
              <w:widowControl w:val="0"/>
              <w:suppressAutoHyphens/>
              <w:spacing w:line="240" w:lineRule="auto"/>
              <w:jc w:val="both"/>
              <w:rPr>
                <w:rFonts w:ascii="Times New Roman" w:hAnsi="Times New Roman"/>
                <w:i/>
                <w:kern w:val="2"/>
                <w:sz w:val="24"/>
                <w:szCs w:val="24"/>
                <w:lang w:eastAsia="ar-SA"/>
              </w:rPr>
            </w:pPr>
            <w:r w:rsidRPr="007822F9">
              <w:rPr>
                <w:rFonts w:ascii="Times New Roman" w:hAnsi="Times New Roman"/>
                <w:kern w:val="2"/>
                <w:sz w:val="24"/>
                <w:szCs w:val="24"/>
                <w:lang w:eastAsia="ar-SA"/>
              </w:rPr>
              <w:t>1. Budžeta ieņēmumi:</w:t>
            </w:r>
          </w:p>
        </w:tc>
        <w:tc>
          <w:tcPr>
            <w:tcW w:w="1198" w:type="dxa"/>
            <w:tcBorders>
              <w:top w:val="single" w:sz="4" w:space="0" w:color="auto"/>
              <w:left w:val="single" w:sz="4" w:space="0" w:color="auto"/>
              <w:bottom w:val="single" w:sz="4" w:space="0" w:color="auto"/>
              <w:right w:val="single" w:sz="4" w:space="0" w:color="auto"/>
            </w:tcBorders>
            <w:hideMark/>
          </w:tcPr>
          <w:p w14:paraId="689F6BA4" w14:textId="77777777" w:rsidR="005404ED" w:rsidRPr="007822F9" w:rsidRDefault="00C356F5"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598" w:type="dxa"/>
            <w:tcBorders>
              <w:top w:val="single" w:sz="4" w:space="0" w:color="auto"/>
              <w:left w:val="single" w:sz="4" w:space="0" w:color="auto"/>
              <w:bottom w:val="single" w:sz="4" w:space="0" w:color="auto"/>
              <w:right w:val="single" w:sz="4" w:space="0" w:color="auto"/>
            </w:tcBorders>
            <w:hideMark/>
          </w:tcPr>
          <w:p w14:paraId="46F169DD"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hideMark/>
          </w:tcPr>
          <w:p w14:paraId="367723B8" w14:textId="77777777" w:rsidR="005404ED" w:rsidRPr="007822F9" w:rsidRDefault="00C356F5" w:rsidP="007822F9">
            <w:pPr>
              <w:spacing w:line="240" w:lineRule="auto"/>
              <w:jc w:val="center"/>
              <w:rPr>
                <w:rFonts w:ascii="Times New Roman" w:hAnsi="Times New Roman"/>
                <w:sz w:val="24"/>
                <w:szCs w:val="24"/>
              </w:rPr>
            </w:pPr>
            <w:r w:rsidRPr="007822F9">
              <w:rPr>
                <w:rFonts w:ascii="Times New Roman" w:hAnsi="Times New Roman"/>
                <w:sz w:val="24"/>
                <w:szCs w:val="24"/>
              </w:rPr>
              <w:t>0</w:t>
            </w:r>
          </w:p>
        </w:tc>
        <w:tc>
          <w:tcPr>
            <w:tcW w:w="1449" w:type="dxa"/>
            <w:gridSpan w:val="2"/>
            <w:tcBorders>
              <w:top w:val="single" w:sz="4" w:space="0" w:color="auto"/>
              <w:left w:val="single" w:sz="4" w:space="0" w:color="auto"/>
              <w:bottom w:val="single" w:sz="4" w:space="0" w:color="auto"/>
              <w:right w:val="single" w:sz="4" w:space="0" w:color="auto"/>
            </w:tcBorders>
            <w:hideMark/>
          </w:tcPr>
          <w:p w14:paraId="13A21AEB" w14:textId="77777777" w:rsidR="005404ED" w:rsidRPr="007822F9" w:rsidRDefault="00C356F5" w:rsidP="007822F9">
            <w:pPr>
              <w:spacing w:line="240" w:lineRule="auto"/>
              <w:jc w:val="center"/>
              <w:rPr>
                <w:rFonts w:ascii="Times New Roman" w:hAnsi="Times New Roman"/>
                <w:sz w:val="24"/>
                <w:szCs w:val="24"/>
              </w:rPr>
            </w:pPr>
            <w:r w:rsidRPr="007822F9">
              <w:rPr>
                <w:rFonts w:ascii="Times New Roman" w:hAnsi="Times New Roman"/>
                <w:sz w:val="24"/>
                <w:szCs w:val="24"/>
              </w:rPr>
              <w:t>0</w:t>
            </w:r>
          </w:p>
        </w:tc>
        <w:tc>
          <w:tcPr>
            <w:tcW w:w="1449" w:type="dxa"/>
            <w:gridSpan w:val="2"/>
            <w:tcBorders>
              <w:top w:val="single" w:sz="4" w:space="0" w:color="auto"/>
              <w:left w:val="single" w:sz="4" w:space="0" w:color="auto"/>
              <w:bottom w:val="single" w:sz="4" w:space="0" w:color="auto"/>
              <w:right w:val="single" w:sz="4" w:space="0" w:color="auto"/>
            </w:tcBorders>
            <w:hideMark/>
          </w:tcPr>
          <w:p w14:paraId="4CEF7160" w14:textId="77777777" w:rsidR="005404ED" w:rsidRPr="007822F9" w:rsidRDefault="00C356F5" w:rsidP="007822F9">
            <w:pPr>
              <w:spacing w:line="240" w:lineRule="auto"/>
              <w:jc w:val="center"/>
              <w:rPr>
                <w:rFonts w:ascii="Times New Roman" w:hAnsi="Times New Roman"/>
                <w:sz w:val="24"/>
                <w:szCs w:val="24"/>
              </w:rPr>
            </w:pPr>
            <w:r w:rsidRPr="007822F9">
              <w:rPr>
                <w:rFonts w:ascii="Times New Roman" w:hAnsi="Times New Roman"/>
                <w:sz w:val="24"/>
                <w:szCs w:val="24"/>
              </w:rPr>
              <w:t>0</w:t>
            </w:r>
          </w:p>
        </w:tc>
      </w:tr>
      <w:tr w:rsidR="005404ED" w:rsidRPr="007822F9" w14:paraId="760BE43D"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7F94FE4A" w14:textId="77777777" w:rsidR="005404ED" w:rsidRPr="007822F9" w:rsidRDefault="005404ED" w:rsidP="007822F9">
            <w:pPr>
              <w:widowControl w:val="0"/>
              <w:suppressAutoHyphens/>
              <w:spacing w:line="240" w:lineRule="auto"/>
              <w:jc w:val="both"/>
              <w:rPr>
                <w:rFonts w:ascii="Times New Roman" w:hAnsi="Times New Roman"/>
                <w:i/>
                <w:kern w:val="2"/>
                <w:sz w:val="24"/>
                <w:szCs w:val="24"/>
                <w:lang w:eastAsia="ar-SA"/>
              </w:rPr>
            </w:pPr>
            <w:r w:rsidRPr="007822F9">
              <w:rPr>
                <w:rFonts w:ascii="Times New Roman" w:hAnsi="Times New Roman"/>
                <w:kern w:val="2"/>
                <w:sz w:val="24"/>
                <w:szCs w:val="24"/>
                <w:lang w:eastAsia="ar-SA"/>
              </w:rPr>
              <w:t>1.1. valsts pamatbudžets, tai skaitā ieņēmumi no valsts nodevām</w:t>
            </w:r>
          </w:p>
        </w:tc>
        <w:tc>
          <w:tcPr>
            <w:tcW w:w="1198" w:type="dxa"/>
            <w:tcBorders>
              <w:top w:val="single" w:sz="4" w:space="0" w:color="auto"/>
              <w:left w:val="single" w:sz="4" w:space="0" w:color="auto"/>
              <w:bottom w:val="single" w:sz="4" w:space="0" w:color="auto"/>
              <w:right w:val="single" w:sz="4" w:space="0" w:color="auto"/>
            </w:tcBorders>
            <w:hideMark/>
          </w:tcPr>
          <w:p w14:paraId="11EC6B66" w14:textId="77777777" w:rsidR="005404ED" w:rsidRPr="007822F9" w:rsidRDefault="00C356F5"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598" w:type="dxa"/>
            <w:tcBorders>
              <w:top w:val="single" w:sz="4" w:space="0" w:color="auto"/>
              <w:left w:val="single" w:sz="4" w:space="0" w:color="auto"/>
              <w:bottom w:val="single" w:sz="4" w:space="0" w:color="auto"/>
              <w:right w:val="single" w:sz="4" w:space="0" w:color="auto"/>
            </w:tcBorders>
            <w:hideMark/>
          </w:tcPr>
          <w:p w14:paraId="35E0EE1D"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111BA202" w14:textId="77777777" w:rsidR="005404ED" w:rsidRPr="007822F9" w:rsidRDefault="00C356F5" w:rsidP="007822F9">
            <w:pPr>
              <w:spacing w:line="240" w:lineRule="auto"/>
              <w:jc w:val="center"/>
              <w:rPr>
                <w:rFonts w:ascii="Times New Roman" w:hAnsi="Times New Roman"/>
                <w:sz w:val="24"/>
                <w:szCs w:val="24"/>
              </w:rPr>
            </w:pPr>
            <w:r w:rsidRPr="007822F9">
              <w:rPr>
                <w:rFonts w:ascii="Times New Roman" w:hAnsi="Times New Roman"/>
                <w:sz w:val="24"/>
                <w:szCs w:val="24"/>
              </w:rPr>
              <w:t>0</w:t>
            </w:r>
          </w:p>
        </w:tc>
        <w:tc>
          <w:tcPr>
            <w:tcW w:w="1449" w:type="dxa"/>
            <w:gridSpan w:val="2"/>
            <w:tcBorders>
              <w:top w:val="single" w:sz="4" w:space="0" w:color="auto"/>
              <w:left w:val="single" w:sz="4" w:space="0" w:color="auto"/>
              <w:bottom w:val="single" w:sz="4" w:space="0" w:color="auto"/>
              <w:right w:val="single" w:sz="4" w:space="0" w:color="auto"/>
            </w:tcBorders>
          </w:tcPr>
          <w:p w14:paraId="6C22E78A" w14:textId="77777777" w:rsidR="005404ED" w:rsidRPr="007822F9" w:rsidRDefault="00C356F5" w:rsidP="007822F9">
            <w:pPr>
              <w:spacing w:line="240" w:lineRule="auto"/>
              <w:jc w:val="center"/>
              <w:rPr>
                <w:rFonts w:ascii="Times New Roman" w:hAnsi="Times New Roman"/>
                <w:sz w:val="24"/>
                <w:szCs w:val="24"/>
              </w:rPr>
            </w:pPr>
            <w:r w:rsidRPr="007822F9">
              <w:rPr>
                <w:rFonts w:ascii="Times New Roman" w:hAnsi="Times New Roman"/>
                <w:sz w:val="24"/>
                <w:szCs w:val="24"/>
              </w:rPr>
              <w:t>0</w:t>
            </w:r>
          </w:p>
        </w:tc>
        <w:tc>
          <w:tcPr>
            <w:tcW w:w="1449" w:type="dxa"/>
            <w:gridSpan w:val="2"/>
            <w:tcBorders>
              <w:top w:val="single" w:sz="4" w:space="0" w:color="auto"/>
              <w:left w:val="single" w:sz="4" w:space="0" w:color="auto"/>
              <w:bottom w:val="single" w:sz="4" w:space="0" w:color="auto"/>
              <w:right w:val="single" w:sz="4" w:space="0" w:color="auto"/>
            </w:tcBorders>
          </w:tcPr>
          <w:p w14:paraId="1219778C" w14:textId="77777777" w:rsidR="005404ED" w:rsidRPr="007822F9" w:rsidRDefault="00C356F5" w:rsidP="007822F9">
            <w:pPr>
              <w:spacing w:line="240" w:lineRule="auto"/>
              <w:jc w:val="center"/>
              <w:rPr>
                <w:rFonts w:ascii="Times New Roman" w:hAnsi="Times New Roman"/>
                <w:sz w:val="24"/>
                <w:szCs w:val="24"/>
              </w:rPr>
            </w:pPr>
            <w:r w:rsidRPr="007822F9">
              <w:rPr>
                <w:rFonts w:ascii="Times New Roman" w:hAnsi="Times New Roman"/>
                <w:sz w:val="24"/>
                <w:szCs w:val="24"/>
              </w:rPr>
              <w:t>0</w:t>
            </w:r>
          </w:p>
        </w:tc>
      </w:tr>
      <w:tr w:rsidR="005404ED" w:rsidRPr="007822F9" w14:paraId="4217D9D8"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tcPr>
          <w:p w14:paraId="413FE2B5" w14:textId="77777777" w:rsidR="005404ED" w:rsidRPr="007822F9" w:rsidRDefault="005404ED" w:rsidP="007822F9">
            <w:pPr>
              <w:widowControl w:val="0"/>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1.1.1.</w:t>
            </w:r>
            <w:r w:rsidRPr="007822F9">
              <w:rPr>
                <w:rFonts w:ascii="Times New Roman" w:hAnsi="Times New Roman"/>
                <w:sz w:val="24"/>
                <w:szCs w:val="24"/>
              </w:rPr>
              <w:t xml:space="preserve"> dotācijas no vispārējiem ieņēmumiem</w:t>
            </w:r>
          </w:p>
        </w:tc>
        <w:tc>
          <w:tcPr>
            <w:tcW w:w="1198" w:type="dxa"/>
            <w:tcBorders>
              <w:top w:val="single" w:sz="4" w:space="0" w:color="auto"/>
              <w:left w:val="single" w:sz="4" w:space="0" w:color="auto"/>
              <w:bottom w:val="single" w:sz="4" w:space="0" w:color="auto"/>
              <w:right w:val="single" w:sz="4" w:space="0" w:color="auto"/>
            </w:tcBorders>
          </w:tcPr>
          <w:p w14:paraId="4AE91EFB" w14:textId="77777777" w:rsidR="005404ED" w:rsidRPr="007822F9" w:rsidRDefault="00C356F5" w:rsidP="007822F9">
            <w:pPr>
              <w:widowControl w:val="0"/>
              <w:suppressAutoHyphens/>
              <w:spacing w:line="240" w:lineRule="auto"/>
              <w:jc w:val="center"/>
              <w:rPr>
                <w:rFonts w:ascii="Times New Roman" w:hAnsi="Times New Roman"/>
                <w:sz w:val="24"/>
                <w:szCs w:val="24"/>
              </w:rPr>
            </w:pPr>
            <w:r w:rsidRPr="007822F9">
              <w:rPr>
                <w:rFonts w:ascii="Times New Roman" w:hAnsi="Times New Roman"/>
                <w:sz w:val="24"/>
                <w:szCs w:val="24"/>
              </w:rPr>
              <w:t>0</w:t>
            </w:r>
          </w:p>
        </w:tc>
        <w:tc>
          <w:tcPr>
            <w:tcW w:w="1598" w:type="dxa"/>
            <w:tcBorders>
              <w:top w:val="single" w:sz="4" w:space="0" w:color="auto"/>
              <w:left w:val="single" w:sz="4" w:space="0" w:color="auto"/>
              <w:bottom w:val="single" w:sz="4" w:space="0" w:color="auto"/>
              <w:right w:val="single" w:sz="4" w:space="0" w:color="auto"/>
            </w:tcBorders>
          </w:tcPr>
          <w:p w14:paraId="6C566C3B"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4A830699" w14:textId="77777777" w:rsidR="005404ED" w:rsidRPr="007822F9" w:rsidRDefault="00C356F5" w:rsidP="007822F9">
            <w:pPr>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1FA0FC77" w14:textId="77777777" w:rsidR="005404ED" w:rsidRPr="007822F9" w:rsidRDefault="00C356F5" w:rsidP="007822F9">
            <w:pPr>
              <w:spacing w:line="240" w:lineRule="auto"/>
              <w:jc w:val="center"/>
              <w:rPr>
                <w:rFonts w:ascii="Times New Roman" w:hAnsi="Times New Roman"/>
                <w:sz w:val="24"/>
                <w:szCs w:val="24"/>
              </w:rPr>
            </w:pPr>
            <w:r w:rsidRPr="007822F9">
              <w:rPr>
                <w:rFonts w:ascii="Times New Roman" w:hAnsi="Times New Roman"/>
                <w:sz w:val="24"/>
                <w:szCs w:val="24"/>
              </w:rPr>
              <w:t>0</w:t>
            </w:r>
          </w:p>
        </w:tc>
        <w:tc>
          <w:tcPr>
            <w:tcW w:w="1449" w:type="dxa"/>
            <w:gridSpan w:val="2"/>
            <w:tcBorders>
              <w:top w:val="single" w:sz="4" w:space="0" w:color="auto"/>
              <w:left w:val="single" w:sz="4" w:space="0" w:color="auto"/>
              <w:bottom w:val="single" w:sz="4" w:space="0" w:color="auto"/>
              <w:right w:val="single" w:sz="4" w:space="0" w:color="auto"/>
            </w:tcBorders>
          </w:tcPr>
          <w:p w14:paraId="7E0235BF" w14:textId="77777777" w:rsidR="005404ED" w:rsidRPr="007822F9" w:rsidRDefault="00C356F5" w:rsidP="007822F9">
            <w:pPr>
              <w:spacing w:line="240" w:lineRule="auto"/>
              <w:jc w:val="center"/>
              <w:rPr>
                <w:rFonts w:ascii="Times New Roman" w:hAnsi="Times New Roman"/>
                <w:sz w:val="24"/>
                <w:szCs w:val="24"/>
              </w:rPr>
            </w:pPr>
            <w:r w:rsidRPr="007822F9">
              <w:rPr>
                <w:rFonts w:ascii="Times New Roman" w:hAnsi="Times New Roman"/>
                <w:sz w:val="24"/>
                <w:szCs w:val="24"/>
              </w:rPr>
              <w:t>0</w:t>
            </w:r>
          </w:p>
          <w:p w14:paraId="35D4DC65" w14:textId="77777777" w:rsidR="005404ED" w:rsidRPr="007822F9" w:rsidRDefault="005404ED" w:rsidP="007822F9">
            <w:pPr>
              <w:spacing w:line="240" w:lineRule="auto"/>
              <w:jc w:val="center"/>
              <w:rPr>
                <w:rFonts w:ascii="Times New Roman" w:hAnsi="Times New Roman"/>
                <w:sz w:val="24"/>
                <w:szCs w:val="24"/>
              </w:rPr>
            </w:pPr>
          </w:p>
        </w:tc>
      </w:tr>
      <w:tr w:rsidR="005404ED" w:rsidRPr="007822F9" w14:paraId="3AA7D3A2"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tcPr>
          <w:p w14:paraId="280D146E" w14:textId="77777777" w:rsidR="005404ED" w:rsidRPr="007822F9" w:rsidRDefault="005404ED" w:rsidP="007822F9">
            <w:pPr>
              <w:widowControl w:val="0"/>
              <w:suppressAutoHyphens/>
              <w:spacing w:line="240" w:lineRule="auto"/>
              <w:jc w:val="both"/>
              <w:rPr>
                <w:rFonts w:ascii="Times New Roman" w:hAnsi="Times New Roman"/>
                <w:kern w:val="2"/>
                <w:sz w:val="24"/>
                <w:szCs w:val="24"/>
                <w:lang w:eastAsia="ar-SA"/>
              </w:rPr>
            </w:pPr>
            <w:r w:rsidRPr="007822F9">
              <w:rPr>
                <w:rFonts w:ascii="Times New Roman" w:hAnsi="Times New Roman"/>
                <w:sz w:val="24"/>
                <w:szCs w:val="24"/>
              </w:rPr>
              <w:t>1.1.2.ieņēmumi no maksas pakalpojumiem un citi pašu ieņēmumi</w:t>
            </w:r>
          </w:p>
        </w:tc>
        <w:tc>
          <w:tcPr>
            <w:tcW w:w="1198" w:type="dxa"/>
            <w:tcBorders>
              <w:top w:val="single" w:sz="4" w:space="0" w:color="auto"/>
              <w:left w:val="single" w:sz="4" w:space="0" w:color="auto"/>
              <w:bottom w:val="single" w:sz="4" w:space="0" w:color="auto"/>
              <w:right w:val="single" w:sz="4" w:space="0" w:color="auto"/>
            </w:tcBorders>
          </w:tcPr>
          <w:p w14:paraId="18D57516" w14:textId="77777777" w:rsidR="005404ED" w:rsidRPr="007822F9" w:rsidRDefault="00C356F5" w:rsidP="007822F9">
            <w:pPr>
              <w:widowControl w:val="0"/>
              <w:suppressAutoHyphens/>
              <w:spacing w:line="240" w:lineRule="auto"/>
              <w:jc w:val="center"/>
              <w:rPr>
                <w:rFonts w:ascii="Times New Roman" w:hAnsi="Times New Roman"/>
                <w:sz w:val="24"/>
                <w:szCs w:val="24"/>
              </w:rPr>
            </w:pPr>
            <w:r w:rsidRPr="007822F9">
              <w:rPr>
                <w:rFonts w:ascii="Times New Roman" w:hAnsi="Times New Roman"/>
                <w:sz w:val="24"/>
                <w:szCs w:val="24"/>
              </w:rPr>
              <w:t>0</w:t>
            </w:r>
          </w:p>
        </w:tc>
        <w:tc>
          <w:tcPr>
            <w:tcW w:w="1598" w:type="dxa"/>
            <w:tcBorders>
              <w:top w:val="single" w:sz="4" w:space="0" w:color="auto"/>
              <w:left w:val="single" w:sz="4" w:space="0" w:color="auto"/>
              <w:bottom w:val="single" w:sz="4" w:space="0" w:color="auto"/>
              <w:right w:val="single" w:sz="4" w:space="0" w:color="auto"/>
            </w:tcBorders>
          </w:tcPr>
          <w:p w14:paraId="4FF99E83"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3642F968" w14:textId="77777777" w:rsidR="005404ED" w:rsidRPr="007822F9" w:rsidRDefault="00C356F5" w:rsidP="007822F9">
            <w:pPr>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4266E140" w14:textId="77777777" w:rsidR="005404ED" w:rsidRPr="007822F9" w:rsidRDefault="00C356F5" w:rsidP="007822F9">
            <w:pPr>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7FDC1F40" w14:textId="77777777" w:rsidR="005404ED" w:rsidRPr="007822F9" w:rsidRDefault="00C356F5" w:rsidP="007822F9">
            <w:pPr>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158C6CEC" w14:textId="77777777" w:rsidTr="00D17683">
        <w:trPr>
          <w:trHeight w:val="1908"/>
          <w:jc w:val="center"/>
        </w:trPr>
        <w:tc>
          <w:tcPr>
            <w:tcW w:w="2042" w:type="dxa"/>
            <w:tcBorders>
              <w:top w:val="single" w:sz="4" w:space="0" w:color="auto"/>
              <w:left w:val="single" w:sz="4" w:space="0" w:color="auto"/>
              <w:bottom w:val="single" w:sz="4" w:space="0" w:color="auto"/>
              <w:right w:val="single" w:sz="4" w:space="0" w:color="auto"/>
            </w:tcBorders>
          </w:tcPr>
          <w:p w14:paraId="536ED195" w14:textId="77777777" w:rsidR="005404ED" w:rsidRPr="007822F9" w:rsidRDefault="005404ED" w:rsidP="007822F9">
            <w:pPr>
              <w:widowControl w:val="0"/>
              <w:suppressAutoHyphens/>
              <w:spacing w:line="240" w:lineRule="auto"/>
              <w:jc w:val="both"/>
              <w:rPr>
                <w:rFonts w:ascii="Times New Roman" w:hAnsi="Times New Roman"/>
                <w:sz w:val="24"/>
                <w:szCs w:val="24"/>
              </w:rPr>
            </w:pPr>
            <w:r w:rsidRPr="007822F9">
              <w:rPr>
                <w:rFonts w:ascii="Times New Roman" w:hAnsi="Times New Roman"/>
                <w:sz w:val="24"/>
                <w:szCs w:val="24"/>
              </w:rPr>
              <w:t>1.1.3.ieņēmumu no nodevas daļa, kas netiek novirzīta Patentu valdes izdevumu segšanai.</w:t>
            </w:r>
          </w:p>
        </w:tc>
        <w:tc>
          <w:tcPr>
            <w:tcW w:w="1198" w:type="dxa"/>
            <w:tcBorders>
              <w:top w:val="single" w:sz="4" w:space="0" w:color="auto"/>
              <w:left w:val="single" w:sz="4" w:space="0" w:color="auto"/>
              <w:bottom w:val="single" w:sz="4" w:space="0" w:color="auto"/>
              <w:right w:val="single" w:sz="4" w:space="0" w:color="auto"/>
            </w:tcBorders>
          </w:tcPr>
          <w:p w14:paraId="5D6B11E6" w14:textId="77777777" w:rsidR="005404ED" w:rsidRPr="007822F9" w:rsidRDefault="00C356F5" w:rsidP="007822F9">
            <w:pPr>
              <w:widowControl w:val="0"/>
              <w:suppressAutoHyphens/>
              <w:spacing w:line="240" w:lineRule="auto"/>
              <w:jc w:val="center"/>
              <w:rPr>
                <w:rFonts w:ascii="Times New Roman" w:hAnsi="Times New Roman"/>
                <w:sz w:val="24"/>
                <w:szCs w:val="24"/>
              </w:rPr>
            </w:pPr>
            <w:r w:rsidRPr="007822F9">
              <w:rPr>
                <w:rFonts w:ascii="Times New Roman" w:hAnsi="Times New Roman"/>
                <w:sz w:val="24"/>
                <w:szCs w:val="24"/>
              </w:rPr>
              <w:t>0</w:t>
            </w:r>
          </w:p>
        </w:tc>
        <w:tc>
          <w:tcPr>
            <w:tcW w:w="1598" w:type="dxa"/>
            <w:tcBorders>
              <w:top w:val="single" w:sz="4" w:space="0" w:color="auto"/>
              <w:left w:val="single" w:sz="4" w:space="0" w:color="auto"/>
              <w:bottom w:val="single" w:sz="4" w:space="0" w:color="auto"/>
              <w:right w:val="single" w:sz="4" w:space="0" w:color="auto"/>
            </w:tcBorders>
          </w:tcPr>
          <w:p w14:paraId="6F9A9D69"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1995C4D3" w14:textId="77777777" w:rsidR="005404ED" w:rsidRPr="007822F9" w:rsidRDefault="00C356F5"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21AC99E9" w14:textId="77777777" w:rsidR="005404ED" w:rsidRPr="007822F9" w:rsidRDefault="00C356F5" w:rsidP="007822F9">
            <w:pPr>
              <w:spacing w:line="240" w:lineRule="auto"/>
              <w:jc w:val="center"/>
              <w:rPr>
                <w:rFonts w:ascii="Times New Roman" w:hAnsi="Times New Roman"/>
                <w:sz w:val="24"/>
                <w:szCs w:val="24"/>
              </w:rPr>
            </w:pPr>
            <w:r w:rsidRPr="007822F9">
              <w:rPr>
                <w:rFonts w:ascii="Times New Roman" w:hAnsi="Times New Roman"/>
                <w:sz w:val="24"/>
                <w:szCs w:val="24"/>
              </w:rPr>
              <w:t>0</w:t>
            </w:r>
          </w:p>
        </w:tc>
        <w:tc>
          <w:tcPr>
            <w:tcW w:w="1449" w:type="dxa"/>
            <w:gridSpan w:val="2"/>
            <w:tcBorders>
              <w:top w:val="single" w:sz="4" w:space="0" w:color="auto"/>
              <w:left w:val="single" w:sz="4" w:space="0" w:color="auto"/>
              <w:bottom w:val="single" w:sz="4" w:space="0" w:color="auto"/>
              <w:right w:val="single" w:sz="4" w:space="0" w:color="auto"/>
            </w:tcBorders>
          </w:tcPr>
          <w:p w14:paraId="75994F84" w14:textId="77777777" w:rsidR="005404ED" w:rsidRPr="007822F9" w:rsidRDefault="00C356F5" w:rsidP="007822F9">
            <w:pPr>
              <w:spacing w:line="240" w:lineRule="auto"/>
              <w:jc w:val="center"/>
              <w:rPr>
                <w:rFonts w:ascii="Times New Roman" w:hAnsi="Times New Roman"/>
                <w:sz w:val="24"/>
                <w:szCs w:val="24"/>
              </w:rPr>
            </w:pPr>
            <w:r w:rsidRPr="007822F9">
              <w:rPr>
                <w:rFonts w:ascii="Times New Roman" w:hAnsi="Times New Roman"/>
                <w:sz w:val="24"/>
                <w:szCs w:val="24"/>
              </w:rPr>
              <w:t>0</w:t>
            </w:r>
          </w:p>
        </w:tc>
      </w:tr>
      <w:tr w:rsidR="005404ED" w:rsidRPr="007822F9" w14:paraId="39EA0874"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473B57DA" w14:textId="77777777" w:rsidR="005404ED" w:rsidRPr="007822F9" w:rsidRDefault="005404ED" w:rsidP="007822F9">
            <w:pPr>
              <w:widowControl w:val="0"/>
              <w:suppressAutoHyphens/>
              <w:spacing w:line="240" w:lineRule="auto"/>
              <w:jc w:val="both"/>
              <w:rPr>
                <w:rFonts w:ascii="Times New Roman" w:hAnsi="Times New Roman"/>
                <w:i/>
                <w:kern w:val="2"/>
                <w:sz w:val="24"/>
                <w:szCs w:val="24"/>
                <w:lang w:eastAsia="ar-SA"/>
              </w:rPr>
            </w:pPr>
            <w:r w:rsidRPr="007822F9">
              <w:rPr>
                <w:rFonts w:ascii="Times New Roman" w:hAnsi="Times New Roman"/>
                <w:kern w:val="2"/>
                <w:sz w:val="24"/>
                <w:szCs w:val="24"/>
                <w:lang w:eastAsia="ar-SA"/>
              </w:rPr>
              <w:t>1.2. valsts speciālais budžets</w:t>
            </w:r>
          </w:p>
        </w:tc>
        <w:tc>
          <w:tcPr>
            <w:tcW w:w="1198" w:type="dxa"/>
            <w:tcBorders>
              <w:top w:val="single" w:sz="4" w:space="0" w:color="auto"/>
              <w:left w:val="single" w:sz="4" w:space="0" w:color="auto"/>
              <w:bottom w:val="single" w:sz="4" w:space="0" w:color="auto"/>
              <w:right w:val="single" w:sz="4" w:space="0" w:color="auto"/>
            </w:tcBorders>
          </w:tcPr>
          <w:p w14:paraId="4AA60FED"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598" w:type="dxa"/>
            <w:tcBorders>
              <w:top w:val="single" w:sz="4" w:space="0" w:color="auto"/>
              <w:left w:val="single" w:sz="4" w:space="0" w:color="auto"/>
              <w:bottom w:val="single" w:sz="4" w:space="0" w:color="auto"/>
              <w:right w:val="single" w:sz="4" w:space="0" w:color="auto"/>
            </w:tcBorders>
          </w:tcPr>
          <w:p w14:paraId="5FBDC6BF"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0E7E6A73"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22C6882F"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356334B6"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2087A2E4"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625317EA" w14:textId="77777777" w:rsidR="005404ED" w:rsidRPr="007822F9" w:rsidRDefault="005404ED" w:rsidP="007822F9">
            <w:pPr>
              <w:widowControl w:val="0"/>
              <w:suppressAutoHyphens/>
              <w:spacing w:line="240" w:lineRule="auto"/>
              <w:jc w:val="both"/>
              <w:rPr>
                <w:rFonts w:ascii="Times New Roman" w:hAnsi="Times New Roman"/>
                <w:i/>
                <w:kern w:val="2"/>
                <w:sz w:val="24"/>
                <w:szCs w:val="24"/>
                <w:lang w:eastAsia="ar-SA"/>
              </w:rPr>
            </w:pPr>
            <w:r w:rsidRPr="007822F9">
              <w:rPr>
                <w:rFonts w:ascii="Times New Roman" w:hAnsi="Times New Roman"/>
                <w:kern w:val="2"/>
                <w:sz w:val="24"/>
                <w:szCs w:val="24"/>
                <w:lang w:eastAsia="ar-SA"/>
              </w:rPr>
              <w:t>1.3. pašvaldību budžets</w:t>
            </w:r>
          </w:p>
        </w:tc>
        <w:tc>
          <w:tcPr>
            <w:tcW w:w="1198" w:type="dxa"/>
            <w:tcBorders>
              <w:top w:val="single" w:sz="4" w:space="0" w:color="auto"/>
              <w:left w:val="single" w:sz="4" w:space="0" w:color="auto"/>
              <w:bottom w:val="single" w:sz="4" w:space="0" w:color="auto"/>
              <w:right w:val="single" w:sz="4" w:space="0" w:color="auto"/>
            </w:tcBorders>
          </w:tcPr>
          <w:p w14:paraId="28C95AAE"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598" w:type="dxa"/>
            <w:tcBorders>
              <w:top w:val="single" w:sz="4" w:space="0" w:color="auto"/>
              <w:left w:val="single" w:sz="4" w:space="0" w:color="auto"/>
              <w:bottom w:val="single" w:sz="4" w:space="0" w:color="auto"/>
              <w:right w:val="single" w:sz="4" w:space="0" w:color="auto"/>
            </w:tcBorders>
          </w:tcPr>
          <w:p w14:paraId="4FA8838D"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0ECB96DC"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33673935"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1A0A8471"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11B05DE4"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0E80D561"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2. Budžeta izdevumi:</w:t>
            </w:r>
          </w:p>
        </w:tc>
        <w:tc>
          <w:tcPr>
            <w:tcW w:w="1198" w:type="dxa"/>
            <w:tcBorders>
              <w:top w:val="single" w:sz="4" w:space="0" w:color="auto"/>
              <w:left w:val="single" w:sz="4" w:space="0" w:color="auto"/>
              <w:bottom w:val="single" w:sz="4" w:space="0" w:color="auto"/>
              <w:right w:val="single" w:sz="4" w:space="0" w:color="auto"/>
            </w:tcBorders>
            <w:hideMark/>
          </w:tcPr>
          <w:p w14:paraId="7F86A7D3" w14:textId="77777777" w:rsidR="005404ED" w:rsidRPr="007822F9" w:rsidRDefault="00C356F5"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598" w:type="dxa"/>
            <w:tcBorders>
              <w:top w:val="single" w:sz="4" w:space="0" w:color="auto"/>
              <w:left w:val="single" w:sz="4" w:space="0" w:color="auto"/>
              <w:bottom w:val="single" w:sz="4" w:space="0" w:color="auto"/>
              <w:right w:val="single" w:sz="4" w:space="0" w:color="auto"/>
            </w:tcBorders>
            <w:hideMark/>
          </w:tcPr>
          <w:p w14:paraId="6BE155B1" w14:textId="77777777" w:rsidR="005404ED" w:rsidRPr="007822F9" w:rsidRDefault="005404ED" w:rsidP="007822F9">
            <w:pPr>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hideMark/>
          </w:tcPr>
          <w:p w14:paraId="3EA153DF" w14:textId="77777777" w:rsidR="005404ED" w:rsidRPr="007822F9" w:rsidRDefault="00C356F5"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hideMark/>
          </w:tcPr>
          <w:p w14:paraId="4E1B737E" w14:textId="77777777" w:rsidR="005404ED" w:rsidRPr="007822F9" w:rsidRDefault="00C356F5"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hideMark/>
          </w:tcPr>
          <w:p w14:paraId="0E2A8EAE" w14:textId="77777777" w:rsidR="005404ED" w:rsidRPr="007822F9" w:rsidRDefault="00C356F5"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72FCE6AF"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360E9B8B"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2.1. valsts pamatbudžets</w:t>
            </w:r>
          </w:p>
        </w:tc>
        <w:tc>
          <w:tcPr>
            <w:tcW w:w="1198" w:type="dxa"/>
            <w:tcBorders>
              <w:top w:val="single" w:sz="4" w:space="0" w:color="auto"/>
              <w:left w:val="single" w:sz="4" w:space="0" w:color="auto"/>
              <w:bottom w:val="single" w:sz="4" w:space="0" w:color="auto"/>
              <w:right w:val="single" w:sz="4" w:space="0" w:color="auto"/>
            </w:tcBorders>
            <w:hideMark/>
          </w:tcPr>
          <w:p w14:paraId="6971E14F" w14:textId="77777777" w:rsidR="005404ED" w:rsidRPr="007822F9" w:rsidRDefault="00C356F5"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598" w:type="dxa"/>
            <w:tcBorders>
              <w:top w:val="single" w:sz="4" w:space="0" w:color="auto"/>
              <w:left w:val="single" w:sz="4" w:space="0" w:color="auto"/>
              <w:bottom w:val="single" w:sz="4" w:space="0" w:color="auto"/>
              <w:right w:val="single" w:sz="4" w:space="0" w:color="auto"/>
            </w:tcBorders>
            <w:hideMark/>
          </w:tcPr>
          <w:p w14:paraId="50DD8E48" w14:textId="77777777" w:rsidR="005404ED" w:rsidRPr="007822F9" w:rsidRDefault="005404ED" w:rsidP="007822F9">
            <w:pPr>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5EA8404A" w14:textId="77777777" w:rsidR="005404ED" w:rsidRPr="007822F9" w:rsidRDefault="00C356F5"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77B73271" w14:textId="77777777" w:rsidR="005404ED" w:rsidRPr="007822F9" w:rsidRDefault="00C356F5"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4A1717E7" w14:textId="77777777" w:rsidR="005404ED" w:rsidRPr="007822F9" w:rsidRDefault="00C356F5"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45A1DA3C"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6B2ACBBF"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lastRenderedPageBreak/>
              <w:t>2.2. valsts speciālais budžets</w:t>
            </w:r>
          </w:p>
        </w:tc>
        <w:tc>
          <w:tcPr>
            <w:tcW w:w="1198" w:type="dxa"/>
            <w:tcBorders>
              <w:top w:val="single" w:sz="4" w:space="0" w:color="auto"/>
              <w:left w:val="single" w:sz="4" w:space="0" w:color="auto"/>
              <w:bottom w:val="single" w:sz="4" w:space="0" w:color="auto"/>
              <w:right w:val="single" w:sz="4" w:space="0" w:color="auto"/>
            </w:tcBorders>
          </w:tcPr>
          <w:p w14:paraId="63D7481C"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598" w:type="dxa"/>
            <w:tcBorders>
              <w:top w:val="single" w:sz="4" w:space="0" w:color="auto"/>
              <w:left w:val="single" w:sz="4" w:space="0" w:color="auto"/>
              <w:bottom w:val="single" w:sz="4" w:space="0" w:color="auto"/>
              <w:right w:val="single" w:sz="4" w:space="0" w:color="auto"/>
            </w:tcBorders>
          </w:tcPr>
          <w:p w14:paraId="54F63F66"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05EB151C"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2695799D"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4F67367B"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60D41D27"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6D3E098F"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 xml:space="preserve">2.3. pašvaldību budžets </w:t>
            </w:r>
          </w:p>
        </w:tc>
        <w:tc>
          <w:tcPr>
            <w:tcW w:w="1198" w:type="dxa"/>
            <w:tcBorders>
              <w:top w:val="single" w:sz="4" w:space="0" w:color="auto"/>
              <w:left w:val="single" w:sz="4" w:space="0" w:color="auto"/>
              <w:bottom w:val="single" w:sz="4" w:space="0" w:color="auto"/>
              <w:right w:val="single" w:sz="4" w:space="0" w:color="auto"/>
            </w:tcBorders>
          </w:tcPr>
          <w:p w14:paraId="0001A405"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598" w:type="dxa"/>
            <w:tcBorders>
              <w:top w:val="single" w:sz="4" w:space="0" w:color="auto"/>
              <w:left w:val="single" w:sz="4" w:space="0" w:color="auto"/>
              <w:bottom w:val="single" w:sz="4" w:space="0" w:color="auto"/>
              <w:right w:val="single" w:sz="4" w:space="0" w:color="auto"/>
            </w:tcBorders>
          </w:tcPr>
          <w:p w14:paraId="59FE0B0A"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01FA5375"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7B606227"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3BA26A48"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06EFE7CF"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446F4892"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3. Finansiālā ietekme:</w:t>
            </w:r>
          </w:p>
        </w:tc>
        <w:tc>
          <w:tcPr>
            <w:tcW w:w="1198" w:type="dxa"/>
            <w:tcBorders>
              <w:top w:val="single" w:sz="4" w:space="0" w:color="auto"/>
              <w:left w:val="single" w:sz="4" w:space="0" w:color="auto"/>
              <w:bottom w:val="single" w:sz="4" w:space="0" w:color="auto"/>
              <w:right w:val="single" w:sz="4" w:space="0" w:color="auto"/>
            </w:tcBorders>
            <w:hideMark/>
          </w:tcPr>
          <w:p w14:paraId="7C3FD5FD" w14:textId="77777777" w:rsidR="005404ED" w:rsidRPr="007822F9" w:rsidRDefault="00C356F5" w:rsidP="007822F9">
            <w:pPr>
              <w:widowControl w:val="0"/>
              <w:suppressAutoHyphens/>
              <w:spacing w:line="240" w:lineRule="auto"/>
              <w:jc w:val="center"/>
              <w:rPr>
                <w:rFonts w:ascii="Times New Roman" w:hAnsi="Times New Roman"/>
                <w:sz w:val="24"/>
                <w:szCs w:val="24"/>
              </w:rPr>
            </w:pPr>
            <w:r w:rsidRPr="007822F9">
              <w:rPr>
                <w:rFonts w:ascii="Times New Roman" w:hAnsi="Times New Roman"/>
                <w:sz w:val="24"/>
                <w:szCs w:val="24"/>
              </w:rPr>
              <w:t>0</w:t>
            </w:r>
          </w:p>
        </w:tc>
        <w:tc>
          <w:tcPr>
            <w:tcW w:w="1598" w:type="dxa"/>
            <w:tcBorders>
              <w:top w:val="single" w:sz="4" w:space="0" w:color="auto"/>
              <w:left w:val="single" w:sz="4" w:space="0" w:color="auto"/>
              <w:bottom w:val="single" w:sz="4" w:space="0" w:color="auto"/>
              <w:right w:val="single" w:sz="4" w:space="0" w:color="auto"/>
            </w:tcBorders>
            <w:hideMark/>
          </w:tcPr>
          <w:p w14:paraId="380139A8" w14:textId="77777777" w:rsidR="005404ED" w:rsidRPr="007822F9" w:rsidRDefault="005404ED" w:rsidP="007822F9">
            <w:pPr>
              <w:spacing w:line="240" w:lineRule="auto"/>
              <w:jc w:val="center"/>
              <w:rPr>
                <w:rFonts w:ascii="Times New Roman" w:hAnsi="Times New Roman"/>
                <w:sz w:val="24"/>
                <w:szCs w:val="24"/>
              </w:rPr>
            </w:pPr>
            <w:r w:rsidRPr="007822F9">
              <w:rPr>
                <w:rFonts w:ascii="Times New Roman" w:hAnsi="Times New Roman"/>
                <w:sz w:val="24"/>
                <w:szCs w:val="24"/>
              </w:rPr>
              <w:t>0</w:t>
            </w:r>
          </w:p>
        </w:tc>
        <w:tc>
          <w:tcPr>
            <w:tcW w:w="1448" w:type="dxa"/>
            <w:tcBorders>
              <w:top w:val="single" w:sz="4" w:space="0" w:color="auto"/>
              <w:left w:val="single" w:sz="4" w:space="0" w:color="auto"/>
              <w:bottom w:val="single" w:sz="4" w:space="0" w:color="auto"/>
              <w:right w:val="single" w:sz="4" w:space="0" w:color="auto"/>
            </w:tcBorders>
            <w:hideMark/>
          </w:tcPr>
          <w:p w14:paraId="220DA77E" w14:textId="77777777" w:rsidR="005404ED" w:rsidRPr="007822F9" w:rsidRDefault="00C356F5"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hideMark/>
          </w:tcPr>
          <w:p w14:paraId="00DF4EDD" w14:textId="77777777" w:rsidR="005404ED" w:rsidRPr="007822F9" w:rsidRDefault="00C356F5"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hideMark/>
          </w:tcPr>
          <w:p w14:paraId="11E12FB5" w14:textId="77777777" w:rsidR="005404ED" w:rsidRPr="007822F9" w:rsidRDefault="00C356F5"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761457A8"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3C9C9FE4"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3.1. valsts pamatbudžets</w:t>
            </w:r>
          </w:p>
        </w:tc>
        <w:tc>
          <w:tcPr>
            <w:tcW w:w="1198" w:type="dxa"/>
            <w:tcBorders>
              <w:top w:val="single" w:sz="4" w:space="0" w:color="auto"/>
              <w:left w:val="single" w:sz="4" w:space="0" w:color="auto"/>
              <w:bottom w:val="single" w:sz="4" w:space="0" w:color="auto"/>
              <w:right w:val="single" w:sz="4" w:space="0" w:color="auto"/>
            </w:tcBorders>
          </w:tcPr>
          <w:p w14:paraId="5FAECC0D" w14:textId="77777777" w:rsidR="005404ED" w:rsidRPr="007822F9" w:rsidRDefault="00C356F5" w:rsidP="007822F9">
            <w:pPr>
              <w:widowControl w:val="0"/>
              <w:suppressAutoHyphens/>
              <w:spacing w:line="240" w:lineRule="auto"/>
              <w:jc w:val="center"/>
              <w:rPr>
                <w:rFonts w:ascii="Times New Roman" w:hAnsi="Times New Roman"/>
                <w:sz w:val="24"/>
                <w:szCs w:val="24"/>
              </w:rPr>
            </w:pPr>
            <w:r w:rsidRPr="007822F9">
              <w:rPr>
                <w:rFonts w:ascii="Times New Roman" w:hAnsi="Times New Roman"/>
                <w:sz w:val="24"/>
                <w:szCs w:val="24"/>
              </w:rPr>
              <w:t>0</w:t>
            </w:r>
          </w:p>
        </w:tc>
        <w:tc>
          <w:tcPr>
            <w:tcW w:w="1598" w:type="dxa"/>
            <w:tcBorders>
              <w:top w:val="single" w:sz="4" w:space="0" w:color="auto"/>
              <w:left w:val="single" w:sz="4" w:space="0" w:color="auto"/>
              <w:bottom w:val="single" w:sz="4" w:space="0" w:color="auto"/>
              <w:right w:val="single" w:sz="4" w:space="0" w:color="auto"/>
            </w:tcBorders>
          </w:tcPr>
          <w:p w14:paraId="4FD6E530"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022353CF" w14:textId="77777777" w:rsidR="005404ED" w:rsidRPr="007822F9" w:rsidRDefault="00C356F5"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2052D8DC" w14:textId="77777777" w:rsidR="005404ED" w:rsidRPr="007822F9" w:rsidRDefault="00C356F5"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25562D4B" w14:textId="77777777" w:rsidR="005404ED" w:rsidRPr="007822F9" w:rsidRDefault="00C356F5"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533DF447"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0573B7D4"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3.2. speciālais budžets</w:t>
            </w:r>
          </w:p>
        </w:tc>
        <w:tc>
          <w:tcPr>
            <w:tcW w:w="1198" w:type="dxa"/>
            <w:tcBorders>
              <w:top w:val="single" w:sz="4" w:space="0" w:color="auto"/>
              <w:left w:val="single" w:sz="4" w:space="0" w:color="auto"/>
              <w:bottom w:val="single" w:sz="4" w:space="0" w:color="auto"/>
              <w:right w:val="single" w:sz="4" w:space="0" w:color="auto"/>
            </w:tcBorders>
          </w:tcPr>
          <w:p w14:paraId="435FF3CB"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598" w:type="dxa"/>
            <w:tcBorders>
              <w:top w:val="single" w:sz="4" w:space="0" w:color="auto"/>
              <w:left w:val="single" w:sz="4" w:space="0" w:color="auto"/>
              <w:bottom w:val="single" w:sz="4" w:space="0" w:color="auto"/>
              <w:right w:val="single" w:sz="4" w:space="0" w:color="auto"/>
            </w:tcBorders>
          </w:tcPr>
          <w:p w14:paraId="531879ED"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6D0A685D"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4352ADDF"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55E5280A"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7C768F07" w14:textId="77777777" w:rsidTr="00D17683">
        <w:trPr>
          <w:trHeight w:val="592"/>
          <w:jc w:val="center"/>
        </w:trPr>
        <w:tc>
          <w:tcPr>
            <w:tcW w:w="2042" w:type="dxa"/>
            <w:tcBorders>
              <w:top w:val="single" w:sz="4" w:space="0" w:color="auto"/>
              <w:left w:val="single" w:sz="4" w:space="0" w:color="auto"/>
              <w:bottom w:val="single" w:sz="4" w:space="0" w:color="auto"/>
              <w:right w:val="single" w:sz="4" w:space="0" w:color="auto"/>
            </w:tcBorders>
            <w:hideMark/>
          </w:tcPr>
          <w:p w14:paraId="0AD1302C"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 xml:space="preserve">3.3. pašvaldību budžets </w:t>
            </w:r>
          </w:p>
        </w:tc>
        <w:tc>
          <w:tcPr>
            <w:tcW w:w="1198" w:type="dxa"/>
            <w:tcBorders>
              <w:top w:val="single" w:sz="4" w:space="0" w:color="auto"/>
              <w:left w:val="single" w:sz="4" w:space="0" w:color="auto"/>
              <w:bottom w:val="single" w:sz="4" w:space="0" w:color="auto"/>
              <w:right w:val="single" w:sz="4" w:space="0" w:color="auto"/>
            </w:tcBorders>
          </w:tcPr>
          <w:p w14:paraId="1631BC70"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598" w:type="dxa"/>
            <w:tcBorders>
              <w:top w:val="single" w:sz="4" w:space="0" w:color="auto"/>
              <w:left w:val="single" w:sz="4" w:space="0" w:color="auto"/>
              <w:bottom w:val="single" w:sz="4" w:space="0" w:color="auto"/>
              <w:right w:val="single" w:sz="4" w:space="0" w:color="auto"/>
            </w:tcBorders>
          </w:tcPr>
          <w:p w14:paraId="0D16CDDC"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3EE43B1A"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54BC278A"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5145C3D4"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3DD310EB" w14:textId="77777777" w:rsidTr="00D17683">
        <w:trPr>
          <w:trHeight w:val="2433"/>
          <w:jc w:val="center"/>
        </w:trPr>
        <w:tc>
          <w:tcPr>
            <w:tcW w:w="2042" w:type="dxa"/>
            <w:tcBorders>
              <w:top w:val="single" w:sz="4" w:space="0" w:color="auto"/>
              <w:left w:val="single" w:sz="4" w:space="0" w:color="auto"/>
              <w:bottom w:val="single" w:sz="4" w:space="0" w:color="auto"/>
              <w:right w:val="single" w:sz="4" w:space="0" w:color="auto"/>
            </w:tcBorders>
            <w:hideMark/>
          </w:tcPr>
          <w:p w14:paraId="6B59F8C6" w14:textId="77777777" w:rsidR="005404ED" w:rsidRPr="007822F9" w:rsidRDefault="005404ED" w:rsidP="007822F9">
            <w:pPr>
              <w:suppressAutoHyphens/>
              <w:spacing w:after="0"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4. Finanšu līdzekļi papildu izde</w:t>
            </w:r>
            <w:r w:rsidRPr="007822F9">
              <w:rPr>
                <w:rFonts w:ascii="Times New Roman" w:hAnsi="Times New Roman"/>
                <w:kern w:val="2"/>
                <w:sz w:val="24"/>
                <w:szCs w:val="24"/>
                <w:lang w:eastAsia="ar-SA"/>
              </w:rPr>
              <w:softHyphen/>
              <w:t xml:space="preserve">vumu finansēšanai (kompensējošu </w:t>
            </w:r>
            <w:r w:rsidR="007822F9">
              <w:rPr>
                <w:rFonts w:ascii="Times New Roman" w:hAnsi="Times New Roman"/>
                <w:kern w:val="2"/>
                <w:sz w:val="24"/>
                <w:szCs w:val="24"/>
                <w:lang w:eastAsia="ar-SA"/>
              </w:rPr>
              <w:t xml:space="preserve">izdevumu samazinājumu norāda ar </w:t>
            </w:r>
            <w:r w:rsidRPr="007822F9">
              <w:rPr>
                <w:rFonts w:ascii="Times New Roman" w:hAnsi="Times New Roman"/>
                <w:kern w:val="2"/>
                <w:sz w:val="24"/>
                <w:szCs w:val="24"/>
                <w:lang w:eastAsia="ar-SA"/>
              </w:rPr>
              <w:t>"+" zīmi)</w:t>
            </w:r>
          </w:p>
        </w:tc>
        <w:tc>
          <w:tcPr>
            <w:tcW w:w="1198" w:type="dxa"/>
            <w:tcBorders>
              <w:top w:val="single" w:sz="4" w:space="0" w:color="auto"/>
              <w:left w:val="single" w:sz="4" w:space="0" w:color="auto"/>
              <w:bottom w:val="single" w:sz="4" w:space="0" w:color="auto"/>
              <w:right w:val="single" w:sz="4" w:space="0" w:color="auto"/>
            </w:tcBorders>
            <w:hideMark/>
          </w:tcPr>
          <w:p w14:paraId="75A9C03C"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X</w:t>
            </w:r>
          </w:p>
        </w:tc>
        <w:tc>
          <w:tcPr>
            <w:tcW w:w="1598" w:type="dxa"/>
            <w:tcBorders>
              <w:top w:val="single" w:sz="4" w:space="0" w:color="auto"/>
              <w:left w:val="single" w:sz="4" w:space="0" w:color="auto"/>
              <w:right w:val="single" w:sz="4" w:space="0" w:color="auto"/>
            </w:tcBorders>
            <w:hideMark/>
          </w:tcPr>
          <w:p w14:paraId="0C40A4D4"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right w:val="single" w:sz="4" w:space="0" w:color="auto"/>
            </w:tcBorders>
            <w:hideMark/>
          </w:tcPr>
          <w:p w14:paraId="27000334"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right w:val="single" w:sz="4" w:space="0" w:color="auto"/>
            </w:tcBorders>
            <w:hideMark/>
          </w:tcPr>
          <w:p w14:paraId="46879F7B"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right w:val="single" w:sz="4" w:space="0" w:color="auto"/>
            </w:tcBorders>
            <w:hideMark/>
          </w:tcPr>
          <w:p w14:paraId="5BFE175C"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6AC137F5"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653CE1CF"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5. Precizēta finansiālā ietekme:</w:t>
            </w:r>
          </w:p>
        </w:tc>
        <w:tc>
          <w:tcPr>
            <w:tcW w:w="1198" w:type="dxa"/>
            <w:vMerge w:val="restart"/>
            <w:tcBorders>
              <w:top w:val="single" w:sz="4" w:space="0" w:color="auto"/>
              <w:left w:val="single" w:sz="4" w:space="0" w:color="auto"/>
              <w:bottom w:val="single" w:sz="4" w:space="0" w:color="auto"/>
              <w:right w:val="single" w:sz="4" w:space="0" w:color="auto"/>
            </w:tcBorders>
            <w:hideMark/>
          </w:tcPr>
          <w:p w14:paraId="6BAFA541"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X</w:t>
            </w:r>
          </w:p>
        </w:tc>
        <w:tc>
          <w:tcPr>
            <w:tcW w:w="1598" w:type="dxa"/>
            <w:tcBorders>
              <w:top w:val="single" w:sz="4" w:space="0" w:color="auto"/>
              <w:left w:val="single" w:sz="4" w:space="0" w:color="auto"/>
              <w:bottom w:val="single" w:sz="4" w:space="0" w:color="auto"/>
              <w:right w:val="single" w:sz="4" w:space="0" w:color="auto"/>
            </w:tcBorders>
            <w:hideMark/>
          </w:tcPr>
          <w:p w14:paraId="4C638D66" w14:textId="77777777" w:rsidR="005404ED" w:rsidRPr="007822F9" w:rsidRDefault="005404ED" w:rsidP="007822F9">
            <w:pPr>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hideMark/>
          </w:tcPr>
          <w:p w14:paraId="2234535B" w14:textId="77777777" w:rsidR="005404ED" w:rsidRPr="007822F9" w:rsidRDefault="005404ED"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hideMark/>
          </w:tcPr>
          <w:p w14:paraId="4C6E809B" w14:textId="77777777" w:rsidR="005404ED" w:rsidRPr="007822F9" w:rsidRDefault="005404ED"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hideMark/>
          </w:tcPr>
          <w:p w14:paraId="46489D24" w14:textId="77777777" w:rsidR="005404ED" w:rsidRPr="007822F9" w:rsidRDefault="005404ED"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41FEA2EC"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118C8F98"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5.1. valsts pamatbudžets</w:t>
            </w: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586D68AC" w14:textId="77777777" w:rsidR="005404ED" w:rsidRPr="007822F9" w:rsidRDefault="005404ED" w:rsidP="007822F9">
            <w:pPr>
              <w:spacing w:line="240" w:lineRule="auto"/>
              <w:rPr>
                <w:rFonts w:ascii="Times New Roman" w:hAnsi="Times New Roman"/>
                <w:kern w:val="2"/>
                <w:sz w:val="24"/>
                <w:szCs w:val="24"/>
                <w:lang w:eastAsia="ar-SA"/>
              </w:rPr>
            </w:pPr>
          </w:p>
        </w:tc>
        <w:tc>
          <w:tcPr>
            <w:tcW w:w="1598" w:type="dxa"/>
            <w:tcBorders>
              <w:top w:val="single" w:sz="4" w:space="0" w:color="auto"/>
              <w:left w:val="single" w:sz="4" w:space="0" w:color="auto"/>
              <w:bottom w:val="single" w:sz="4" w:space="0" w:color="auto"/>
              <w:right w:val="single" w:sz="4" w:space="0" w:color="auto"/>
            </w:tcBorders>
            <w:hideMark/>
          </w:tcPr>
          <w:p w14:paraId="78557FFF" w14:textId="77777777" w:rsidR="005404ED" w:rsidRPr="007822F9" w:rsidRDefault="005404ED" w:rsidP="007822F9">
            <w:pPr>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hideMark/>
          </w:tcPr>
          <w:p w14:paraId="031C60F6" w14:textId="77777777" w:rsidR="005404ED" w:rsidRPr="007822F9" w:rsidRDefault="005404ED"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hideMark/>
          </w:tcPr>
          <w:p w14:paraId="72C072A3" w14:textId="77777777" w:rsidR="005404ED" w:rsidRPr="007822F9" w:rsidRDefault="005404ED"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hideMark/>
          </w:tcPr>
          <w:p w14:paraId="5BFADD0A" w14:textId="77777777" w:rsidR="005404ED" w:rsidRPr="007822F9" w:rsidRDefault="005404ED" w:rsidP="007822F9">
            <w:pPr>
              <w:tabs>
                <w:tab w:val="center" w:pos="532"/>
              </w:tab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37D4E5DF" w14:textId="77777777" w:rsidTr="00D17683">
        <w:trPr>
          <w:trHeight w:val="578"/>
          <w:jc w:val="center"/>
        </w:trPr>
        <w:tc>
          <w:tcPr>
            <w:tcW w:w="2042" w:type="dxa"/>
            <w:tcBorders>
              <w:top w:val="single" w:sz="4" w:space="0" w:color="auto"/>
              <w:left w:val="single" w:sz="4" w:space="0" w:color="auto"/>
              <w:bottom w:val="single" w:sz="4" w:space="0" w:color="auto"/>
              <w:right w:val="single" w:sz="4" w:space="0" w:color="auto"/>
            </w:tcBorders>
            <w:hideMark/>
          </w:tcPr>
          <w:p w14:paraId="60BD0CDA"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5.2. speciālais budžets</w:t>
            </w: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4FA2EE39" w14:textId="77777777" w:rsidR="005404ED" w:rsidRPr="007822F9" w:rsidRDefault="005404ED" w:rsidP="007822F9">
            <w:pPr>
              <w:spacing w:line="240" w:lineRule="auto"/>
              <w:rPr>
                <w:rFonts w:ascii="Times New Roman" w:hAnsi="Times New Roman"/>
                <w:kern w:val="2"/>
                <w:sz w:val="24"/>
                <w:szCs w:val="24"/>
                <w:lang w:eastAsia="ar-SA"/>
              </w:rPr>
            </w:pPr>
          </w:p>
        </w:tc>
        <w:tc>
          <w:tcPr>
            <w:tcW w:w="1598" w:type="dxa"/>
            <w:tcBorders>
              <w:top w:val="single" w:sz="4" w:space="0" w:color="auto"/>
              <w:left w:val="single" w:sz="4" w:space="0" w:color="auto"/>
              <w:bottom w:val="single" w:sz="4" w:space="0" w:color="auto"/>
              <w:right w:val="single" w:sz="4" w:space="0" w:color="auto"/>
            </w:tcBorders>
          </w:tcPr>
          <w:p w14:paraId="3899D12E"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8" w:type="dxa"/>
            <w:tcBorders>
              <w:top w:val="single" w:sz="4" w:space="0" w:color="auto"/>
              <w:left w:val="single" w:sz="4" w:space="0" w:color="auto"/>
              <w:bottom w:val="single" w:sz="4" w:space="0" w:color="auto"/>
              <w:right w:val="single" w:sz="4" w:space="0" w:color="auto"/>
            </w:tcBorders>
          </w:tcPr>
          <w:p w14:paraId="7FFAAEB2"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4F0CCC76"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c>
          <w:tcPr>
            <w:tcW w:w="1449" w:type="dxa"/>
            <w:gridSpan w:val="2"/>
            <w:tcBorders>
              <w:top w:val="single" w:sz="4" w:space="0" w:color="auto"/>
              <w:left w:val="single" w:sz="4" w:space="0" w:color="auto"/>
              <w:bottom w:val="single" w:sz="4" w:space="0" w:color="auto"/>
              <w:right w:val="single" w:sz="4" w:space="0" w:color="auto"/>
            </w:tcBorders>
          </w:tcPr>
          <w:p w14:paraId="390CB6FD"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r w:rsidRPr="007822F9">
              <w:rPr>
                <w:rFonts w:ascii="Times New Roman" w:hAnsi="Times New Roman"/>
                <w:kern w:val="2"/>
                <w:sz w:val="24"/>
                <w:szCs w:val="24"/>
                <w:lang w:eastAsia="ar-SA"/>
              </w:rPr>
              <w:t>0</w:t>
            </w:r>
          </w:p>
        </w:tc>
      </w:tr>
      <w:tr w:rsidR="005404ED" w:rsidRPr="007822F9" w14:paraId="606F18ED"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7D836D4E"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 xml:space="preserve">5.3. pašvaldību budžets </w:t>
            </w: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36054C9C" w14:textId="77777777" w:rsidR="005404ED" w:rsidRPr="007822F9" w:rsidRDefault="005404ED" w:rsidP="007822F9">
            <w:pPr>
              <w:spacing w:line="240" w:lineRule="auto"/>
              <w:rPr>
                <w:rFonts w:ascii="Times New Roman" w:hAnsi="Times New Roman"/>
                <w:kern w:val="2"/>
                <w:sz w:val="24"/>
                <w:szCs w:val="24"/>
                <w:lang w:eastAsia="ar-SA"/>
              </w:rPr>
            </w:pPr>
          </w:p>
        </w:tc>
        <w:tc>
          <w:tcPr>
            <w:tcW w:w="1598" w:type="dxa"/>
            <w:tcBorders>
              <w:top w:val="single" w:sz="4" w:space="0" w:color="auto"/>
              <w:left w:val="single" w:sz="4" w:space="0" w:color="auto"/>
              <w:bottom w:val="single" w:sz="4" w:space="0" w:color="auto"/>
              <w:right w:val="single" w:sz="4" w:space="0" w:color="auto"/>
            </w:tcBorders>
          </w:tcPr>
          <w:p w14:paraId="0458DF82"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p>
        </w:tc>
        <w:tc>
          <w:tcPr>
            <w:tcW w:w="1448" w:type="dxa"/>
            <w:tcBorders>
              <w:top w:val="single" w:sz="4" w:space="0" w:color="auto"/>
              <w:left w:val="single" w:sz="4" w:space="0" w:color="auto"/>
              <w:bottom w:val="single" w:sz="4" w:space="0" w:color="auto"/>
              <w:right w:val="single" w:sz="4" w:space="0" w:color="auto"/>
            </w:tcBorders>
          </w:tcPr>
          <w:p w14:paraId="608321BE"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p>
        </w:tc>
        <w:tc>
          <w:tcPr>
            <w:tcW w:w="1449" w:type="dxa"/>
            <w:gridSpan w:val="2"/>
            <w:tcBorders>
              <w:top w:val="single" w:sz="4" w:space="0" w:color="auto"/>
              <w:left w:val="single" w:sz="4" w:space="0" w:color="auto"/>
              <w:bottom w:val="single" w:sz="4" w:space="0" w:color="auto"/>
              <w:right w:val="single" w:sz="4" w:space="0" w:color="auto"/>
            </w:tcBorders>
          </w:tcPr>
          <w:p w14:paraId="21B2539C"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p>
        </w:tc>
        <w:tc>
          <w:tcPr>
            <w:tcW w:w="1449" w:type="dxa"/>
            <w:gridSpan w:val="2"/>
            <w:tcBorders>
              <w:top w:val="single" w:sz="4" w:space="0" w:color="auto"/>
              <w:left w:val="single" w:sz="4" w:space="0" w:color="auto"/>
              <w:bottom w:val="single" w:sz="4" w:space="0" w:color="auto"/>
              <w:right w:val="single" w:sz="4" w:space="0" w:color="auto"/>
            </w:tcBorders>
          </w:tcPr>
          <w:p w14:paraId="513E5C7D" w14:textId="77777777" w:rsidR="005404ED" w:rsidRPr="007822F9" w:rsidRDefault="005404ED" w:rsidP="007822F9">
            <w:pPr>
              <w:widowControl w:val="0"/>
              <w:suppressAutoHyphens/>
              <w:spacing w:line="240" w:lineRule="auto"/>
              <w:jc w:val="center"/>
              <w:rPr>
                <w:rFonts w:ascii="Times New Roman" w:hAnsi="Times New Roman"/>
                <w:kern w:val="2"/>
                <w:sz w:val="24"/>
                <w:szCs w:val="24"/>
                <w:lang w:eastAsia="ar-SA"/>
              </w:rPr>
            </w:pPr>
          </w:p>
        </w:tc>
      </w:tr>
      <w:tr w:rsidR="005404ED" w:rsidRPr="007822F9" w14:paraId="0B4541EE"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211C1D0F"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6. Detalizēts ieņēmumu un izdevu</w:t>
            </w:r>
            <w:r w:rsidRPr="007822F9">
              <w:rPr>
                <w:rFonts w:ascii="Times New Roman" w:hAnsi="Times New Roman"/>
                <w:kern w:val="2"/>
                <w:sz w:val="24"/>
                <w:szCs w:val="24"/>
                <w:lang w:eastAsia="ar-SA"/>
              </w:rPr>
              <w:softHyphen/>
              <w:t>mu aprēķins (ja nepieciešams, detalizētu ieņēmumu un izdevumu aprēķinu var pievienot anotācijas pielikumā):</w:t>
            </w:r>
          </w:p>
        </w:tc>
        <w:tc>
          <w:tcPr>
            <w:tcW w:w="7142" w:type="dxa"/>
            <w:gridSpan w:val="7"/>
            <w:vMerge w:val="restart"/>
            <w:tcBorders>
              <w:top w:val="single" w:sz="4" w:space="0" w:color="auto"/>
              <w:left w:val="single" w:sz="4" w:space="0" w:color="auto"/>
              <w:bottom w:val="single" w:sz="4" w:space="0" w:color="auto"/>
              <w:right w:val="single" w:sz="4" w:space="0" w:color="auto"/>
            </w:tcBorders>
          </w:tcPr>
          <w:p w14:paraId="4E937D93" w14:textId="77777777" w:rsidR="005404ED" w:rsidRPr="007822F9" w:rsidRDefault="005404ED" w:rsidP="007822F9">
            <w:pPr>
              <w:spacing w:after="0" w:line="240" w:lineRule="auto"/>
              <w:jc w:val="both"/>
              <w:rPr>
                <w:rFonts w:ascii="Times New Roman" w:hAnsi="Times New Roman"/>
                <w:color w:val="000000"/>
                <w:sz w:val="24"/>
                <w:szCs w:val="24"/>
              </w:rPr>
            </w:pPr>
            <w:r w:rsidRPr="007822F9">
              <w:rPr>
                <w:rFonts w:ascii="Times New Roman" w:hAnsi="Times New Roman"/>
                <w:color w:val="000000"/>
                <w:sz w:val="24"/>
                <w:szCs w:val="24"/>
              </w:rPr>
              <w:t>.</w:t>
            </w:r>
          </w:p>
        </w:tc>
      </w:tr>
      <w:tr w:rsidR="005404ED" w:rsidRPr="007822F9" w14:paraId="5B8B5874"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7AFEEC8C"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lastRenderedPageBreak/>
              <w:t>6.1. detalizēts ieņēmumu aprēķins</w:t>
            </w:r>
          </w:p>
        </w:tc>
        <w:tc>
          <w:tcPr>
            <w:tcW w:w="7142" w:type="dxa"/>
            <w:gridSpan w:val="7"/>
            <w:vMerge/>
            <w:tcBorders>
              <w:top w:val="single" w:sz="4" w:space="0" w:color="auto"/>
              <w:left w:val="single" w:sz="4" w:space="0" w:color="auto"/>
              <w:bottom w:val="single" w:sz="4" w:space="0" w:color="auto"/>
              <w:right w:val="single" w:sz="4" w:space="0" w:color="auto"/>
            </w:tcBorders>
            <w:vAlign w:val="center"/>
            <w:hideMark/>
          </w:tcPr>
          <w:p w14:paraId="20C5B3B1" w14:textId="77777777" w:rsidR="005404ED" w:rsidRPr="007822F9" w:rsidRDefault="005404ED" w:rsidP="007822F9">
            <w:pPr>
              <w:spacing w:after="0" w:line="240" w:lineRule="auto"/>
              <w:rPr>
                <w:rFonts w:ascii="Times New Roman" w:hAnsi="Times New Roman"/>
                <w:sz w:val="24"/>
                <w:szCs w:val="24"/>
              </w:rPr>
            </w:pPr>
          </w:p>
        </w:tc>
      </w:tr>
      <w:tr w:rsidR="005404ED" w:rsidRPr="007822F9" w14:paraId="34B8F790"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0BCD3B1A"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6.2. detalizēts izdevumu aprēķins</w:t>
            </w:r>
          </w:p>
        </w:tc>
        <w:tc>
          <w:tcPr>
            <w:tcW w:w="7142" w:type="dxa"/>
            <w:gridSpan w:val="7"/>
            <w:vMerge/>
            <w:tcBorders>
              <w:top w:val="single" w:sz="4" w:space="0" w:color="auto"/>
              <w:left w:val="single" w:sz="4" w:space="0" w:color="auto"/>
              <w:bottom w:val="single" w:sz="4" w:space="0" w:color="auto"/>
              <w:right w:val="single" w:sz="4" w:space="0" w:color="auto"/>
            </w:tcBorders>
            <w:vAlign w:val="center"/>
            <w:hideMark/>
          </w:tcPr>
          <w:p w14:paraId="5B610991" w14:textId="77777777" w:rsidR="005404ED" w:rsidRPr="007822F9" w:rsidRDefault="005404ED" w:rsidP="007822F9">
            <w:pPr>
              <w:spacing w:after="0" w:line="240" w:lineRule="auto"/>
              <w:rPr>
                <w:rFonts w:ascii="Times New Roman" w:hAnsi="Times New Roman"/>
                <w:sz w:val="24"/>
                <w:szCs w:val="24"/>
              </w:rPr>
            </w:pPr>
          </w:p>
        </w:tc>
      </w:tr>
      <w:tr w:rsidR="005404ED" w:rsidRPr="007822F9" w14:paraId="6A0E3C7C" w14:textId="77777777" w:rsidTr="00D17683">
        <w:trPr>
          <w:jc w:val="center"/>
        </w:trPr>
        <w:tc>
          <w:tcPr>
            <w:tcW w:w="2042" w:type="dxa"/>
            <w:tcBorders>
              <w:top w:val="single" w:sz="4" w:space="0" w:color="auto"/>
              <w:left w:val="single" w:sz="4" w:space="0" w:color="auto"/>
              <w:bottom w:val="single" w:sz="4" w:space="0" w:color="auto"/>
              <w:right w:val="single" w:sz="4" w:space="0" w:color="auto"/>
            </w:tcBorders>
            <w:hideMark/>
          </w:tcPr>
          <w:p w14:paraId="36FE1AC4" w14:textId="77777777" w:rsidR="005404ED" w:rsidRPr="007822F9" w:rsidRDefault="005404ED" w:rsidP="007822F9">
            <w:pPr>
              <w:suppressAutoHyphens/>
              <w:spacing w:line="240" w:lineRule="auto"/>
              <w:jc w:val="both"/>
              <w:rPr>
                <w:rFonts w:ascii="Times New Roman" w:hAnsi="Times New Roman"/>
                <w:kern w:val="2"/>
                <w:sz w:val="24"/>
                <w:szCs w:val="24"/>
                <w:lang w:eastAsia="ar-SA"/>
              </w:rPr>
            </w:pPr>
            <w:r w:rsidRPr="007822F9">
              <w:rPr>
                <w:rFonts w:ascii="Times New Roman" w:hAnsi="Times New Roman"/>
                <w:kern w:val="2"/>
                <w:sz w:val="24"/>
                <w:szCs w:val="24"/>
                <w:lang w:eastAsia="ar-SA"/>
              </w:rPr>
              <w:t>7. Cita informācija</w:t>
            </w:r>
          </w:p>
        </w:tc>
        <w:tc>
          <w:tcPr>
            <w:tcW w:w="7142" w:type="dxa"/>
            <w:gridSpan w:val="7"/>
            <w:tcBorders>
              <w:top w:val="single" w:sz="4" w:space="0" w:color="auto"/>
              <w:left w:val="single" w:sz="4" w:space="0" w:color="auto"/>
              <w:bottom w:val="single" w:sz="4" w:space="0" w:color="auto"/>
              <w:right w:val="single" w:sz="4" w:space="0" w:color="auto"/>
            </w:tcBorders>
          </w:tcPr>
          <w:p w14:paraId="6475AB9A" w14:textId="77777777" w:rsidR="00573F15" w:rsidRDefault="00106FB4" w:rsidP="00777C96">
            <w:pPr>
              <w:spacing w:before="75" w:after="0" w:line="240" w:lineRule="auto"/>
              <w:jc w:val="both"/>
              <w:rPr>
                <w:rFonts w:ascii="Times New Roman" w:hAnsi="Times New Roman"/>
                <w:sz w:val="24"/>
                <w:szCs w:val="24"/>
              </w:rPr>
            </w:pPr>
            <w:r w:rsidRPr="007822F9">
              <w:rPr>
                <w:rFonts w:ascii="Times New Roman" w:hAnsi="Times New Roman"/>
                <w:sz w:val="24"/>
                <w:szCs w:val="24"/>
              </w:rPr>
              <w:t>S</w:t>
            </w:r>
            <w:r w:rsidR="00265623" w:rsidRPr="007822F9">
              <w:rPr>
                <w:rFonts w:ascii="Times New Roman" w:hAnsi="Times New Roman"/>
                <w:sz w:val="24"/>
                <w:szCs w:val="24"/>
              </w:rPr>
              <w:t>olidaritātes nodokļa</w:t>
            </w:r>
            <w:r w:rsidR="00573F15" w:rsidRPr="007822F9">
              <w:rPr>
                <w:rFonts w:ascii="Times New Roman" w:hAnsi="Times New Roman"/>
                <w:sz w:val="24"/>
                <w:szCs w:val="24"/>
              </w:rPr>
              <w:t xml:space="preserve"> ietekm</w:t>
            </w:r>
            <w:r w:rsidRPr="007822F9">
              <w:rPr>
                <w:rFonts w:ascii="Times New Roman" w:hAnsi="Times New Roman"/>
                <w:sz w:val="24"/>
                <w:szCs w:val="24"/>
              </w:rPr>
              <w:t xml:space="preserve">e </w:t>
            </w:r>
            <w:r w:rsidR="00573F15" w:rsidRPr="007822F9">
              <w:rPr>
                <w:rFonts w:ascii="Times New Roman" w:hAnsi="Times New Roman"/>
                <w:sz w:val="24"/>
                <w:szCs w:val="24"/>
              </w:rPr>
              <w:t xml:space="preserve">uz budžetu </w:t>
            </w:r>
            <w:r w:rsidRPr="007822F9">
              <w:rPr>
                <w:rFonts w:ascii="Times New Roman" w:hAnsi="Times New Roman"/>
                <w:sz w:val="24"/>
                <w:szCs w:val="24"/>
              </w:rPr>
              <w:t xml:space="preserve">atspoguļota </w:t>
            </w:r>
            <w:r w:rsidR="00777C96" w:rsidRPr="007822F9">
              <w:rPr>
                <w:rFonts w:ascii="Times New Roman" w:hAnsi="Times New Roman"/>
                <w:sz w:val="24"/>
                <w:szCs w:val="24"/>
              </w:rPr>
              <w:t xml:space="preserve">likumprojekta </w:t>
            </w:r>
            <w:r w:rsidR="00777C96">
              <w:rPr>
                <w:rFonts w:ascii="Times New Roman" w:hAnsi="Times New Roman"/>
                <w:sz w:val="24"/>
                <w:szCs w:val="24"/>
              </w:rPr>
              <w:t>“</w:t>
            </w:r>
            <w:r w:rsidR="00573F15" w:rsidRPr="007822F9">
              <w:rPr>
                <w:rFonts w:ascii="Times New Roman" w:hAnsi="Times New Roman"/>
                <w:sz w:val="24"/>
                <w:szCs w:val="24"/>
              </w:rPr>
              <w:t xml:space="preserve">Solidaritātes nodokļa </w:t>
            </w:r>
            <w:r w:rsidR="00777C96">
              <w:rPr>
                <w:rFonts w:ascii="Times New Roman" w:hAnsi="Times New Roman"/>
                <w:sz w:val="24"/>
                <w:szCs w:val="24"/>
              </w:rPr>
              <w:t xml:space="preserve">likums” </w:t>
            </w:r>
            <w:r w:rsidR="00573F15" w:rsidRPr="007822F9">
              <w:rPr>
                <w:rFonts w:ascii="Times New Roman" w:hAnsi="Times New Roman"/>
                <w:sz w:val="24"/>
                <w:szCs w:val="24"/>
              </w:rPr>
              <w:t>sākotnējās ietekmes novērtējuma ziņojuma (anotācijas ) III sadaļā.</w:t>
            </w:r>
          </w:p>
          <w:p w14:paraId="4D55A7AB" w14:textId="77777777" w:rsidR="00B40A4D" w:rsidRPr="007822F9" w:rsidRDefault="00B40A4D" w:rsidP="00777C96">
            <w:pPr>
              <w:spacing w:before="75" w:after="0" w:line="240" w:lineRule="auto"/>
              <w:jc w:val="both"/>
              <w:rPr>
                <w:rFonts w:ascii="Times New Roman" w:hAnsi="Times New Roman"/>
                <w:b/>
                <w:kern w:val="2"/>
                <w:sz w:val="24"/>
                <w:szCs w:val="24"/>
                <w:lang w:eastAsia="ar-SA"/>
              </w:rPr>
            </w:pPr>
          </w:p>
        </w:tc>
      </w:tr>
    </w:tbl>
    <w:p w14:paraId="3F335A6E" w14:textId="77777777" w:rsidR="00D17683" w:rsidRPr="007822F9" w:rsidRDefault="00D17683" w:rsidP="007822F9">
      <w:pPr>
        <w:spacing w:line="240" w:lineRule="auto"/>
        <w:rPr>
          <w:sz w:val="24"/>
          <w:szCs w:val="24"/>
        </w:rPr>
      </w:pPr>
    </w:p>
    <w:tbl>
      <w:tblPr>
        <w:tblW w:w="9072" w:type="dxa"/>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147"/>
        <w:gridCol w:w="2331"/>
        <w:gridCol w:w="5594"/>
      </w:tblGrid>
      <w:tr w:rsidR="00120D10" w:rsidRPr="007822F9" w14:paraId="7FB08412" w14:textId="77777777" w:rsidTr="00D17683">
        <w:trPr>
          <w:trHeight w:val="450"/>
        </w:trPr>
        <w:tc>
          <w:tcPr>
            <w:tcW w:w="9072" w:type="dxa"/>
            <w:gridSpan w:val="3"/>
            <w:tcBorders>
              <w:top w:val="outset" w:sz="6" w:space="0" w:color="414142"/>
              <w:bottom w:val="outset" w:sz="6" w:space="0" w:color="414142"/>
            </w:tcBorders>
            <w:vAlign w:val="center"/>
          </w:tcPr>
          <w:p w14:paraId="302111B1" w14:textId="77777777" w:rsidR="00120D10" w:rsidRPr="007822F9" w:rsidRDefault="00120D10" w:rsidP="007822F9">
            <w:pPr>
              <w:spacing w:after="0" w:line="240" w:lineRule="auto"/>
              <w:jc w:val="both"/>
              <w:rPr>
                <w:rFonts w:ascii="Times New Roman" w:hAnsi="Times New Roman"/>
                <w:b/>
                <w:bCs/>
                <w:sz w:val="24"/>
                <w:szCs w:val="24"/>
                <w:lang w:eastAsia="lv-LV"/>
              </w:rPr>
            </w:pPr>
            <w:r w:rsidRPr="007822F9">
              <w:rPr>
                <w:rFonts w:ascii="Times New Roman" w:hAnsi="Times New Roman"/>
                <w:b/>
                <w:bCs/>
                <w:sz w:val="24"/>
                <w:szCs w:val="24"/>
                <w:lang w:eastAsia="lv-LV"/>
              </w:rPr>
              <w:t>IV. Tiesību akta projekta ietekme uz spēkā esošo tiesību normu sistēmu</w:t>
            </w:r>
          </w:p>
        </w:tc>
      </w:tr>
      <w:tr w:rsidR="00120D10" w:rsidRPr="007822F9" w14:paraId="6C810E86" w14:textId="77777777" w:rsidTr="00D17683">
        <w:tc>
          <w:tcPr>
            <w:tcW w:w="1147" w:type="dxa"/>
            <w:tcBorders>
              <w:top w:val="outset" w:sz="6" w:space="0" w:color="414142"/>
              <w:bottom w:val="outset" w:sz="6" w:space="0" w:color="414142"/>
              <w:right w:val="outset" w:sz="6" w:space="0" w:color="414142"/>
            </w:tcBorders>
          </w:tcPr>
          <w:p w14:paraId="31C79F66"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1.</w:t>
            </w:r>
          </w:p>
        </w:tc>
        <w:tc>
          <w:tcPr>
            <w:tcW w:w="2331" w:type="dxa"/>
            <w:tcBorders>
              <w:top w:val="outset" w:sz="6" w:space="0" w:color="414142"/>
              <w:left w:val="outset" w:sz="6" w:space="0" w:color="414142"/>
              <w:bottom w:val="outset" w:sz="6" w:space="0" w:color="414142"/>
              <w:right w:val="outset" w:sz="6" w:space="0" w:color="414142"/>
            </w:tcBorders>
          </w:tcPr>
          <w:p w14:paraId="523AE571"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Nepieciešamie saistītie tiesību aktu projekti</w:t>
            </w:r>
          </w:p>
        </w:tc>
        <w:tc>
          <w:tcPr>
            <w:tcW w:w="5594" w:type="dxa"/>
            <w:tcBorders>
              <w:top w:val="outset" w:sz="6" w:space="0" w:color="414142"/>
              <w:left w:val="outset" w:sz="6" w:space="0" w:color="414142"/>
              <w:bottom w:val="outset" w:sz="6" w:space="0" w:color="414142"/>
            </w:tcBorders>
          </w:tcPr>
          <w:p w14:paraId="388114A4" w14:textId="77777777" w:rsidR="00F11594" w:rsidRPr="007822F9" w:rsidRDefault="00A3388D" w:rsidP="007822F9">
            <w:pPr>
              <w:pStyle w:val="Heading2"/>
              <w:spacing w:before="0" w:line="240" w:lineRule="auto"/>
              <w:jc w:val="both"/>
              <w:rPr>
                <w:rStyle w:val="Emphasis"/>
                <w:rFonts w:ascii="Times New Roman" w:hAnsi="Times New Roman" w:cs="Times New Roman"/>
                <w:i w:val="0"/>
                <w:color w:val="000000" w:themeColor="text1"/>
                <w:sz w:val="24"/>
                <w:szCs w:val="24"/>
              </w:rPr>
            </w:pPr>
            <w:r w:rsidRPr="007822F9">
              <w:rPr>
                <w:rStyle w:val="Emphasis"/>
                <w:rFonts w:ascii="Times New Roman" w:hAnsi="Times New Roman" w:cs="Times New Roman"/>
                <w:i w:val="0"/>
                <w:color w:val="000000" w:themeColor="text1"/>
                <w:sz w:val="24"/>
                <w:szCs w:val="24"/>
              </w:rPr>
              <w:t>Likumprojekts tiek virzīts vienlaikus ar</w:t>
            </w:r>
            <w:r w:rsidR="00F11594" w:rsidRPr="007822F9">
              <w:rPr>
                <w:rStyle w:val="Emphasis"/>
                <w:rFonts w:ascii="Times New Roman" w:hAnsi="Times New Roman" w:cs="Times New Roman"/>
                <w:i w:val="0"/>
                <w:color w:val="000000" w:themeColor="text1"/>
                <w:sz w:val="24"/>
                <w:szCs w:val="24"/>
              </w:rPr>
              <w:t xml:space="preserve"> likumprojektu:</w:t>
            </w:r>
          </w:p>
          <w:p w14:paraId="4B01A355" w14:textId="77777777" w:rsidR="00A3388D" w:rsidRPr="007822F9" w:rsidRDefault="00F11594" w:rsidP="007822F9">
            <w:pPr>
              <w:pStyle w:val="Heading2"/>
              <w:spacing w:before="0" w:line="240" w:lineRule="auto"/>
              <w:jc w:val="both"/>
              <w:rPr>
                <w:rStyle w:val="Emphasis"/>
                <w:rFonts w:ascii="Times New Roman" w:hAnsi="Times New Roman" w:cs="Times New Roman"/>
                <w:i w:val="0"/>
                <w:color w:val="000000" w:themeColor="text1"/>
                <w:sz w:val="24"/>
                <w:szCs w:val="24"/>
              </w:rPr>
            </w:pPr>
            <w:r w:rsidRPr="007822F9">
              <w:rPr>
                <w:rStyle w:val="Emphasis"/>
                <w:rFonts w:ascii="Times New Roman" w:hAnsi="Times New Roman" w:cs="Times New Roman"/>
                <w:i w:val="0"/>
                <w:color w:val="000000" w:themeColor="text1"/>
                <w:sz w:val="24"/>
                <w:szCs w:val="24"/>
              </w:rPr>
              <w:t>Solidaritātes nodokļa likums;</w:t>
            </w:r>
          </w:p>
          <w:p w14:paraId="18E3BFDC" w14:textId="77777777" w:rsidR="00B628D6" w:rsidRPr="007822F9" w:rsidRDefault="00F11594" w:rsidP="007822F9">
            <w:pPr>
              <w:pStyle w:val="Heading2"/>
              <w:spacing w:before="0" w:line="240" w:lineRule="auto"/>
              <w:jc w:val="both"/>
              <w:rPr>
                <w:rFonts w:ascii="Times New Roman" w:hAnsi="Times New Roman"/>
                <w:color w:val="000000"/>
                <w:spacing w:val="-6"/>
                <w:sz w:val="24"/>
                <w:szCs w:val="24"/>
              </w:rPr>
            </w:pPr>
            <w:r w:rsidRPr="007822F9">
              <w:rPr>
                <w:rStyle w:val="Emphasis"/>
                <w:rFonts w:ascii="Times New Roman" w:hAnsi="Times New Roman" w:cs="Times New Roman"/>
                <w:i w:val="0"/>
                <w:color w:val="000000" w:themeColor="text1"/>
                <w:sz w:val="24"/>
                <w:szCs w:val="24"/>
              </w:rPr>
              <w:t xml:space="preserve">Grozījumi likumā </w:t>
            </w:r>
            <w:r w:rsidR="00B628D6" w:rsidRPr="007822F9">
              <w:rPr>
                <w:rStyle w:val="Emphasis"/>
                <w:rFonts w:ascii="Times New Roman" w:hAnsi="Times New Roman" w:cs="Times New Roman"/>
                <w:i w:val="0"/>
                <w:color w:val="000000" w:themeColor="text1"/>
                <w:sz w:val="24"/>
                <w:szCs w:val="24"/>
              </w:rPr>
              <w:t>“Par iedzīvotāju ienākuma nodokli”</w:t>
            </w:r>
            <w:r w:rsidRPr="007822F9">
              <w:rPr>
                <w:rStyle w:val="Emphasis"/>
                <w:rFonts w:ascii="Times New Roman" w:hAnsi="Times New Roman" w:cs="Times New Roman"/>
                <w:i w:val="0"/>
                <w:color w:val="000000" w:themeColor="text1"/>
                <w:sz w:val="24"/>
                <w:szCs w:val="24"/>
              </w:rPr>
              <w:t>;</w:t>
            </w:r>
            <w:r w:rsidR="00B628D6" w:rsidRPr="007822F9">
              <w:rPr>
                <w:rStyle w:val="Emphasis"/>
                <w:rFonts w:ascii="Times New Roman" w:hAnsi="Times New Roman" w:cs="Times New Roman"/>
                <w:i w:val="0"/>
                <w:color w:val="000000" w:themeColor="text1"/>
                <w:sz w:val="24"/>
                <w:szCs w:val="24"/>
              </w:rPr>
              <w:t xml:space="preserve"> </w:t>
            </w:r>
            <w:r w:rsidRPr="007822F9">
              <w:rPr>
                <w:rStyle w:val="Emphasis"/>
                <w:rFonts w:ascii="Times New Roman" w:hAnsi="Times New Roman" w:cs="Times New Roman"/>
                <w:i w:val="0"/>
                <w:color w:val="000000" w:themeColor="text1"/>
                <w:sz w:val="24"/>
                <w:szCs w:val="24"/>
              </w:rPr>
              <w:t xml:space="preserve">Grozījumi likumā </w:t>
            </w:r>
            <w:r w:rsidR="00B628D6" w:rsidRPr="007822F9">
              <w:rPr>
                <w:rStyle w:val="Emphasis"/>
                <w:rFonts w:ascii="Times New Roman" w:hAnsi="Times New Roman" w:cs="Times New Roman"/>
                <w:i w:val="0"/>
                <w:color w:val="000000" w:themeColor="text1"/>
                <w:sz w:val="24"/>
                <w:szCs w:val="24"/>
              </w:rPr>
              <w:t>“Par valsts sociālo apdrošināšanu”</w:t>
            </w:r>
            <w:r w:rsidRPr="007822F9">
              <w:rPr>
                <w:rStyle w:val="Emphasis"/>
                <w:rFonts w:ascii="Times New Roman" w:hAnsi="Times New Roman" w:cs="Times New Roman"/>
                <w:i w:val="0"/>
                <w:color w:val="000000" w:themeColor="text1"/>
                <w:sz w:val="24"/>
                <w:szCs w:val="24"/>
              </w:rPr>
              <w:t>.</w:t>
            </w:r>
            <w:r w:rsidR="00B628D6" w:rsidRPr="007822F9">
              <w:rPr>
                <w:rStyle w:val="Emphasis"/>
                <w:rFonts w:ascii="Times New Roman" w:hAnsi="Times New Roman" w:cs="Times New Roman"/>
                <w:i w:val="0"/>
                <w:color w:val="000000" w:themeColor="text1"/>
                <w:sz w:val="24"/>
                <w:szCs w:val="24"/>
              </w:rPr>
              <w:t xml:space="preserve"> </w:t>
            </w:r>
          </w:p>
          <w:p w14:paraId="74441570" w14:textId="77777777" w:rsidR="00F11594" w:rsidRPr="007822F9" w:rsidRDefault="00F11594" w:rsidP="007822F9">
            <w:pPr>
              <w:pStyle w:val="ListParagraph"/>
              <w:spacing w:after="0" w:line="240" w:lineRule="auto"/>
              <w:ind w:left="0"/>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Minētie likumprojekti virzāmi pieņemšanai vienotā paketē.</w:t>
            </w:r>
          </w:p>
          <w:p w14:paraId="72F76491" w14:textId="77777777" w:rsidR="00F11594" w:rsidRPr="007822F9" w:rsidRDefault="00F11594" w:rsidP="007822F9">
            <w:pPr>
              <w:spacing w:after="0" w:line="240" w:lineRule="auto"/>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Pēc likumprojekta “</w:t>
            </w:r>
            <w:r w:rsidRPr="007822F9">
              <w:rPr>
                <w:rStyle w:val="Emphasis"/>
                <w:rFonts w:ascii="Times New Roman" w:hAnsi="Times New Roman"/>
                <w:i w:val="0"/>
                <w:color w:val="000000" w:themeColor="text1"/>
                <w:sz w:val="24"/>
                <w:szCs w:val="24"/>
              </w:rPr>
              <w:t>Solidaritātes nodokļa likums”</w:t>
            </w:r>
            <w:r w:rsidRPr="007822F9">
              <w:rPr>
                <w:rFonts w:ascii="Times New Roman" w:hAnsi="Times New Roman"/>
                <w:color w:val="000000" w:themeColor="text1"/>
                <w:sz w:val="24"/>
                <w:szCs w:val="24"/>
              </w:rPr>
              <w:t xml:space="preserve"> pieņemšanas saskaņā ar Ministru kabinetam doto pilnvarojumu jāizstrādā noteikumu projekti:</w:t>
            </w:r>
          </w:p>
          <w:p w14:paraId="17DA0AAF" w14:textId="6EFD25F6" w:rsidR="00F11594" w:rsidRPr="007822F9" w:rsidRDefault="00F11594" w:rsidP="007822F9">
            <w:pPr>
              <w:pStyle w:val="ListParagraph"/>
              <w:numPr>
                <w:ilvl w:val="0"/>
                <w:numId w:val="25"/>
              </w:numPr>
              <w:spacing w:after="0" w:line="240" w:lineRule="auto"/>
              <w:ind w:left="170" w:hanging="170"/>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 xml:space="preserve">lai noteiktu kārtību, kādā Valsts sociālās apdrošināšanas aģentūra veido solidaritātes nodokļa maksātāju </w:t>
            </w:r>
            <w:r w:rsidR="00FD6C78">
              <w:rPr>
                <w:rFonts w:ascii="Times New Roman" w:hAnsi="Times New Roman"/>
                <w:color w:val="000000" w:themeColor="text1"/>
                <w:sz w:val="24"/>
                <w:szCs w:val="24"/>
              </w:rPr>
              <w:t>uzskaiti</w:t>
            </w:r>
            <w:r w:rsidRPr="007822F9">
              <w:rPr>
                <w:rFonts w:ascii="Times New Roman" w:hAnsi="Times New Roman"/>
                <w:color w:val="000000" w:themeColor="text1"/>
                <w:sz w:val="24"/>
                <w:szCs w:val="24"/>
              </w:rPr>
              <w:t>;</w:t>
            </w:r>
          </w:p>
          <w:p w14:paraId="22D8A6BB" w14:textId="77777777" w:rsidR="00D17683" w:rsidRPr="007822F9" w:rsidRDefault="00F11594" w:rsidP="007822F9">
            <w:pPr>
              <w:pStyle w:val="ListParagraph"/>
              <w:numPr>
                <w:ilvl w:val="0"/>
                <w:numId w:val="25"/>
              </w:numPr>
              <w:tabs>
                <w:tab w:val="left" w:pos="197"/>
              </w:tabs>
              <w:spacing w:after="0" w:line="240" w:lineRule="auto"/>
              <w:ind w:left="0" w:firstLine="36"/>
              <w:jc w:val="both"/>
              <w:rPr>
                <w:rFonts w:ascii="Times New Roman" w:hAnsi="Times New Roman"/>
                <w:sz w:val="24"/>
                <w:szCs w:val="24"/>
              </w:rPr>
            </w:pPr>
            <w:r w:rsidRPr="007822F9">
              <w:rPr>
                <w:rFonts w:ascii="Times New Roman" w:hAnsi="Times New Roman"/>
                <w:color w:val="000000" w:themeColor="text1"/>
                <w:sz w:val="24"/>
                <w:szCs w:val="24"/>
              </w:rPr>
              <w:t>lai noteiktu kārtību un termiņus, kādā solidaritātes nodoklis tiek ieskaitīts valsts pamatbudžeta kontā.</w:t>
            </w:r>
          </w:p>
        </w:tc>
      </w:tr>
      <w:tr w:rsidR="00120D10" w:rsidRPr="007822F9" w14:paraId="535337B1" w14:textId="77777777" w:rsidTr="00D17683">
        <w:tc>
          <w:tcPr>
            <w:tcW w:w="1147" w:type="dxa"/>
            <w:tcBorders>
              <w:top w:val="outset" w:sz="6" w:space="0" w:color="414142"/>
              <w:bottom w:val="outset" w:sz="6" w:space="0" w:color="414142"/>
              <w:right w:val="outset" w:sz="6" w:space="0" w:color="414142"/>
            </w:tcBorders>
          </w:tcPr>
          <w:p w14:paraId="2E172C88"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2.</w:t>
            </w:r>
          </w:p>
        </w:tc>
        <w:tc>
          <w:tcPr>
            <w:tcW w:w="2331" w:type="dxa"/>
            <w:tcBorders>
              <w:top w:val="outset" w:sz="6" w:space="0" w:color="414142"/>
              <w:left w:val="outset" w:sz="6" w:space="0" w:color="414142"/>
              <w:bottom w:val="outset" w:sz="6" w:space="0" w:color="414142"/>
              <w:right w:val="outset" w:sz="6" w:space="0" w:color="414142"/>
            </w:tcBorders>
          </w:tcPr>
          <w:p w14:paraId="4A142F01"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Atbildīgā institūcija</w:t>
            </w:r>
          </w:p>
        </w:tc>
        <w:tc>
          <w:tcPr>
            <w:tcW w:w="5594" w:type="dxa"/>
            <w:tcBorders>
              <w:top w:val="outset" w:sz="6" w:space="0" w:color="414142"/>
              <w:left w:val="outset" w:sz="6" w:space="0" w:color="414142"/>
              <w:bottom w:val="outset" w:sz="6" w:space="0" w:color="414142"/>
            </w:tcBorders>
          </w:tcPr>
          <w:p w14:paraId="7D3CF05D" w14:textId="7C304FE3" w:rsidR="00265623" w:rsidRPr="007822F9" w:rsidRDefault="00F11594" w:rsidP="007822F9">
            <w:pPr>
              <w:spacing w:after="0" w:line="240" w:lineRule="auto"/>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Finanšu ministrija ir atbildīga par likumprojektu “</w:t>
            </w:r>
            <w:r w:rsidR="00265623" w:rsidRPr="007822F9">
              <w:rPr>
                <w:rFonts w:ascii="Times New Roman" w:hAnsi="Times New Roman"/>
                <w:color w:val="000000" w:themeColor="text1"/>
                <w:sz w:val="24"/>
                <w:szCs w:val="24"/>
              </w:rPr>
              <w:t>Solidaritātes nodokļa likums</w:t>
            </w:r>
            <w:r w:rsidRPr="007822F9">
              <w:rPr>
                <w:rFonts w:ascii="Times New Roman" w:hAnsi="Times New Roman"/>
                <w:color w:val="000000" w:themeColor="text1"/>
                <w:sz w:val="24"/>
                <w:szCs w:val="24"/>
              </w:rPr>
              <w:t>”” un “Grozījumi likumā “Par iedzīvotāju ienākuma nodokli</w:t>
            </w:r>
            <w:r w:rsidR="00265623" w:rsidRPr="007822F9">
              <w:rPr>
                <w:rFonts w:ascii="Times New Roman" w:hAnsi="Times New Roman"/>
                <w:color w:val="000000" w:themeColor="text1"/>
                <w:sz w:val="24"/>
                <w:szCs w:val="24"/>
              </w:rPr>
              <w:t>”</w:t>
            </w:r>
            <w:r w:rsidRPr="007822F9">
              <w:rPr>
                <w:rFonts w:ascii="Times New Roman" w:hAnsi="Times New Roman"/>
                <w:color w:val="000000" w:themeColor="text1"/>
                <w:sz w:val="24"/>
                <w:szCs w:val="24"/>
              </w:rPr>
              <w:t>” izstrādi.</w:t>
            </w:r>
          </w:p>
          <w:p w14:paraId="67C142E6" w14:textId="77777777" w:rsidR="00120D10" w:rsidRDefault="00F11594" w:rsidP="007822F9">
            <w:pPr>
              <w:spacing w:after="0" w:line="240" w:lineRule="auto"/>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Labklājības ministrija ir atbildīga par likumprojekta “Grozījumi likumā “Par valsts sociālo apdrošināšanu”” un Ministru kabineta noteikumu projektu izstrādi.</w:t>
            </w:r>
          </w:p>
          <w:p w14:paraId="25DE1187" w14:textId="77777777" w:rsidR="00B40A4D" w:rsidRPr="007822F9" w:rsidRDefault="00B40A4D" w:rsidP="007822F9">
            <w:pPr>
              <w:spacing w:after="0" w:line="240" w:lineRule="auto"/>
              <w:jc w:val="both"/>
              <w:rPr>
                <w:rFonts w:ascii="Times New Roman" w:hAnsi="Times New Roman"/>
                <w:color w:val="000000" w:themeColor="text1"/>
                <w:sz w:val="24"/>
                <w:szCs w:val="24"/>
                <w:lang w:eastAsia="lv-LV"/>
              </w:rPr>
            </w:pPr>
          </w:p>
        </w:tc>
      </w:tr>
      <w:tr w:rsidR="00120D10" w:rsidRPr="007822F9" w14:paraId="7E9C9C05" w14:textId="77777777" w:rsidTr="00D17683">
        <w:tc>
          <w:tcPr>
            <w:tcW w:w="1147" w:type="dxa"/>
            <w:tcBorders>
              <w:top w:val="outset" w:sz="6" w:space="0" w:color="414142"/>
              <w:bottom w:val="outset" w:sz="6" w:space="0" w:color="414142"/>
              <w:right w:val="outset" w:sz="6" w:space="0" w:color="414142"/>
            </w:tcBorders>
          </w:tcPr>
          <w:p w14:paraId="3A8C5E5D"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3.</w:t>
            </w:r>
          </w:p>
        </w:tc>
        <w:tc>
          <w:tcPr>
            <w:tcW w:w="2331" w:type="dxa"/>
            <w:tcBorders>
              <w:top w:val="outset" w:sz="6" w:space="0" w:color="414142"/>
              <w:left w:val="outset" w:sz="6" w:space="0" w:color="414142"/>
              <w:bottom w:val="outset" w:sz="6" w:space="0" w:color="414142"/>
              <w:right w:val="outset" w:sz="6" w:space="0" w:color="414142"/>
            </w:tcBorders>
          </w:tcPr>
          <w:p w14:paraId="360CE031"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Cita informācija</w:t>
            </w:r>
          </w:p>
        </w:tc>
        <w:tc>
          <w:tcPr>
            <w:tcW w:w="5594" w:type="dxa"/>
            <w:tcBorders>
              <w:top w:val="outset" w:sz="6" w:space="0" w:color="414142"/>
              <w:left w:val="outset" w:sz="6" w:space="0" w:color="414142"/>
              <w:bottom w:val="outset" w:sz="6" w:space="0" w:color="414142"/>
            </w:tcBorders>
          </w:tcPr>
          <w:p w14:paraId="27017971" w14:textId="77777777" w:rsidR="00120D10" w:rsidRPr="007822F9" w:rsidRDefault="00120D10" w:rsidP="007822F9">
            <w:pPr>
              <w:spacing w:after="0" w:line="240" w:lineRule="auto"/>
              <w:jc w:val="both"/>
              <w:rPr>
                <w:rFonts w:ascii="Times New Roman" w:hAnsi="Times New Roman"/>
                <w:color w:val="000000" w:themeColor="text1"/>
                <w:sz w:val="24"/>
                <w:szCs w:val="24"/>
                <w:lang w:eastAsia="lv-LV"/>
              </w:rPr>
            </w:pPr>
            <w:r w:rsidRPr="007822F9">
              <w:rPr>
                <w:rFonts w:ascii="Times New Roman" w:hAnsi="Times New Roman"/>
                <w:sz w:val="24"/>
                <w:szCs w:val="24"/>
                <w:lang w:eastAsia="lv-LV"/>
              </w:rPr>
              <w:t>Nav</w:t>
            </w:r>
          </w:p>
        </w:tc>
      </w:tr>
    </w:tbl>
    <w:p w14:paraId="591A5FF4" w14:textId="77777777" w:rsidR="00120D10" w:rsidRPr="007822F9" w:rsidRDefault="00120D10" w:rsidP="007822F9">
      <w:pPr>
        <w:spacing w:after="0" w:line="240" w:lineRule="auto"/>
        <w:jc w:val="both"/>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4"/>
        <w:gridCol w:w="2956"/>
        <w:gridCol w:w="5758"/>
      </w:tblGrid>
      <w:tr w:rsidR="00120D10" w:rsidRPr="007822F9" w14:paraId="23CB3525" w14:textId="77777777" w:rsidTr="001510C8">
        <w:trPr>
          <w:trHeight w:val="420"/>
        </w:trPr>
        <w:tc>
          <w:tcPr>
            <w:tcW w:w="5000" w:type="pct"/>
            <w:gridSpan w:val="3"/>
            <w:tcBorders>
              <w:top w:val="outset" w:sz="6" w:space="0" w:color="414142"/>
              <w:bottom w:val="outset" w:sz="6" w:space="0" w:color="414142"/>
            </w:tcBorders>
            <w:vAlign w:val="center"/>
          </w:tcPr>
          <w:p w14:paraId="63E00275" w14:textId="77777777" w:rsidR="00120D10" w:rsidRPr="007822F9" w:rsidRDefault="00120D10" w:rsidP="007822F9">
            <w:pPr>
              <w:spacing w:after="0" w:line="240" w:lineRule="auto"/>
              <w:jc w:val="both"/>
              <w:rPr>
                <w:rFonts w:ascii="Times New Roman" w:hAnsi="Times New Roman"/>
                <w:b/>
                <w:bCs/>
                <w:sz w:val="24"/>
                <w:szCs w:val="24"/>
                <w:lang w:eastAsia="lv-LV"/>
              </w:rPr>
            </w:pPr>
            <w:r w:rsidRPr="007822F9">
              <w:rPr>
                <w:rFonts w:ascii="Times New Roman" w:hAnsi="Times New Roman"/>
                <w:b/>
                <w:bCs/>
                <w:sz w:val="24"/>
                <w:szCs w:val="24"/>
                <w:lang w:eastAsia="lv-LV"/>
              </w:rPr>
              <w:t>VI. Sabiedrības līdzdalība un komunikācijas aktivitātes</w:t>
            </w:r>
          </w:p>
        </w:tc>
      </w:tr>
      <w:tr w:rsidR="00120D10" w:rsidRPr="007822F9" w14:paraId="1A8451AF" w14:textId="77777777" w:rsidTr="001510C8">
        <w:trPr>
          <w:trHeight w:val="540"/>
        </w:trPr>
        <w:tc>
          <w:tcPr>
            <w:tcW w:w="304" w:type="pct"/>
            <w:tcBorders>
              <w:top w:val="outset" w:sz="6" w:space="0" w:color="414142"/>
              <w:bottom w:val="outset" w:sz="6" w:space="0" w:color="414142"/>
              <w:right w:val="outset" w:sz="6" w:space="0" w:color="414142"/>
            </w:tcBorders>
          </w:tcPr>
          <w:p w14:paraId="45C2A2D5"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14:paraId="56EDAFC7"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14:paraId="142DC24D" w14:textId="77777777" w:rsidR="00D17683" w:rsidRDefault="00CF1DA6" w:rsidP="00CF1DA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Nodokļa būtība</w:t>
            </w:r>
            <w:r w:rsidRPr="007822F9">
              <w:rPr>
                <w:rFonts w:ascii="Times New Roman" w:hAnsi="Times New Roman"/>
                <w:color w:val="000000" w:themeColor="text1"/>
                <w:sz w:val="24"/>
                <w:szCs w:val="24"/>
              </w:rPr>
              <w:t xml:space="preserve"> </w:t>
            </w:r>
            <w:r w:rsidR="005D11B8" w:rsidRPr="007822F9">
              <w:rPr>
                <w:rFonts w:ascii="Times New Roman" w:hAnsi="Times New Roman"/>
                <w:color w:val="000000" w:themeColor="text1"/>
                <w:sz w:val="24"/>
                <w:szCs w:val="24"/>
              </w:rPr>
              <w:t>prezentēt</w:t>
            </w:r>
            <w:r>
              <w:rPr>
                <w:rFonts w:ascii="Times New Roman" w:hAnsi="Times New Roman"/>
                <w:color w:val="000000" w:themeColor="text1"/>
                <w:sz w:val="24"/>
                <w:szCs w:val="24"/>
              </w:rPr>
              <w:t>a</w:t>
            </w:r>
            <w:r w:rsidR="005D11B8" w:rsidRPr="007822F9">
              <w:rPr>
                <w:rFonts w:ascii="Times New Roman" w:hAnsi="Times New Roman"/>
                <w:color w:val="000000" w:themeColor="text1"/>
                <w:sz w:val="24"/>
                <w:szCs w:val="24"/>
              </w:rPr>
              <w:t xml:space="preserve"> tikšanās laikā</w:t>
            </w:r>
            <w:r w:rsidR="00265623" w:rsidRPr="007822F9">
              <w:rPr>
                <w:rFonts w:ascii="Times New Roman" w:hAnsi="Times New Roman"/>
                <w:color w:val="000000" w:themeColor="text1"/>
                <w:sz w:val="24"/>
                <w:szCs w:val="24"/>
              </w:rPr>
              <w:t xml:space="preserve"> uzņēmēju un darba ņēmēju (arodbiedrību) organizācijām, izplatīta informācija masu mēdijiem, </w:t>
            </w:r>
            <w:r>
              <w:rPr>
                <w:rFonts w:ascii="Times New Roman" w:hAnsi="Times New Roman"/>
                <w:color w:val="000000" w:themeColor="text1"/>
                <w:sz w:val="24"/>
                <w:szCs w:val="24"/>
              </w:rPr>
              <w:t xml:space="preserve">ir tikušas </w:t>
            </w:r>
            <w:r w:rsidR="00265623" w:rsidRPr="007822F9">
              <w:rPr>
                <w:rFonts w:ascii="Times New Roman" w:hAnsi="Times New Roman"/>
                <w:color w:val="000000" w:themeColor="text1"/>
                <w:sz w:val="24"/>
                <w:szCs w:val="24"/>
              </w:rPr>
              <w:t xml:space="preserve">sagatavotas preses </w:t>
            </w:r>
            <w:proofErr w:type="spellStart"/>
            <w:r w:rsidR="00265623" w:rsidRPr="007822F9">
              <w:rPr>
                <w:rFonts w:ascii="Times New Roman" w:hAnsi="Times New Roman"/>
                <w:color w:val="000000" w:themeColor="text1"/>
                <w:sz w:val="24"/>
                <w:szCs w:val="24"/>
              </w:rPr>
              <w:t>relīzes</w:t>
            </w:r>
            <w:proofErr w:type="spellEnd"/>
            <w:r w:rsidR="00265623" w:rsidRPr="007822F9">
              <w:rPr>
                <w:rFonts w:ascii="Times New Roman" w:hAnsi="Times New Roman"/>
                <w:color w:val="000000" w:themeColor="text1"/>
                <w:sz w:val="24"/>
                <w:szCs w:val="24"/>
              </w:rPr>
              <w:t xml:space="preserve"> un ievietotas Finanšu ministrijas mājaslapā, sagatavota </w:t>
            </w:r>
            <w:proofErr w:type="spellStart"/>
            <w:r w:rsidR="00265623" w:rsidRPr="007822F9">
              <w:rPr>
                <w:rFonts w:ascii="Times New Roman" w:hAnsi="Times New Roman"/>
                <w:color w:val="000000" w:themeColor="text1"/>
                <w:sz w:val="24"/>
                <w:szCs w:val="24"/>
              </w:rPr>
              <w:t>infografika</w:t>
            </w:r>
            <w:proofErr w:type="spellEnd"/>
            <w:r w:rsidR="00265623" w:rsidRPr="007822F9">
              <w:rPr>
                <w:rFonts w:ascii="Times New Roman" w:hAnsi="Times New Roman"/>
                <w:color w:val="000000" w:themeColor="text1"/>
                <w:sz w:val="24"/>
                <w:szCs w:val="24"/>
              </w:rPr>
              <w:t xml:space="preserve"> par nodokļa būtību un paredzamo maksātāju loku.</w:t>
            </w:r>
          </w:p>
          <w:p w14:paraId="777D3C6E" w14:textId="77777777" w:rsidR="00B40A4D" w:rsidRPr="007822F9" w:rsidRDefault="00B40A4D" w:rsidP="00CF1DA6">
            <w:pPr>
              <w:spacing w:after="0" w:line="240" w:lineRule="auto"/>
              <w:jc w:val="both"/>
              <w:rPr>
                <w:rFonts w:ascii="Times New Roman" w:hAnsi="Times New Roman"/>
                <w:sz w:val="24"/>
                <w:szCs w:val="24"/>
                <w:lang w:eastAsia="lv-LV"/>
              </w:rPr>
            </w:pPr>
          </w:p>
        </w:tc>
      </w:tr>
      <w:tr w:rsidR="00120D10" w:rsidRPr="007822F9" w14:paraId="3D5A7BBE" w14:textId="77777777" w:rsidTr="001510C8">
        <w:trPr>
          <w:trHeight w:val="605"/>
        </w:trPr>
        <w:tc>
          <w:tcPr>
            <w:tcW w:w="304" w:type="pct"/>
            <w:tcBorders>
              <w:top w:val="outset" w:sz="6" w:space="0" w:color="414142"/>
              <w:bottom w:val="outset" w:sz="6" w:space="0" w:color="414142"/>
              <w:right w:val="outset" w:sz="6" w:space="0" w:color="414142"/>
            </w:tcBorders>
          </w:tcPr>
          <w:p w14:paraId="613E54A7"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14:paraId="2F427FB5"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14:paraId="252A11F4" w14:textId="77777777" w:rsidR="00265623" w:rsidRPr="007822F9" w:rsidRDefault="00265623" w:rsidP="007822F9">
            <w:pPr>
              <w:spacing w:after="0" w:line="240" w:lineRule="auto"/>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Nolūku ieviest solidaritātes nodokli valdības pārstāvji prezentēja Nacionālās trīspusējās sadarbības padomē un</w:t>
            </w:r>
            <w:r w:rsidR="007B7809">
              <w:rPr>
                <w:rFonts w:ascii="Times New Roman" w:hAnsi="Times New Roman"/>
                <w:color w:val="000000" w:themeColor="text1"/>
                <w:sz w:val="24"/>
                <w:szCs w:val="24"/>
              </w:rPr>
              <w:t xml:space="preserve"> tās Budžeta un nodokļu politikas </w:t>
            </w:r>
            <w:proofErr w:type="spellStart"/>
            <w:r w:rsidR="007B7809">
              <w:rPr>
                <w:rFonts w:ascii="Times New Roman" w:hAnsi="Times New Roman"/>
                <w:color w:val="000000" w:themeColor="text1"/>
                <w:sz w:val="24"/>
                <w:szCs w:val="24"/>
              </w:rPr>
              <w:t>apakšpadomē</w:t>
            </w:r>
            <w:proofErr w:type="spellEnd"/>
            <w:r w:rsidR="007B7809">
              <w:rPr>
                <w:rFonts w:ascii="Times New Roman" w:hAnsi="Times New Roman"/>
                <w:color w:val="000000" w:themeColor="text1"/>
                <w:sz w:val="24"/>
                <w:szCs w:val="24"/>
              </w:rPr>
              <w:t xml:space="preserve">, kad tika apspriesti jautājumi </w:t>
            </w:r>
            <w:r w:rsidRPr="007822F9">
              <w:rPr>
                <w:rFonts w:ascii="Times New Roman" w:hAnsi="Times New Roman"/>
                <w:color w:val="000000" w:themeColor="text1"/>
                <w:sz w:val="24"/>
                <w:szCs w:val="24"/>
              </w:rPr>
              <w:t xml:space="preserve">par fiskālo telpu valsts budžeta </w:t>
            </w:r>
            <w:r w:rsidRPr="007822F9">
              <w:rPr>
                <w:rFonts w:ascii="Times New Roman" w:hAnsi="Times New Roman"/>
                <w:color w:val="000000" w:themeColor="text1"/>
                <w:sz w:val="24"/>
                <w:szCs w:val="24"/>
              </w:rPr>
              <w:lastRenderedPageBreak/>
              <w:t>2016.gadam izstrādes sakarā. Par to tika diskutēts Tautsaimniecības padomē, kurā ir pārstāvēts plašs uzņēmējdarbības nozaru spektrs (pārtikas ražošana, būvniecība, informātika, kokrūpniecība, tirdzniecība, mašīnbūve un metālapstrāde u.c.), kā arī Latvijas tir</w:t>
            </w:r>
            <w:r w:rsidR="000565D7" w:rsidRPr="007822F9">
              <w:rPr>
                <w:rFonts w:ascii="Times New Roman" w:hAnsi="Times New Roman"/>
                <w:color w:val="000000" w:themeColor="text1"/>
                <w:sz w:val="24"/>
                <w:szCs w:val="24"/>
              </w:rPr>
              <w:t>dzniecības un rūpniecības kamerā</w:t>
            </w:r>
            <w:r w:rsidRPr="007822F9">
              <w:rPr>
                <w:rFonts w:ascii="Times New Roman" w:hAnsi="Times New Roman"/>
                <w:color w:val="000000" w:themeColor="text1"/>
                <w:sz w:val="24"/>
                <w:szCs w:val="24"/>
              </w:rPr>
              <w:t xml:space="preserve"> </w:t>
            </w:r>
            <w:r w:rsidR="000565D7" w:rsidRPr="007822F9">
              <w:rPr>
                <w:rFonts w:ascii="Times New Roman" w:hAnsi="Times New Roman"/>
                <w:color w:val="000000" w:themeColor="text1"/>
                <w:sz w:val="24"/>
                <w:szCs w:val="24"/>
              </w:rPr>
              <w:t>un Latvijas Pašvaldību savienībā</w:t>
            </w:r>
            <w:r w:rsidRPr="007822F9">
              <w:rPr>
                <w:rFonts w:ascii="Times New Roman" w:hAnsi="Times New Roman"/>
                <w:color w:val="000000" w:themeColor="text1"/>
                <w:sz w:val="24"/>
                <w:szCs w:val="24"/>
              </w:rPr>
              <w:t>.</w:t>
            </w:r>
          </w:p>
          <w:p w14:paraId="3A83D1AD" w14:textId="77777777" w:rsidR="00233BC8" w:rsidRDefault="00265623" w:rsidP="007822F9">
            <w:pPr>
              <w:spacing w:after="0" w:line="240" w:lineRule="auto"/>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 xml:space="preserve">Finanšu ministrijas mājaslapā ir publicēta preses </w:t>
            </w:r>
            <w:proofErr w:type="spellStart"/>
            <w:r w:rsidRPr="007822F9">
              <w:rPr>
                <w:rFonts w:ascii="Times New Roman" w:hAnsi="Times New Roman"/>
                <w:color w:val="000000" w:themeColor="text1"/>
                <w:sz w:val="24"/>
                <w:szCs w:val="24"/>
              </w:rPr>
              <w:t>relīze</w:t>
            </w:r>
            <w:proofErr w:type="spellEnd"/>
            <w:r w:rsidRPr="007822F9">
              <w:rPr>
                <w:rFonts w:ascii="Times New Roman" w:hAnsi="Times New Roman"/>
                <w:color w:val="000000" w:themeColor="text1"/>
                <w:sz w:val="24"/>
                <w:szCs w:val="24"/>
              </w:rPr>
              <w:t xml:space="preserve"> par nodokļa būtību un </w:t>
            </w:r>
            <w:proofErr w:type="spellStart"/>
            <w:r w:rsidRPr="007822F9">
              <w:rPr>
                <w:rFonts w:ascii="Times New Roman" w:hAnsi="Times New Roman"/>
                <w:color w:val="000000" w:themeColor="text1"/>
                <w:sz w:val="24"/>
                <w:szCs w:val="24"/>
              </w:rPr>
              <w:t>infografika</w:t>
            </w:r>
            <w:proofErr w:type="spellEnd"/>
            <w:r w:rsidRPr="007822F9">
              <w:rPr>
                <w:rFonts w:ascii="Times New Roman" w:hAnsi="Times New Roman"/>
                <w:color w:val="000000" w:themeColor="text1"/>
                <w:sz w:val="24"/>
                <w:szCs w:val="24"/>
              </w:rPr>
              <w:t xml:space="preserve">, kas vizuāli atspoguļo provizorisko nodokļa maksātāju loku un nodokļa bāzi. Preses </w:t>
            </w:r>
            <w:proofErr w:type="spellStart"/>
            <w:r w:rsidRPr="007822F9">
              <w:rPr>
                <w:rFonts w:ascii="Times New Roman" w:hAnsi="Times New Roman"/>
                <w:color w:val="000000" w:themeColor="text1"/>
                <w:sz w:val="24"/>
                <w:szCs w:val="24"/>
              </w:rPr>
              <w:t>relīze</w:t>
            </w:r>
            <w:proofErr w:type="spellEnd"/>
            <w:r w:rsidRPr="007822F9">
              <w:rPr>
                <w:rFonts w:ascii="Times New Roman" w:hAnsi="Times New Roman"/>
                <w:color w:val="000000" w:themeColor="text1"/>
                <w:sz w:val="24"/>
                <w:szCs w:val="24"/>
              </w:rPr>
              <w:t xml:space="preserve"> ir izplatīta arī visiem masu mēdijiem.</w:t>
            </w:r>
          </w:p>
          <w:p w14:paraId="59FF9741" w14:textId="77777777" w:rsidR="00B40A4D" w:rsidRPr="007822F9" w:rsidRDefault="00B40A4D" w:rsidP="007822F9">
            <w:pPr>
              <w:spacing w:after="0" w:line="240" w:lineRule="auto"/>
              <w:jc w:val="both"/>
              <w:rPr>
                <w:rFonts w:ascii="Times New Roman" w:hAnsi="Times New Roman"/>
                <w:sz w:val="24"/>
                <w:szCs w:val="24"/>
              </w:rPr>
            </w:pPr>
          </w:p>
        </w:tc>
      </w:tr>
      <w:tr w:rsidR="00120D10" w:rsidRPr="007822F9" w14:paraId="668582CB" w14:textId="77777777" w:rsidTr="001510C8">
        <w:trPr>
          <w:trHeight w:val="465"/>
        </w:trPr>
        <w:tc>
          <w:tcPr>
            <w:tcW w:w="304" w:type="pct"/>
            <w:tcBorders>
              <w:top w:val="outset" w:sz="6" w:space="0" w:color="414142"/>
              <w:bottom w:val="outset" w:sz="6" w:space="0" w:color="414142"/>
              <w:right w:val="outset" w:sz="6" w:space="0" w:color="414142"/>
            </w:tcBorders>
          </w:tcPr>
          <w:p w14:paraId="534A0DC6"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lastRenderedPageBreak/>
              <w:t>3.</w:t>
            </w:r>
          </w:p>
        </w:tc>
        <w:tc>
          <w:tcPr>
            <w:tcW w:w="1593" w:type="pct"/>
            <w:tcBorders>
              <w:top w:val="outset" w:sz="6" w:space="0" w:color="414142"/>
              <w:left w:val="outset" w:sz="6" w:space="0" w:color="414142"/>
              <w:bottom w:val="outset" w:sz="6" w:space="0" w:color="414142"/>
              <w:right w:val="outset" w:sz="6" w:space="0" w:color="414142"/>
            </w:tcBorders>
          </w:tcPr>
          <w:p w14:paraId="5AFF5865"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14:paraId="10EEF103" w14:textId="77777777" w:rsidR="00265623" w:rsidRPr="007822F9" w:rsidRDefault="00265623" w:rsidP="007822F9">
            <w:pPr>
              <w:spacing w:after="0" w:line="240" w:lineRule="auto"/>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 xml:space="preserve">Sociālajiem partneriem ir noraidoša attieksme pret izvēlēto mehānismu darbaspēka nodokļu </w:t>
            </w:r>
            <w:proofErr w:type="spellStart"/>
            <w:r w:rsidRPr="007822F9">
              <w:rPr>
                <w:rFonts w:ascii="Times New Roman" w:hAnsi="Times New Roman"/>
                <w:color w:val="000000" w:themeColor="text1"/>
                <w:sz w:val="24"/>
                <w:szCs w:val="24"/>
              </w:rPr>
              <w:t>regresivitātes</w:t>
            </w:r>
            <w:proofErr w:type="spellEnd"/>
            <w:r w:rsidRPr="007822F9">
              <w:rPr>
                <w:rFonts w:ascii="Times New Roman" w:hAnsi="Times New Roman"/>
                <w:color w:val="000000" w:themeColor="text1"/>
                <w:sz w:val="24"/>
                <w:szCs w:val="24"/>
              </w:rPr>
              <w:t xml:space="preserve"> mazināšanai. Partneri un uzņēmēju organizācijas iestājas par konsekventu iedzīvotāju ienākuma nodokļa likmes samazināšanu par vienu procentpunktu 2016.gadā un par iedzīvotāju ienākuma nodokļa atvieglojumu par apgādājamiem bērniem, īpaši ģimenēs, kur ir vairāk nekā divi bērni, palielināšanu.</w:t>
            </w:r>
          </w:p>
          <w:p w14:paraId="6E0F9B2F" w14:textId="77777777" w:rsidR="00233BC8" w:rsidRDefault="00265623" w:rsidP="007822F9">
            <w:pPr>
              <w:spacing w:after="0" w:line="240" w:lineRule="auto"/>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Latvijas Pašvaldību savienība pauž atbalstu iedzīvotāju ienākuma nodokļa progresīvo likmju ieviešanai vai neapliekamo minimumu izmantošanai progresivitātes palielināšanai, pie nosacījuma</w:t>
            </w:r>
            <w:r w:rsidR="000565D7" w:rsidRPr="007822F9">
              <w:rPr>
                <w:rFonts w:ascii="Times New Roman" w:hAnsi="Times New Roman"/>
                <w:color w:val="000000" w:themeColor="text1"/>
                <w:sz w:val="24"/>
                <w:szCs w:val="24"/>
              </w:rPr>
              <w:t>,</w:t>
            </w:r>
            <w:r w:rsidRPr="007822F9">
              <w:rPr>
                <w:rFonts w:ascii="Times New Roman" w:hAnsi="Times New Roman"/>
                <w:color w:val="000000" w:themeColor="text1"/>
                <w:sz w:val="24"/>
                <w:szCs w:val="24"/>
              </w:rPr>
              <w:t xml:space="preserve"> ka izmaiņām nav negatīva ietekmi uz pašvaldību budžetiem.</w:t>
            </w:r>
          </w:p>
          <w:p w14:paraId="39A0BD28" w14:textId="77777777" w:rsidR="00B40A4D" w:rsidRPr="007822F9" w:rsidRDefault="00B40A4D" w:rsidP="007822F9">
            <w:pPr>
              <w:spacing w:after="0" w:line="240" w:lineRule="auto"/>
              <w:jc w:val="both"/>
              <w:rPr>
                <w:rFonts w:ascii="Times New Roman" w:hAnsi="Times New Roman"/>
                <w:sz w:val="24"/>
                <w:szCs w:val="24"/>
              </w:rPr>
            </w:pPr>
          </w:p>
        </w:tc>
      </w:tr>
      <w:tr w:rsidR="00120D10" w:rsidRPr="007822F9" w14:paraId="4BB02258" w14:textId="77777777" w:rsidTr="001510C8">
        <w:trPr>
          <w:trHeight w:val="465"/>
        </w:trPr>
        <w:tc>
          <w:tcPr>
            <w:tcW w:w="304" w:type="pct"/>
            <w:tcBorders>
              <w:top w:val="outset" w:sz="6" w:space="0" w:color="414142"/>
              <w:bottom w:val="outset" w:sz="6" w:space="0" w:color="414142"/>
              <w:right w:val="outset" w:sz="6" w:space="0" w:color="414142"/>
            </w:tcBorders>
          </w:tcPr>
          <w:p w14:paraId="2AF788BA"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14:paraId="75451F62"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14:paraId="77D1EE4E"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Nav</w:t>
            </w:r>
          </w:p>
        </w:tc>
      </w:tr>
    </w:tbl>
    <w:p w14:paraId="3F22551F" w14:textId="77777777" w:rsidR="00120D10" w:rsidRPr="007822F9" w:rsidRDefault="00120D10" w:rsidP="007822F9">
      <w:pPr>
        <w:spacing w:after="0" w:line="240" w:lineRule="auto"/>
        <w:jc w:val="both"/>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4"/>
        <w:gridCol w:w="3110"/>
        <w:gridCol w:w="5604"/>
      </w:tblGrid>
      <w:tr w:rsidR="00120D10" w:rsidRPr="007822F9" w14:paraId="600CAAD4" w14:textId="77777777" w:rsidTr="001510C8">
        <w:trPr>
          <w:trHeight w:val="375"/>
        </w:trPr>
        <w:tc>
          <w:tcPr>
            <w:tcW w:w="5000" w:type="pct"/>
            <w:gridSpan w:val="3"/>
            <w:tcBorders>
              <w:top w:val="outset" w:sz="6" w:space="0" w:color="414142"/>
              <w:bottom w:val="outset" w:sz="6" w:space="0" w:color="414142"/>
            </w:tcBorders>
            <w:vAlign w:val="center"/>
          </w:tcPr>
          <w:p w14:paraId="23286739" w14:textId="77777777" w:rsidR="00120D10" w:rsidRPr="007822F9" w:rsidRDefault="00120D10" w:rsidP="007822F9">
            <w:pPr>
              <w:spacing w:after="0" w:line="240" w:lineRule="auto"/>
              <w:jc w:val="both"/>
              <w:rPr>
                <w:rFonts w:ascii="Times New Roman" w:hAnsi="Times New Roman"/>
                <w:b/>
                <w:bCs/>
                <w:sz w:val="24"/>
                <w:szCs w:val="24"/>
                <w:lang w:eastAsia="lv-LV"/>
              </w:rPr>
            </w:pPr>
            <w:r w:rsidRPr="007822F9">
              <w:rPr>
                <w:rFonts w:ascii="Times New Roman" w:hAnsi="Times New Roman"/>
                <w:b/>
                <w:bCs/>
                <w:sz w:val="24"/>
                <w:szCs w:val="24"/>
                <w:lang w:eastAsia="lv-LV"/>
              </w:rPr>
              <w:t>VII. Tiesību akta projekta izpildes nodrošināšana un tās ietekme uz institūcijām</w:t>
            </w:r>
          </w:p>
        </w:tc>
      </w:tr>
      <w:tr w:rsidR="00120D10" w:rsidRPr="007822F9" w14:paraId="3B0ED975" w14:textId="77777777" w:rsidTr="001510C8">
        <w:trPr>
          <w:trHeight w:val="420"/>
        </w:trPr>
        <w:tc>
          <w:tcPr>
            <w:tcW w:w="304" w:type="pct"/>
            <w:tcBorders>
              <w:top w:val="outset" w:sz="6" w:space="0" w:color="414142"/>
              <w:bottom w:val="outset" w:sz="6" w:space="0" w:color="414142"/>
              <w:right w:val="outset" w:sz="6" w:space="0" w:color="414142"/>
            </w:tcBorders>
          </w:tcPr>
          <w:p w14:paraId="61027EE6"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14:paraId="37CB2F5F"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Projekta izpildē iesaistītās institūcijas</w:t>
            </w:r>
          </w:p>
        </w:tc>
        <w:tc>
          <w:tcPr>
            <w:tcW w:w="3021" w:type="pct"/>
            <w:tcBorders>
              <w:top w:val="outset" w:sz="6" w:space="0" w:color="414142"/>
              <w:left w:val="outset" w:sz="6" w:space="0" w:color="414142"/>
              <w:bottom w:val="outset" w:sz="6" w:space="0" w:color="414142"/>
            </w:tcBorders>
          </w:tcPr>
          <w:p w14:paraId="08E525FC" w14:textId="77777777" w:rsidR="00265623" w:rsidRPr="007822F9" w:rsidRDefault="00B628D6" w:rsidP="007822F9">
            <w:pPr>
              <w:spacing w:after="0" w:line="240" w:lineRule="auto"/>
              <w:jc w:val="both"/>
              <w:rPr>
                <w:rFonts w:ascii="Times New Roman" w:hAnsi="Times New Roman"/>
                <w:sz w:val="24"/>
                <w:szCs w:val="24"/>
              </w:rPr>
            </w:pPr>
            <w:r w:rsidRPr="007822F9">
              <w:rPr>
                <w:rFonts w:ascii="Times New Roman" w:hAnsi="Times New Roman"/>
                <w:sz w:val="24"/>
                <w:szCs w:val="24"/>
              </w:rPr>
              <w:t>Valsts s</w:t>
            </w:r>
            <w:r w:rsidR="00CA0764" w:rsidRPr="007822F9">
              <w:rPr>
                <w:rFonts w:ascii="Times New Roman" w:hAnsi="Times New Roman"/>
                <w:sz w:val="24"/>
                <w:szCs w:val="24"/>
              </w:rPr>
              <w:t>ociālās apdrošināšanas aģentūra</w:t>
            </w:r>
            <w:r w:rsidR="000565D7" w:rsidRPr="007822F9">
              <w:rPr>
                <w:rFonts w:ascii="Times New Roman" w:hAnsi="Times New Roman"/>
                <w:sz w:val="24"/>
                <w:szCs w:val="24"/>
              </w:rPr>
              <w:t>,</w:t>
            </w:r>
            <w:r w:rsidR="002C32F3" w:rsidRPr="007822F9">
              <w:rPr>
                <w:rFonts w:ascii="Times New Roman" w:hAnsi="Times New Roman"/>
                <w:sz w:val="24"/>
                <w:szCs w:val="24"/>
              </w:rPr>
              <w:t xml:space="preserve"> </w:t>
            </w:r>
          </w:p>
          <w:p w14:paraId="59EED930" w14:textId="77777777" w:rsidR="002C32F3" w:rsidRPr="007822F9" w:rsidRDefault="00FD2204" w:rsidP="007822F9">
            <w:pPr>
              <w:spacing w:after="0" w:line="240" w:lineRule="auto"/>
              <w:jc w:val="both"/>
              <w:rPr>
                <w:rFonts w:ascii="Times New Roman" w:hAnsi="Times New Roman"/>
                <w:sz w:val="24"/>
                <w:szCs w:val="24"/>
              </w:rPr>
            </w:pPr>
            <w:r w:rsidRPr="007822F9">
              <w:rPr>
                <w:rFonts w:ascii="Times New Roman" w:hAnsi="Times New Roman"/>
                <w:sz w:val="24"/>
                <w:szCs w:val="24"/>
              </w:rPr>
              <w:t>Valsts ieņēmumu dienests.</w:t>
            </w:r>
          </w:p>
        </w:tc>
      </w:tr>
      <w:tr w:rsidR="00120D10" w:rsidRPr="007822F9" w14:paraId="084B097A" w14:textId="77777777" w:rsidTr="001510C8">
        <w:trPr>
          <w:trHeight w:val="450"/>
        </w:trPr>
        <w:tc>
          <w:tcPr>
            <w:tcW w:w="304" w:type="pct"/>
            <w:tcBorders>
              <w:top w:val="outset" w:sz="6" w:space="0" w:color="414142"/>
              <w:bottom w:val="outset" w:sz="6" w:space="0" w:color="414142"/>
              <w:right w:val="outset" w:sz="6" w:space="0" w:color="414142"/>
            </w:tcBorders>
          </w:tcPr>
          <w:p w14:paraId="43B9413C"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14:paraId="35086B92"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Projekta izpildes ietekme uz pārvaldes funkcijām un institucionālo struktūru.</w:t>
            </w:r>
          </w:p>
          <w:p w14:paraId="1F13928A"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14:paraId="4CE96B15" w14:textId="77777777" w:rsidR="00265623" w:rsidRPr="007822F9" w:rsidRDefault="00265623" w:rsidP="007822F9">
            <w:pPr>
              <w:shd w:val="clear" w:color="auto" w:fill="FFFFFF"/>
              <w:spacing w:after="0" w:line="240" w:lineRule="auto"/>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Valsts sociālās apdrošināšanas aģentūrai būs veicama jauna funkcija – solidaritātes nodokļa administrēšana. Proti, pēc tam, kad tā būs konstatējusi, ka sociāli apdrošināmas personas iemaksu alga no gada sākuma ir sasniegusi saskaņā ar likumu “Par sociālo apdrošināšanu” noteikto maksimālo apmēru, tā katru mēnesi no identificētās personas iemaksu algas, kas pārsniedz minēto apmēru, noteiks valsts pamatbudžetā ieskaitāmo solidaritātes nodokļa lielumu un  ieskaitīs to vals</w:t>
            </w:r>
            <w:r w:rsidR="000565D7" w:rsidRPr="007822F9">
              <w:rPr>
                <w:rFonts w:ascii="Times New Roman" w:hAnsi="Times New Roman"/>
                <w:color w:val="000000" w:themeColor="text1"/>
                <w:sz w:val="24"/>
                <w:szCs w:val="24"/>
              </w:rPr>
              <w:t>ts pamatbudžetā. Administrēšana</w:t>
            </w:r>
            <w:r w:rsidRPr="007822F9">
              <w:rPr>
                <w:rFonts w:ascii="Times New Roman" w:hAnsi="Times New Roman"/>
                <w:color w:val="000000" w:themeColor="text1"/>
                <w:sz w:val="24"/>
                <w:szCs w:val="24"/>
              </w:rPr>
              <w:t xml:space="preserve"> ietver arī nodokļa un nodokļa maksātāju </w:t>
            </w:r>
            <w:r w:rsidR="000565D7" w:rsidRPr="007822F9">
              <w:rPr>
                <w:rFonts w:ascii="Times New Roman" w:hAnsi="Times New Roman"/>
                <w:color w:val="000000" w:themeColor="text1"/>
                <w:sz w:val="24"/>
                <w:szCs w:val="24"/>
              </w:rPr>
              <w:t>uzskaiti, un atbilstoša reģistra izveidi un tā uzturēšanu</w:t>
            </w:r>
            <w:r w:rsidRPr="007822F9">
              <w:rPr>
                <w:rFonts w:ascii="Times New Roman" w:hAnsi="Times New Roman"/>
                <w:color w:val="000000" w:themeColor="text1"/>
                <w:sz w:val="24"/>
                <w:szCs w:val="24"/>
              </w:rPr>
              <w:t>.</w:t>
            </w:r>
          </w:p>
          <w:p w14:paraId="31BDF240" w14:textId="77777777" w:rsidR="00265623" w:rsidRPr="007822F9" w:rsidRDefault="007B7809" w:rsidP="007822F9">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Jaunas institūcijas</w:t>
            </w:r>
            <w:r w:rsidR="000565D7" w:rsidRPr="007822F9">
              <w:rPr>
                <w:rFonts w:ascii="Times New Roman" w:hAnsi="Times New Roman"/>
                <w:color w:val="000000" w:themeColor="text1"/>
                <w:sz w:val="24"/>
                <w:szCs w:val="24"/>
              </w:rPr>
              <w:t xml:space="preserve"> izveidot nav nepieciešams</w:t>
            </w:r>
            <w:r w:rsidR="00265623" w:rsidRPr="007822F9">
              <w:rPr>
                <w:rFonts w:ascii="Times New Roman" w:hAnsi="Times New Roman"/>
                <w:color w:val="000000" w:themeColor="text1"/>
                <w:sz w:val="24"/>
                <w:szCs w:val="24"/>
              </w:rPr>
              <w:t>.</w:t>
            </w:r>
          </w:p>
          <w:p w14:paraId="5F03511F" w14:textId="77777777" w:rsidR="00265623" w:rsidRPr="007822F9" w:rsidRDefault="00265623" w:rsidP="007822F9">
            <w:pPr>
              <w:shd w:val="clear" w:color="auto" w:fill="FFFFFF"/>
              <w:spacing w:after="0" w:line="240" w:lineRule="auto"/>
              <w:jc w:val="both"/>
              <w:rPr>
                <w:rFonts w:ascii="Times New Roman" w:hAnsi="Times New Roman"/>
                <w:color w:val="000000" w:themeColor="text1"/>
                <w:sz w:val="24"/>
                <w:szCs w:val="24"/>
              </w:rPr>
            </w:pPr>
            <w:r w:rsidRPr="007822F9">
              <w:rPr>
                <w:rFonts w:ascii="Times New Roman" w:hAnsi="Times New Roman"/>
                <w:color w:val="000000" w:themeColor="text1"/>
                <w:sz w:val="24"/>
                <w:szCs w:val="24"/>
              </w:rPr>
              <w:t>Nav plānota esošu institūciju likvidācija vai reorganizācija.</w:t>
            </w:r>
          </w:p>
          <w:p w14:paraId="1D4C043B" w14:textId="77777777" w:rsidR="00B35EB3" w:rsidRPr="007822F9" w:rsidRDefault="00265623" w:rsidP="007822F9">
            <w:pPr>
              <w:pStyle w:val="NoSpacing"/>
              <w:jc w:val="both"/>
              <w:rPr>
                <w:rFonts w:ascii="Times New Roman" w:hAnsi="Times New Roman"/>
                <w:sz w:val="24"/>
                <w:szCs w:val="24"/>
                <w:lang w:eastAsia="lv-LV"/>
              </w:rPr>
            </w:pPr>
            <w:r w:rsidRPr="007822F9">
              <w:rPr>
                <w:rFonts w:ascii="Times New Roman" w:hAnsi="Times New Roman"/>
                <w:color w:val="000000" w:themeColor="text1"/>
                <w:sz w:val="24"/>
                <w:szCs w:val="24"/>
              </w:rPr>
              <w:t>Jaunā funkcija tiks īstenota, izmantojot esošos pārvaldes resursus.</w:t>
            </w:r>
          </w:p>
        </w:tc>
      </w:tr>
      <w:tr w:rsidR="00120D10" w:rsidRPr="007822F9" w14:paraId="6254C8F2" w14:textId="77777777" w:rsidTr="001510C8">
        <w:trPr>
          <w:trHeight w:val="390"/>
        </w:trPr>
        <w:tc>
          <w:tcPr>
            <w:tcW w:w="304" w:type="pct"/>
            <w:tcBorders>
              <w:top w:val="outset" w:sz="6" w:space="0" w:color="414142"/>
              <w:bottom w:val="outset" w:sz="6" w:space="0" w:color="414142"/>
              <w:right w:val="outset" w:sz="6" w:space="0" w:color="414142"/>
            </w:tcBorders>
          </w:tcPr>
          <w:p w14:paraId="41B75015"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lastRenderedPageBreak/>
              <w:t>3.</w:t>
            </w:r>
          </w:p>
        </w:tc>
        <w:tc>
          <w:tcPr>
            <w:tcW w:w="1676" w:type="pct"/>
            <w:tcBorders>
              <w:top w:val="outset" w:sz="6" w:space="0" w:color="414142"/>
              <w:left w:val="outset" w:sz="6" w:space="0" w:color="414142"/>
              <w:bottom w:val="outset" w:sz="6" w:space="0" w:color="414142"/>
              <w:right w:val="outset" w:sz="6" w:space="0" w:color="414142"/>
            </w:tcBorders>
          </w:tcPr>
          <w:p w14:paraId="30880966" w14:textId="77777777" w:rsidR="00120D10" w:rsidRPr="007822F9" w:rsidRDefault="00120D10" w:rsidP="007822F9">
            <w:pPr>
              <w:spacing w:after="0" w:line="240" w:lineRule="auto"/>
              <w:jc w:val="both"/>
              <w:rPr>
                <w:rFonts w:ascii="Times New Roman" w:hAnsi="Times New Roman"/>
                <w:sz w:val="24"/>
                <w:szCs w:val="24"/>
                <w:lang w:eastAsia="lv-LV"/>
              </w:rPr>
            </w:pPr>
            <w:r w:rsidRPr="007822F9">
              <w:rPr>
                <w:rFonts w:ascii="Times New Roman" w:hAnsi="Times New Roman"/>
                <w:sz w:val="24"/>
                <w:szCs w:val="24"/>
                <w:lang w:eastAsia="lv-LV"/>
              </w:rPr>
              <w:t>Cita informācija</w:t>
            </w:r>
          </w:p>
        </w:tc>
        <w:tc>
          <w:tcPr>
            <w:tcW w:w="3021" w:type="pct"/>
            <w:tcBorders>
              <w:top w:val="outset" w:sz="6" w:space="0" w:color="414142"/>
              <w:left w:val="outset" w:sz="6" w:space="0" w:color="414142"/>
              <w:bottom w:val="outset" w:sz="6" w:space="0" w:color="414142"/>
            </w:tcBorders>
          </w:tcPr>
          <w:p w14:paraId="6DDD6ABD" w14:textId="77777777" w:rsidR="00573F15" w:rsidRPr="007822F9" w:rsidRDefault="00C356F5" w:rsidP="007822F9">
            <w:pPr>
              <w:spacing w:after="0" w:line="240" w:lineRule="auto"/>
              <w:jc w:val="both"/>
              <w:rPr>
                <w:rFonts w:ascii="Times New Roman" w:hAnsi="Times New Roman"/>
                <w:sz w:val="24"/>
                <w:szCs w:val="24"/>
                <w:lang w:eastAsia="lv-LV"/>
              </w:rPr>
            </w:pPr>
            <w:r w:rsidRPr="007822F9">
              <w:rPr>
                <w:rFonts w:ascii="Times New Roman" w:hAnsi="Times New Roman"/>
                <w:color w:val="000000"/>
                <w:sz w:val="24"/>
                <w:szCs w:val="24"/>
              </w:rPr>
              <w:t>J</w:t>
            </w:r>
            <w:r w:rsidR="00573F15" w:rsidRPr="007822F9">
              <w:rPr>
                <w:rFonts w:ascii="Times New Roman" w:hAnsi="Times New Roman"/>
                <w:color w:val="000000"/>
                <w:sz w:val="24"/>
                <w:szCs w:val="24"/>
              </w:rPr>
              <w:t>āstājas spēkā vienlaicīgi ar Solidaritātes nodokļa likumu.</w:t>
            </w:r>
          </w:p>
        </w:tc>
      </w:tr>
    </w:tbl>
    <w:p w14:paraId="69ADE885" w14:textId="77777777" w:rsidR="001C6846" w:rsidRPr="007822F9" w:rsidRDefault="00D17683" w:rsidP="007822F9">
      <w:pPr>
        <w:spacing w:line="240" w:lineRule="auto"/>
        <w:jc w:val="both"/>
        <w:rPr>
          <w:rFonts w:ascii="Times New Roman" w:hAnsi="Times New Roman"/>
          <w:sz w:val="24"/>
          <w:szCs w:val="24"/>
        </w:rPr>
      </w:pPr>
      <w:r w:rsidRPr="007822F9">
        <w:rPr>
          <w:rFonts w:ascii="Times New Roman" w:hAnsi="Times New Roman"/>
          <w:sz w:val="24"/>
          <w:szCs w:val="24"/>
        </w:rPr>
        <w:t>Anotācijas V sadaļa – projekts šo jomu neskar.</w:t>
      </w:r>
    </w:p>
    <w:p w14:paraId="4FBE12C7" w14:textId="77777777" w:rsidR="00636819" w:rsidRPr="007822F9" w:rsidRDefault="00636819" w:rsidP="007822F9">
      <w:pPr>
        <w:spacing w:line="240" w:lineRule="auto"/>
        <w:jc w:val="both"/>
        <w:rPr>
          <w:rFonts w:ascii="Times New Roman" w:hAnsi="Times New Roman"/>
          <w:sz w:val="24"/>
          <w:szCs w:val="24"/>
        </w:rPr>
      </w:pPr>
    </w:p>
    <w:p w14:paraId="49E33BAD" w14:textId="77777777" w:rsidR="00120D10" w:rsidRPr="007822F9" w:rsidRDefault="00216EE0" w:rsidP="007822F9">
      <w:pPr>
        <w:spacing w:line="240" w:lineRule="auto"/>
        <w:jc w:val="both"/>
        <w:rPr>
          <w:rFonts w:ascii="Times New Roman" w:hAnsi="Times New Roman"/>
          <w:sz w:val="24"/>
          <w:szCs w:val="24"/>
        </w:rPr>
      </w:pPr>
      <w:r w:rsidRPr="007822F9">
        <w:rPr>
          <w:rFonts w:ascii="Times New Roman" w:hAnsi="Times New Roman"/>
          <w:sz w:val="24"/>
          <w:szCs w:val="24"/>
        </w:rPr>
        <w:t>Finanšu ministrs</w:t>
      </w:r>
      <w:r w:rsidRPr="007822F9">
        <w:rPr>
          <w:rFonts w:ascii="Times New Roman" w:hAnsi="Times New Roman"/>
          <w:sz w:val="24"/>
          <w:szCs w:val="24"/>
        </w:rPr>
        <w:tab/>
      </w:r>
      <w:r w:rsidRPr="007822F9">
        <w:rPr>
          <w:rFonts w:ascii="Times New Roman" w:hAnsi="Times New Roman"/>
          <w:sz w:val="24"/>
          <w:szCs w:val="24"/>
        </w:rPr>
        <w:tab/>
      </w:r>
      <w:r w:rsidRPr="007822F9">
        <w:rPr>
          <w:rFonts w:ascii="Times New Roman" w:hAnsi="Times New Roman"/>
          <w:sz w:val="24"/>
          <w:szCs w:val="24"/>
        </w:rPr>
        <w:tab/>
      </w:r>
      <w:r w:rsidRPr="007822F9">
        <w:rPr>
          <w:rFonts w:ascii="Times New Roman" w:hAnsi="Times New Roman"/>
          <w:sz w:val="24"/>
          <w:szCs w:val="24"/>
        </w:rPr>
        <w:tab/>
      </w:r>
      <w:r w:rsidRPr="007822F9">
        <w:rPr>
          <w:rFonts w:ascii="Times New Roman" w:hAnsi="Times New Roman"/>
          <w:sz w:val="24"/>
          <w:szCs w:val="24"/>
        </w:rPr>
        <w:tab/>
      </w:r>
      <w:r w:rsidRPr="007822F9">
        <w:rPr>
          <w:rFonts w:ascii="Times New Roman" w:hAnsi="Times New Roman"/>
          <w:sz w:val="24"/>
          <w:szCs w:val="24"/>
        </w:rPr>
        <w:tab/>
      </w:r>
      <w:r w:rsidRPr="007822F9">
        <w:rPr>
          <w:rFonts w:ascii="Times New Roman" w:hAnsi="Times New Roman"/>
          <w:sz w:val="24"/>
          <w:szCs w:val="24"/>
        </w:rPr>
        <w:tab/>
      </w:r>
      <w:r w:rsidRPr="007822F9">
        <w:rPr>
          <w:rFonts w:ascii="Times New Roman" w:hAnsi="Times New Roman"/>
          <w:sz w:val="24"/>
          <w:szCs w:val="24"/>
        </w:rPr>
        <w:tab/>
      </w:r>
      <w:r w:rsidRPr="007822F9">
        <w:rPr>
          <w:rFonts w:ascii="Times New Roman" w:hAnsi="Times New Roman"/>
          <w:sz w:val="24"/>
          <w:szCs w:val="24"/>
        </w:rPr>
        <w:tab/>
      </w:r>
      <w:proofErr w:type="spellStart"/>
      <w:r w:rsidRPr="007822F9">
        <w:rPr>
          <w:rFonts w:ascii="Times New Roman" w:hAnsi="Times New Roman"/>
          <w:sz w:val="24"/>
          <w:szCs w:val="24"/>
        </w:rPr>
        <w:t>J.Reirs</w:t>
      </w:r>
      <w:proofErr w:type="spellEnd"/>
    </w:p>
    <w:p w14:paraId="2D753E74" w14:textId="77777777" w:rsidR="00216EE0" w:rsidRPr="007822F9" w:rsidRDefault="00216EE0" w:rsidP="007822F9">
      <w:pPr>
        <w:spacing w:line="240" w:lineRule="auto"/>
        <w:jc w:val="both"/>
        <w:rPr>
          <w:rFonts w:ascii="Times New Roman" w:hAnsi="Times New Roman"/>
          <w:sz w:val="24"/>
          <w:szCs w:val="24"/>
        </w:rPr>
      </w:pPr>
    </w:p>
    <w:p w14:paraId="05E9C37B" w14:textId="77777777" w:rsidR="007822F9" w:rsidRDefault="007822F9" w:rsidP="007822F9">
      <w:pPr>
        <w:spacing w:after="0" w:line="240" w:lineRule="auto"/>
        <w:jc w:val="both"/>
        <w:rPr>
          <w:rFonts w:ascii="Times New Roman" w:hAnsi="Times New Roman"/>
          <w:sz w:val="20"/>
          <w:szCs w:val="20"/>
        </w:rPr>
      </w:pPr>
    </w:p>
    <w:p w14:paraId="73FD0944" w14:textId="77777777" w:rsidR="007822F9" w:rsidRDefault="007822F9" w:rsidP="007822F9">
      <w:pPr>
        <w:spacing w:after="0" w:line="240" w:lineRule="auto"/>
        <w:jc w:val="both"/>
        <w:rPr>
          <w:rFonts w:ascii="Times New Roman" w:hAnsi="Times New Roman"/>
          <w:sz w:val="20"/>
          <w:szCs w:val="20"/>
        </w:rPr>
      </w:pPr>
    </w:p>
    <w:p w14:paraId="4D596FC3" w14:textId="77777777" w:rsidR="007B7809" w:rsidRDefault="007B7809" w:rsidP="007822F9">
      <w:pPr>
        <w:spacing w:after="0" w:line="240" w:lineRule="auto"/>
        <w:jc w:val="both"/>
        <w:rPr>
          <w:rFonts w:ascii="Times New Roman" w:hAnsi="Times New Roman"/>
          <w:sz w:val="20"/>
          <w:szCs w:val="20"/>
        </w:rPr>
      </w:pPr>
    </w:p>
    <w:p w14:paraId="7B2161A1" w14:textId="77777777" w:rsidR="007B7809" w:rsidRDefault="007B7809" w:rsidP="007822F9">
      <w:pPr>
        <w:spacing w:after="0" w:line="240" w:lineRule="auto"/>
        <w:jc w:val="both"/>
        <w:rPr>
          <w:rFonts w:ascii="Times New Roman" w:hAnsi="Times New Roman"/>
          <w:sz w:val="20"/>
          <w:szCs w:val="20"/>
        </w:rPr>
      </w:pPr>
    </w:p>
    <w:p w14:paraId="4AAB5CDE" w14:textId="77777777" w:rsidR="007B7809" w:rsidRDefault="007B7809" w:rsidP="007822F9">
      <w:pPr>
        <w:spacing w:after="0" w:line="240" w:lineRule="auto"/>
        <w:jc w:val="both"/>
        <w:rPr>
          <w:rFonts w:ascii="Times New Roman" w:hAnsi="Times New Roman"/>
          <w:sz w:val="20"/>
          <w:szCs w:val="20"/>
        </w:rPr>
      </w:pPr>
    </w:p>
    <w:p w14:paraId="2B168266" w14:textId="77777777" w:rsidR="007B7809" w:rsidRDefault="007B7809" w:rsidP="007822F9">
      <w:pPr>
        <w:spacing w:after="0" w:line="240" w:lineRule="auto"/>
        <w:jc w:val="both"/>
        <w:rPr>
          <w:rFonts w:ascii="Times New Roman" w:hAnsi="Times New Roman"/>
          <w:sz w:val="20"/>
          <w:szCs w:val="20"/>
        </w:rPr>
      </w:pPr>
    </w:p>
    <w:p w14:paraId="19953D0D" w14:textId="77777777" w:rsidR="007B7809" w:rsidRDefault="007B7809" w:rsidP="007822F9">
      <w:pPr>
        <w:spacing w:after="0" w:line="240" w:lineRule="auto"/>
        <w:jc w:val="both"/>
        <w:rPr>
          <w:rFonts w:ascii="Times New Roman" w:hAnsi="Times New Roman"/>
          <w:sz w:val="20"/>
          <w:szCs w:val="20"/>
        </w:rPr>
      </w:pPr>
    </w:p>
    <w:p w14:paraId="0D53E5D5" w14:textId="77777777" w:rsidR="007B7809" w:rsidRDefault="007B7809" w:rsidP="007822F9">
      <w:pPr>
        <w:spacing w:after="0" w:line="240" w:lineRule="auto"/>
        <w:jc w:val="both"/>
        <w:rPr>
          <w:rFonts w:ascii="Times New Roman" w:hAnsi="Times New Roman"/>
          <w:sz w:val="20"/>
          <w:szCs w:val="20"/>
        </w:rPr>
      </w:pPr>
    </w:p>
    <w:p w14:paraId="43D57C7B" w14:textId="77777777" w:rsidR="00B40A4D" w:rsidRDefault="00B40A4D" w:rsidP="007822F9">
      <w:pPr>
        <w:spacing w:after="0" w:line="240" w:lineRule="auto"/>
        <w:jc w:val="both"/>
        <w:rPr>
          <w:rFonts w:ascii="Times New Roman" w:hAnsi="Times New Roman"/>
          <w:sz w:val="20"/>
          <w:szCs w:val="20"/>
        </w:rPr>
      </w:pPr>
    </w:p>
    <w:p w14:paraId="70155738" w14:textId="77777777" w:rsidR="00B40A4D" w:rsidRDefault="00B40A4D" w:rsidP="007822F9">
      <w:pPr>
        <w:spacing w:after="0" w:line="240" w:lineRule="auto"/>
        <w:jc w:val="both"/>
        <w:rPr>
          <w:rFonts w:ascii="Times New Roman" w:hAnsi="Times New Roman"/>
          <w:sz w:val="20"/>
          <w:szCs w:val="20"/>
        </w:rPr>
      </w:pPr>
    </w:p>
    <w:p w14:paraId="7DBFE5B1" w14:textId="77777777" w:rsidR="00B40A4D" w:rsidRDefault="00B40A4D" w:rsidP="007822F9">
      <w:pPr>
        <w:spacing w:after="0" w:line="240" w:lineRule="auto"/>
        <w:jc w:val="both"/>
        <w:rPr>
          <w:rFonts w:ascii="Times New Roman" w:hAnsi="Times New Roman"/>
          <w:sz w:val="20"/>
          <w:szCs w:val="20"/>
        </w:rPr>
      </w:pPr>
    </w:p>
    <w:p w14:paraId="45DBBC4C" w14:textId="77777777" w:rsidR="00B40A4D" w:rsidRDefault="00B40A4D" w:rsidP="007822F9">
      <w:pPr>
        <w:spacing w:after="0" w:line="240" w:lineRule="auto"/>
        <w:jc w:val="both"/>
        <w:rPr>
          <w:rFonts w:ascii="Times New Roman" w:hAnsi="Times New Roman"/>
          <w:sz w:val="20"/>
          <w:szCs w:val="20"/>
        </w:rPr>
      </w:pPr>
    </w:p>
    <w:p w14:paraId="19D39956" w14:textId="77777777" w:rsidR="00B40A4D" w:rsidRDefault="00B40A4D" w:rsidP="007822F9">
      <w:pPr>
        <w:spacing w:after="0" w:line="240" w:lineRule="auto"/>
        <w:jc w:val="both"/>
        <w:rPr>
          <w:rFonts w:ascii="Times New Roman" w:hAnsi="Times New Roman"/>
          <w:sz w:val="20"/>
          <w:szCs w:val="20"/>
        </w:rPr>
      </w:pPr>
    </w:p>
    <w:p w14:paraId="65AE3708" w14:textId="77777777" w:rsidR="00B40A4D" w:rsidRDefault="00B40A4D" w:rsidP="007822F9">
      <w:pPr>
        <w:spacing w:after="0" w:line="240" w:lineRule="auto"/>
        <w:jc w:val="both"/>
        <w:rPr>
          <w:rFonts w:ascii="Times New Roman" w:hAnsi="Times New Roman"/>
          <w:sz w:val="20"/>
          <w:szCs w:val="20"/>
        </w:rPr>
      </w:pPr>
    </w:p>
    <w:p w14:paraId="67820FFC" w14:textId="77777777" w:rsidR="00B40A4D" w:rsidRDefault="00B40A4D" w:rsidP="007822F9">
      <w:pPr>
        <w:spacing w:after="0" w:line="240" w:lineRule="auto"/>
        <w:jc w:val="both"/>
        <w:rPr>
          <w:rFonts w:ascii="Times New Roman" w:hAnsi="Times New Roman"/>
          <w:sz w:val="20"/>
          <w:szCs w:val="20"/>
        </w:rPr>
      </w:pPr>
    </w:p>
    <w:p w14:paraId="03AC2DD6" w14:textId="77777777" w:rsidR="00B40A4D" w:rsidRDefault="00B40A4D" w:rsidP="007822F9">
      <w:pPr>
        <w:spacing w:after="0" w:line="240" w:lineRule="auto"/>
        <w:jc w:val="both"/>
        <w:rPr>
          <w:rFonts w:ascii="Times New Roman" w:hAnsi="Times New Roman"/>
          <w:sz w:val="20"/>
          <w:szCs w:val="20"/>
        </w:rPr>
      </w:pPr>
    </w:p>
    <w:p w14:paraId="7F6724CF" w14:textId="77777777" w:rsidR="00B40A4D" w:rsidRDefault="00B40A4D" w:rsidP="007822F9">
      <w:pPr>
        <w:spacing w:after="0" w:line="240" w:lineRule="auto"/>
        <w:jc w:val="both"/>
        <w:rPr>
          <w:rFonts w:ascii="Times New Roman" w:hAnsi="Times New Roman"/>
          <w:sz w:val="20"/>
          <w:szCs w:val="20"/>
        </w:rPr>
      </w:pPr>
    </w:p>
    <w:p w14:paraId="32FC10A3" w14:textId="77777777" w:rsidR="00B40A4D" w:rsidRDefault="00B40A4D" w:rsidP="007822F9">
      <w:pPr>
        <w:spacing w:after="0" w:line="240" w:lineRule="auto"/>
        <w:jc w:val="both"/>
        <w:rPr>
          <w:rFonts w:ascii="Times New Roman" w:hAnsi="Times New Roman"/>
          <w:sz w:val="20"/>
          <w:szCs w:val="20"/>
        </w:rPr>
      </w:pPr>
    </w:p>
    <w:p w14:paraId="0B170560" w14:textId="77777777" w:rsidR="00B40A4D" w:rsidRDefault="00B40A4D" w:rsidP="007822F9">
      <w:pPr>
        <w:spacing w:after="0" w:line="240" w:lineRule="auto"/>
        <w:jc w:val="both"/>
        <w:rPr>
          <w:rFonts w:ascii="Times New Roman" w:hAnsi="Times New Roman"/>
          <w:sz w:val="20"/>
          <w:szCs w:val="20"/>
        </w:rPr>
      </w:pPr>
    </w:p>
    <w:p w14:paraId="0D35E448" w14:textId="77777777" w:rsidR="00B40A4D" w:rsidRDefault="00B40A4D" w:rsidP="007822F9">
      <w:pPr>
        <w:spacing w:after="0" w:line="240" w:lineRule="auto"/>
        <w:jc w:val="both"/>
        <w:rPr>
          <w:rFonts w:ascii="Times New Roman" w:hAnsi="Times New Roman"/>
          <w:sz w:val="20"/>
          <w:szCs w:val="20"/>
        </w:rPr>
      </w:pPr>
    </w:p>
    <w:p w14:paraId="67835EAB" w14:textId="77777777" w:rsidR="00B40A4D" w:rsidRDefault="00B40A4D" w:rsidP="007822F9">
      <w:pPr>
        <w:spacing w:after="0" w:line="240" w:lineRule="auto"/>
        <w:jc w:val="both"/>
        <w:rPr>
          <w:rFonts w:ascii="Times New Roman" w:hAnsi="Times New Roman"/>
          <w:sz w:val="20"/>
          <w:szCs w:val="20"/>
        </w:rPr>
      </w:pPr>
    </w:p>
    <w:p w14:paraId="35D3AF06" w14:textId="77777777" w:rsidR="00B40A4D" w:rsidRDefault="00B40A4D" w:rsidP="007822F9">
      <w:pPr>
        <w:spacing w:after="0" w:line="240" w:lineRule="auto"/>
        <w:jc w:val="both"/>
        <w:rPr>
          <w:rFonts w:ascii="Times New Roman" w:hAnsi="Times New Roman"/>
          <w:sz w:val="20"/>
          <w:szCs w:val="20"/>
        </w:rPr>
      </w:pPr>
    </w:p>
    <w:p w14:paraId="14EE380C" w14:textId="77777777" w:rsidR="00B40A4D" w:rsidRDefault="00B40A4D" w:rsidP="007822F9">
      <w:pPr>
        <w:spacing w:after="0" w:line="240" w:lineRule="auto"/>
        <w:jc w:val="both"/>
        <w:rPr>
          <w:rFonts w:ascii="Times New Roman" w:hAnsi="Times New Roman"/>
          <w:sz w:val="20"/>
          <w:szCs w:val="20"/>
        </w:rPr>
      </w:pPr>
    </w:p>
    <w:p w14:paraId="11E8E70C" w14:textId="77777777" w:rsidR="00B40A4D" w:rsidRDefault="00B40A4D" w:rsidP="007822F9">
      <w:pPr>
        <w:spacing w:after="0" w:line="240" w:lineRule="auto"/>
        <w:jc w:val="both"/>
        <w:rPr>
          <w:rFonts w:ascii="Times New Roman" w:hAnsi="Times New Roman"/>
          <w:sz w:val="20"/>
          <w:szCs w:val="20"/>
        </w:rPr>
      </w:pPr>
    </w:p>
    <w:p w14:paraId="2EF4842A" w14:textId="77777777" w:rsidR="00B40A4D" w:rsidRDefault="00B40A4D" w:rsidP="007822F9">
      <w:pPr>
        <w:spacing w:after="0" w:line="240" w:lineRule="auto"/>
        <w:jc w:val="both"/>
        <w:rPr>
          <w:rFonts w:ascii="Times New Roman" w:hAnsi="Times New Roman"/>
          <w:sz w:val="20"/>
          <w:szCs w:val="20"/>
        </w:rPr>
      </w:pPr>
    </w:p>
    <w:p w14:paraId="757EF9B3" w14:textId="77777777" w:rsidR="00B40A4D" w:rsidRDefault="00B40A4D" w:rsidP="007822F9">
      <w:pPr>
        <w:spacing w:after="0" w:line="240" w:lineRule="auto"/>
        <w:jc w:val="both"/>
        <w:rPr>
          <w:rFonts w:ascii="Times New Roman" w:hAnsi="Times New Roman"/>
          <w:sz w:val="20"/>
          <w:szCs w:val="20"/>
        </w:rPr>
      </w:pPr>
    </w:p>
    <w:p w14:paraId="233E3BF2" w14:textId="77777777" w:rsidR="00B40A4D" w:rsidRDefault="00B40A4D" w:rsidP="007822F9">
      <w:pPr>
        <w:spacing w:after="0" w:line="240" w:lineRule="auto"/>
        <w:jc w:val="both"/>
        <w:rPr>
          <w:rFonts w:ascii="Times New Roman" w:hAnsi="Times New Roman"/>
          <w:sz w:val="20"/>
          <w:szCs w:val="20"/>
        </w:rPr>
      </w:pPr>
    </w:p>
    <w:p w14:paraId="258E6664" w14:textId="77777777" w:rsidR="00B40A4D" w:rsidRDefault="00B40A4D" w:rsidP="007822F9">
      <w:pPr>
        <w:spacing w:after="0" w:line="240" w:lineRule="auto"/>
        <w:jc w:val="both"/>
        <w:rPr>
          <w:rFonts w:ascii="Times New Roman" w:hAnsi="Times New Roman"/>
          <w:sz w:val="20"/>
          <w:szCs w:val="20"/>
        </w:rPr>
      </w:pPr>
    </w:p>
    <w:p w14:paraId="62FADC00" w14:textId="77777777" w:rsidR="00B40A4D" w:rsidRDefault="00B40A4D" w:rsidP="007822F9">
      <w:pPr>
        <w:spacing w:after="0" w:line="240" w:lineRule="auto"/>
        <w:jc w:val="both"/>
        <w:rPr>
          <w:rFonts w:ascii="Times New Roman" w:hAnsi="Times New Roman"/>
          <w:sz w:val="20"/>
          <w:szCs w:val="20"/>
        </w:rPr>
      </w:pPr>
    </w:p>
    <w:p w14:paraId="4CD6C564" w14:textId="77777777" w:rsidR="00B40A4D" w:rsidRDefault="00B40A4D" w:rsidP="007822F9">
      <w:pPr>
        <w:spacing w:after="0" w:line="240" w:lineRule="auto"/>
        <w:jc w:val="both"/>
        <w:rPr>
          <w:rFonts w:ascii="Times New Roman" w:hAnsi="Times New Roman"/>
          <w:sz w:val="20"/>
          <w:szCs w:val="20"/>
        </w:rPr>
      </w:pPr>
    </w:p>
    <w:p w14:paraId="665F5B8D" w14:textId="77777777" w:rsidR="00B40A4D" w:rsidRDefault="00B40A4D" w:rsidP="007822F9">
      <w:pPr>
        <w:spacing w:after="0" w:line="240" w:lineRule="auto"/>
        <w:jc w:val="both"/>
        <w:rPr>
          <w:rFonts w:ascii="Times New Roman" w:hAnsi="Times New Roman"/>
          <w:sz w:val="20"/>
          <w:szCs w:val="20"/>
        </w:rPr>
      </w:pPr>
    </w:p>
    <w:p w14:paraId="73482256" w14:textId="77777777" w:rsidR="00B40A4D" w:rsidRDefault="00B40A4D" w:rsidP="007822F9">
      <w:pPr>
        <w:spacing w:after="0" w:line="240" w:lineRule="auto"/>
        <w:jc w:val="both"/>
        <w:rPr>
          <w:rFonts w:ascii="Times New Roman" w:hAnsi="Times New Roman"/>
          <w:sz w:val="20"/>
          <w:szCs w:val="20"/>
        </w:rPr>
      </w:pPr>
    </w:p>
    <w:p w14:paraId="315A2F96" w14:textId="77777777" w:rsidR="00B40A4D" w:rsidRDefault="00B40A4D" w:rsidP="007822F9">
      <w:pPr>
        <w:spacing w:after="0" w:line="240" w:lineRule="auto"/>
        <w:jc w:val="both"/>
        <w:rPr>
          <w:rFonts w:ascii="Times New Roman" w:hAnsi="Times New Roman"/>
          <w:sz w:val="20"/>
          <w:szCs w:val="20"/>
        </w:rPr>
      </w:pPr>
    </w:p>
    <w:p w14:paraId="6BE04829" w14:textId="77777777" w:rsidR="00B40A4D" w:rsidRDefault="00B40A4D" w:rsidP="007822F9">
      <w:pPr>
        <w:spacing w:after="0" w:line="240" w:lineRule="auto"/>
        <w:jc w:val="both"/>
        <w:rPr>
          <w:rFonts w:ascii="Times New Roman" w:hAnsi="Times New Roman"/>
          <w:sz w:val="20"/>
          <w:szCs w:val="20"/>
        </w:rPr>
      </w:pPr>
    </w:p>
    <w:p w14:paraId="163D2F5A" w14:textId="77777777" w:rsidR="00B40A4D" w:rsidRDefault="00B40A4D" w:rsidP="007822F9">
      <w:pPr>
        <w:spacing w:after="0" w:line="240" w:lineRule="auto"/>
        <w:jc w:val="both"/>
        <w:rPr>
          <w:rFonts w:ascii="Times New Roman" w:hAnsi="Times New Roman"/>
          <w:sz w:val="20"/>
          <w:szCs w:val="20"/>
        </w:rPr>
      </w:pPr>
    </w:p>
    <w:p w14:paraId="444E5D3F" w14:textId="77777777" w:rsidR="00B40A4D" w:rsidRDefault="00B40A4D" w:rsidP="007822F9">
      <w:pPr>
        <w:spacing w:after="0" w:line="240" w:lineRule="auto"/>
        <w:jc w:val="both"/>
        <w:rPr>
          <w:rFonts w:ascii="Times New Roman" w:hAnsi="Times New Roman"/>
          <w:sz w:val="20"/>
          <w:szCs w:val="20"/>
        </w:rPr>
      </w:pPr>
    </w:p>
    <w:p w14:paraId="0D5C13A7" w14:textId="77777777" w:rsidR="00B40A4D" w:rsidRDefault="00B40A4D" w:rsidP="007822F9">
      <w:pPr>
        <w:spacing w:after="0" w:line="240" w:lineRule="auto"/>
        <w:jc w:val="both"/>
        <w:rPr>
          <w:rFonts w:ascii="Times New Roman" w:hAnsi="Times New Roman"/>
          <w:sz w:val="20"/>
          <w:szCs w:val="20"/>
        </w:rPr>
      </w:pPr>
    </w:p>
    <w:p w14:paraId="206AB860" w14:textId="77777777" w:rsidR="00B40A4D" w:rsidRDefault="00B40A4D" w:rsidP="007822F9">
      <w:pPr>
        <w:spacing w:after="0" w:line="240" w:lineRule="auto"/>
        <w:jc w:val="both"/>
        <w:rPr>
          <w:rFonts w:ascii="Times New Roman" w:hAnsi="Times New Roman"/>
          <w:sz w:val="20"/>
          <w:szCs w:val="20"/>
        </w:rPr>
      </w:pPr>
    </w:p>
    <w:p w14:paraId="392FF206" w14:textId="77777777" w:rsidR="00B40A4D" w:rsidRDefault="00B40A4D" w:rsidP="007822F9">
      <w:pPr>
        <w:spacing w:after="0" w:line="240" w:lineRule="auto"/>
        <w:jc w:val="both"/>
        <w:rPr>
          <w:rFonts w:ascii="Times New Roman" w:hAnsi="Times New Roman"/>
          <w:sz w:val="20"/>
          <w:szCs w:val="20"/>
        </w:rPr>
      </w:pPr>
    </w:p>
    <w:p w14:paraId="520F682E" w14:textId="77777777" w:rsidR="00B40A4D" w:rsidRDefault="00B40A4D" w:rsidP="007822F9">
      <w:pPr>
        <w:spacing w:after="0" w:line="240" w:lineRule="auto"/>
        <w:jc w:val="both"/>
        <w:rPr>
          <w:rFonts w:ascii="Times New Roman" w:hAnsi="Times New Roman"/>
          <w:sz w:val="20"/>
          <w:szCs w:val="20"/>
        </w:rPr>
      </w:pPr>
      <w:r>
        <w:rPr>
          <w:rFonts w:ascii="Times New Roman" w:hAnsi="Times New Roman"/>
          <w:sz w:val="20"/>
          <w:szCs w:val="20"/>
        </w:rPr>
        <w:t>11.09.2015 11:57</w:t>
      </w:r>
    </w:p>
    <w:p w14:paraId="59B8CDE5" w14:textId="341C8D72" w:rsidR="00216EE0" w:rsidRPr="007822F9" w:rsidRDefault="00216EE0" w:rsidP="007822F9">
      <w:pPr>
        <w:spacing w:after="0" w:line="240" w:lineRule="auto"/>
        <w:jc w:val="both"/>
        <w:rPr>
          <w:rFonts w:ascii="Times New Roman" w:hAnsi="Times New Roman"/>
          <w:sz w:val="20"/>
          <w:szCs w:val="20"/>
        </w:rPr>
      </w:pPr>
      <w:r w:rsidRPr="007822F9">
        <w:rPr>
          <w:rFonts w:ascii="Times New Roman" w:hAnsi="Times New Roman"/>
          <w:sz w:val="20"/>
          <w:szCs w:val="20"/>
        </w:rPr>
        <w:fldChar w:fldCharType="begin"/>
      </w:r>
      <w:r w:rsidRPr="007822F9">
        <w:rPr>
          <w:rFonts w:ascii="Times New Roman" w:hAnsi="Times New Roman"/>
          <w:sz w:val="20"/>
          <w:szCs w:val="20"/>
        </w:rPr>
        <w:instrText xml:space="preserve"> NUMWORDS   \* MERGEFORMAT </w:instrText>
      </w:r>
      <w:r w:rsidRPr="007822F9">
        <w:rPr>
          <w:rFonts w:ascii="Times New Roman" w:hAnsi="Times New Roman"/>
          <w:sz w:val="20"/>
          <w:szCs w:val="20"/>
        </w:rPr>
        <w:fldChar w:fldCharType="separate"/>
      </w:r>
      <w:r w:rsidR="00B40A4D">
        <w:rPr>
          <w:rFonts w:ascii="Times New Roman" w:hAnsi="Times New Roman"/>
          <w:noProof/>
          <w:sz w:val="20"/>
          <w:szCs w:val="20"/>
        </w:rPr>
        <w:t>1120</w:t>
      </w:r>
      <w:r w:rsidRPr="007822F9">
        <w:rPr>
          <w:rFonts w:ascii="Times New Roman" w:hAnsi="Times New Roman"/>
          <w:sz w:val="20"/>
          <w:szCs w:val="20"/>
        </w:rPr>
        <w:fldChar w:fldCharType="end"/>
      </w:r>
    </w:p>
    <w:p w14:paraId="21BFBCD5" w14:textId="77777777" w:rsidR="00216EE0" w:rsidRPr="007822F9" w:rsidRDefault="00216EE0" w:rsidP="007822F9">
      <w:pPr>
        <w:spacing w:after="0" w:line="240" w:lineRule="auto"/>
        <w:jc w:val="both"/>
        <w:rPr>
          <w:rFonts w:ascii="Times New Roman" w:hAnsi="Times New Roman"/>
          <w:sz w:val="20"/>
          <w:szCs w:val="20"/>
        </w:rPr>
      </w:pPr>
      <w:proofErr w:type="spellStart"/>
      <w:r w:rsidRPr="007822F9">
        <w:rPr>
          <w:rFonts w:ascii="Times New Roman" w:hAnsi="Times New Roman"/>
          <w:sz w:val="20"/>
          <w:szCs w:val="20"/>
        </w:rPr>
        <w:t>I.Vanaga</w:t>
      </w:r>
      <w:proofErr w:type="spellEnd"/>
    </w:p>
    <w:p w14:paraId="53BC0DC5" w14:textId="77777777" w:rsidR="00216EE0" w:rsidRPr="007822F9" w:rsidRDefault="00216EE0" w:rsidP="007822F9">
      <w:pPr>
        <w:spacing w:after="0" w:line="240" w:lineRule="auto"/>
        <w:jc w:val="both"/>
        <w:rPr>
          <w:rFonts w:ascii="Times New Roman" w:hAnsi="Times New Roman"/>
          <w:sz w:val="20"/>
          <w:szCs w:val="20"/>
        </w:rPr>
      </w:pPr>
      <w:r w:rsidRPr="007822F9">
        <w:rPr>
          <w:rFonts w:ascii="Times New Roman" w:hAnsi="Times New Roman"/>
          <w:sz w:val="20"/>
          <w:szCs w:val="20"/>
        </w:rPr>
        <w:t>Finanšu ministrijas</w:t>
      </w:r>
    </w:p>
    <w:p w14:paraId="706928F6" w14:textId="77777777" w:rsidR="00216EE0" w:rsidRPr="007822F9" w:rsidRDefault="00216EE0" w:rsidP="007822F9">
      <w:pPr>
        <w:spacing w:after="0" w:line="240" w:lineRule="auto"/>
        <w:jc w:val="both"/>
        <w:rPr>
          <w:rFonts w:ascii="Times New Roman" w:hAnsi="Times New Roman"/>
          <w:sz w:val="20"/>
          <w:szCs w:val="20"/>
        </w:rPr>
      </w:pPr>
      <w:r w:rsidRPr="007822F9">
        <w:rPr>
          <w:rFonts w:ascii="Times New Roman" w:hAnsi="Times New Roman"/>
          <w:sz w:val="20"/>
          <w:szCs w:val="20"/>
        </w:rPr>
        <w:t>Nodokļu administrēšanas un grāmatvedības politikas departamenta</w:t>
      </w:r>
    </w:p>
    <w:p w14:paraId="0D5562E0" w14:textId="77777777" w:rsidR="00216EE0" w:rsidRPr="007822F9" w:rsidRDefault="00216EE0" w:rsidP="007822F9">
      <w:pPr>
        <w:spacing w:after="0" w:line="240" w:lineRule="auto"/>
        <w:jc w:val="both"/>
        <w:rPr>
          <w:rFonts w:ascii="Times New Roman" w:hAnsi="Times New Roman"/>
          <w:sz w:val="20"/>
          <w:szCs w:val="20"/>
        </w:rPr>
      </w:pPr>
      <w:r w:rsidRPr="007822F9">
        <w:rPr>
          <w:rFonts w:ascii="Times New Roman" w:hAnsi="Times New Roman"/>
          <w:sz w:val="20"/>
          <w:szCs w:val="20"/>
        </w:rPr>
        <w:t>Nodokļu administrēšanas politikas nodaļas vecākā referente</w:t>
      </w:r>
    </w:p>
    <w:p w14:paraId="1FBEE872" w14:textId="77777777" w:rsidR="00216EE0" w:rsidRPr="007822F9" w:rsidRDefault="00216EE0" w:rsidP="007822F9">
      <w:pPr>
        <w:spacing w:after="0" w:line="240" w:lineRule="auto"/>
        <w:jc w:val="both"/>
        <w:rPr>
          <w:rFonts w:ascii="Times New Roman" w:hAnsi="Times New Roman"/>
          <w:sz w:val="20"/>
          <w:szCs w:val="20"/>
        </w:rPr>
      </w:pPr>
      <w:r w:rsidRPr="007822F9">
        <w:rPr>
          <w:rFonts w:ascii="Times New Roman" w:hAnsi="Times New Roman"/>
          <w:sz w:val="20"/>
          <w:szCs w:val="20"/>
        </w:rPr>
        <w:t>tālr. 67083901,fakss 67095497</w:t>
      </w:r>
    </w:p>
    <w:p w14:paraId="79E8124F" w14:textId="77777777" w:rsidR="00216EE0" w:rsidRPr="007822F9" w:rsidRDefault="005F292A" w:rsidP="007822F9">
      <w:pPr>
        <w:spacing w:after="0" w:line="240" w:lineRule="auto"/>
        <w:jc w:val="both"/>
        <w:rPr>
          <w:rFonts w:ascii="Times New Roman" w:hAnsi="Times New Roman"/>
          <w:sz w:val="20"/>
          <w:szCs w:val="20"/>
        </w:rPr>
      </w:pPr>
      <w:hyperlink r:id="rId8" w:history="1">
        <w:r w:rsidR="00216EE0" w:rsidRPr="007822F9">
          <w:rPr>
            <w:rStyle w:val="Hyperlink"/>
            <w:rFonts w:ascii="Times New Roman" w:hAnsi="Times New Roman"/>
            <w:sz w:val="20"/>
            <w:szCs w:val="20"/>
          </w:rPr>
          <w:t>inese.vanaga@fm.gov.lv</w:t>
        </w:r>
      </w:hyperlink>
    </w:p>
    <w:sectPr w:rsidR="00216EE0" w:rsidRPr="007822F9" w:rsidSect="003840DA">
      <w:headerReference w:type="even" r:id="rId9"/>
      <w:headerReference w:type="default" r:id="rId10"/>
      <w:footerReference w:type="even" r:id="rId11"/>
      <w:footerReference w:type="default" r:id="rId12"/>
      <w:footerReference w:type="first" r:id="rId13"/>
      <w:pgSz w:w="11906" w:h="16838" w:code="9"/>
      <w:pgMar w:top="1418" w:right="1134" w:bottom="1134" w:left="170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E065" w14:textId="77777777" w:rsidR="005F292A" w:rsidRDefault="005F292A" w:rsidP="001E3B9F">
      <w:pPr>
        <w:spacing w:after="0" w:line="240" w:lineRule="auto"/>
      </w:pPr>
      <w:r>
        <w:separator/>
      </w:r>
    </w:p>
  </w:endnote>
  <w:endnote w:type="continuationSeparator" w:id="0">
    <w:p w14:paraId="17FB9703" w14:textId="77777777" w:rsidR="005F292A" w:rsidRDefault="005F292A"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0DEA7" w14:textId="77777777" w:rsidR="00C63E77" w:rsidRDefault="00C63E77" w:rsidP="00B97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A7859" w14:textId="77777777" w:rsidR="00C63E77" w:rsidRDefault="00C63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F59B" w14:textId="2C7DD0E6" w:rsidR="00C63E77" w:rsidRPr="007B7809" w:rsidRDefault="00106FB4" w:rsidP="007B7809">
    <w:pPr>
      <w:spacing w:after="0" w:line="240" w:lineRule="auto"/>
      <w:jc w:val="both"/>
      <w:rPr>
        <w:rFonts w:ascii="Times New Roman" w:hAnsi="Times New Roman"/>
        <w:sz w:val="20"/>
        <w:szCs w:val="20"/>
      </w:rPr>
    </w:pPr>
    <w:r>
      <w:rPr>
        <w:rFonts w:ascii="Times New Roman" w:hAnsi="Times New Roman"/>
        <w:sz w:val="20"/>
        <w:szCs w:val="20"/>
      </w:rPr>
      <w:t>F</w:t>
    </w:r>
    <w:r w:rsidRPr="00A1598E">
      <w:rPr>
        <w:rFonts w:ascii="Times New Roman" w:hAnsi="Times New Roman"/>
        <w:sz w:val="20"/>
        <w:szCs w:val="20"/>
      </w:rPr>
      <w:t>MAnot_</w:t>
    </w:r>
    <w:r w:rsidR="0033392C">
      <w:rPr>
        <w:rFonts w:ascii="Times New Roman" w:hAnsi="Times New Roman"/>
        <w:sz w:val="20"/>
        <w:szCs w:val="20"/>
      </w:rPr>
      <w:t>1</w:t>
    </w:r>
    <w:r w:rsidR="0017613E">
      <w:rPr>
        <w:rFonts w:ascii="Times New Roman" w:hAnsi="Times New Roman"/>
        <w:sz w:val="20"/>
        <w:szCs w:val="20"/>
      </w:rPr>
      <w:t>6</w:t>
    </w:r>
    <w:r>
      <w:rPr>
        <w:rFonts w:ascii="Times New Roman" w:hAnsi="Times New Roman"/>
        <w:sz w:val="20"/>
        <w:szCs w:val="20"/>
      </w:rPr>
      <w:t>09</w:t>
    </w:r>
    <w:r w:rsidRPr="00A1598E">
      <w:rPr>
        <w:rFonts w:ascii="Times New Roman" w:hAnsi="Times New Roman"/>
        <w:sz w:val="20"/>
        <w:szCs w:val="20"/>
      </w:rPr>
      <w:t>15</w:t>
    </w:r>
    <w:r>
      <w:rPr>
        <w:rFonts w:ascii="Times New Roman" w:hAnsi="Times New Roman"/>
        <w:sz w:val="20"/>
        <w:szCs w:val="20"/>
      </w:rPr>
      <w:t>_N&amp;N_sol</w:t>
    </w:r>
    <w:r w:rsidRPr="00A1598E">
      <w:rPr>
        <w:rFonts w:ascii="Times New Roman" w:hAnsi="Times New Roman"/>
        <w:sz w:val="20"/>
        <w:szCs w:val="20"/>
      </w:rPr>
      <w:t xml:space="preserve">; </w:t>
    </w:r>
    <w:r>
      <w:rPr>
        <w:rFonts w:ascii="Times New Roman" w:hAnsi="Times New Roman"/>
        <w:sz w:val="20"/>
        <w:szCs w:val="20"/>
      </w:rPr>
      <w:t>Likumprojekta “</w:t>
    </w:r>
    <w:r w:rsidRPr="00A1598E">
      <w:rPr>
        <w:rFonts w:ascii="Times New Roman" w:hAnsi="Times New Roman"/>
        <w:sz w:val="20"/>
        <w:szCs w:val="20"/>
      </w:rPr>
      <w:t>Grozījumi likumā “Par nodokļiem un nodevām</w:t>
    </w:r>
    <w:r>
      <w:rPr>
        <w:rFonts w:ascii="Times New Roman" w:hAnsi="Times New Roman"/>
        <w:sz w:val="20"/>
        <w:szCs w:val="20"/>
      </w:rPr>
      <w:t>”</w:t>
    </w:r>
    <w:r w:rsidRPr="00A1598E">
      <w:rPr>
        <w:rFonts w:ascii="Times New Roman" w:hAnsi="Times New Roman"/>
        <w:sz w:val="20"/>
        <w:szCs w:val="20"/>
      </w:rPr>
      <w:t xml:space="preserve">” </w:t>
    </w:r>
    <w:r>
      <w:rPr>
        <w:rFonts w:ascii="Times New Roman" w:hAnsi="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6C17" w14:textId="6A1940E4" w:rsidR="00C63E77" w:rsidRPr="00250F80" w:rsidRDefault="00250F80" w:rsidP="00106FB4">
    <w:pPr>
      <w:spacing w:after="0" w:line="240" w:lineRule="auto"/>
      <w:jc w:val="both"/>
      <w:rPr>
        <w:rFonts w:ascii="Times New Roman" w:hAnsi="Times New Roman"/>
        <w:sz w:val="20"/>
        <w:szCs w:val="20"/>
      </w:rPr>
    </w:pPr>
    <w:r>
      <w:rPr>
        <w:rFonts w:ascii="Times New Roman" w:hAnsi="Times New Roman"/>
        <w:sz w:val="20"/>
        <w:szCs w:val="20"/>
      </w:rPr>
      <w:t>F</w:t>
    </w:r>
    <w:r w:rsidRPr="00A1598E">
      <w:rPr>
        <w:rFonts w:ascii="Times New Roman" w:hAnsi="Times New Roman"/>
        <w:sz w:val="20"/>
        <w:szCs w:val="20"/>
      </w:rPr>
      <w:t>MAnot_</w:t>
    </w:r>
    <w:r w:rsidR="00A85C37">
      <w:rPr>
        <w:rFonts w:ascii="Times New Roman" w:hAnsi="Times New Roman"/>
        <w:sz w:val="20"/>
        <w:szCs w:val="20"/>
      </w:rPr>
      <w:t>1</w:t>
    </w:r>
    <w:r w:rsidR="0017613E">
      <w:rPr>
        <w:rFonts w:ascii="Times New Roman" w:hAnsi="Times New Roman"/>
        <w:sz w:val="20"/>
        <w:szCs w:val="20"/>
      </w:rPr>
      <w:t>6</w:t>
    </w:r>
    <w:r w:rsidR="00A85C37">
      <w:rPr>
        <w:rFonts w:ascii="Times New Roman" w:hAnsi="Times New Roman"/>
        <w:sz w:val="20"/>
        <w:szCs w:val="20"/>
      </w:rPr>
      <w:t>09</w:t>
    </w:r>
    <w:r w:rsidR="00A85C37" w:rsidRPr="00A1598E">
      <w:rPr>
        <w:rFonts w:ascii="Times New Roman" w:hAnsi="Times New Roman"/>
        <w:sz w:val="20"/>
        <w:szCs w:val="20"/>
      </w:rPr>
      <w:t>15</w:t>
    </w:r>
    <w:r>
      <w:rPr>
        <w:rFonts w:ascii="Times New Roman" w:hAnsi="Times New Roman"/>
        <w:sz w:val="20"/>
        <w:szCs w:val="20"/>
      </w:rPr>
      <w:t>_N&amp;N_sol</w:t>
    </w:r>
    <w:r w:rsidRPr="00A1598E">
      <w:rPr>
        <w:rFonts w:ascii="Times New Roman" w:hAnsi="Times New Roman"/>
        <w:sz w:val="20"/>
        <w:szCs w:val="20"/>
      </w:rPr>
      <w:t xml:space="preserve">; </w:t>
    </w:r>
    <w:r w:rsidR="00106FB4">
      <w:rPr>
        <w:rFonts w:ascii="Times New Roman" w:hAnsi="Times New Roman"/>
        <w:sz w:val="20"/>
        <w:szCs w:val="20"/>
      </w:rPr>
      <w:t>L</w:t>
    </w:r>
    <w:r>
      <w:rPr>
        <w:rFonts w:ascii="Times New Roman" w:hAnsi="Times New Roman"/>
        <w:sz w:val="20"/>
        <w:szCs w:val="20"/>
      </w:rPr>
      <w:t>ikumprojekta “</w:t>
    </w:r>
    <w:r w:rsidRPr="00A1598E">
      <w:rPr>
        <w:rFonts w:ascii="Times New Roman" w:hAnsi="Times New Roman"/>
        <w:sz w:val="20"/>
        <w:szCs w:val="20"/>
      </w:rPr>
      <w:t>Grozījumi likumā “Par nodokļiem un nodevām</w:t>
    </w:r>
    <w:r>
      <w:rPr>
        <w:rFonts w:ascii="Times New Roman" w:hAnsi="Times New Roman"/>
        <w:sz w:val="20"/>
        <w:szCs w:val="20"/>
      </w:rPr>
      <w:t>”</w:t>
    </w:r>
    <w:r w:rsidRPr="00A1598E">
      <w:rPr>
        <w:rFonts w:ascii="Times New Roman" w:hAnsi="Times New Roman"/>
        <w:sz w:val="20"/>
        <w:szCs w:val="20"/>
      </w:rPr>
      <w:t xml:space="preserve">” </w:t>
    </w:r>
    <w:r w:rsidR="00106FB4">
      <w:rPr>
        <w:rFonts w:ascii="Times New Roman" w:hAnsi="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C6BB9" w14:textId="77777777" w:rsidR="005F292A" w:rsidRDefault="005F292A" w:rsidP="001E3B9F">
      <w:pPr>
        <w:spacing w:after="0" w:line="240" w:lineRule="auto"/>
      </w:pPr>
      <w:r>
        <w:separator/>
      </w:r>
    </w:p>
  </w:footnote>
  <w:footnote w:type="continuationSeparator" w:id="0">
    <w:p w14:paraId="1F459718" w14:textId="77777777" w:rsidR="005F292A" w:rsidRDefault="005F292A"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8713" w14:textId="77777777" w:rsidR="00C63E77" w:rsidRDefault="00C63E77" w:rsidP="007502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7B559" w14:textId="77777777" w:rsidR="00C63E77" w:rsidRDefault="00C63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794D" w14:textId="77777777" w:rsidR="00C63E77" w:rsidRPr="008D48AC" w:rsidRDefault="00C63E77" w:rsidP="008D48AC">
    <w:pPr>
      <w:pStyle w:val="Header"/>
      <w:framePr w:wrap="around" w:vAnchor="text" w:hAnchor="page" w:x="5926" w:y="41"/>
      <w:rPr>
        <w:rStyle w:val="PageNumber"/>
        <w:rFonts w:ascii="Times New Roman" w:hAnsi="Times New Roman"/>
        <w:sz w:val="24"/>
        <w:szCs w:val="24"/>
      </w:rPr>
    </w:pPr>
    <w:r w:rsidRPr="008D48AC">
      <w:rPr>
        <w:rStyle w:val="PageNumber"/>
        <w:rFonts w:ascii="Times New Roman" w:hAnsi="Times New Roman"/>
        <w:sz w:val="24"/>
        <w:szCs w:val="24"/>
      </w:rPr>
      <w:fldChar w:fldCharType="begin"/>
    </w:r>
    <w:r w:rsidRPr="008D48AC">
      <w:rPr>
        <w:rStyle w:val="PageNumber"/>
        <w:rFonts w:ascii="Times New Roman" w:hAnsi="Times New Roman"/>
        <w:sz w:val="24"/>
        <w:szCs w:val="24"/>
      </w:rPr>
      <w:instrText xml:space="preserve">PAGE  </w:instrText>
    </w:r>
    <w:r w:rsidRPr="008D48AC">
      <w:rPr>
        <w:rStyle w:val="PageNumber"/>
        <w:rFonts w:ascii="Times New Roman" w:hAnsi="Times New Roman"/>
        <w:sz w:val="24"/>
        <w:szCs w:val="24"/>
      </w:rPr>
      <w:fldChar w:fldCharType="separate"/>
    </w:r>
    <w:r w:rsidR="00BD26CE">
      <w:rPr>
        <w:rStyle w:val="PageNumber"/>
        <w:rFonts w:ascii="Times New Roman" w:hAnsi="Times New Roman"/>
        <w:noProof/>
        <w:sz w:val="24"/>
        <w:szCs w:val="24"/>
      </w:rPr>
      <w:t>6</w:t>
    </w:r>
    <w:r w:rsidRPr="008D48AC">
      <w:rPr>
        <w:rStyle w:val="PageNumber"/>
        <w:rFonts w:ascii="Times New Roman" w:hAnsi="Times New Roman"/>
        <w:sz w:val="24"/>
        <w:szCs w:val="24"/>
      </w:rPr>
      <w:fldChar w:fldCharType="end"/>
    </w:r>
  </w:p>
  <w:p w14:paraId="3CF7499A" w14:textId="77777777" w:rsidR="00C63E77" w:rsidRDefault="00C63E77">
    <w:pPr>
      <w:pStyle w:val="Header"/>
    </w:pPr>
  </w:p>
  <w:p w14:paraId="75CF6F7C" w14:textId="77777777" w:rsidR="00C63E77" w:rsidRPr="008D48AC" w:rsidRDefault="00C63E77" w:rsidP="00C92D20">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48219DF"/>
    <w:multiLevelType w:val="hybridMultilevel"/>
    <w:tmpl w:val="EAAAFF6C"/>
    <w:lvl w:ilvl="0" w:tplc="82F2E514">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63F6028"/>
    <w:multiLevelType w:val="hybridMultilevel"/>
    <w:tmpl w:val="604E1574"/>
    <w:lvl w:ilvl="0" w:tplc="C156751E">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21F6162"/>
    <w:multiLevelType w:val="hybridMultilevel"/>
    <w:tmpl w:val="AF70F312"/>
    <w:lvl w:ilvl="0" w:tplc="AD4CAB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BE75495"/>
    <w:multiLevelType w:val="hybridMultilevel"/>
    <w:tmpl w:val="CBFAC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2">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5"/>
  </w:num>
  <w:num w:numId="4">
    <w:abstractNumId w:val="4"/>
  </w:num>
  <w:num w:numId="5">
    <w:abstractNumId w:val="12"/>
  </w:num>
  <w:num w:numId="6">
    <w:abstractNumId w:val="24"/>
  </w:num>
  <w:num w:numId="7">
    <w:abstractNumId w:val="0"/>
  </w:num>
  <w:num w:numId="8">
    <w:abstractNumId w:val="6"/>
  </w:num>
  <w:num w:numId="9">
    <w:abstractNumId w:val="18"/>
  </w:num>
  <w:num w:numId="10">
    <w:abstractNumId w:val="7"/>
  </w:num>
  <w:num w:numId="11">
    <w:abstractNumId w:val="16"/>
  </w:num>
  <w:num w:numId="12">
    <w:abstractNumId w:val="23"/>
  </w:num>
  <w:num w:numId="13">
    <w:abstractNumId w:val="9"/>
  </w:num>
  <w:num w:numId="14">
    <w:abstractNumId w:val="14"/>
  </w:num>
  <w:num w:numId="15">
    <w:abstractNumId w:val="8"/>
  </w:num>
  <w:num w:numId="16">
    <w:abstractNumId w:val="22"/>
  </w:num>
  <w:num w:numId="17">
    <w:abstractNumId w:val="2"/>
  </w:num>
  <w:num w:numId="18">
    <w:abstractNumId w:val="15"/>
  </w:num>
  <w:num w:numId="19">
    <w:abstractNumId w:val="3"/>
  </w:num>
  <w:num w:numId="20">
    <w:abstractNumId w:val="1"/>
  </w:num>
  <w:num w:numId="21">
    <w:abstractNumId w:val="13"/>
  </w:num>
  <w:num w:numId="22">
    <w:abstractNumId w:val="19"/>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42"/>
    <w:rsid w:val="000020D1"/>
    <w:rsid w:val="00006BE8"/>
    <w:rsid w:val="00011F70"/>
    <w:rsid w:val="00020F17"/>
    <w:rsid w:val="000218B8"/>
    <w:rsid w:val="00022ED8"/>
    <w:rsid w:val="00027D94"/>
    <w:rsid w:val="000453A9"/>
    <w:rsid w:val="000507EE"/>
    <w:rsid w:val="0005147F"/>
    <w:rsid w:val="00052073"/>
    <w:rsid w:val="00055DDD"/>
    <w:rsid w:val="000565D7"/>
    <w:rsid w:val="000717DA"/>
    <w:rsid w:val="00073BC7"/>
    <w:rsid w:val="00090276"/>
    <w:rsid w:val="00090FC5"/>
    <w:rsid w:val="00091B8A"/>
    <w:rsid w:val="000955FC"/>
    <w:rsid w:val="000A24B1"/>
    <w:rsid w:val="000A3621"/>
    <w:rsid w:val="000A5300"/>
    <w:rsid w:val="000A5770"/>
    <w:rsid w:val="000A5ECE"/>
    <w:rsid w:val="000A6EF6"/>
    <w:rsid w:val="000B0E56"/>
    <w:rsid w:val="000B3402"/>
    <w:rsid w:val="000B63D4"/>
    <w:rsid w:val="000C41D5"/>
    <w:rsid w:val="000C4528"/>
    <w:rsid w:val="000C7EC9"/>
    <w:rsid w:val="000D414B"/>
    <w:rsid w:val="000D6C60"/>
    <w:rsid w:val="000E2D08"/>
    <w:rsid w:val="000E3171"/>
    <w:rsid w:val="000E5B2F"/>
    <w:rsid w:val="000E7679"/>
    <w:rsid w:val="000F74E3"/>
    <w:rsid w:val="00100BCD"/>
    <w:rsid w:val="001018C4"/>
    <w:rsid w:val="00102269"/>
    <w:rsid w:val="00105B63"/>
    <w:rsid w:val="00106D0E"/>
    <w:rsid w:val="00106FB4"/>
    <w:rsid w:val="00107BB0"/>
    <w:rsid w:val="00110000"/>
    <w:rsid w:val="00112FBE"/>
    <w:rsid w:val="00120D10"/>
    <w:rsid w:val="00122E99"/>
    <w:rsid w:val="00130F3D"/>
    <w:rsid w:val="00137627"/>
    <w:rsid w:val="00140C6F"/>
    <w:rsid w:val="00141CFE"/>
    <w:rsid w:val="00142E8A"/>
    <w:rsid w:val="00143E55"/>
    <w:rsid w:val="001455C4"/>
    <w:rsid w:val="00146274"/>
    <w:rsid w:val="00147574"/>
    <w:rsid w:val="001510C8"/>
    <w:rsid w:val="00156281"/>
    <w:rsid w:val="00157D0B"/>
    <w:rsid w:val="0017007E"/>
    <w:rsid w:val="00171100"/>
    <w:rsid w:val="0017613E"/>
    <w:rsid w:val="001822F1"/>
    <w:rsid w:val="0019143B"/>
    <w:rsid w:val="00193199"/>
    <w:rsid w:val="001936A7"/>
    <w:rsid w:val="001A348A"/>
    <w:rsid w:val="001B1A22"/>
    <w:rsid w:val="001B710A"/>
    <w:rsid w:val="001C2C28"/>
    <w:rsid w:val="001C4E5B"/>
    <w:rsid w:val="001C5340"/>
    <w:rsid w:val="001C57A8"/>
    <w:rsid w:val="001C6846"/>
    <w:rsid w:val="001C7FE2"/>
    <w:rsid w:val="001D1532"/>
    <w:rsid w:val="001D5B68"/>
    <w:rsid w:val="001D5BC1"/>
    <w:rsid w:val="001D683F"/>
    <w:rsid w:val="001E3B9F"/>
    <w:rsid w:val="001E5D77"/>
    <w:rsid w:val="001E7F6A"/>
    <w:rsid w:val="001F0DE2"/>
    <w:rsid w:val="001F7D7C"/>
    <w:rsid w:val="00203340"/>
    <w:rsid w:val="00205FB8"/>
    <w:rsid w:val="002067C0"/>
    <w:rsid w:val="00207A01"/>
    <w:rsid w:val="00214BE3"/>
    <w:rsid w:val="00214DC0"/>
    <w:rsid w:val="00216EE0"/>
    <w:rsid w:val="002264A8"/>
    <w:rsid w:val="00227277"/>
    <w:rsid w:val="002318B0"/>
    <w:rsid w:val="002334BA"/>
    <w:rsid w:val="0023356B"/>
    <w:rsid w:val="00233BC8"/>
    <w:rsid w:val="002447FD"/>
    <w:rsid w:val="00250F80"/>
    <w:rsid w:val="002515BC"/>
    <w:rsid w:val="0025210E"/>
    <w:rsid w:val="00255A05"/>
    <w:rsid w:val="002563B9"/>
    <w:rsid w:val="00256AB6"/>
    <w:rsid w:val="00256FC2"/>
    <w:rsid w:val="00265623"/>
    <w:rsid w:val="00267914"/>
    <w:rsid w:val="002766EB"/>
    <w:rsid w:val="002832D3"/>
    <w:rsid w:val="0028372B"/>
    <w:rsid w:val="00285609"/>
    <w:rsid w:val="00296D0D"/>
    <w:rsid w:val="00296EA3"/>
    <w:rsid w:val="00297352"/>
    <w:rsid w:val="002A0701"/>
    <w:rsid w:val="002A23CE"/>
    <w:rsid w:val="002A4DD4"/>
    <w:rsid w:val="002B047F"/>
    <w:rsid w:val="002B0713"/>
    <w:rsid w:val="002B16FC"/>
    <w:rsid w:val="002B6590"/>
    <w:rsid w:val="002C32F3"/>
    <w:rsid w:val="002C357B"/>
    <w:rsid w:val="002C4A0F"/>
    <w:rsid w:val="002C5738"/>
    <w:rsid w:val="002E19F7"/>
    <w:rsid w:val="002E498A"/>
    <w:rsid w:val="002E762D"/>
    <w:rsid w:val="002F1F73"/>
    <w:rsid w:val="002F397A"/>
    <w:rsid w:val="002F3EAC"/>
    <w:rsid w:val="002F6D42"/>
    <w:rsid w:val="00302732"/>
    <w:rsid w:val="0030374F"/>
    <w:rsid w:val="00311FE8"/>
    <w:rsid w:val="00312AE8"/>
    <w:rsid w:val="003175BB"/>
    <w:rsid w:val="00317762"/>
    <w:rsid w:val="0031782A"/>
    <w:rsid w:val="00322115"/>
    <w:rsid w:val="0032294E"/>
    <w:rsid w:val="003310AA"/>
    <w:rsid w:val="0033392C"/>
    <w:rsid w:val="003346E9"/>
    <w:rsid w:val="003355B3"/>
    <w:rsid w:val="00336DC7"/>
    <w:rsid w:val="0033739F"/>
    <w:rsid w:val="00341072"/>
    <w:rsid w:val="003412BE"/>
    <w:rsid w:val="003502ED"/>
    <w:rsid w:val="00352A34"/>
    <w:rsid w:val="003569C3"/>
    <w:rsid w:val="00366D43"/>
    <w:rsid w:val="00366F35"/>
    <w:rsid w:val="00372A33"/>
    <w:rsid w:val="00375AD0"/>
    <w:rsid w:val="003767B6"/>
    <w:rsid w:val="00377415"/>
    <w:rsid w:val="00377C20"/>
    <w:rsid w:val="00380133"/>
    <w:rsid w:val="0038118D"/>
    <w:rsid w:val="003840DA"/>
    <w:rsid w:val="00390056"/>
    <w:rsid w:val="00393E99"/>
    <w:rsid w:val="003A0104"/>
    <w:rsid w:val="003A25E9"/>
    <w:rsid w:val="003A29E9"/>
    <w:rsid w:val="003A578B"/>
    <w:rsid w:val="003A7270"/>
    <w:rsid w:val="003B4678"/>
    <w:rsid w:val="003C05A6"/>
    <w:rsid w:val="003C306F"/>
    <w:rsid w:val="003C7C44"/>
    <w:rsid w:val="003D2DD3"/>
    <w:rsid w:val="003D379C"/>
    <w:rsid w:val="003E46C2"/>
    <w:rsid w:val="003F2176"/>
    <w:rsid w:val="003F26FE"/>
    <w:rsid w:val="00402432"/>
    <w:rsid w:val="00402505"/>
    <w:rsid w:val="00404433"/>
    <w:rsid w:val="00405343"/>
    <w:rsid w:val="00407D00"/>
    <w:rsid w:val="00413878"/>
    <w:rsid w:val="00415DEA"/>
    <w:rsid w:val="00415E66"/>
    <w:rsid w:val="00417EDF"/>
    <w:rsid w:val="00421325"/>
    <w:rsid w:val="004222EE"/>
    <w:rsid w:val="00425514"/>
    <w:rsid w:val="00436035"/>
    <w:rsid w:val="004370CC"/>
    <w:rsid w:val="0043743D"/>
    <w:rsid w:val="0044257F"/>
    <w:rsid w:val="00450499"/>
    <w:rsid w:val="004610FA"/>
    <w:rsid w:val="00462190"/>
    <w:rsid w:val="00462402"/>
    <w:rsid w:val="00463BCB"/>
    <w:rsid w:val="004705E6"/>
    <w:rsid w:val="00472155"/>
    <w:rsid w:val="00477C53"/>
    <w:rsid w:val="00480F0E"/>
    <w:rsid w:val="00481534"/>
    <w:rsid w:val="004820F1"/>
    <w:rsid w:val="00486E18"/>
    <w:rsid w:val="00487C13"/>
    <w:rsid w:val="00491934"/>
    <w:rsid w:val="0049639B"/>
    <w:rsid w:val="004A5D5C"/>
    <w:rsid w:val="004A6538"/>
    <w:rsid w:val="004B2BB6"/>
    <w:rsid w:val="004B5F97"/>
    <w:rsid w:val="004B6A9F"/>
    <w:rsid w:val="004C1173"/>
    <w:rsid w:val="004C38AE"/>
    <w:rsid w:val="004C4FBD"/>
    <w:rsid w:val="004C505C"/>
    <w:rsid w:val="004C74ED"/>
    <w:rsid w:val="004C78AE"/>
    <w:rsid w:val="004C7C1B"/>
    <w:rsid w:val="004D4CA5"/>
    <w:rsid w:val="004D753B"/>
    <w:rsid w:val="004E039C"/>
    <w:rsid w:val="004E04B4"/>
    <w:rsid w:val="004E08C0"/>
    <w:rsid w:val="004E2C34"/>
    <w:rsid w:val="004E302B"/>
    <w:rsid w:val="004E3B4F"/>
    <w:rsid w:val="004E4DB3"/>
    <w:rsid w:val="004F451C"/>
    <w:rsid w:val="00501F9E"/>
    <w:rsid w:val="00506B78"/>
    <w:rsid w:val="00506D73"/>
    <w:rsid w:val="00507FD6"/>
    <w:rsid w:val="0051253C"/>
    <w:rsid w:val="00513EEC"/>
    <w:rsid w:val="00522253"/>
    <w:rsid w:val="005268CB"/>
    <w:rsid w:val="005323FC"/>
    <w:rsid w:val="005404ED"/>
    <w:rsid w:val="00540754"/>
    <w:rsid w:val="0054102A"/>
    <w:rsid w:val="00541C61"/>
    <w:rsid w:val="00542EB3"/>
    <w:rsid w:val="00552EBC"/>
    <w:rsid w:val="00553513"/>
    <w:rsid w:val="0055407A"/>
    <w:rsid w:val="0055779B"/>
    <w:rsid w:val="00570A4E"/>
    <w:rsid w:val="00571B74"/>
    <w:rsid w:val="005727FD"/>
    <w:rsid w:val="00573F15"/>
    <w:rsid w:val="00575726"/>
    <w:rsid w:val="00581652"/>
    <w:rsid w:val="00584384"/>
    <w:rsid w:val="00591106"/>
    <w:rsid w:val="00594FA1"/>
    <w:rsid w:val="00596C61"/>
    <w:rsid w:val="00597D35"/>
    <w:rsid w:val="005B233C"/>
    <w:rsid w:val="005C17D8"/>
    <w:rsid w:val="005C2BAA"/>
    <w:rsid w:val="005D11B8"/>
    <w:rsid w:val="005D17DB"/>
    <w:rsid w:val="005D3366"/>
    <w:rsid w:val="005D4F26"/>
    <w:rsid w:val="005D63FE"/>
    <w:rsid w:val="005E068C"/>
    <w:rsid w:val="005E46EF"/>
    <w:rsid w:val="005E60B6"/>
    <w:rsid w:val="005E75FD"/>
    <w:rsid w:val="005E7C64"/>
    <w:rsid w:val="005F19B3"/>
    <w:rsid w:val="005F292A"/>
    <w:rsid w:val="005F4AF2"/>
    <w:rsid w:val="005F4B10"/>
    <w:rsid w:val="00600B2F"/>
    <w:rsid w:val="00603AAA"/>
    <w:rsid w:val="00604EF6"/>
    <w:rsid w:val="0061382C"/>
    <w:rsid w:val="006250C5"/>
    <w:rsid w:val="006345AA"/>
    <w:rsid w:val="006361D1"/>
    <w:rsid w:val="00636819"/>
    <w:rsid w:val="00637008"/>
    <w:rsid w:val="006438D4"/>
    <w:rsid w:val="006553E8"/>
    <w:rsid w:val="006610CA"/>
    <w:rsid w:val="00664925"/>
    <w:rsid w:val="00667351"/>
    <w:rsid w:val="00674703"/>
    <w:rsid w:val="00675D9B"/>
    <w:rsid w:val="00676B84"/>
    <w:rsid w:val="006773D8"/>
    <w:rsid w:val="0067781E"/>
    <w:rsid w:val="0068013B"/>
    <w:rsid w:val="00685FDB"/>
    <w:rsid w:val="006959EF"/>
    <w:rsid w:val="00695C51"/>
    <w:rsid w:val="00695D67"/>
    <w:rsid w:val="006A231E"/>
    <w:rsid w:val="006A3000"/>
    <w:rsid w:val="006A4FF4"/>
    <w:rsid w:val="006B1EFF"/>
    <w:rsid w:val="006B75CD"/>
    <w:rsid w:val="006C0595"/>
    <w:rsid w:val="006C2F03"/>
    <w:rsid w:val="006C52C3"/>
    <w:rsid w:val="006D32B4"/>
    <w:rsid w:val="006D3FF7"/>
    <w:rsid w:val="006E3AFD"/>
    <w:rsid w:val="006F2FBC"/>
    <w:rsid w:val="006F738D"/>
    <w:rsid w:val="00703D47"/>
    <w:rsid w:val="00706B2D"/>
    <w:rsid w:val="0071480A"/>
    <w:rsid w:val="007254D2"/>
    <w:rsid w:val="00734445"/>
    <w:rsid w:val="00734CA7"/>
    <w:rsid w:val="0074004B"/>
    <w:rsid w:val="007464F9"/>
    <w:rsid w:val="0074746C"/>
    <w:rsid w:val="00747642"/>
    <w:rsid w:val="0075029C"/>
    <w:rsid w:val="00751885"/>
    <w:rsid w:val="0075365E"/>
    <w:rsid w:val="007601CE"/>
    <w:rsid w:val="00760A52"/>
    <w:rsid w:val="0076234E"/>
    <w:rsid w:val="007651AF"/>
    <w:rsid w:val="00765CFB"/>
    <w:rsid w:val="0076752A"/>
    <w:rsid w:val="0077610D"/>
    <w:rsid w:val="00777C96"/>
    <w:rsid w:val="00780722"/>
    <w:rsid w:val="00781281"/>
    <w:rsid w:val="007822F9"/>
    <w:rsid w:val="00784725"/>
    <w:rsid w:val="0079432A"/>
    <w:rsid w:val="007946F9"/>
    <w:rsid w:val="0079758F"/>
    <w:rsid w:val="007A4B5A"/>
    <w:rsid w:val="007A61F0"/>
    <w:rsid w:val="007B3431"/>
    <w:rsid w:val="007B3EFF"/>
    <w:rsid w:val="007B607D"/>
    <w:rsid w:val="007B7809"/>
    <w:rsid w:val="007C0FE5"/>
    <w:rsid w:val="007C312F"/>
    <w:rsid w:val="007C3B9E"/>
    <w:rsid w:val="007C69EB"/>
    <w:rsid w:val="007D095E"/>
    <w:rsid w:val="007D0BFC"/>
    <w:rsid w:val="007D13E2"/>
    <w:rsid w:val="007E2E6F"/>
    <w:rsid w:val="007E746A"/>
    <w:rsid w:val="007F0A62"/>
    <w:rsid w:val="008045B9"/>
    <w:rsid w:val="0080544D"/>
    <w:rsid w:val="00807DF0"/>
    <w:rsid w:val="00813892"/>
    <w:rsid w:val="008203FE"/>
    <w:rsid w:val="00824487"/>
    <w:rsid w:val="008251D0"/>
    <w:rsid w:val="008256E6"/>
    <w:rsid w:val="008279B5"/>
    <w:rsid w:val="008403A7"/>
    <w:rsid w:val="008403C3"/>
    <w:rsid w:val="008419F4"/>
    <w:rsid w:val="00841C5B"/>
    <w:rsid w:val="00844E37"/>
    <w:rsid w:val="00851F89"/>
    <w:rsid w:val="00864351"/>
    <w:rsid w:val="00865D2B"/>
    <w:rsid w:val="008A71F5"/>
    <w:rsid w:val="008B091B"/>
    <w:rsid w:val="008B1707"/>
    <w:rsid w:val="008B2991"/>
    <w:rsid w:val="008B453C"/>
    <w:rsid w:val="008B6C3C"/>
    <w:rsid w:val="008B79BA"/>
    <w:rsid w:val="008C4A1F"/>
    <w:rsid w:val="008C6682"/>
    <w:rsid w:val="008C73A4"/>
    <w:rsid w:val="008D2723"/>
    <w:rsid w:val="008D2E68"/>
    <w:rsid w:val="008D30D0"/>
    <w:rsid w:val="008D48AC"/>
    <w:rsid w:val="008D4C7B"/>
    <w:rsid w:val="008D5991"/>
    <w:rsid w:val="008D5A23"/>
    <w:rsid w:val="008D7A3F"/>
    <w:rsid w:val="008E106F"/>
    <w:rsid w:val="008E150C"/>
    <w:rsid w:val="008E4DA6"/>
    <w:rsid w:val="008E5EA3"/>
    <w:rsid w:val="008E6F4C"/>
    <w:rsid w:val="008F2FEC"/>
    <w:rsid w:val="009073AF"/>
    <w:rsid w:val="0091270A"/>
    <w:rsid w:val="00916D7E"/>
    <w:rsid w:val="00925108"/>
    <w:rsid w:val="00926117"/>
    <w:rsid w:val="009266D4"/>
    <w:rsid w:val="00927E67"/>
    <w:rsid w:val="009300D1"/>
    <w:rsid w:val="0093434F"/>
    <w:rsid w:val="0094055B"/>
    <w:rsid w:val="009431BE"/>
    <w:rsid w:val="00945988"/>
    <w:rsid w:val="0095089F"/>
    <w:rsid w:val="009522EF"/>
    <w:rsid w:val="00952CE4"/>
    <w:rsid w:val="009542D9"/>
    <w:rsid w:val="00954400"/>
    <w:rsid w:val="009573BD"/>
    <w:rsid w:val="009606C0"/>
    <w:rsid w:val="009618F3"/>
    <w:rsid w:val="00963CD1"/>
    <w:rsid w:val="00964E12"/>
    <w:rsid w:val="009654D1"/>
    <w:rsid w:val="00975F5F"/>
    <w:rsid w:val="009807C9"/>
    <w:rsid w:val="0098118C"/>
    <w:rsid w:val="0098492E"/>
    <w:rsid w:val="00984C98"/>
    <w:rsid w:val="00993CA3"/>
    <w:rsid w:val="009960EC"/>
    <w:rsid w:val="00996C02"/>
    <w:rsid w:val="009A5CED"/>
    <w:rsid w:val="009A627C"/>
    <w:rsid w:val="009B4D93"/>
    <w:rsid w:val="009B60F4"/>
    <w:rsid w:val="009C04A8"/>
    <w:rsid w:val="009C0DA9"/>
    <w:rsid w:val="009C6CDE"/>
    <w:rsid w:val="009D0BD0"/>
    <w:rsid w:val="009D2278"/>
    <w:rsid w:val="009D35F0"/>
    <w:rsid w:val="009D76C1"/>
    <w:rsid w:val="009E2C11"/>
    <w:rsid w:val="009F14B1"/>
    <w:rsid w:val="009F3CB1"/>
    <w:rsid w:val="00A0717E"/>
    <w:rsid w:val="00A14044"/>
    <w:rsid w:val="00A1598E"/>
    <w:rsid w:val="00A22E19"/>
    <w:rsid w:val="00A3388D"/>
    <w:rsid w:val="00A33FC2"/>
    <w:rsid w:val="00A3420B"/>
    <w:rsid w:val="00A42129"/>
    <w:rsid w:val="00A4226F"/>
    <w:rsid w:val="00A47424"/>
    <w:rsid w:val="00A50325"/>
    <w:rsid w:val="00A5310E"/>
    <w:rsid w:val="00A601F1"/>
    <w:rsid w:val="00A705D5"/>
    <w:rsid w:val="00A74CA1"/>
    <w:rsid w:val="00A76A2F"/>
    <w:rsid w:val="00A85C37"/>
    <w:rsid w:val="00A935F0"/>
    <w:rsid w:val="00AA6AB0"/>
    <w:rsid w:val="00AA7661"/>
    <w:rsid w:val="00AB2EF9"/>
    <w:rsid w:val="00AC1278"/>
    <w:rsid w:val="00AC229C"/>
    <w:rsid w:val="00AC39E4"/>
    <w:rsid w:val="00AC47D0"/>
    <w:rsid w:val="00AD30D0"/>
    <w:rsid w:val="00AD7524"/>
    <w:rsid w:val="00AE4B78"/>
    <w:rsid w:val="00AE6F7D"/>
    <w:rsid w:val="00AE7E2C"/>
    <w:rsid w:val="00AF085B"/>
    <w:rsid w:val="00AF1009"/>
    <w:rsid w:val="00AF48CA"/>
    <w:rsid w:val="00AF6458"/>
    <w:rsid w:val="00B001E5"/>
    <w:rsid w:val="00B224E6"/>
    <w:rsid w:val="00B2304B"/>
    <w:rsid w:val="00B27AA1"/>
    <w:rsid w:val="00B27CD9"/>
    <w:rsid w:val="00B30146"/>
    <w:rsid w:val="00B337F1"/>
    <w:rsid w:val="00B35EB3"/>
    <w:rsid w:val="00B40A4D"/>
    <w:rsid w:val="00B41AB9"/>
    <w:rsid w:val="00B442BE"/>
    <w:rsid w:val="00B45D3F"/>
    <w:rsid w:val="00B46207"/>
    <w:rsid w:val="00B46A6D"/>
    <w:rsid w:val="00B55791"/>
    <w:rsid w:val="00B61816"/>
    <w:rsid w:val="00B628D6"/>
    <w:rsid w:val="00B64218"/>
    <w:rsid w:val="00B809E5"/>
    <w:rsid w:val="00B828CD"/>
    <w:rsid w:val="00B82D11"/>
    <w:rsid w:val="00B93495"/>
    <w:rsid w:val="00B94B0B"/>
    <w:rsid w:val="00B97B7A"/>
    <w:rsid w:val="00BA11EB"/>
    <w:rsid w:val="00BA3489"/>
    <w:rsid w:val="00BC10CC"/>
    <w:rsid w:val="00BC6968"/>
    <w:rsid w:val="00BD26CE"/>
    <w:rsid w:val="00BD2B64"/>
    <w:rsid w:val="00BF2CA8"/>
    <w:rsid w:val="00BF35AA"/>
    <w:rsid w:val="00C000A3"/>
    <w:rsid w:val="00C033BA"/>
    <w:rsid w:val="00C069ED"/>
    <w:rsid w:val="00C06EF2"/>
    <w:rsid w:val="00C0750F"/>
    <w:rsid w:val="00C11F13"/>
    <w:rsid w:val="00C17577"/>
    <w:rsid w:val="00C17E75"/>
    <w:rsid w:val="00C20868"/>
    <w:rsid w:val="00C20AC0"/>
    <w:rsid w:val="00C21687"/>
    <w:rsid w:val="00C3506D"/>
    <w:rsid w:val="00C356F5"/>
    <w:rsid w:val="00C42270"/>
    <w:rsid w:val="00C42D29"/>
    <w:rsid w:val="00C605D6"/>
    <w:rsid w:val="00C63E77"/>
    <w:rsid w:val="00C66835"/>
    <w:rsid w:val="00C72791"/>
    <w:rsid w:val="00C73D95"/>
    <w:rsid w:val="00C73DF2"/>
    <w:rsid w:val="00C751FC"/>
    <w:rsid w:val="00C76327"/>
    <w:rsid w:val="00C76B18"/>
    <w:rsid w:val="00C7707C"/>
    <w:rsid w:val="00C8007E"/>
    <w:rsid w:val="00C821B3"/>
    <w:rsid w:val="00C827A4"/>
    <w:rsid w:val="00C8347D"/>
    <w:rsid w:val="00C84A04"/>
    <w:rsid w:val="00C8582E"/>
    <w:rsid w:val="00C92D20"/>
    <w:rsid w:val="00CA0764"/>
    <w:rsid w:val="00CA3CD2"/>
    <w:rsid w:val="00CA743F"/>
    <w:rsid w:val="00CB36CA"/>
    <w:rsid w:val="00CB7418"/>
    <w:rsid w:val="00CC02B2"/>
    <w:rsid w:val="00CC12E5"/>
    <w:rsid w:val="00CC2F75"/>
    <w:rsid w:val="00CC34A7"/>
    <w:rsid w:val="00CC571A"/>
    <w:rsid w:val="00CC617A"/>
    <w:rsid w:val="00CD0D1C"/>
    <w:rsid w:val="00CD1A37"/>
    <w:rsid w:val="00CD2A8F"/>
    <w:rsid w:val="00CF15AD"/>
    <w:rsid w:val="00CF1DA6"/>
    <w:rsid w:val="00CF3CB8"/>
    <w:rsid w:val="00CF62FE"/>
    <w:rsid w:val="00CF6B78"/>
    <w:rsid w:val="00CF6C01"/>
    <w:rsid w:val="00D0099E"/>
    <w:rsid w:val="00D026D7"/>
    <w:rsid w:val="00D11AC8"/>
    <w:rsid w:val="00D14416"/>
    <w:rsid w:val="00D15601"/>
    <w:rsid w:val="00D1699C"/>
    <w:rsid w:val="00D17683"/>
    <w:rsid w:val="00D21EAB"/>
    <w:rsid w:val="00D237CD"/>
    <w:rsid w:val="00D260E4"/>
    <w:rsid w:val="00D26454"/>
    <w:rsid w:val="00D60DF1"/>
    <w:rsid w:val="00D62110"/>
    <w:rsid w:val="00D65CC7"/>
    <w:rsid w:val="00D66BEC"/>
    <w:rsid w:val="00D67854"/>
    <w:rsid w:val="00D731E5"/>
    <w:rsid w:val="00D826C1"/>
    <w:rsid w:val="00D86844"/>
    <w:rsid w:val="00D87BE0"/>
    <w:rsid w:val="00D90DDB"/>
    <w:rsid w:val="00D91438"/>
    <w:rsid w:val="00D924B0"/>
    <w:rsid w:val="00D95D01"/>
    <w:rsid w:val="00DA2237"/>
    <w:rsid w:val="00DA47E9"/>
    <w:rsid w:val="00DB20C3"/>
    <w:rsid w:val="00DB634A"/>
    <w:rsid w:val="00DB65B4"/>
    <w:rsid w:val="00DB6B36"/>
    <w:rsid w:val="00DC2863"/>
    <w:rsid w:val="00DC3F41"/>
    <w:rsid w:val="00DC43ED"/>
    <w:rsid w:val="00DD190B"/>
    <w:rsid w:val="00DE0189"/>
    <w:rsid w:val="00DE024E"/>
    <w:rsid w:val="00DE1EF9"/>
    <w:rsid w:val="00DE27CF"/>
    <w:rsid w:val="00DE6033"/>
    <w:rsid w:val="00DF56E8"/>
    <w:rsid w:val="00E00DBA"/>
    <w:rsid w:val="00E01326"/>
    <w:rsid w:val="00E10BBB"/>
    <w:rsid w:val="00E12991"/>
    <w:rsid w:val="00E213B3"/>
    <w:rsid w:val="00E25D8C"/>
    <w:rsid w:val="00E26AE4"/>
    <w:rsid w:val="00E30F3E"/>
    <w:rsid w:val="00E31227"/>
    <w:rsid w:val="00E364DC"/>
    <w:rsid w:val="00E378F4"/>
    <w:rsid w:val="00E37F74"/>
    <w:rsid w:val="00E50996"/>
    <w:rsid w:val="00E60DDF"/>
    <w:rsid w:val="00E613DE"/>
    <w:rsid w:val="00E64B41"/>
    <w:rsid w:val="00E6525A"/>
    <w:rsid w:val="00E66029"/>
    <w:rsid w:val="00E72B7A"/>
    <w:rsid w:val="00E7376D"/>
    <w:rsid w:val="00E74E54"/>
    <w:rsid w:val="00E80DA7"/>
    <w:rsid w:val="00E81822"/>
    <w:rsid w:val="00E81BE9"/>
    <w:rsid w:val="00E855E5"/>
    <w:rsid w:val="00E92A9F"/>
    <w:rsid w:val="00E9591E"/>
    <w:rsid w:val="00EA5766"/>
    <w:rsid w:val="00EB3389"/>
    <w:rsid w:val="00EB4776"/>
    <w:rsid w:val="00EB4A7D"/>
    <w:rsid w:val="00EC0AE3"/>
    <w:rsid w:val="00EC7A78"/>
    <w:rsid w:val="00ED0924"/>
    <w:rsid w:val="00ED2AAA"/>
    <w:rsid w:val="00ED3966"/>
    <w:rsid w:val="00ED60AA"/>
    <w:rsid w:val="00EE0467"/>
    <w:rsid w:val="00EE0497"/>
    <w:rsid w:val="00EE15D4"/>
    <w:rsid w:val="00EE6004"/>
    <w:rsid w:val="00EE7373"/>
    <w:rsid w:val="00EF109C"/>
    <w:rsid w:val="00EF3C2D"/>
    <w:rsid w:val="00EF3F8A"/>
    <w:rsid w:val="00EF53ED"/>
    <w:rsid w:val="00F0244A"/>
    <w:rsid w:val="00F043A6"/>
    <w:rsid w:val="00F11594"/>
    <w:rsid w:val="00F17202"/>
    <w:rsid w:val="00F2334D"/>
    <w:rsid w:val="00F259A0"/>
    <w:rsid w:val="00F265CA"/>
    <w:rsid w:val="00F31AEE"/>
    <w:rsid w:val="00F338BC"/>
    <w:rsid w:val="00F349E7"/>
    <w:rsid w:val="00F36244"/>
    <w:rsid w:val="00F47CAB"/>
    <w:rsid w:val="00F5363D"/>
    <w:rsid w:val="00F54BF8"/>
    <w:rsid w:val="00F624AB"/>
    <w:rsid w:val="00F62BD4"/>
    <w:rsid w:val="00F63CF6"/>
    <w:rsid w:val="00F63FDF"/>
    <w:rsid w:val="00F66FC2"/>
    <w:rsid w:val="00F6717A"/>
    <w:rsid w:val="00F674B8"/>
    <w:rsid w:val="00F72690"/>
    <w:rsid w:val="00F74960"/>
    <w:rsid w:val="00F75DFD"/>
    <w:rsid w:val="00F75EEB"/>
    <w:rsid w:val="00F808E3"/>
    <w:rsid w:val="00F83379"/>
    <w:rsid w:val="00F84A6D"/>
    <w:rsid w:val="00F911DD"/>
    <w:rsid w:val="00F91921"/>
    <w:rsid w:val="00F92F70"/>
    <w:rsid w:val="00F95B2C"/>
    <w:rsid w:val="00F97491"/>
    <w:rsid w:val="00F97506"/>
    <w:rsid w:val="00F97933"/>
    <w:rsid w:val="00FB3515"/>
    <w:rsid w:val="00FC3E13"/>
    <w:rsid w:val="00FC61AC"/>
    <w:rsid w:val="00FD2204"/>
    <w:rsid w:val="00FD69E8"/>
    <w:rsid w:val="00FD6C7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5ABCF"/>
  <w15:docId w15:val="{EBB20866-FAFB-4BEC-8FA1-CE520A89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0D1"/>
    <w:pPr>
      <w:spacing w:after="200" w:line="276" w:lineRule="auto"/>
    </w:pPr>
    <w:rPr>
      <w:lang w:eastAsia="en-US"/>
    </w:rPr>
  </w:style>
  <w:style w:type="paragraph" w:styleId="Heading1">
    <w:name w:val="heading 1"/>
    <w:basedOn w:val="Normal"/>
    <w:next w:val="Normal"/>
    <w:link w:val="Heading1Char"/>
    <w:uiPriority w:val="99"/>
    <w:qFormat/>
    <w:rsid w:val="00596C61"/>
    <w:pPr>
      <w:keepNext/>
      <w:keepLines/>
      <w:spacing w:before="480" w:after="0"/>
      <w:outlineLvl w:val="0"/>
    </w:pPr>
    <w:rPr>
      <w:rFonts w:ascii="Cambria" w:hAnsi="Cambria"/>
      <w:b/>
      <w:bCs/>
      <w:color w:val="365F91"/>
      <w:sz w:val="28"/>
      <w:szCs w:val="28"/>
      <w:lang w:eastAsia="lv-LV"/>
    </w:rPr>
  </w:style>
  <w:style w:type="paragraph" w:styleId="Heading2">
    <w:name w:val="heading 2"/>
    <w:basedOn w:val="Normal"/>
    <w:next w:val="Normal"/>
    <w:link w:val="Heading2Char"/>
    <w:unhideWhenUsed/>
    <w:qFormat/>
    <w:locked/>
    <w:rsid w:val="00216E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216E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216E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C61"/>
    <w:rPr>
      <w:rFonts w:ascii="Cambria" w:hAnsi="Cambria" w:cs="Times New Roman"/>
      <w:b/>
      <w:color w:val="365F91"/>
      <w:sz w:val="28"/>
    </w:rPr>
  </w:style>
  <w:style w:type="paragraph" w:styleId="Header">
    <w:name w:val="header"/>
    <w:basedOn w:val="Normal"/>
    <w:link w:val="HeaderChar"/>
    <w:uiPriority w:val="99"/>
    <w:rsid w:val="001E3B9F"/>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1E3B9F"/>
    <w:rPr>
      <w:rFonts w:cs="Times New Roman"/>
    </w:rPr>
  </w:style>
  <w:style w:type="paragraph" w:styleId="Footer">
    <w:name w:val="footer"/>
    <w:basedOn w:val="Normal"/>
    <w:link w:val="FooterChar"/>
    <w:uiPriority w:val="99"/>
    <w:rsid w:val="001E3B9F"/>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1E3B9F"/>
    <w:rPr>
      <w:rFonts w:cs="Times New Roman"/>
    </w:rPr>
  </w:style>
  <w:style w:type="paragraph" w:styleId="ListParagraph">
    <w:name w:val="List Paragraph"/>
    <w:basedOn w:val="Normal"/>
    <w:uiPriority w:val="34"/>
    <w:qFormat/>
    <w:rsid w:val="00CD2A8F"/>
    <w:pPr>
      <w:ind w:left="720"/>
      <w:contextualSpacing/>
    </w:pPr>
  </w:style>
  <w:style w:type="paragraph" w:styleId="BalloonText">
    <w:name w:val="Balloon Text"/>
    <w:basedOn w:val="Normal"/>
    <w:link w:val="BalloonTextChar"/>
    <w:uiPriority w:val="99"/>
    <w:semiHidden/>
    <w:rsid w:val="00B46207"/>
    <w:pPr>
      <w:spacing w:after="0" w:line="240" w:lineRule="auto"/>
    </w:pPr>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B46207"/>
    <w:rPr>
      <w:rFonts w:ascii="Tahoma" w:hAnsi="Tahoma" w:cs="Times New Roman"/>
      <w:sz w:val="16"/>
    </w:rPr>
  </w:style>
  <w:style w:type="paragraph" w:styleId="NoSpacing">
    <w:name w:val="No Spacing"/>
    <w:uiPriority w:val="1"/>
    <w:qFormat/>
    <w:rsid w:val="00596C61"/>
    <w:rPr>
      <w:lang w:eastAsia="en-US"/>
    </w:rPr>
  </w:style>
  <w:style w:type="table" w:styleId="TableGrid">
    <w:name w:val="Table Grid"/>
    <w:basedOn w:val="TableNormal"/>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637008"/>
    <w:rPr>
      <w:rFonts w:cs="Times New Roman"/>
      <w:sz w:val="16"/>
      <w:szCs w:val="16"/>
    </w:rPr>
  </w:style>
  <w:style w:type="paragraph" w:styleId="CommentText">
    <w:name w:val="annotation text"/>
    <w:basedOn w:val="Normal"/>
    <w:link w:val="CommentTextChar"/>
    <w:uiPriority w:val="99"/>
    <w:rsid w:val="00637008"/>
    <w:rPr>
      <w:sz w:val="20"/>
      <w:szCs w:val="20"/>
    </w:rPr>
  </w:style>
  <w:style w:type="character" w:customStyle="1" w:styleId="CommentTextChar">
    <w:name w:val="Comment Text Char"/>
    <w:basedOn w:val="DefaultParagraphFont"/>
    <w:link w:val="CommentText"/>
    <w:uiPriority w:val="99"/>
    <w:locked/>
    <w:rsid w:val="008D2E6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37008"/>
    <w:rPr>
      <w:b/>
      <w:bCs/>
    </w:rPr>
  </w:style>
  <w:style w:type="character" w:customStyle="1" w:styleId="CommentSubjectChar">
    <w:name w:val="Comment Subject Char"/>
    <w:basedOn w:val="CommentTextChar"/>
    <w:link w:val="CommentSubject"/>
    <w:uiPriority w:val="99"/>
    <w:semiHidden/>
    <w:locked/>
    <w:rsid w:val="008D2E68"/>
    <w:rPr>
      <w:rFonts w:cs="Times New Roman"/>
      <w:b/>
      <w:bCs/>
      <w:sz w:val="20"/>
      <w:szCs w:val="20"/>
      <w:lang w:eastAsia="en-US"/>
    </w:rPr>
  </w:style>
  <w:style w:type="character" w:styleId="PageNumber">
    <w:name w:val="page number"/>
    <w:basedOn w:val="DefaultParagraphFont"/>
    <w:uiPriority w:val="99"/>
    <w:rsid w:val="00780722"/>
    <w:rPr>
      <w:rFonts w:cs="Times New Roman"/>
    </w:rPr>
  </w:style>
  <w:style w:type="paragraph" w:styleId="Revision">
    <w:name w:val="Revision"/>
    <w:hidden/>
    <w:uiPriority w:val="99"/>
    <w:semiHidden/>
    <w:rsid w:val="00B82D11"/>
    <w:rPr>
      <w:lang w:eastAsia="en-US"/>
    </w:rPr>
  </w:style>
  <w:style w:type="character" w:styleId="Hyperlink">
    <w:name w:val="Hyperlink"/>
    <w:basedOn w:val="DefaultParagraphFont"/>
    <w:uiPriority w:val="99"/>
    <w:rsid w:val="00C72791"/>
    <w:rPr>
      <w:rFonts w:cs="Times New Roman"/>
      <w:color w:val="0000FF"/>
      <w:u w:val="single"/>
    </w:rPr>
  </w:style>
  <w:style w:type="paragraph" w:styleId="BodyText">
    <w:name w:val="Body Text"/>
    <w:basedOn w:val="Normal"/>
    <w:link w:val="BodyTextChar"/>
    <w:rsid w:val="00591106"/>
    <w:pPr>
      <w:spacing w:after="0" w:line="240" w:lineRule="auto"/>
      <w:jc w:val="both"/>
    </w:pPr>
    <w:rPr>
      <w:rFonts w:ascii="Times New Roman" w:eastAsia="Times New Roman" w:hAnsi="Times New Roman"/>
      <w:sz w:val="28"/>
      <w:szCs w:val="24"/>
      <w:lang w:val="en-GB"/>
    </w:rPr>
  </w:style>
  <w:style w:type="character" w:customStyle="1" w:styleId="BodyTextChar">
    <w:name w:val="Body Text Char"/>
    <w:basedOn w:val="DefaultParagraphFont"/>
    <w:link w:val="BodyText"/>
    <w:rsid w:val="00591106"/>
    <w:rPr>
      <w:rFonts w:ascii="Times New Roman" w:eastAsia="Times New Roman" w:hAnsi="Times New Roman"/>
      <w:sz w:val="28"/>
      <w:szCs w:val="24"/>
      <w:lang w:val="en-GB" w:eastAsia="en-US"/>
    </w:rPr>
  </w:style>
  <w:style w:type="paragraph" w:styleId="NormalWeb">
    <w:name w:val="Normal (Web)"/>
    <w:basedOn w:val="Normal"/>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 w:type="character" w:styleId="Strong">
    <w:name w:val="Strong"/>
    <w:basedOn w:val="DefaultParagraphFont"/>
    <w:qFormat/>
    <w:locked/>
    <w:rsid w:val="00216EE0"/>
    <w:rPr>
      <w:b/>
      <w:bCs/>
    </w:rPr>
  </w:style>
  <w:style w:type="paragraph" w:styleId="Subtitle">
    <w:name w:val="Subtitle"/>
    <w:basedOn w:val="Normal"/>
    <w:next w:val="Normal"/>
    <w:link w:val="SubtitleChar"/>
    <w:qFormat/>
    <w:locked/>
    <w:rsid w:val="00216EE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16EE0"/>
    <w:rPr>
      <w:rFonts w:asciiTheme="minorHAnsi" w:eastAsiaTheme="minorEastAsia" w:hAnsiTheme="minorHAnsi" w:cstheme="minorBidi"/>
      <w:color w:val="5A5A5A" w:themeColor="text1" w:themeTint="A5"/>
      <w:spacing w:val="15"/>
      <w:lang w:eastAsia="en-US"/>
    </w:rPr>
  </w:style>
  <w:style w:type="character" w:styleId="SubtleEmphasis">
    <w:name w:val="Subtle Emphasis"/>
    <w:basedOn w:val="DefaultParagraphFont"/>
    <w:uiPriority w:val="19"/>
    <w:qFormat/>
    <w:rsid w:val="00216EE0"/>
    <w:rPr>
      <w:i/>
      <w:iCs/>
      <w:color w:val="404040" w:themeColor="text1" w:themeTint="BF"/>
    </w:rPr>
  </w:style>
  <w:style w:type="character" w:styleId="IntenseEmphasis">
    <w:name w:val="Intense Emphasis"/>
    <w:basedOn w:val="DefaultParagraphFont"/>
    <w:uiPriority w:val="21"/>
    <w:qFormat/>
    <w:rsid w:val="00216EE0"/>
    <w:rPr>
      <w:i/>
      <w:iCs/>
      <w:color w:val="4F81BD" w:themeColor="accent1"/>
    </w:rPr>
  </w:style>
  <w:style w:type="paragraph" w:styleId="Quote">
    <w:name w:val="Quote"/>
    <w:basedOn w:val="Normal"/>
    <w:next w:val="Normal"/>
    <w:link w:val="QuoteChar"/>
    <w:uiPriority w:val="29"/>
    <w:qFormat/>
    <w:rsid w:val="00216E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6EE0"/>
    <w:rPr>
      <w:i/>
      <w:iCs/>
      <w:color w:val="404040" w:themeColor="text1" w:themeTint="BF"/>
      <w:lang w:eastAsia="en-US"/>
    </w:rPr>
  </w:style>
  <w:style w:type="paragraph" w:styleId="IntenseQuote">
    <w:name w:val="Intense Quote"/>
    <w:basedOn w:val="Normal"/>
    <w:next w:val="Normal"/>
    <w:link w:val="IntenseQuoteChar"/>
    <w:uiPriority w:val="30"/>
    <w:qFormat/>
    <w:rsid w:val="00216E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16EE0"/>
    <w:rPr>
      <w:i/>
      <w:iCs/>
      <w:color w:val="4F81BD" w:themeColor="accent1"/>
      <w:lang w:eastAsia="en-US"/>
    </w:rPr>
  </w:style>
  <w:style w:type="character" w:styleId="SubtleReference">
    <w:name w:val="Subtle Reference"/>
    <w:basedOn w:val="DefaultParagraphFont"/>
    <w:uiPriority w:val="31"/>
    <w:qFormat/>
    <w:rsid w:val="00216EE0"/>
    <w:rPr>
      <w:smallCaps/>
      <w:color w:val="5A5A5A" w:themeColor="text1" w:themeTint="A5"/>
    </w:rPr>
  </w:style>
  <w:style w:type="character" w:styleId="Emphasis">
    <w:name w:val="Emphasis"/>
    <w:basedOn w:val="DefaultParagraphFont"/>
    <w:qFormat/>
    <w:locked/>
    <w:rsid w:val="00216EE0"/>
    <w:rPr>
      <w:i/>
      <w:iCs/>
    </w:rPr>
  </w:style>
  <w:style w:type="character" w:customStyle="1" w:styleId="Heading2Char">
    <w:name w:val="Heading 2 Char"/>
    <w:basedOn w:val="DefaultParagraphFont"/>
    <w:link w:val="Heading2"/>
    <w:rsid w:val="00216EE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216EE0"/>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rsid w:val="00216EE0"/>
    <w:rPr>
      <w:rFonts w:asciiTheme="majorHAnsi" w:eastAsiaTheme="majorEastAsia" w:hAnsiTheme="majorHAnsi" w:cstheme="majorBidi"/>
      <w:i/>
      <w:iCs/>
      <w:color w:val="365F91" w:themeColor="accent1" w:themeShade="BF"/>
      <w:lang w:eastAsia="en-US"/>
    </w:rPr>
  </w:style>
  <w:style w:type="character" w:customStyle="1" w:styleId="urtxtstd">
    <w:name w:val="urtxtstd"/>
    <w:rsid w:val="005404ED"/>
  </w:style>
  <w:style w:type="paragraph" w:customStyle="1" w:styleId="naisnod">
    <w:name w:val="naisnod"/>
    <w:basedOn w:val="Normal"/>
    <w:rsid w:val="002C32F3"/>
    <w:pPr>
      <w:spacing w:before="150" w:after="150" w:line="240" w:lineRule="auto"/>
      <w:jc w:val="center"/>
    </w:pPr>
    <w:rPr>
      <w:rFonts w:ascii="Times New Roman" w:eastAsia="Times New Roman" w:hAnsi="Times New Roman"/>
      <w:b/>
      <w:bCs/>
      <w:sz w:val="24"/>
      <w:szCs w:val="24"/>
      <w:lang w:eastAsia="lv-LV"/>
    </w:rPr>
  </w:style>
  <w:style w:type="paragraph" w:customStyle="1" w:styleId="tabcentr">
    <w:name w:val="tab_centr"/>
    <w:basedOn w:val="Normal"/>
    <w:rsid w:val="00265623"/>
    <w:pPr>
      <w:spacing w:after="0" w:line="240" w:lineRule="auto"/>
      <w:jc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anag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2C7F-B9C4-4B75-A1EA-1E4FFF90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1013</Words>
  <Characters>7838</Characters>
  <Application>Microsoft Office Word</Application>
  <DocSecurity>0</DocSecurity>
  <Lines>412</Lines>
  <Paragraphs>160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vt:lpstr>
      <vt:lpstr>Likumprojekta</vt:lpstr>
    </vt:vector>
  </TitlesOfParts>
  <Company>Finanšu ministrija</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dc:title>
  <dc:subject>Grozījumi likumā "Par nodokļiem un nodevām"</dc:subject>
  <dc:creator>I.Vanaga</dc:creator>
  <dc:description>inese.vanaga@fm.gov.lv
tālr.67083901</dc:description>
  <cp:lastModifiedBy>Windows User</cp:lastModifiedBy>
  <cp:revision>5</cp:revision>
  <cp:lastPrinted>2015-09-03T08:15:00Z</cp:lastPrinted>
  <dcterms:created xsi:type="dcterms:W3CDTF">2015-09-16T06:03:00Z</dcterms:created>
  <dcterms:modified xsi:type="dcterms:W3CDTF">2015-09-18T12:34:00Z</dcterms:modified>
</cp:coreProperties>
</file>