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7AEAB" w14:textId="77777777" w:rsidR="00053C3D" w:rsidRDefault="00053C3D" w:rsidP="002E2B4C">
      <w:pPr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1"/>
      <w:bookmarkStart w:id="1" w:name="OLE_LINK2"/>
      <w:bookmarkStart w:id="2" w:name="_GoBack"/>
      <w:bookmarkEnd w:id="2"/>
    </w:p>
    <w:p w14:paraId="39A355D9" w14:textId="77777777" w:rsidR="00041339" w:rsidRPr="003975DF" w:rsidRDefault="0009673C" w:rsidP="002E2B4C">
      <w:pPr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5DF">
        <w:rPr>
          <w:rFonts w:ascii="Times New Roman" w:hAnsi="Times New Roman" w:cs="Times New Roman"/>
          <w:b/>
          <w:sz w:val="26"/>
          <w:szCs w:val="26"/>
        </w:rPr>
        <w:t>Ministru kabineta n</w:t>
      </w:r>
      <w:r w:rsidR="003F4905" w:rsidRPr="003975DF">
        <w:rPr>
          <w:rFonts w:ascii="Times New Roman" w:hAnsi="Times New Roman" w:cs="Times New Roman"/>
          <w:b/>
          <w:sz w:val="26"/>
          <w:szCs w:val="26"/>
        </w:rPr>
        <w:t>oteikumu projekta</w:t>
      </w:r>
      <w:bookmarkStart w:id="3" w:name="OLE_LINK5"/>
      <w:bookmarkStart w:id="4" w:name="OLE_LINK6"/>
      <w:r w:rsidR="00041339" w:rsidRPr="003975D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0"/>
    <w:bookmarkEnd w:id="1"/>
    <w:bookmarkEnd w:id="3"/>
    <w:bookmarkEnd w:id="4"/>
    <w:p w14:paraId="4A2149F0" w14:textId="324FE502" w:rsidR="002E2B4C" w:rsidRPr="003975DF" w:rsidRDefault="00E37521" w:rsidP="009B6C2D">
      <w:pPr>
        <w:tabs>
          <w:tab w:val="left" w:pos="3119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5DF">
        <w:rPr>
          <w:rFonts w:ascii="Times New Roman" w:hAnsi="Times New Roman" w:cs="Times New Roman"/>
          <w:b/>
          <w:sz w:val="26"/>
          <w:szCs w:val="26"/>
        </w:rPr>
        <w:t>„</w:t>
      </w:r>
      <w:r w:rsidR="002E2B4C" w:rsidRPr="003975DF">
        <w:rPr>
          <w:rFonts w:ascii="Times New Roman" w:hAnsi="Times New Roman" w:cs="Times New Roman"/>
          <w:b/>
          <w:sz w:val="26"/>
          <w:szCs w:val="26"/>
        </w:rPr>
        <w:t>Grozījum</w:t>
      </w:r>
      <w:r w:rsidR="007209D4">
        <w:rPr>
          <w:rFonts w:ascii="Times New Roman" w:hAnsi="Times New Roman" w:cs="Times New Roman"/>
          <w:b/>
          <w:sz w:val="26"/>
          <w:szCs w:val="26"/>
        </w:rPr>
        <w:t>s</w:t>
      </w:r>
      <w:r w:rsidR="002E2B4C" w:rsidRPr="003975DF">
        <w:rPr>
          <w:rFonts w:ascii="Times New Roman" w:hAnsi="Times New Roman" w:cs="Times New Roman"/>
          <w:b/>
          <w:sz w:val="26"/>
          <w:szCs w:val="26"/>
        </w:rPr>
        <w:t xml:space="preserve"> Ministru kabineta 2011.gada </w:t>
      </w:r>
      <w:r w:rsidR="0009673C" w:rsidRPr="003975DF">
        <w:rPr>
          <w:rFonts w:ascii="Times New Roman" w:hAnsi="Times New Roman" w:cs="Times New Roman"/>
          <w:b/>
          <w:sz w:val="26"/>
          <w:szCs w:val="26"/>
        </w:rPr>
        <w:t>27.septembra noteikumos Nr.731 „</w:t>
      </w:r>
      <w:r w:rsidR="002E2B4C" w:rsidRPr="003975DF">
        <w:rPr>
          <w:rFonts w:ascii="Times New Roman" w:hAnsi="Times New Roman" w:cs="Times New Roman"/>
          <w:b/>
          <w:bCs/>
          <w:sz w:val="26"/>
          <w:szCs w:val="26"/>
        </w:rPr>
        <w:t>Noteikumi par akcīzes preču apvienotā Kopienas tarifa (TARIC) nacionālajiem kodiem un to piemērošanas kārtību</w:t>
      </w:r>
      <w:r w:rsidR="002E2B4C" w:rsidRPr="003975DF">
        <w:rPr>
          <w:rFonts w:ascii="Times New Roman" w:hAnsi="Times New Roman" w:cs="Times New Roman"/>
          <w:b/>
          <w:sz w:val="26"/>
          <w:szCs w:val="26"/>
        </w:rPr>
        <w:t>”</w:t>
      </w:r>
      <w:r w:rsidRPr="003975DF">
        <w:rPr>
          <w:rFonts w:ascii="Times New Roman" w:hAnsi="Times New Roman" w:cs="Times New Roman"/>
          <w:b/>
          <w:sz w:val="26"/>
          <w:szCs w:val="26"/>
        </w:rPr>
        <w:t>”</w:t>
      </w:r>
      <w:r w:rsidR="002E2B4C" w:rsidRPr="003975D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1E496F" w14:textId="77777777" w:rsidR="00C26070" w:rsidRDefault="00C26070" w:rsidP="002E2B4C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975DF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sākotnējās ietekmes novērtējuma ziņojums (anotācija</w:t>
      </w:r>
      <w:r w:rsidRPr="0009673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)</w:t>
      </w:r>
    </w:p>
    <w:p w14:paraId="76F431F0" w14:textId="77777777" w:rsidR="009B6C2D" w:rsidRDefault="009B6C2D" w:rsidP="002E2B4C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12CC5E4" w14:textId="77777777" w:rsidR="00EA67A7" w:rsidRPr="002D6161" w:rsidRDefault="00EA67A7" w:rsidP="00EA67A7">
      <w:pPr>
        <w:spacing w:after="0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8"/>
        <w:gridCol w:w="61"/>
        <w:gridCol w:w="2945"/>
        <w:gridCol w:w="5442"/>
      </w:tblGrid>
      <w:tr w:rsidR="00C26070" w:rsidRPr="004108EA" w14:paraId="7717B912" w14:textId="77777777" w:rsidTr="008A318B">
        <w:trPr>
          <w:tblCellSpacing w:w="0" w:type="dxa"/>
        </w:trPr>
        <w:tc>
          <w:tcPr>
            <w:tcW w:w="8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7F7C" w14:textId="77777777" w:rsidR="00C26070" w:rsidRPr="004108EA" w:rsidRDefault="00C26070" w:rsidP="002D6161">
            <w:pPr>
              <w:spacing w:before="100" w:beforeAutospacing="1" w:after="100" w:afterAutospacing="1" w:line="40" w:lineRule="atLeast"/>
              <w:ind w:left="0" w:firstLineChars="709" w:firstLine="1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26070" w:rsidRPr="004108EA" w14:paraId="2D69A561" w14:textId="77777777" w:rsidTr="008A318B">
        <w:trPr>
          <w:trHeight w:val="2305"/>
          <w:tblCellSpacing w:w="0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3DFA6" w14:textId="77777777" w:rsidR="00C26070" w:rsidRPr="004108EA" w:rsidRDefault="00C26070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7C3BD" w14:textId="77777777" w:rsidR="00C26070" w:rsidRPr="004108EA" w:rsidRDefault="00C26070" w:rsidP="00A47322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34D59" w14:textId="0BABBBDD" w:rsidR="006F1EE7" w:rsidRPr="000803AC" w:rsidRDefault="00F30687" w:rsidP="0009640D">
            <w:pPr>
              <w:pStyle w:val="CommentText"/>
              <w:spacing w:after="0"/>
              <w:ind w:left="25" w:firstLine="42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0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Saeimā 2015.gada 18.jūnijā pieņemtie grozījumi likumā „Par akcīzes nodokli” </w:t>
            </w:r>
            <w:r w:rsidRPr="000803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paredz ar 2015.gada 1.</w:t>
            </w:r>
            <w:r w:rsidR="006F1EE7" w:rsidRPr="000803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augustu</w:t>
            </w:r>
            <w:r w:rsidRPr="000803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piemērot paaugstinātu akcīzes nodokļa likmi </w:t>
            </w:r>
            <w:r w:rsidR="006F1EE7" w:rsidRPr="000803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alkoholiskajiem dzērieniem</w:t>
            </w:r>
            <w:r w:rsidR="0040543F" w:rsidRPr="000803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un izteikt 12.panta pirmo un otro daļu šādā redakcijā</w:t>
            </w:r>
            <w:r w:rsidR="006F1EE7" w:rsidRPr="000803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14:paraId="6889B01C" w14:textId="77777777" w:rsidR="0040543F" w:rsidRPr="0040543F" w:rsidRDefault="0040543F" w:rsidP="0040543F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(1) Alkoholiskajiem dzērieniem nodokli aprēķina pēc šādām likmēm:</w:t>
            </w:r>
          </w:p>
          <w:p w14:paraId="05360BE6" w14:textId="2C54CBA1" w:rsidR="0040543F" w:rsidRPr="0040543F" w:rsidRDefault="00A9429B" w:rsidP="0040543F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 alum (par 100 litriem) -</w:t>
            </w:r>
            <w:r w:rsidR="0040543F"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3,</w:t>
            </w:r>
            <w:r w:rsidR="0040543F" w:rsidRPr="0008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40543F"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0543F" w:rsidRPr="0040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40543F"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katru absolūtā spirta tilpumprocentu, kas izteikts ar precizitāti līdz vienai desmitdaļai, bet ne mazāk kā </w:t>
            </w:r>
            <w:r w:rsidR="0040543F" w:rsidRPr="0008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</w:t>
            </w:r>
            <w:r w:rsidR="0040543F"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0543F" w:rsidRPr="0040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40543F"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</w:t>
            </w:r>
            <w:r w:rsidR="00977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</w:t>
            </w:r>
            <w:r w:rsidR="0040543F"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litriem alus;</w:t>
            </w:r>
          </w:p>
          <w:p w14:paraId="05733559" w14:textId="101DC7A1" w:rsidR="0040543F" w:rsidRPr="0040543F" w:rsidRDefault="00A9429B" w:rsidP="0040543F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vīnam (par 100 litriem) -</w:t>
            </w:r>
            <w:r w:rsidR="0040543F"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0543F" w:rsidRPr="0008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="0040543F"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0543F" w:rsidRPr="0040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40543F"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71CDB7D" w14:textId="77777777" w:rsidR="0040543F" w:rsidRPr="000803AC" w:rsidRDefault="0040543F" w:rsidP="0040543F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 raudzētajiem dzērieniem (par 100 litriem)</w:t>
            </w:r>
            <w:r w:rsidRPr="0008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2FD2530D" w14:textId="63A55292" w:rsidR="0040543F" w:rsidRPr="000803AC" w:rsidRDefault="0040543F" w:rsidP="0040543F">
            <w:pPr>
              <w:spacing w:after="0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a) ar absolūtā spirta saturu līdz 6 tilpumprocentiem (ieskaitot) </w:t>
            </w:r>
            <w:r w:rsidR="00A94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08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64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0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EA75081" w14:textId="0312DFB6" w:rsidR="0040543F" w:rsidRPr="0040543F" w:rsidRDefault="0040543F" w:rsidP="0040543F">
            <w:pPr>
              <w:spacing w:after="0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b) ar absolūtā spirta saturu virs 6 tilpumprocentiem - </w:t>
            </w:r>
            <w:r w:rsidR="00A94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C21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Pr="0008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0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080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32C8EAA5" w14:textId="77777777" w:rsidR="0040543F" w:rsidRPr="0040543F" w:rsidRDefault="0040543F" w:rsidP="0040543F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4) starpproduktiem (par 100 litriem):</w:t>
            </w:r>
          </w:p>
          <w:p w14:paraId="60DE9C5F" w14:textId="5C191CEB" w:rsidR="0040543F" w:rsidRPr="0040543F" w:rsidRDefault="0040543F" w:rsidP="0040543F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a) ar absolūtā spirta saturu līdz 1</w:t>
            </w:r>
            <w:r w:rsidR="00A94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tilpumprocentiem (ieskaitot) -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E512C" w:rsidRPr="0008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0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5721DFF2" w14:textId="6435E804" w:rsidR="0040543F" w:rsidRPr="0040543F" w:rsidRDefault="0040543F" w:rsidP="0040543F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b) ar absolūtā spirta saturu no 15 tilpumprocentiem (neieskaitot) līdz 2</w:t>
            </w:r>
            <w:r w:rsidR="008E512C" w:rsidRPr="0008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tilpumprocentiem (ieskaitot) -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E512C" w:rsidRPr="0008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="00DC21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="008E512C" w:rsidRPr="0008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0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9993548" w14:textId="4CCFCCF4" w:rsidR="0040543F" w:rsidRPr="0040543F" w:rsidRDefault="0040543F" w:rsidP="0040543F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5) pārējiem alkoholiskajiem dzērieniem (pa</w:t>
            </w:r>
            <w:r w:rsidR="00A94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100 litriem absolūtā spirta) -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735ED" w:rsidRPr="0008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1360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0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59DFA5A" w14:textId="77777777" w:rsidR="0040543F" w:rsidRPr="0040543F" w:rsidRDefault="0040543F" w:rsidP="0040543F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(2) Patstāvīgo mazo alus darītavu saražotajam alum (par 100 litriem) nodokli aprēķina par katru absolūtā spirta tilpumprocentu, kas izteikts ar precizitāti līdz vienai desmitdaļai, pēc šādām likmēm:</w:t>
            </w:r>
          </w:p>
          <w:p w14:paraId="689A1773" w14:textId="3C8F6581" w:rsidR="0040543F" w:rsidRPr="0040543F" w:rsidRDefault="0040543F" w:rsidP="0040543F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1) par vienā kalendāra gadā saražotajiem pirmajiem </w:t>
            </w:r>
            <w:r w:rsidR="004256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94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tūkstošiem hektolitriem alus -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 procenti no šā panta pirmās daļas 1.punktā noteiktās likmes, bet ne mazāk kā </w:t>
            </w:r>
            <w:r w:rsidR="00DC21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5735ED" w:rsidRPr="0008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0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100 litriem alus;</w:t>
            </w:r>
          </w:p>
          <w:p w14:paraId="7A827EED" w14:textId="217200A1" w:rsidR="0040543F" w:rsidRPr="000803AC" w:rsidRDefault="0040543F" w:rsidP="0040543F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par pārējo vie</w:t>
            </w:r>
            <w:r w:rsidR="00A94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nā kalendāra gadā saražoto alu -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šā panta pirmās daļas 1.punktā noteiktā likme, bet ne mazāk kā </w:t>
            </w:r>
            <w:r w:rsidR="00CC3251" w:rsidRPr="0008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DC21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CC3251" w:rsidRPr="00080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7,4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0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054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100 litriem alus.</w:t>
            </w:r>
          </w:p>
          <w:p w14:paraId="263F463C" w14:textId="5E16634C" w:rsidR="0009640D" w:rsidRPr="004108EA" w:rsidRDefault="000803AC" w:rsidP="000803AC">
            <w:pPr>
              <w:spacing w:after="0"/>
              <w:ind w:left="0"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A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Likums par budžetu un finanšu vadību, </w:t>
            </w:r>
            <w:r w:rsidRPr="00611A09">
              <w:rPr>
                <w:rFonts w:ascii="Times New Roman" w:hAnsi="Times New Roman" w:cs="Times New Roman"/>
                <w:sz w:val="24"/>
                <w:szCs w:val="24"/>
              </w:rPr>
              <w:t>Ministru kabineta 2005.gada 27.decembra noteikumi Nr</w:t>
            </w:r>
            <w:r w:rsidRPr="0061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11A09">
              <w:rPr>
                <w:rFonts w:ascii="Times New Roman" w:hAnsi="Times New Roman" w:cs="Times New Roman"/>
                <w:sz w:val="24"/>
                <w:szCs w:val="24"/>
              </w:rPr>
              <w:t>1032 „Noteikumi par budžetu ieņēmumu klasifikāciju”.</w:t>
            </w:r>
          </w:p>
          <w:p w14:paraId="3213672B" w14:textId="18FEC293" w:rsidR="00052345" w:rsidRPr="004108EA" w:rsidRDefault="00052345" w:rsidP="0009640D">
            <w:pPr>
              <w:spacing w:after="0"/>
              <w:ind w:left="0" w:firstLine="720"/>
            </w:pPr>
          </w:p>
        </w:tc>
      </w:tr>
      <w:tr w:rsidR="002D7DCA" w:rsidRPr="004108EA" w14:paraId="0F7EB2AD" w14:textId="77777777" w:rsidTr="008A318B">
        <w:trPr>
          <w:trHeight w:val="472"/>
          <w:tblCellSpacing w:w="0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A3C06" w14:textId="791D0C45" w:rsidR="002D7DCA" w:rsidRPr="00F40F90" w:rsidRDefault="0090466E" w:rsidP="0090466E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3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D9E74" w14:textId="77777777" w:rsidR="002D7DCA" w:rsidRPr="00F40F90" w:rsidRDefault="002D7DCA" w:rsidP="00A47322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0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</w:t>
            </w:r>
            <w:r w:rsidR="00A63A46" w:rsidRPr="00F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kuru risināšanai tiesību akta projekts izstrādāts, tiesiskā regulējuma mērķis un būtība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AA7AB" w14:textId="5A1D89DB" w:rsidR="00516D0D" w:rsidRDefault="00516D0D" w:rsidP="00D445E7">
            <w:pPr>
              <w:spacing w:after="0"/>
              <w:ind w:left="25" w:right="125" w:firstLine="45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40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Šobrīd atbilstoši likuma „Par akcīzes nodokli” </w:t>
            </w:r>
            <w:r w:rsidR="00D445E7" w:rsidRPr="000803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12.panta pirm</w:t>
            </w:r>
            <w:r w:rsidR="00D445E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="00316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jai</w:t>
            </w:r>
            <w:r w:rsidR="00D445E7" w:rsidRPr="000803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un otr</w:t>
            </w:r>
            <w:r w:rsidR="00D445E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="00316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ja</w:t>
            </w:r>
            <w:r w:rsidR="00D445E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</w:t>
            </w:r>
            <w:r w:rsidR="00D445E7" w:rsidRPr="000803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daļ</w:t>
            </w:r>
            <w:r w:rsidR="00D445E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ai</w:t>
            </w:r>
            <w:r w:rsidR="00D445E7" w:rsidRPr="000803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445E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alkoholiskajiem dzērieniem nodokli aprēķina pēc šādām likmēm</w:t>
            </w:r>
            <w:r w:rsidR="00D445E7" w:rsidRPr="000803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14:paraId="6074FEAA" w14:textId="4C149F07" w:rsidR="00D445E7" w:rsidRPr="00D445E7" w:rsidRDefault="00A9429B" w:rsidP="00D445E7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 alum (par 100 litriem) -</w:t>
            </w:r>
            <w:r w:rsidR="00D445E7"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3,1</w:t>
            </w:r>
            <w:r w:rsidR="00DC21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D445E7"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445E7" w:rsidRPr="00D44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D445E7"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katru absolūtā spirta tilpumprocentu, kas izteikts ar precizitāti līdz vienai desmitdaļai, bet ne mazāk kā 5,69 </w:t>
            </w:r>
            <w:r w:rsidR="00D445E7" w:rsidRPr="00D44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D445E7"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</w:t>
            </w:r>
            <w:r w:rsidR="00977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D445E7"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litriem alus;</w:t>
            </w:r>
          </w:p>
          <w:p w14:paraId="035AB879" w14:textId="3384159E" w:rsidR="00D445E7" w:rsidRPr="00D445E7" w:rsidRDefault="00A9429B" w:rsidP="00D445E7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vīnam (par 100 litriem) -</w:t>
            </w:r>
            <w:r w:rsidR="00D445E7"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64,03 </w:t>
            </w:r>
            <w:r w:rsidR="00D445E7" w:rsidRPr="00D44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D445E7"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A639EF9" w14:textId="4E25AA95" w:rsidR="00D445E7" w:rsidRPr="00D445E7" w:rsidRDefault="00D445E7" w:rsidP="00D445E7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 raudzētajie</w:t>
            </w:r>
            <w:r w:rsidR="00A94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dzērieniem (par 100 litriem) -</w:t>
            </w: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77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64,03 </w:t>
            </w:r>
            <w:r w:rsidRPr="00D44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AD685F4" w14:textId="77777777" w:rsidR="00D445E7" w:rsidRPr="00D445E7" w:rsidRDefault="00D445E7" w:rsidP="00D445E7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4) starpproduktiem (par 100 litriem):</w:t>
            </w:r>
          </w:p>
          <w:p w14:paraId="42DDD721" w14:textId="71D83A2E" w:rsidR="00D445E7" w:rsidRPr="00D445E7" w:rsidRDefault="00D445E7" w:rsidP="00D445E7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a) ar absolūtā spirta saturu līdz 1</w:t>
            </w:r>
            <w:r w:rsidR="00A94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tilpumprocentiem (ieskaitot) -</w:t>
            </w: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64,03 </w:t>
            </w:r>
            <w:r w:rsidRPr="00D44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5392DFA2" w14:textId="179EDE70" w:rsidR="00D445E7" w:rsidRPr="00D445E7" w:rsidRDefault="00D445E7" w:rsidP="00D445E7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b) ar absolūtā spirta saturu no 15 tilpumprocentiem (neieskaitot) līdz 22 tilpumprocentiem </w:t>
            </w:r>
            <w:r w:rsidR="00A94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(ieskaitot) -</w:t>
            </w: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269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99,60 </w:t>
            </w:r>
            <w:r w:rsidRPr="00D44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49A311A" w14:textId="001DFE71" w:rsidR="00D445E7" w:rsidRPr="00D445E7" w:rsidRDefault="00D445E7" w:rsidP="00D445E7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5) pārējiem alkoholiskajiem dzērieniem (pa</w:t>
            </w:r>
            <w:r w:rsidR="00A94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100 litriem absolūtā spirta) -</w:t>
            </w: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1337,50 </w:t>
            </w:r>
            <w:r w:rsidRPr="00D44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A5A97D2" w14:textId="77777777" w:rsidR="00D445E7" w:rsidRPr="00D445E7" w:rsidRDefault="00D445E7" w:rsidP="00D445E7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(2) Patstāvīgo mazo alus darītavu saražotajam alum (par 100 litriem) nodokli aprēķina par katru absolūtā spirta tilpumprocentu, kas izteikts ar precizitāti līdz vienai desmitdaļai, pēc šādām likmēm:</w:t>
            </w:r>
          </w:p>
          <w:p w14:paraId="307F4A47" w14:textId="5CB13730" w:rsidR="00D445E7" w:rsidRPr="00D445E7" w:rsidRDefault="00D445E7" w:rsidP="00D445E7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1) par vienā kalendāra gadā saražotajiem pirmajiem </w:t>
            </w:r>
            <w:r w:rsidR="00A94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</w:t>
            </w: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94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tūkstošiem hektolitriem alus -</w:t>
            </w: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 procenti no šā panta pirmās daļas 1.punktā noteiktās likmes, bet ne mazāk kā 5,69 </w:t>
            </w:r>
            <w:r w:rsidRPr="00D44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100 litriem alus;</w:t>
            </w:r>
          </w:p>
          <w:p w14:paraId="4254CAA3" w14:textId="160DE435" w:rsidR="00186231" w:rsidRDefault="00D445E7" w:rsidP="00186231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par pārējo vie</w:t>
            </w:r>
            <w:r w:rsidR="00A94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nā kalendāra gadā saražoto alu -</w:t>
            </w:r>
            <w:r w:rsidRPr="00D44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šā panta pirmās daļas 1.</w:t>
            </w:r>
            <w:r w:rsidRPr="001862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punktā noteiktā likme, bet ne mazāk kā 5,69 </w:t>
            </w:r>
            <w:r w:rsidRPr="001862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1862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100 litriem alus</w:t>
            </w:r>
            <w:r w:rsidR="001862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E150B2D" w14:textId="1184E2DE" w:rsidR="00186231" w:rsidRPr="00186231" w:rsidRDefault="00516D0D" w:rsidP="00186231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40F90">
              <w:rPr>
                <w:rFonts w:ascii="Times New Roman" w:hAnsi="Times New Roman" w:cs="Times New Roman"/>
                <w:sz w:val="24"/>
                <w:szCs w:val="24"/>
              </w:rPr>
              <w:t>Tādējādi</w:t>
            </w:r>
            <w:r w:rsidRPr="00F40F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nepieciešams </w:t>
            </w:r>
            <w:r w:rsidRPr="00F40F90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2011.gada 27.septembra noteikumu Nr.731 „Noteikumi par akcīzes preču apvienotā Kopienas tarifa (TARIC) nacionālajiem kodiem un to </w:t>
            </w:r>
            <w:r w:rsidR="00343850">
              <w:rPr>
                <w:rFonts w:ascii="Times New Roman" w:hAnsi="Times New Roman" w:cs="Times New Roman"/>
                <w:sz w:val="24"/>
                <w:szCs w:val="24"/>
              </w:rPr>
              <w:t>piemērošanas kārtību” (turpmāk -</w:t>
            </w:r>
            <w:r w:rsidRPr="00F40F90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noteikumi Nr.731) </w:t>
            </w:r>
            <w:r w:rsidR="001E5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0F90">
              <w:rPr>
                <w:rFonts w:ascii="Times New Roman" w:hAnsi="Times New Roman" w:cs="Times New Roman"/>
                <w:sz w:val="24"/>
                <w:szCs w:val="24"/>
              </w:rPr>
              <w:t>.pielikumu izteikt jaunā redakcijā</w:t>
            </w:r>
            <w:r w:rsidR="00186231">
              <w:rPr>
                <w:rFonts w:ascii="Times New Roman" w:hAnsi="Times New Roman" w:cs="Times New Roman"/>
                <w:sz w:val="24"/>
                <w:szCs w:val="24"/>
              </w:rPr>
              <w:t xml:space="preserve">, nosakot piemērot jaunās akcīzes nodokļa  likmes </w:t>
            </w:r>
          </w:p>
          <w:p w14:paraId="75F37B35" w14:textId="582D48BA" w:rsidR="006C5638" w:rsidRDefault="006C5638" w:rsidP="00123847">
            <w:pPr>
              <w:spacing w:after="0"/>
              <w:ind w:left="25" w:right="125" w:firstLine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6C5638">
              <w:rPr>
                <w:rFonts w:ascii="Times New Roman" w:hAnsi="Times New Roman" w:cs="Times New Roman"/>
                <w:sz w:val="24"/>
                <w:szCs w:val="24"/>
              </w:rPr>
              <w:t>Šobrīd atbilstoši likuma „Par akcīzes nodokli”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5638">
              <w:rPr>
                <w:rFonts w:ascii="Times New Roman" w:hAnsi="Times New Roman" w:cs="Times New Roman"/>
                <w:sz w:val="24"/>
                <w:szCs w:val="24"/>
              </w:rPr>
              <w:t xml:space="preserve">.panta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pirmās</w:t>
            </w:r>
            <w:r w:rsidRPr="006C5638">
              <w:rPr>
                <w:rFonts w:ascii="Times New Roman" w:hAnsi="Times New Roman" w:cs="Times New Roman"/>
                <w:sz w:val="24"/>
                <w:szCs w:val="24"/>
              </w:rPr>
              <w:t xml:space="preserve"> daļ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3.punktā</w:t>
            </w:r>
            <w:r w:rsidRPr="006C5638">
              <w:rPr>
                <w:rFonts w:ascii="Times New Roman" w:hAnsi="Times New Roman" w:cs="Times New Roman"/>
                <w:sz w:val="24"/>
                <w:szCs w:val="24"/>
              </w:rPr>
              <w:t xml:space="preserve"> noteiktajam</w:t>
            </w:r>
            <w:r w:rsidR="00267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raudzētajiem dzērieniem (par 100 litriem)</w:t>
            </w:r>
            <w:r w:rsidRPr="006C5638">
              <w:rPr>
                <w:rFonts w:ascii="Times New Roman" w:hAnsi="Times New Roman" w:cs="Times New Roman"/>
                <w:sz w:val="24"/>
                <w:szCs w:val="24"/>
              </w:rPr>
              <w:t xml:space="preserve"> nodokli aprēķina pēc likmes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64,03</w:t>
            </w:r>
            <w:r w:rsidRPr="006C5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09FBE0" w14:textId="5E6A0E2A" w:rsidR="00404BEC" w:rsidRPr="002E469D" w:rsidRDefault="006C5638" w:rsidP="00404BEC">
            <w:pPr>
              <w:spacing w:after="0"/>
              <w:ind w:left="0" w:firstLine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akcīzes nodokļa likme vieglajiem raudzētajiem dzērieniem (sidriem) būtu konkurētspējīga Baltijas valstu starpā, kā arī lai veicinātu vieglo raudzēto dzērienu (sidru) ražošanu no Latvijā audzētajiem augļiem un ogām, </w:t>
            </w:r>
            <w:r w:rsidR="001B47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tiek</w:t>
            </w:r>
            <w:r w:rsidRPr="006C56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diferencēt</w:t>
            </w:r>
            <w:r w:rsidR="001B47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C56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akcīzes nodokļa likm</w:t>
            </w:r>
            <w:r w:rsidR="001B47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6C56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raudzētajiem dzērieniem ar absolūtā spirta saturu līdz 6 tilpumprocentiem </w:t>
            </w:r>
            <w:r w:rsidR="00404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404BEC" w:rsidRPr="006C56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piemērota samazināta akcīzes nodokļa likme</w:t>
            </w:r>
            <w:r w:rsidR="00404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64 </w:t>
            </w:r>
            <w:r w:rsidR="00404BEC" w:rsidRPr="00404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404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100 litiem) </w:t>
            </w:r>
            <w:r w:rsidRPr="006C56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virs </w:t>
            </w:r>
            <w:r w:rsidR="00C87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24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</w:t>
            </w:r>
            <w:r w:rsidRPr="006C56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 tilpumprocentiem</w:t>
            </w:r>
            <w:r w:rsidR="00404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(piemērota akcīzes nodokļa likme 70 </w:t>
            </w:r>
            <w:r w:rsidR="00404BEC" w:rsidRPr="00404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404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100 litriem)</w:t>
            </w:r>
            <w:r w:rsidRPr="006C56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13157424" w14:textId="26C2CE8F" w:rsidR="006C5638" w:rsidRPr="002672A9" w:rsidRDefault="00404BEC" w:rsidP="002672A9">
            <w:pPr>
              <w:ind w:left="25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Tādējādi </w:t>
            </w:r>
            <w:r w:rsidRPr="00F40F90">
              <w:rPr>
                <w:rFonts w:ascii="Times New Roman" w:hAnsi="Times New Roman" w:cs="Times New Roman"/>
                <w:sz w:val="24"/>
                <w:szCs w:val="24"/>
              </w:rPr>
              <w:t>Ministru kabineta 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40F90">
              <w:rPr>
                <w:rFonts w:ascii="Times New Roman" w:hAnsi="Times New Roman" w:cs="Times New Roman"/>
                <w:sz w:val="24"/>
                <w:szCs w:val="24"/>
              </w:rPr>
              <w:t xml:space="preserve"> Nr.731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69D" w:rsidRPr="002E4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638" w:rsidRPr="002E469D">
              <w:rPr>
                <w:rFonts w:ascii="Times New Roman" w:hAnsi="Times New Roman" w:cs="Times New Roman"/>
                <w:sz w:val="24"/>
                <w:szCs w:val="24"/>
              </w:rPr>
              <w:t>.pielikum</w:t>
            </w:r>
            <w:r w:rsidR="004418EF" w:rsidRPr="002E469D">
              <w:rPr>
                <w:rFonts w:ascii="Times New Roman" w:hAnsi="Times New Roman" w:cs="Times New Roman"/>
                <w:sz w:val="24"/>
                <w:szCs w:val="24"/>
              </w:rPr>
              <w:t xml:space="preserve">ā </w:t>
            </w:r>
            <w:r w:rsidR="002672A9" w:rsidRPr="002E469D">
              <w:rPr>
                <w:rFonts w:ascii="Times New Roman" w:hAnsi="Times New Roman" w:cs="Times New Roman"/>
                <w:sz w:val="24"/>
                <w:szCs w:val="24"/>
              </w:rPr>
              <w:t xml:space="preserve">ar akcīzes nodokli apliekamo alkoholisko dzērienu </w:t>
            </w:r>
            <w:r w:rsidR="002E469D" w:rsidRPr="002672A9">
              <w:rPr>
                <w:rFonts w:ascii="Times New Roman" w:hAnsi="Times New Roman" w:cs="Times New Roman"/>
                <w:sz w:val="24"/>
                <w:szCs w:val="24"/>
              </w:rPr>
              <w:t xml:space="preserve">Kopējā integrētā tarifa </w:t>
            </w:r>
            <w:r w:rsidR="002E46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72A9" w:rsidRPr="002E469D">
              <w:rPr>
                <w:rFonts w:ascii="Times New Roman" w:hAnsi="Times New Roman" w:cs="Times New Roman"/>
                <w:i/>
                <w:sz w:val="24"/>
                <w:szCs w:val="24"/>
              </w:rPr>
              <w:t>TARIC</w:t>
            </w:r>
            <w:r w:rsidR="002E469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672A9" w:rsidRPr="002E469D">
              <w:rPr>
                <w:rFonts w:ascii="Times New Roman" w:hAnsi="Times New Roman" w:cs="Times New Roman"/>
                <w:sz w:val="24"/>
                <w:szCs w:val="24"/>
              </w:rPr>
              <w:t xml:space="preserve"> nacionālo papildkodu sarakstu nepieciešams papildināt ar</w:t>
            </w:r>
            <w:r w:rsidR="002672A9" w:rsidRPr="0026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2A9" w:rsidRPr="002672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2672A9" w:rsidRPr="002672A9">
              <w:rPr>
                <w:rFonts w:ascii="Times New Roman" w:hAnsi="Times New Roman" w:cs="Times New Roman"/>
                <w:sz w:val="24"/>
                <w:szCs w:val="24"/>
              </w:rPr>
              <w:t xml:space="preserve">attiecīgiem Kombinētās nomenklatūras kodiem un </w:t>
            </w:r>
            <w:r w:rsidR="002672A9" w:rsidRPr="00267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TARIC </w:t>
            </w:r>
            <w:r w:rsidR="002672A9" w:rsidRPr="002672A9">
              <w:rPr>
                <w:rFonts w:ascii="Times New Roman" w:hAnsi="Times New Roman" w:cs="Times New Roman"/>
                <w:sz w:val="24"/>
                <w:szCs w:val="24"/>
              </w:rPr>
              <w:t xml:space="preserve">nacionālajiem papildkodiem raudzētiem dzērieniem -   2206 0010   0112, 22060010   0113, 22060031   0114, 22060031   0115,  22060039  0116, 22060039  0117, 22060051  0118, 22060051  0119, 22060059  0121,   22060059 0122,     22060081  0123, 22060081 0124, 22060089  0125, 22060089  0126, </w:t>
            </w:r>
            <w:r w:rsidR="004418EF" w:rsidRPr="002672A9">
              <w:rPr>
                <w:rFonts w:ascii="Times New Roman" w:hAnsi="Times New Roman" w:cs="Times New Roman"/>
                <w:sz w:val="24"/>
                <w:szCs w:val="24"/>
              </w:rPr>
              <w:t xml:space="preserve">kā arī ar </w:t>
            </w:r>
            <w:r w:rsidR="004418EF" w:rsidRPr="002672A9">
              <w:rPr>
                <w:rFonts w:ascii="Times New Roman" w:hAnsi="Times New Roman" w:cs="Times New Roman"/>
                <w:i/>
                <w:sz w:val="24"/>
                <w:szCs w:val="24"/>
              </w:rPr>
              <w:t>TARIC</w:t>
            </w:r>
            <w:r w:rsidR="004418EF" w:rsidRPr="002672A9">
              <w:rPr>
                <w:rFonts w:ascii="Times New Roman" w:hAnsi="Times New Roman" w:cs="Times New Roman"/>
                <w:sz w:val="24"/>
                <w:szCs w:val="24"/>
              </w:rPr>
              <w:t xml:space="preserve"> nacionālā papildkoda aprakstiem, akcīzes nodokļa likmēm</w:t>
            </w:r>
            <w:r w:rsidR="002F4B42" w:rsidRPr="002672A9">
              <w:rPr>
                <w:rFonts w:ascii="Times New Roman" w:hAnsi="Times New Roman" w:cs="Times New Roman"/>
                <w:sz w:val="24"/>
                <w:szCs w:val="24"/>
              </w:rPr>
              <w:t>, valsts budžeta ieņēmumu konta numuriem</w:t>
            </w:r>
            <w:r w:rsidR="004418EF" w:rsidRPr="002672A9">
              <w:rPr>
                <w:rFonts w:ascii="Times New Roman" w:hAnsi="Times New Roman" w:cs="Times New Roman"/>
                <w:sz w:val="24"/>
                <w:szCs w:val="24"/>
              </w:rPr>
              <w:t>, ņemot vērā</w:t>
            </w:r>
            <w:r w:rsidR="00B73D78" w:rsidRPr="0026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78" w:rsidRPr="002672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absolūtā spirta saturu līdz </w:t>
            </w:r>
            <w:r w:rsidR="00292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</w:t>
            </w:r>
            <w:r w:rsidR="00B73D78" w:rsidRPr="002672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 tilpumprocentiem un virs </w:t>
            </w:r>
            <w:r w:rsidR="002E4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3D78" w:rsidRPr="002672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tilpumprocentiem</w:t>
            </w:r>
            <w:r w:rsidR="002672A9" w:rsidRPr="002672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731BF867" w14:textId="77777777" w:rsidR="00FD4720" w:rsidRDefault="00516D0D" w:rsidP="00C40E3D">
            <w:pPr>
              <w:spacing w:after="0"/>
              <w:ind w:left="25" w:right="125" w:firstLine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6">
              <w:rPr>
                <w:rFonts w:ascii="Times New Roman" w:hAnsi="Times New Roman" w:cs="Times New Roman"/>
                <w:sz w:val="24"/>
                <w:szCs w:val="24"/>
              </w:rPr>
              <w:t xml:space="preserve">Tāpat saistībā ar izmaiņām Ministru kabineta noteikumu </w:t>
            </w:r>
            <w:r w:rsidR="004D6EE6" w:rsidRPr="00102D96"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 w:rsidR="00C40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D96">
              <w:rPr>
                <w:rFonts w:ascii="Times New Roman" w:hAnsi="Times New Roman" w:cs="Times New Roman"/>
                <w:sz w:val="24"/>
                <w:szCs w:val="24"/>
              </w:rPr>
              <w:t>.pielikumā nepieciešams veikt izmaiņas muitas informācijas sistēmās, lai ar 201</w:t>
            </w:r>
            <w:r w:rsidR="008E70C7" w:rsidRPr="00102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2D96">
              <w:rPr>
                <w:rFonts w:ascii="Times New Roman" w:hAnsi="Times New Roman" w:cs="Times New Roman"/>
                <w:sz w:val="24"/>
                <w:szCs w:val="24"/>
              </w:rPr>
              <w:t>.gada 1.</w:t>
            </w:r>
            <w:r w:rsidR="00C40E3D">
              <w:rPr>
                <w:rFonts w:ascii="Times New Roman" w:hAnsi="Times New Roman" w:cs="Times New Roman"/>
                <w:sz w:val="24"/>
                <w:szCs w:val="24"/>
              </w:rPr>
              <w:t>augustu</w:t>
            </w:r>
            <w:r w:rsidRPr="00102D96">
              <w:rPr>
                <w:rFonts w:ascii="Times New Roman" w:hAnsi="Times New Roman" w:cs="Times New Roman"/>
                <w:sz w:val="24"/>
                <w:szCs w:val="24"/>
              </w:rPr>
              <w:t xml:space="preserve">, izlaižot </w:t>
            </w:r>
            <w:r w:rsidR="00C40E3D">
              <w:rPr>
                <w:rFonts w:ascii="Times New Roman" w:hAnsi="Times New Roman" w:cs="Times New Roman"/>
                <w:sz w:val="24"/>
                <w:szCs w:val="24"/>
              </w:rPr>
              <w:t>alkoholiskos dzērienus</w:t>
            </w:r>
            <w:r w:rsidR="004D6EE6" w:rsidRPr="0010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D96">
              <w:rPr>
                <w:rFonts w:ascii="Times New Roman" w:hAnsi="Times New Roman" w:cs="Times New Roman"/>
                <w:sz w:val="24"/>
                <w:szCs w:val="24"/>
              </w:rPr>
              <w:t>brīvā apgrozībā, nodrošinātu t</w:t>
            </w:r>
            <w:r w:rsidR="00C40E3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102D96">
              <w:rPr>
                <w:rFonts w:ascii="Times New Roman" w:hAnsi="Times New Roman" w:cs="Times New Roman"/>
                <w:sz w:val="24"/>
                <w:szCs w:val="24"/>
              </w:rPr>
              <w:t>m atbilstošu akcīzes nodokļa piemērošanu saskaņā ar likum</w:t>
            </w:r>
            <w:r w:rsidR="00123847" w:rsidRPr="00102D9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102D96">
              <w:rPr>
                <w:rFonts w:ascii="Times New Roman" w:hAnsi="Times New Roman" w:cs="Times New Roman"/>
                <w:sz w:val="24"/>
                <w:szCs w:val="24"/>
              </w:rPr>
              <w:t xml:space="preserve"> „Par akcīzes nodokli” </w:t>
            </w:r>
            <w:r w:rsidR="00123847" w:rsidRPr="007B2186">
              <w:rPr>
                <w:rFonts w:ascii="Times New Roman" w:hAnsi="Times New Roman" w:cs="Times New Roman"/>
                <w:sz w:val="24"/>
                <w:szCs w:val="24"/>
              </w:rPr>
              <w:t xml:space="preserve">noteiktajām </w:t>
            </w:r>
            <w:r w:rsidRPr="00102D96">
              <w:rPr>
                <w:rFonts w:ascii="Times New Roman" w:hAnsi="Times New Roman" w:cs="Times New Roman"/>
                <w:sz w:val="24"/>
                <w:szCs w:val="24"/>
              </w:rPr>
              <w:t>prasībām.</w:t>
            </w:r>
          </w:p>
          <w:p w14:paraId="6392BD8D" w14:textId="49A76F3C" w:rsidR="006C5638" w:rsidRPr="004108EA" w:rsidRDefault="006C5638" w:rsidP="00C40E3D">
            <w:pPr>
              <w:spacing w:after="0"/>
              <w:ind w:left="25" w:right="125" w:firstLine="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CA" w:rsidRPr="004108EA" w14:paraId="513EBCB7" w14:textId="77777777" w:rsidTr="008A318B">
        <w:trPr>
          <w:trHeight w:val="476"/>
          <w:tblCellSpacing w:w="0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95245" w14:textId="77777777" w:rsidR="002D7DCA" w:rsidRPr="004108EA" w:rsidRDefault="006C7812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</w:t>
            </w:r>
            <w:r w:rsidR="002D7DCA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5D61E" w14:textId="77777777" w:rsidR="002D7DCA" w:rsidRPr="004108EA" w:rsidRDefault="002D7DCA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40775" w14:textId="77777777" w:rsidR="002D7DCA" w:rsidRPr="004108EA" w:rsidRDefault="00B552A2" w:rsidP="0028139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658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</w:t>
            </w:r>
            <w:r w:rsidR="00AD6F89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lsts ieņēmumu dienests</w:t>
            </w:r>
          </w:p>
        </w:tc>
      </w:tr>
      <w:tr w:rsidR="002D7DCA" w:rsidRPr="004108EA" w14:paraId="0F707D11" w14:textId="77777777" w:rsidTr="008A318B">
        <w:trPr>
          <w:tblCellSpacing w:w="0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A8E92" w14:textId="77777777" w:rsidR="002D7DCA" w:rsidRPr="004108EA" w:rsidRDefault="006C7812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2D7DCA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C6BED" w14:textId="77777777" w:rsidR="002D7DCA" w:rsidRPr="004108EA" w:rsidRDefault="002D7DCA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54AB8" w14:textId="77777777" w:rsidR="002D7DCA" w:rsidRPr="004108EA" w:rsidRDefault="000B29AA" w:rsidP="00E8439B">
            <w:pPr>
              <w:spacing w:before="100" w:beforeAutospacing="1" w:after="280"/>
              <w:ind w:left="0" w:firstLine="1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490599" w:rsidRPr="004108EA" w14:paraId="22F25157" w14:textId="77777777" w:rsidTr="008A318B">
        <w:trPr>
          <w:tblCellSpacing w:w="0" w:type="dxa"/>
        </w:trPr>
        <w:tc>
          <w:tcPr>
            <w:tcW w:w="8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AB157" w14:textId="77777777" w:rsidR="00490599" w:rsidRPr="004108EA" w:rsidRDefault="00490599" w:rsidP="00633309">
            <w:pPr>
              <w:spacing w:before="100" w:beforeAutospacing="1" w:after="100" w:afterAutospacing="1" w:line="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II. Tiesību akta projekta ietekme uz sabiedrību</w:t>
            </w:r>
            <w:r w:rsidR="00633309" w:rsidRPr="004108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tautsaimniecības attīstību un administratīvo slogu</w:t>
            </w:r>
          </w:p>
        </w:tc>
      </w:tr>
      <w:tr w:rsidR="00490599" w:rsidRPr="004108EA" w14:paraId="6E9D0CC1" w14:textId="77777777" w:rsidTr="008A318B">
        <w:trPr>
          <w:trHeight w:val="467"/>
          <w:tblCellSpacing w:w="0" w:type="dxa"/>
        </w:trPr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73E50" w14:textId="77777777" w:rsidR="00490599" w:rsidRPr="004108EA" w:rsidRDefault="000F17FF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90599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E5663" w14:textId="77777777" w:rsidR="00490599" w:rsidRPr="004108EA" w:rsidRDefault="00490599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mērķgrupa</w:t>
            </w:r>
            <w:r w:rsidR="006A02DF" w:rsidRPr="00410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s, </w:t>
            </w:r>
            <w:r w:rsidR="006A02DF" w:rsidRPr="0041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kuras tiesiskais regulējums ietekmē vai varētu ietekmēt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4C6D8" w14:textId="74031E01" w:rsidR="004A6B56" w:rsidRPr="004108EA" w:rsidRDefault="00AE15E7" w:rsidP="0032014A">
            <w:pPr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v-LV"/>
              </w:rPr>
              <w:t>Pe</w:t>
            </w:r>
            <w:r w:rsidR="0009673C" w:rsidRPr="004108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v-LV"/>
              </w:rPr>
              <w:t>rson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v-LV"/>
              </w:rPr>
              <w:t>as</w:t>
            </w:r>
            <w:r w:rsidR="0009673C" w:rsidRPr="004108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v-LV"/>
              </w:rPr>
              <w:t xml:space="preserve">, kas </w:t>
            </w:r>
            <w:r w:rsidR="003E1B62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ieved </w:t>
            </w:r>
            <w:r w:rsidR="00AD6F89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akcīzes nodokli apliekamās </w:t>
            </w:r>
            <w:r w:rsidR="003E1B62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Eiropas Savie</w:t>
            </w:r>
            <w:r w:rsidR="00FB4DBC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nīb</w:t>
            </w:r>
            <w:r w:rsidR="00CF5CE6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un</w:t>
            </w:r>
            <w:r w:rsidR="00A95E92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tām </w:t>
            </w:r>
            <w:r w:rsidR="00CF5CE6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piemēro </w:t>
            </w:r>
            <w:r w:rsidR="003E1B62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muitas procedūru</w:t>
            </w:r>
            <w:r w:rsidR="004A0D08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CF5CE6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E1B62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laišana brīvā apgrozībā</w:t>
            </w:r>
            <w:r w:rsidR="00C4071F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90599" w:rsidRPr="004108EA" w14:paraId="1C71E742" w14:textId="77777777" w:rsidTr="008A318B">
        <w:trPr>
          <w:trHeight w:val="517"/>
          <w:tblCellSpacing w:w="0" w:type="dxa"/>
        </w:trPr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F4279" w14:textId="77777777" w:rsidR="00490599" w:rsidRPr="004108EA" w:rsidRDefault="006A02DF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90599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5E742" w14:textId="77777777" w:rsidR="00490599" w:rsidRPr="004108EA" w:rsidRDefault="00490599" w:rsidP="006A02DF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Tiesiskā regulējuma </w:t>
            </w:r>
            <w:r w:rsidR="006A02DF" w:rsidRPr="0041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 tautsaimniecību un administratīvo slogu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5BDDF" w14:textId="77777777" w:rsidR="00490599" w:rsidRPr="004108EA" w:rsidRDefault="00B552A2" w:rsidP="008E4886">
            <w:pPr>
              <w:spacing w:before="100" w:beforeAutospacing="1" w:after="100" w:afterAutospacing="1" w:line="40" w:lineRule="atLeast"/>
              <w:ind w:left="0" w:right="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987DE1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490599" w:rsidRPr="004108EA" w14:paraId="01002B35" w14:textId="77777777" w:rsidTr="008A318B">
        <w:trPr>
          <w:trHeight w:val="531"/>
          <w:tblCellSpacing w:w="0" w:type="dxa"/>
        </w:trPr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1A13F" w14:textId="77777777" w:rsidR="00490599" w:rsidRPr="004108EA" w:rsidRDefault="00414A8B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490599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3D8AA" w14:textId="77777777" w:rsidR="00490599" w:rsidRPr="004108EA" w:rsidRDefault="00414A8B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B9F05" w14:textId="77777777" w:rsidR="00490599" w:rsidRPr="004108EA" w:rsidRDefault="00B552A2" w:rsidP="008E4886">
            <w:pPr>
              <w:spacing w:line="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987DE1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490599" w:rsidRPr="004108EA" w14:paraId="2AF9D859" w14:textId="77777777" w:rsidTr="008A318B">
        <w:trPr>
          <w:tblCellSpacing w:w="0" w:type="dxa"/>
        </w:trPr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6400E" w14:textId="77777777" w:rsidR="00490599" w:rsidRPr="004108EA" w:rsidRDefault="00A732AF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490599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454F1" w14:textId="77777777" w:rsidR="00490599" w:rsidRPr="004108EA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B90AB" w14:textId="77777777" w:rsidR="00490599" w:rsidRPr="004108EA" w:rsidRDefault="00B552A2" w:rsidP="008E4886">
            <w:pPr>
              <w:spacing w:before="100" w:beforeAutospacing="1" w:after="100" w:afterAutospacing="1" w:line="40" w:lineRule="atLeast"/>
              <w:ind w:left="0" w:right="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490599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101353" w:rsidRPr="004108EA" w14:paraId="2AC662F2" w14:textId="77777777" w:rsidTr="008A318B">
        <w:trPr>
          <w:tblCellSpacing w:w="0" w:type="dxa"/>
        </w:trPr>
        <w:tc>
          <w:tcPr>
            <w:tcW w:w="8985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1DFA6B8E" w14:textId="77777777" w:rsidR="00101353" w:rsidRDefault="00101353" w:rsidP="00594ECA">
            <w:pPr>
              <w:spacing w:before="100" w:beforeAutospacing="1" w:after="100" w:afterAutospacing="1" w:line="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</w:t>
            </w:r>
            <w:r w:rsidR="0059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 uz spēkā esošo tiesību normu sistēmu</w:t>
            </w:r>
          </w:p>
          <w:tbl>
            <w:tblPr>
              <w:tblW w:w="894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2972"/>
              <w:gridCol w:w="5403"/>
            </w:tblGrid>
            <w:tr w:rsidR="004B084A" w:rsidRPr="004108EA" w14:paraId="0F5D57BA" w14:textId="77777777" w:rsidTr="008A318B">
              <w:trPr>
                <w:trHeight w:val="467"/>
                <w:tblCellSpacing w:w="0" w:type="dxa"/>
              </w:trPr>
              <w:tc>
                <w:tcPr>
                  <w:tcW w:w="57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CC0CD2" w14:textId="77777777" w:rsidR="004B084A" w:rsidRPr="004108EA" w:rsidRDefault="004B084A" w:rsidP="00E6203F">
                  <w:pPr>
                    <w:spacing w:before="100" w:beforeAutospacing="1" w:after="100" w:afterAutospacing="1" w:line="40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1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2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14BA6B" w14:textId="4C165DE2" w:rsidR="004B084A" w:rsidRPr="004108EA" w:rsidRDefault="0085264B" w:rsidP="0085264B">
                  <w:pPr>
                    <w:spacing w:before="100" w:beforeAutospacing="1" w:after="100" w:afterAutospacing="1" w:line="40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Nepieciešamie saistītie tiesību aktu projekti</w:t>
                  </w:r>
                </w:p>
              </w:tc>
              <w:tc>
                <w:tcPr>
                  <w:tcW w:w="5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406487" w14:textId="54CA1A02" w:rsidR="004B084A" w:rsidRPr="004108EA" w:rsidRDefault="0085264B" w:rsidP="0085264B">
                  <w:pPr>
                    <w:ind w:left="127" w:right="1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lv-LV"/>
                    </w:rPr>
                    <w:t xml:space="preserve">Ministru kabineta noteikumu projekts saistīts ar </w:t>
                  </w:r>
                  <w:r w:rsidRPr="000803A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Saeimā 2015.gada 18.jūnijā pieņemt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aj</w:t>
                  </w:r>
                  <w:r w:rsidRPr="000803A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em</w:t>
                  </w:r>
                  <w:r w:rsidRPr="000803A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grozījumi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em</w:t>
                  </w:r>
                  <w:r w:rsidRPr="000803A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likumā „Par akcīzes nodokli</w:t>
                  </w:r>
                  <w:r w:rsidR="004B084A" w:rsidRPr="0041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4B084A" w:rsidRPr="004108EA" w14:paraId="102935B5" w14:textId="77777777" w:rsidTr="008A318B">
              <w:trPr>
                <w:trHeight w:val="517"/>
                <w:tblCellSpacing w:w="0" w:type="dxa"/>
              </w:trPr>
              <w:tc>
                <w:tcPr>
                  <w:tcW w:w="572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FB3565" w14:textId="77777777" w:rsidR="004B084A" w:rsidRPr="004108EA" w:rsidRDefault="004B084A" w:rsidP="00E6203F">
                  <w:pPr>
                    <w:spacing w:before="100" w:beforeAutospacing="1" w:after="100" w:afterAutospacing="1" w:line="40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1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3C075B" w14:textId="2FCCB0A0" w:rsidR="004B084A" w:rsidRPr="004108EA" w:rsidRDefault="0085264B" w:rsidP="0085264B">
                  <w:pPr>
                    <w:spacing w:before="100" w:beforeAutospacing="1" w:after="100" w:afterAutospacing="1" w:line="40" w:lineRule="atLeast"/>
                    <w:ind w:left="126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Atbildīgā institūcija</w:t>
                  </w:r>
                </w:p>
              </w:tc>
              <w:tc>
                <w:tcPr>
                  <w:tcW w:w="540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F31995" w14:textId="3E02CE3A" w:rsidR="004B084A" w:rsidRPr="004108EA" w:rsidRDefault="0085264B" w:rsidP="0085264B">
                  <w:pPr>
                    <w:spacing w:before="100" w:beforeAutospacing="1" w:after="100" w:afterAutospacing="1" w:line="40" w:lineRule="atLeast"/>
                    <w:ind w:left="0" w:right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Finanšu ministrija</w:t>
                  </w:r>
                </w:p>
              </w:tc>
            </w:tr>
            <w:tr w:rsidR="004B084A" w:rsidRPr="004108EA" w14:paraId="71C0DADA" w14:textId="77777777" w:rsidTr="008A318B">
              <w:trPr>
                <w:trHeight w:val="531"/>
                <w:tblCellSpacing w:w="0" w:type="dxa"/>
              </w:trPr>
              <w:tc>
                <w:tcPr>
                  <w:tcW w:w="57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FE2CA9" w14:textId="77777777" w:rsidR="004B084A" w:rsidRPr="004108EA" w:rsidRDefault="004B084A" w:rsidP="00E6203F">
                  <w:pPr>
                    <w:spacing w:before="100" w:beforeAutospacing="1" w:after="100" w:afterAutospacing="1" w:line="40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1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3.</w:t>
                  </w:r>
                </w:p>
              </w:tc>
              <w:tc>
                <w:tcPr>
                  <w:tcW w:w="2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0402F3" w14:textId="7F974176" w:rsidR="004B084A" w:rsidRPr="004108EA" w:rsidRDefault="0085264B" w:rsidP="00E6203F">
                  <w:pPr>
                    <w:spacing w:before="100" w:beforeAutospacing="1" w:after="100" w:afterAutospacing="1" w:line="40" w:lineRule="atLeast"/>
                    <w:ind w:left="126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1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5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DF1D68D" w14:textId="68B73DFB" w:rsidR="004B084A" w:rsidRPr="004108EA" w:rsidRDefault="0085264B" w:rsidP="00E6203F">
                  <w:pPr>
                    <w:spacing w:line="40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85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</w:t>
                  </w:r>
                </w:p>
              </w:tc>
            </w:tr>
          </w:tbl>
          <w:p w14:paraId="45AD774B" w14:textId="31797F59" w:rsidR="004B084A" w:rsidRDefault="004B084A" w:rsidP="00594ECA">
            <w:pPr>
              <w:spacing w:before="100" w:beforeAutospacing="1" w:after="100" w:afterAutospacing="1" w:line="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80364" w:rsidRPr="004108EA" w14:paraId="098434D9" w14:textId="77777777" w:rsidTr="008A318B">
        <w:trPr>
          <w:tblCellSpacing w:w="0" w:type="dxa"/>
        </w:trPr>
        <w:tc>
          <w:tcPr>
            <w:tcW w:w="8985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6C456BE6" w14:textId="6E724F8B" w:rsidR="00B80364" w:rsidRDefault="00B80364" w:rsidP="00B80364">
            <w:pPr>
              <w:spacing w:before="100" w:beforeAutospacing="1" w:after="100" w:afterAutospacing="1" w:line="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VI</w:t>
            </w:r>
            <w:r w:rsidR="0010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Sabiedrības līdzdalība un šīs līdzdalības rezultāti </w:t>
            </w:r>
          </w:p>
          <w:tbl>
            <w:tblPr>
              <w:tblW w:w="894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2972"/>
              <w:gridCol w:w="5403"/>
            </w:tblGrid>
            <w:tr w:rsidR="0032014A" w:rsidRPr="004108EA" w14:paraId="4A5B43C9" w14:textId="77777777" w:rsidTr="008A318B">
              <w:trPr>
                <w:trHeight w:val="1183"/>
                <w:tblCellSpacing w:w="0" w:type="dxa"/>
              </w:trPr>
              <w:tc>
                <w:tcPr>
                  <w:tcW w:w="57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1CA509" w14:textId="77777777" w:rsidR="0032014A" w:rsidRPr="004108EA" w:rsidRDefault="0032014A" w:rsidP="00E6203F">
                  <w:pPr>
                    <w:spacing w:before="100" w:beforeAutospacing="1" w:after="100" w:afterAutospacing="1" w:line="40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1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2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F41307" w14:textId="74A35B8B" w:rsidR="0032014A" w:rsidRPr="004108EA" w:rsidRDefault="0032014A" w:rsidP="0032014A">
                  <w:pPr>
                    <w:spacing w:before="100" w:beforeAutospacing="1" w:after="100" w:afterAutospacing="1" w:line="40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108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Sabiedrības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informēšana par projekta izstrādes uzsākšanu</w:t>
                  </w:r>
                </w:p>
              </w:tc>
              <w:tc>
                <w:tcPr>
                  <w:tcW w:w="5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14:paraId="1E8AB555" w14:textId="0221A1CF" w:rsidR="0032014A" w:rsidRPr="004108EA" w:rsidRDefault="0032014A" w:rsidP="008A318B">
                  <w:pPr>
                    <w:ind w:left="127" w:right="1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lv-LV"/>
                    </w:rPr>
                    <w:t>Sabiedrība par M</w:t>
                  </w:r>
                  <w:r w:rsidR="00BE40C4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lv-LV"/>
                    </w:rPr>
                    <w:t>inistru kabineta n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lv-LV"/>
                    </w:rPr>
                    <w:t>oteikumu projekt</w:t>
                  </w:r>
                  <w:r w:rsidR="008A318B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lv-LV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lv-LV"/>
                    </w:rPr>
                    <w:t xml:space="preserve"> tiks informēta ievietojot informāciju Finanšu ministrijas, Valsts ieņēmumu dienesta  </w:t>
                  </w:r>
                  <w:r w:rsidR="00BE40C4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lv-LV"/>
                    </w:rPr>
                    <w:t>interneta mājas lapā un veicot izmaiņas muitas informācijas sistēmās, kas pieejamas ārējiem lietotājiem</w:t>
                  </w:r>
                  <w:r w:rsidRPr="0041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32014A" w:rsidRPr="004108EA" w14:paraId="45122BC4" w14:textId="77777777" w:rsidTr="008A318B">
              <w:trPr>
                <w:trHeight w:val="517"/>
                <w:tblCellSpacing w:w="0" w:type="dxa"/>
              </w:trPr>
              <w:tc>
                <w:tcPr>
                  <w:tcW w:w="57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4461EB" w14:textId="77777777" w:rsidR="0032014A" w:rsidRPr="004108EA" w:rsidRDefault="0032014A" w:rsidP="00E6203F">
                  <w:pPr>
                    <w:spacing w:before="100" w:beforeAutospacing="1" w:after="100" w:afterAutospacing="1" w:line="40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1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2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6D3D6E" w14:textId="19D564DE" w:rsidR="0032014A" w:rsidRPr="004108EA" w:rsidRDefault="00BE40C4" w:rsidP="00E6203F">
                  <w:pPr>
                    <w:spacing w:before="100" w:beforeAutospacing="1" w:after="100" w:afterAutospacing="1" w:line="40" w:lineRule="atLeast"/>
                    <w:ind w:left="126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līdzdalība projekta izstrādē</w:t>
                  </w:r>
                </w:p>
              </w:tc>
              <w:tc>
                <w:tcPr>
                  <w:tcW w:w="5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14:paraId="25DA5C43" w14:textId="77777777" w:rsidR="0032014A" w:rsidRPr="004108EA" w:rsidRDefault="0032014A" w:rsidP="00E6203F">
                  <w:pPr>
                    <w:spacing w:before="100" w:beforeAutospacing="1" w:after="100" w:afterAutospacing="1" w:line="40" w:lineRule="atLeast"/>
                    <w:ind w:left="0" w:right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1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Projekts šo jomu neskar</w:t>
                  </w:r>
                </w:p>
              </w:tc>
            </w:tr>
            <w:tr w:rsidR="0032014A" w:rsidRPr="004108EA" w14:paraId="39F16912" w14:textId="77777777" w:rsidTr="0032014A">
              <w:trPr>
                <w:trHeight w:val="531"/>
                <w:tblCellSpacing w:w="0" w:type="dxa"/>
              </w:trPr>
              <w:tc>
                <w:tcPr>
                  <w:tcW w:w="57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25C53C" w14:textId="77777777" w:rsidR="0032014A" w:rsidRPr="004108EA" w:rsidRDefault="0032014A" w:rsidP="00E6203F">
                  <w:pPr>
                    <w:spacing w:before="100" w:beforeAutospacing="1" w:after="100" w:afterAutospacing="1" w:line="40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1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2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0C7020" w14:textId="6695DC83" w:rsidR="0032014A" w:rsidRPr="004108EA" w:rsidRDefault="00BE40C4" w:rsidP="00BE40C4">
                  <w:pPr>
                    <w:spacing w:before="100" w:beforeAutospacing="1" w:after="100" w:afterAutospacing="1" w:line="40" w:lineRule="atLeast"/>
                    <w:ind w:left="126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līdzdalības rezultāti</w:t>
                  </w:r>
                </w:p>
              </w:tc>
              <w:tc>
                <w:tcPr>
                  <w:tcW w:w="5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14:paraId="793679F3" w14:textId="77777777" w:rsidR="0032014A" w:rsidRPr="004108EA" w:rsidRDefault="0032014A" w:rsidP="00E6203F">
                  <w:pPr>
                    <w:spacing w:line="40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41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Projekts šo jomu neskar</w:t>
                  </w:r>
                </w:p>
              </w:tc>
            </w:tr>
            <w:tr w:rsidR="0032014A" w:rsidRPr="004108EA" w14:paraId="146B7E4B" w14:textId="77777777" w:rsidTr="0032014A">
              <w:trPr>
                <w:tblCellSpacing w:w="0" w:type="dxa"/>
              </w:trPr>
              <w:tc>
                <w:tcPr>
                  <w:tcW w:w="57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58B2E0" w14:textId="77777777" w:rsidR="0032014A" w:rsidRPr="004108EA" w:rsidRDefault="0032014A" w:rsidP="00E6203F">
                  <w:pPr>
                    <w:spacing w:before="100" w:beforeAutospacing="1" w:after="100" w:afterAutospacing="1" w:line="40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1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2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D32553" w14:textId="748F9A7C" w:rsidR="0032014A" w:rsidRPr="004108EA" w:rsidRDefault="00BE40C4" w:rsidP="00BE40C4">
                  <w:pPr>
                    <w:spacing w:before="100" w:beforeAutospacing="1" w:after="100" w:afterAutospacing="1" w:line="40" w:lineRule="atLeast"/>
                    <w:ind w:left="126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Saeimas un ekspertu līdzdalība</w:t>
                  </w:r>
                </w:p>
              </w:tc>
              <w:tc>
                <w:tcPr>
                  <w:tcW w:w="5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14:paraId="154BB500" w14:textId="77777777" w:rsidR="0032014A" w:rsidRPr="004108EA" w:rsidRDefault="0032014A" w:rsidP="00E6203F">
                  <w:pPr>
                    <w:spacing w:before="100" w:beforeAutospacing="1" w:after="100" w:afterAutospacing="1" w:line="40" w:lineRule="atLeast"/>
                    <w:ind w:left="0" w:right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1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Nav</w:t>
                  </w:r>
                </w:p>
              </w:tc>
            </w:tr>
            <w:tr w:rsidR="00BE40C4" w:rsidRPr="004108EA" w14:paraId="5414CAF5" w14:textId="77777777" w:rsidTr="0032014A">
              <w:trPr>
                <w:tblCellSpacing w:w="0" w:type="dxa"/>
              </w:trPr>
              <w:tc>
                <w:tcPr>
                  <w:tcW w:w="57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</w:tcPr>
                <w:p w14:paraId="3779E396" w14:textId="3CBB0E6B" w:rsidR="00BE40C4" w:rsidRPr="004108EA" w:rsidRDefault="00BE40C4" w:rsidP="00E6203F">
                  <w:pPr>
                    <w:spacing w:before="100" w:beforeAutospacing="1" w:after="100" w:afterAutospacing="1" w:line="40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2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1CB47A" w14:textId="6DB26FFB" w:rsidR="00BE40C4" w:rsidRDefault="00BE40C4" w:rsidP="00BE40C4">
                  <w:pPr>
                    <w:spacing w:before="100" w:beforeAutospacing="1" w:after="100" w:afterAutospacing="1" w:line="40" w:lineRule="atLeast"/>
                    <w:ind w:left="126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5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</w:tcPr>
                <w:p w14:paraId="1A4494FF" w14:textId="2CD0639C" w:rsidR="00BE40C4" w:rsidRPr="004108EA" w:rsidRDefault="00BE40C4" w:rsidP="00E6203F">
                  <w:pPr>
                    <w:spacing w:before="100" w:beforeAutospacing="1" w:after="100" w:afterAutospacing="1" w:line="40" w:lineRule="atLeast"/>
                    <w:ind w:left="0" w:right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Nav</w:t>
                  </w:r>
                </w:p>
              </w:tc>
            </w:tr>
          </w:tbl>
          <w:p w14:paraId="011E7BE8" w14:textId="7CAF4DB7" w:rsidR="00B80364" w:rsidRPr="004108EA" w:rsidRDefault="00B80364" w:rsidP="00B80364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36187" w:rsidRPr="004108EA" w14:paraId="508D3DB5" w14:textId="77777777" w:rsidTr="008A318B">
        <w:trPr>
          <w:tblCellSpacing w:w="0" w:type="dxa"/>
        </w:trPr>
        <w:tc>
          <w:tcPr>
            <w:tcW w:w="8985" w:type="dxa"/>
            <w:gridSpan w:val="5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6E5BBDCC" w14:textId="77777777" w:rsidR="00836187" w:rsidRPr="004108EA" w:rsidRDefault="00836187" w:rsidP="008D539B">
            <w:pPr>
              <w:spacing w:before="100" w:beforeAutospacing="1" w:after="100" w:afterAutospacing="1" w:line="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36187" w:rsidRPr="004108EA" w14:paraId="1FE62719" w14:textId="77777777" w:rsidTr="008A318B">
        <w:trPr>
          <w:trHeight w:val="42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539AB" w14:textId="77777777" w:rsidR="00836187" w:rsidRPr="004108EA" w:rsidRDefault="00836187" w:rsidP="004108EA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3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24B0E" w14:textId="77777777" w:rsidR="00836187" w:rsidRPr="004108EA" w:rsidRDefault="00836187" w:rsidP="009D4AD8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6548B" w14:textId="77777777" w:rsidR="00836187" w:rsidRPr="004108EA" w:rsidRDefault="00902F3B" w:rsidP="009359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836187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AD6F89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alsts ieņēmumu dienests</w:t>
            </w:r>
          </w:p>
        </w:tc>
      </w:tr>
      <w:tr w:rsidR="00836187" w:rsidRPr="004108EA" w14:paraId="6D05CFB5" w14:textId="77777777" w:rsidTr="008A318B">
        <w:trPr>
          <w:trHeight w:val="463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6B250" w14:textId="77777777" w:rsidR="00836187" w:rsidRPr="004108EA" w:rsidRDefault="00836187" w:rsidP="004108EA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3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384CC" w14:textId="77777777" w:rsidR="00836187" w:rsidRPr="004108EA" w:rsidRDefault="00C22C1E" w:rsidP="000E08BE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 izpildes ietekme uz pārvaldes funkcijām un institucionālo struktūru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A68DD" w14:textId="77777777" w:rsidR="00836187" w:rsidRPr="004108EA" w:rsidRDefault="00EB5F49" w:rsidP="00935936">
            <w:pPr>
              <w:spacing w:before="100" w:beforeAutospacing="1" w:after="100" w:afterAutospacing="1" w:line="40" w:lineRule="atLeast"/>
              <w:ind w:left="149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projekts</w:t>
            </w:r>
            <w:r w:rsidR="00836187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neietekmēs V</w:t>
            </w:r>
            <w:r w:rsidR="00993F64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alsts ieņēmumu dienesta </w:t>
            </w:r>
            <w:r w:rsidR="00836187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funkcijas un uzdevumus</w:t>
            </w:r>
          </w:p>
        </w:tc>
      </w:tr>
      <w:tr w:rsidR="00836187" w:rsidRPr="004108EA" w14:paraId="458ED95B" w14:textId="77777777" w:rsidTr="008A318B">
        <w:trPr>
          <w:trHeight w:val="442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E4266" w14:textId="77777777" w:rsidR="00836187" w:rsidRPr="004108EA" w:rsidRDefault="00C02D80" w:rsidP="004108EA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</w:t>
            </w:r>
            <w:r w:rsidR="00836187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60F68" w14:textId="77777777" w:rsidR="00836187" w:rsidRPr="004108EA" w:rsidRDefault="00836187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9E623" w14:textId="77777777" w:rsidR="00836187" w:rsidRPr="004108EA" w:rsidRDefault="009A0DD2" w:rsidP="008E488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902F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C6831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4354FA7" w14:textId="6B817D83" w:rsidR="00A672E0" w:rsidRPr="004108EA" w:rsidRDefault="00A672E0" w:rsidP="00670E79">
      <w:pPr>
        <w:spacing w:before="100" w:beforeAutospacing="1" w:after="100" w:afterAutospacing="1" w:line="40" w:lineRule="atLeast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108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Anotācijas </w:t>
      </w:r>
      <w:r w:rsidR="00BF4463" w:rsidRPr="004108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4108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</w:t>
      </w:r>
      <w:r w:rsidR="008A318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</w:t>
      </w:r>
      <w:r w:rsidR="00024B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C117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</w:t>
      </w:r>
      <w:r w:rsidR="00070992" w:rsidRPr="004108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F4463" w:rsidRPr="004108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sadaļ</w:t>
      </w:r>
      <w:r w:rsidR="00987DE1" w:rsidRPr="004108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 – projekts šīs jomas neskar.</w:t>
      </w:r>
      <w:r w:rsidR="00670E79" w:rsidRPr="004108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5C3D7A1B" w14:textId="77777777" w:rsidR="001C33A0" w:rsidRPr="004108EA" w:rsidRDefault="001C33A0" w:rsidP="00B446E0">
      <w:pPr>
        <w:tabs>
          <w:tab w:val="left" w:pos="6804"/>
          <w:tab w:val="left" w:pos="7088"/>
          <w:tab w:val="left" w:pos="7371"/>
        </w:tabs>
        <w:spacing w:before="100" w:beforeAutospacing="1" w:after="100" w:afterAutospacing="1" w:line="40" w:lineRule="atLeast"/>
        <w:ind w:left="0" w:right="-625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3EDBE3" w14:textId="77B72883" w:rsidR="00712074" w:rsidRDefault="00E04202" w:rsidP="00712074">
      <w:pPr>
        <w:tabs>
          <w:tab w:val="left" w:pos="6804"/>
          <w:tab w:val="left" w:pos="7088"/>
          <w:tab w:val="left" w:pos="7371"/>
        </w:tabs>
        <w:spacing w:after="0"/>
        <w:ind w:left="0" w:right="-624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8EA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 ministr</w:t>
      </w:r>
      <w:r w:rsidR="00712074">
        <w:rPr>
          <w:rFonts w:ascii="Times New Roman" w:eastAsia="Times New Roman" w:hAnsi="Times New Roman" w:cs="Times New Roman"/>
          <w:sz w:val="24"/>
          <w:szCs w:val="24"/>
          <w:lang w:eastAsia="lv-LV"/>
        </w:rPr>
        <w:t>a p.i.</w:t>
      </w:r>
    </w:p>
    <w:p w14:paraId="3D823FBE" w14:textId="371479B1" w:rsidR="00E04202" w:rsidRPr="004108EA" w:rsidRDefault="00FE5696" w:rsidP="00712074">
      <w:pPr>
        <w:tabs>
          <w:tab w:val="left" w:pos="6804"/>
          <w:tab w:val="left" w:pos="7088"/>
          <w:tab w:val="left" w:pos="7371"/>
        </w:tabs>
        <w:spacing w:after="100" w:afterAutospacing="1"/>
        <w:ind w:left="0" w:right="-624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712074">
        <w:rPr>
          <w:rFonts w:ascii="Times New Roman" w:eastAsia="Times New Roman" w:hAnsi="Times New Roman" w:cs="Times New Roman"/>
          <w:sz w:val="24"/>
          <w:szCs w:val="24"/>
          <w:lang w:eastAsia="lv-LV"/>
        </w:rPr>
        <w:t>ekšlietu ministrs</w:t>
      </w:r>
      <w:r w:rsidR="00757DB4" w:rsidRPr="004108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57DB4" w:rsidRPr="004108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57DB4" w:rsidRPr="004108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12074">
        <w:rPr>
          <w:rFonts w:ascii="Times New Roman" w:eastAsia="Times New Roman" w:hAnsi="Times New Roman" w:cs="Times New Roman"/>
          <w:sz w:val="24"/>
          <w:szCs w:val="24"/>
          <w:lang w:eastAsia="lv-LV"/>
        </w:rPr>
        <w:t>R.Kozlovskis</w:t>
      </w:r>
    </w:p>
    <w:p w14:paraId="48D41F02" w14:textId="77777777" w:rsidR="00CE7312" w:rsidRPr="002D6161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0CB67868" w14:textId="40EE718B" w:rsidR="00145066" w:rsidRPr="00ED1550" w:rsidRDefault="00161470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ED7B90">
        <w:rPr>
          <w:rFonts w:ascii="Times New Roman" w:hAnsi="Times New Roman" w:cs="Times New Roman"/>
          <w:sz w:val="20"/>
          <w:szCs w:val="20"/>
        </w:rPr>
        <w:t>.07.</w:t>
      </w:r>
      <w:r w:rsidR="00286ACF" w:rsidRPr="00ED1550">
        <w:rPr>
          <w:rFonts w:ascii="Times New Roman" w:hAnsi="Times New Roman" w:cs="Times New Roman"/>
          <w:sz w:val="20"/>
          <w:szCs w:val="20"/>
        </w:rPr>
        <w:t>201</w:t>
      </w:r>
      <w:r w:rsidR="00A739B7">
        <w:rPr>
          <w:rFonts w:ascii="Times New Roman" w:hAnsi="Times New Roman" w:cs="Times New Roman"/>
          <w:sz w:val="20"/>
          <w:szCs w:val="20"/>
        </w:rPr>
        <w:t>5</w:t>
      </w:r>
      <w:r w:rsidR="00286ACF" w:rsidRPr="00ED1550">
        <w:rPr>
          <w:rFonts w:ascii="Times New Roman" w:hAnsi="Times New Roman" w:cs="Times New Roman"/>
          <w:sz w:val="20"/>
          <w:szCs w:val="20"/>
        </w:rPr>
        <w:t xml:space="preserve">. </w:t>
      </w:r>
      <w:r w:rsidR="009847EF">
        <w:rPr>
          <w:rFonts w:ascii="Times New Roman" w:hAnsi="Times New Roman" w:cs="Times New Roman"/>
          <w:sz w:val="20"/>
          <w:szCs w:val="20"/>
        </w:rPr>
        <w:t>1</w:t>
      </w:r>
      <w:r w:rsidR="00A739B7">
        <w:rPr>
          <w:rFonts w:ascii="Times New Roman" w:hAnsi="Times New Roman" w:cs="Times New Roman"/>
          <w:sz w:val="20"/>
          <w:szCs w:val="20"/>
        </w:rPr>
        <w:t>0</w:t>
      </w:r>
      <w:r w:rsidR="00286ACF" w:rsidRPr="00ED1550">
        <w:rPr>
          <w:rFonts w:ascii="Times New Roman" w:hAnsi="Times New Roman" w:cs="Times New Roman"/>
          <w:sz w:val="20"/>
          <w:szCs w:val="20"/>
        </w:rPr>
        <w:t>:</w:t>
      </w:r>
      <w:r w:rsidR="009847EF">
        <w:rPr>
          <w:rFonts w:ascii="Times New Roman" w:hAnsi="Times New Roman" w:cs="Times New Roman"/>
          <w:sz w:val="20"/>
          <w:szCs w:val="20"/>
        </w:rPr>
        <w:t>00</w:t>
      </w:r>
    </w:p>
    <w:p w14:paraId="4F35D7BE" w14:textId="3BD8B016" w:rsidR="00F8765B" w:rsidRPr="00ED1550" w:rsidRDefault="0078272B" w:rsidP="00456C1B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1003</w:t>
      </w:r>
    </w:p>
    <w:p w14:paraId="5FA26312" w14:textId="77777777" w:rsidR="007D750C" w:rsidRPr="00ED1550" w:rsidRDefault="002C3097" w:rsidP="00456C1B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D1550">
        <w:rPr>
          <w:rFonts w:ascii="Times New Roman" w:eastAsia="Times New Roman" w:hAnsi="Times New Roman" w:cs="Times New Roman"/>
          <w:sz w:val="20"/>
          <w:szCs w:val="20"/>
          <w:lang w:eastAsia="lv-LV"/>
        </w:rPr>
        <w:t>J.Eberšteins</w:t>
      </w:r>
    </w:p>
    <w:p w14:paraId="73BF9B94" w14:textId="244C514A" w:rsidR="0097174A" w:rsidRPr="00ED1550" w:rsidRDefault="00ED1550" w:rsidP="00156451">
      <w:pPr>
        <w:spacing w:after="0" w:line="40" w:lineRule="atLeast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ED1550">
        <w:rPr>
          <w:rFonts w:ascii="Times New Roman" w:hAnsi="Times New Roman" w:cs="Times New Roman"/>
          <w:color w:val="000000"/>
          <w:sz w:val="20"/>
          <w:szCs w:val="20"/>
        </w:rPr>
        <w:t>6712101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2C3097" w:rsidRPr="00ED1550">
        <w:rPr>
          <w:rFonts w:ascii="Times New Roman" w:eastAsia="Times New Roman" w:hAnsi="Times New Roman" w:cs="Times New Roman"/>
          <w:sz w:val="20"/>
          <w:szCs w:val="20"/>
          <w:lang w:eastAsia="lv-LV"/>
        </w:rPr>
        <w:t>, janis</w:t>
      </w:r>
      <w:r w:rsidR="005D315F" w:rsidRPr="00ED1550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2C3097" w:rsidRPr="00ED1550">
        <w:rPr>
          <w:rFonts w:ascii="Times New Roman" w:eastAsia="Times New Roman" w:hAnsi="Times New Roman" w:cs="Times New Roman"/>
          <w:sz w:val="20"/>
          <w:szCs w:val="20"/>
          <w:lang w:eastAsia="lv-LV"/>
        </w:rPr>
        <w:t>ebersteins</w:t>
      </w:r>
      <w:r w:rsidR="007D750C" w:rsidRPr="00ED1550">
        <w:rPr>
          <w:rFonts w:ascii="Times New Roman" w:eastAsia="Times New Roman" w:hAnsi="Times New Roman" w:cs="Times New Roman"/>
          <w:sz w:val="20"/>
          <w:szCs w:val="20"/>
          <w:lang w:eastAsia="lv-LV"/>
        </w:rPr>
        <w:t>@</w:t>
      </w:r>
      <w:r w:rsidR="005D315F" w:rsidRPr="00ED1550">
        <w:rPr>
          <w:rFonts w:ascii="Times New Roman" w:eastAsia="Times New Roman" w:hAnsi="Times New Roman" w:cs="Times New Roman"/>
          <w:sz w:val="20"/>
          <w:szCs w:val="20"/>
          <w:lang w:eastAsia="lv-LV"/>
        </w:rPr>
        <w:t>vid.</w:t>
      </w:r>
      <w:r w:rsidR="007D750C" w:rsidRPr="00ED1550">
        <w:rPr>
          <w:rFonts w:ascii="Times New Roman" w:eastAsia="Times New Roman" w:hAnsi="Times New Roman" w:cs="Times New Roman"/>
          <w:sz w:val="20"/>
          <w:szCs w:val="20"/>
          <w:lang w:eastAsia="lv-LV"/>
        </w:rPr>
        <w:t>gov.lv</w:t>
      </w:r>
    </w:p>
    <w:sectPr w:rsidR="0097174A" w:rsidRPr="00ED1550" w:rsidSect="00E32302">
      <w:headerReference w:type="default" r:id="rId8"/>
      <w:footerReference w:type="default" r:id="rId9"/>
      <w:footerReference w:type="first" r:id="rId10"/>
      <w:pgSz w:w="11906" w:h="16838"/>
      <w:pgMar w:top="1440" w:right="1133" w:bottom="1440" w:left="1800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76BE1" w14:textId="77777777" w:rsidR="005D260D" w:rsidRDefault="005D260D" w:rsidP="003B0A1E">
      <w:pPr>
        <w:spacing w:after="0"/>
      </w:pPr>
      <w:r>
        <w:separator/>
      </w:r>
    </w:p>
  </w:endnote>
  <w:endnote w:type="continuationSeparator" w:id="0">
    <w:p w14:paraId="48783870" w14:textId="77777777" w:rsidR="005D260D" w:rsidRDefault="005D260D" w:rsidP="003B0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172D9" w14:textId="6728AF4F" w:rsidR="00DC6B52" w:rsidRPr="002E2B4C" w:rsidRDefault="00C76ABD" w:rsidP="002E2B4C">
    <w:pPr>
      <w:ind w:left="0"/>
      <w:rPr>
        <w:rFonts w:ascii="Times New Roman" w:hAnsi="Times New Roman" w:cs="Times New Roman"/>
        <w:sz w:val="20"/>
        <w:szCs w:val="20"/>
      </w:rPr>
    </w:pPr>
    <w:r w:rsidRPr="00C76ABD">
      <w:rPr>
        <w:rFonts w:ascii="Times New Roman" w:hAnsi="Times New Roman" w:cs="Times New Roman"/>
        <w:sz w:val="20"/>
        <w:szCs w:val="20"/>
      </w:rPr>
      <w:t>FMAnot_</w:t>
    </w:r>
    <w:r w:rsidR="00161470" w:rsidRPr="00161470">
      <w:rPr>
        <w:rFonts w:ascii="Times New Roman" w:hAnsi="Times New Roman"/>
        <w:sz w:val="20"/>
        <w:szCs w:val="20"/>
      </w:rPr>
      <w:t>240715_groz_731</w:t>
    </w:r>
    <w:r w:rsidR="00DC6B52">
      <w:rPr>
        <w:rFonts w:ascii="Times New Roman" w:hAnsi="Times New Roman" w:cs="Times New Roman"/>
        <w:sz w:val="20"/>
        <w:szCs w:val="20"/>
      </w:rPr>
      <w:t>; Ministru kabineta noteikumu projekta „</w:t>
    </w:r>
    <w:r w:rsidR="00DC6B52" w:rsidRPr="002E2B4C">
      <w:rPr>
        <w:rFonts w:ascii="Times New Roman" w:hAnsi="Times New Roman" w:cs="Times New Roman"/>
        <w:sz w:val="20"/>
        <w:szCs w:val="20"/>
      </w:rPr>
      <w:t>Grozījum</w:t>
    </w:r>
    <w:r w:rsidR="001B6A27">
      <w:rPr>
        <w:rFonts w:ascii="Times New Roman" w:hAnsi="Times New Roman" w:cs="Times New Roman"/>
        <w:sz w:val="20"/>
        <w:szCs w:val="20"/>
      </w:rPr>
      <w:t>s</w:t>
    </w:r>
    <w:r w:rsidR="00DC6B52" w:rsidRPr="002E2B4C">
      <w:rPr>
        <w:rFonts w:ascii="Times New Roman" w:hAnsi="Times New Roman" w:cs="Times New Roman"/>
        <w:sz w:val="20"/>
        <w:szCs w:val="20"/>
      </w:rPr>
      <w:t xml:space="preserve"> Ministru kabineta 2011.gada </w:t>
    </w:r>
    <w:r w:rsidR="00DC6B52">
      <w:rPr>
        <w:rFonts w:ascii="Times New Roman" w:hAnsi="Times New Roman" w:cs="Times New Roman"/>
        <w:sz w:val="20"/>
        <w:szCs w:val="20"/>
      </w:rPr>
      <w:t>27.septembra noteikumos Nr.731 „</w:t>
    </w:r>
    <w:r w:rsidR="00DC6B52" w:rsidRPr="002E2B4C">
      <w:rPr>
        <w:rFonts w:ascii="Times New Roman" w:hAnsi="Times New Roman" w:cs="Times New Roman"/>
        <w:bCs/>
        <w:sz w:val="20"/>
        <w:szCs w:val="20"/>
      </w:rPr>
      <w:t>Noteikumi par akcīzes preču apvienotā Kopienas tarifa (TARIC) nacionālajiem kodiem un to piemērošanas kārtību</w:t>
    </w:r>
    <w:r w:rsidR="00DC6B52" w:rsidRPr="002E2B4C">
      <w:rPr>
        <w:rFonts w:ascii="Times New Roman" w:hAnsi="Times New Roman" w:cs="Times New Roman"/>
        <w:sz w:val="20"/>
        <w:szCs w:val="20"/>
      </w:rPr>
      <w:t>”</w:t>
    </w:r>
    <w:r w:rsidR="00DC6B52">
      <w:rPr>
        <w:rFonts w:ascii="Times New Roman" w:hAnsi="Times New Roman" w:cs="Times New Roman"/>
        <w:sz w:val="20"/>
        <w:szCs w:val="20"/>
      </w:rPr>
      <w:t>”</w:t>
    </w:r>
    <w:r w:rsidR="00DC6B52" w:rsidRPr="002E2B4C">
      <w:rPr>
        <w:rFonts w:ascii="Times New Roman" w:hAnsi="Times New Roman" w:cs="Times New Roman"/>
        <w:sz w:val="20"/>
        <w:szCs w:val="20"/>
      </w:rPr>
      <w:t xml:space="preserve"> 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C2965" w14:textId="246BBAC1" w:rsidR="00DC6B52" w:rsidRPr="00161470" w:rsidRDefault="00C76ABD" w:rsidP="00241CAA">
    <w:pPr>
      <w:ind w:left="0"/>
      <w:rPr>
        <w:rFonts w:ascii="Times New Roman" w:hAnsi="Times New Roman" w:cs="Times New Roman"/>
        <w:sz w:val="20"/>
        <w:szCs w:val="20"/>
      </w:rPr>
    </w:pPr>
    <w:r w:rsidRPr="00161470">
      <w:rPr>
        <w:rFonts w:ascii="Times New Roman" w:hAnsi="Times New Roman" w:cs="Times New Roman"/>
        <w:sz w:val="20"/>
        <w:szCs w:val="20"/>
      </w:rPr>
      <w:t>FMAnot_</w:t>
    </w:r>
    <w:r w:rsidR="00161470" w:rsidRPr="00161470">
      <w:rPr>
        <w:rFonts w:ascii="Times New Roman" w:hAnsi="Times New Roman"/>
        <w:sz w:val="20"/>
        <w:szCs w:val="20"/>
      </w:rPr>
      <w:t>240715_groz_731</w:t>
    </w:r>
    <w:r w:rsidR="00DC6B52" w:rsidRPr="00161470">
      <w:rPr>
        <w:rFonts w:ascii="Times New Roman" w:hAnsi="Times New Roman" w:cs="Times New Roman"/>
        <w:sz w:val="20"/>
        <w:szCs w:val="20"/>
      </w:rPr>
      <w:t>; Ministru kabineta noteikumu projekta „Grozījum</w:t>
    </w:r>
    <w:r w:rsidR="001B6A27" w:rsidRPr="00161470">
      <w:rPr>
        <w:rFonts w:ascii="Times New Roman" w:hAnsi="Times New Roman" w:cs="Times New Roman"/>
        <w:sz w:val="20"/>
        <w:szCs w:val="20"/>
      </w:rPr>
      <w:t>s</w:t>
    </w:r>
    <w:r w:rsidR="00DC6B52" w:rsidRPr="00161470">
      <w:rPr>
        <w:rFonts w:ascii="Times New Roman" w:hAnsi="Times New Roman" w:cs="Times New Roman"/>
        <w:sz w:val="20"/>
        <w:szCs w:val="20"/>
      </w:rPr>
      <w:t xml:space="preserve"> Ministru kabineta 2011.gada 27.septembra noteikumos Nr.731 “</w:t>
    </w:r>
    <w:r w:rsidR="00DC6B52" w:rsidRPr="00161470">
      <w:rPr>
        <w:rFonts w:ascii="Times New Roman" w:hAnsi="Times New Roman" w:cs="Times New Roman"/>
        <w:bCs/>
        <w:sz w:val="20"/>
        <w:szCs w:val="20"/>
      </w:rPr>
      <w:t>Noteikumi par akcīzes preču apvienotā Kopienas tarifa (TARIC) nacionālajiem kodiem un to piemērošanas kārtību</w:t>
    </w:r>
    <w:r w:rsidR="00DC6B52" w:rsidRPr="00161470">
      <w:rPr>
        <w:rFonts w:ascii="Times New Roman" w:hAnsi="Times New Roman" w:cs="Times New Roman"/>
        <w:sz w:val="20"/>
        <w:szCs w:val="20"/>
      </w:rPr>
      <w:t>”” 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C8E97" w14:textId="77777777" w:rsidR="005D260D" w:rsidRDefault="005D260D" w:rsidP="003B0A1E">
      <w:pPr>
        <w:spacing w:after="0"/>
      </w:pPr>
      <w:r>
        <w:separator/>
      </w:r>
    </w:p>
  </w:footnote>
  <w:footnote w:type="continuationSeparator" w:id="0">
    <w:p w14:paraId="26ACE3BC" w14:textId="77777777" w:rsidR="005D260D" w:rsidRDefault="005D260D" w:rsidP="003B0A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86251"/>
      <w:docPartObj>
        <w:docPartGallery w:val="Page Numbers (Top of Page)"/>
        <w:docPartUnique/>
      </w:docPartObj>
    </w:sdtPr>
    <w:sdtEndPr/>
    <w:sdtContent>
      <w:p w14:paraId="7D6D5AAA" w14:textId="77777777" w:rsidR="00DC6B52" w:rsidRDefault="00DC6B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2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3C2690" w14:textId="77777777" w:rsidR="00DC6B52" w:rsidRDefault="00DC6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341A"/>
    <w:multiLevelType w:val="hybridMultilevel"/>
    <w:tmpl w:val="2B5029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3866"/>
    <w:multiLevelType w:val="hybridMultilevel"/>
    <w:tmpl w:val="3FE8134C"/>
    <w:lvl w:ilvl="0" w:tplc="DC0EC6E2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5" w:hanging="360"/>
      </w:pPr>
    </w:lvl>
    <w:lvl w:ilvl="2" w:tplc="0426001B" w:tentative="1">
      <w:start w:val="1"/>
      <w:numFmt w:val="lowerRoman"/>
      <w:lvlText w:val="%3."/>
      <w:lvlJc w:val="right"/>
      <w:pPr>
        <w:ind w:left="2075" w:hanging="180"/>
      </w:pPr>
    </w:lvl>
    <w:lvl w:ilvl="3" w:tplc="0426000F" w:tentative="1">
      <w:start w:val="1"/>
      <w:numFmt w:val="decimal"/>
      <w:lvlText w:val="%4."/>
      <w:lvlJc w:val="left"/>
      <w:pPr>
        <w:ind w:left="2795" w:hanging="360"/>
      </w:pPr>
    </w:lvl>
    <w:lvl w:ilvl="4" w:tplc="04260019" w:tentative="1">
      <w:start w:val="1"/>
      <w:numFmt w:val="lowerLetter"/>
      <w:lvlText w:val="%5."/>
      <w:lvlJc w:val="left"/>
      <w:pPr>
        <w:ind w:left="3515" w:hanging="360"/>
      </w:pPr>
    </w:lvl>
    <w:lvl w:ilvl="5" w:tplc="0426001B" w:tentative="1">
      <w:start w:val="1"/>
      <w:numFmt w:val="lowerRoman"/>
      <w:lvlText w:val="%6."/>
      <w:lvlJc w:val="right"/>
      <w:pPr>
        <w:ind w:left="4235" w:hanging="180"/>
      </w:pPr>
    </w:lvl>
    <w:lvl w:ilvl="6" w:tplc="0426000F" w:tentative="1">
      <w:start w:val="1"/>
      <w:numFmt w:val="decimal"/>
      <w:lvlText w:val="%7."/>
      <w:lvlJc w:val="left"/>
      <w:pPr>
        <w:ind w:left="4955" w:hanging="360"/>
      </w:pPr>
    </w:lvl>
    <w:lvl w:ilvl="7" w:tplc="04260019" w:tentative="1">
      <w:start w:val="1"/>
      <w:numFmt w:val="lowerLetter"/>
      <w:lvlText w:val="%8."/>
      <w:lvlJc w:val="left"/>
      <w:pPr>
        <w:ind w:left="5675" w:hanging="360"/>
      </w:pPr>
    </w:lvl>
    <w:lvl w:ilvl="8" w:tplc="0426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25B96009"/>
    <w:multiLevelType w:val="hybridMultilevel"/>
    <w:tmpl w:val="04F239DA"/>
    <w:lvl w:ilvl="0" w:tplc="C5C46D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106AC"/>
    <w:multiLevelType w:val="hybridMultilevel"/>
    <w:tmpl w:val="2B92F0BC"/>
    <w:lvl w:ilvl="0" w:tplc="D5EA12DE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D68D8"/>
    <w:multiLevelType w:val="hybridMultilevel"/>
    <w:tmpl w:val="C94CEC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1C5E"/>
    <w:multiLevelType w:val="hybridMultilevel"/>
    <w:tmpl w:val="368E569C"/>
    <w:lvl w:ilvl="0" w:tplc="4A0E4ACE">
      <w:start w:val="42"/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6">
    <w:nsid w:val="65762F32"/>
    <w:multiLevelType w:val="hybridMultilevel"/>
    <w:tmpl w:val="FACAB124"/>
    <w:lvl w:ilvl="0" w:tplc="C6B0C2C8">
      <w:numFmt w:val="bullet"/>
      <w:lvlText w:val="-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70"/>
    <w:rsid w:val="000015B0"/>
    <w:rsid w:val="00006251"/>
    <w:rsid w:val="00006E60"/>
    <w:rsid w:val="0001074A"/>
    <w:rsid w:val="00011472"/>
    <w:rsid w:val="0001413F"/>
    <w:rsid w:val="00014352"/>
    <w:rsid w:val="00016716"/>
    <w:rsid w:val="0001769E"/>
    <w:rsid w:val="00020FDD"/>
    <w:rsid w:val="00021D0B"/>
    <w:rsid w:val="00024B9B"/>
    <w:rsid w:val="00025396"/>
    <w:rsid w:val="00026F81"/>
    <w:rsid w:val="00027E5E"/>
    <w:rsid w:val="0003110D"/>
    <w:rsid w:val="00032486"/>
    <w:rsid w:val="00040544"/>
    <w:rsid w:val="0004072A"/>
    <w:rsid w:val="00041339"/>
    <w:rsid w:val="000432DC"/>
    <w:rsid w:val="000455CC"/>
    <w:rsid w:val="000466A2"/>
    <w:rsid w:val="00052345"/>
    <w:rsid w:val="00053AC7"/>
    <w:rsid w:val="00053C3D"/>
    <w:rsid w:val="00054DDF"/>
    <w:rsid w:val="0005520E"/>
    <w:rsid w:val="00055342"/>
    <w:rsid w:val="00056392"/>
    <w:rsid w:val="0006100D"/>
    <w:rsid w:val="00062599"/>
    <w:rsid w:val="00063C76"/>
    <w:rsid w:val="000642F6"/>
    <w:rsid w:val="00064612"/>
    <w:rsid w:val="0006671A"/>
    <w:rsid w:val="00066DD7"/>
    <w:rsid w:val="00070186"/>
    <w:rsid w:val="0007077A"/>
    <w:rsid w:val="00070992"/>
    <w:rsid w:val="00071DDB"/>
    <w:rsid w:val="00075AE3"/>
    <w:rsid w:val="000803AC"/>
    <w:rsid w:val="00081806"/>
    <w:rsid w:val="00082B1E"/>
    <w:rsid w:val="00082BE2"/>
    <w:rsid w:val="0008422E"/>
    <w:rsid w:val="00085163"/>
    <w:rsid w:val="00085C54"/>
    <w:rsid w:val="0008682D"/>
    <w:rsid w:val="00086C4E"/>
    <w:rsid w:val="00091396"/>
    <w:rsid w:val="0009378E"/>
    <w:rsid w:val="00094113"/>
    <w:rsid w:val="00096032"/>
    <w:rsid w:val="0009640D"/>
    <w:rsid w:val="0009673C"/>
    <w:rsid w:val="00096E55"/>
    <w:rsid w:val="00097A68"/>
    <w:rsid w:val="000A05CC"/>
    <w:rsid w:val="000A094D"/>
    <w:rsid w:val="000A3BCF"/>
    <w:rsid w:val="000A4766"/>
    <w:rsid w:val="000A573B"/>
    <w:rsid w:val="000B0BF5"/>
    <w:rsid w:val="000B1464"/>
    <w:rsid w:val="000B29AA"/>
    <w:rsid w:val="000B2A87"/>
    <w:rsid w:val="000B2BA5"/>
    <w:rsid w:val="000B3763"/>
    <w:rsid w:val="000B624E"/>
    <w:rsid w:val="000B7C36"/>
    <w:rsid w:val="000C30E6"/>
    <w:rsid w:val="000C32C9"/>
    <w:rsid w:val="000C3927"/>
    <w:rsid w:val="000C3E90"/>
    <w:rsid w:val="000C4036"/>
    <w:rsid w:val="000C54B0"/>
    <w:rsid w:val="000C79BC"/>
    <w:rsid w:val="000D2C98"/>
    <w:rsid w:val="000D45E6"/>
    <w:rsid w:val="000E08BE"/>
    <w:rsid w:val="000E0F24"/>
    <w:rsid w:val="000E208D"/>
    <w:rsid w:val="000E262F"/>
    <w:rsid w:val="000E3353"/>
    <w:rsid w:val="000E6DF8"/>
    <w:rsid w:val="000F0E77"/>
    <w:rsid w:val="000F17FF"/>
    <w:rsid w:val="000F3ADC"/>
    <w:rsid w:val="000F6B58"/>
    <w:rsid w:val="000F7BE7"/>
    <w:rsid w:val="00100644"/>
    <w:rsid w:val="001007FA"/>
    <w:rsid w:val="00101353"/>
    <w:rsid w:val="00101542"/>
    <w:rsid w:val="00102D96"/>
    <w:rsid w:val="00103E09"/>
    <w:rsid w:val="00105435"/>
    <w:rsid w:val="00107B6C"/>
    <w:rsid w:val="00107BF8"/>
    <w:rsid w:val="00110C0D"/>
    <w:rsid w:val="001171B7"/>
    <w:rsid w:val="001175D5"/>
    <w:rsid w:val="00117E73"/>
    <w:rsid w:val="00123847"/>
    <w:rsid w:val="00124328"/>
    <w:rsid w:val="00124882"/>
    <w:rsid w:val="00136347"/>
    <w:rsid w:val="00136854"/>
    <w:rsid w:val="00136A66"/>
    <w:rsid w:val="00140606"/>
    <w:rsid w:val="001428D1"/>
    <w:rsid w:val="00142C3D"/>
    <w:rsid w:val="00144589"/>
    <w:rsid w:val="001447CA"/>
    <w:rsid w:val="00145066"/>
    <w:rsid w:val="00145BC2"/>
    <w:rsid w:val="00146A84"/>
    <w:rsid w:val="00146D2C"/>
    <w:rsid w:val="0014798E"/>
    <w:rsid w:val="0015262B"/>
    <w:rsid w:val="00153025"/>
    <w:rsid w:val="001531F2"/>
    <w:rsid w:val="0015424F"/>
    <w:rsid w:val="00154D04"/>
    <w:rsid w:val="001560D7"/>
    <w:rsid w:val="00156451"/>
    <w:rsid w:val="001566F5"/>
    <w:rsid w:val="001600BC"/>
    <w:rsid w:val="00161470"/>
    <w:rsid w:val="0016210B"/>
    <w:rsid w:val="00162333"/>
    <w:rsid w:val="0016243A"/>
    <w:rsid w:val="0016418B"/>
    <w:rsid w:val="00164545"/>
    <w:rsid w:val="00167BF2"/>
    <w:rsid w:val="00167D58"/>
    <w:rsid w:val="00171A50"/>
    <w:rsid w:val="00173D17"/>
    <w:rsid w:val="001741BA"/>
    <w:rsid w:val="0017545C"/>
    <w:rsid w:val="00176B35"/>
    <w:rsid w:val="00180440"/>
    <w:rsid w:val="00183ABA"/>
    <w:rsid w:val="00184216"/>
    <w:rsid w:val="00186231"/>
    <w:rsid w:val="0019616B"/>
    <w:rsid w:val="00196699"/>
    <w:rsid w:val="00196C75"/>
    <w:rsid w:val="001A33BD"/>
    <w:rsid w:val="001A79B3"/>
    <w:rsid w:val="001B238A"/>
    <w:rsid w:val="001B36B5"/>
    <w:rsid w:val="001B4708"/>
    <w:rsid w:val="001B50C6"/>
    <w:rsid w:val="001B514E"/>
    <w:rsid w:val="001B6A27"/>
    <w:rsid w:val="001C0AFC"/>
    <w:rsid w:val="001C2FFC"/>
    <w:rsid w:val="001C33A0"/>
    <w:rsid w:val="001C5CE6"/>
    <w:rsid w:val="001C7139"/>
    <w:rsid w:val="001C76EF"/>
    <w:rsid w:val="001D1731"/>
    <w:rsid w:val="001D5918"/>
    <w:rsid w:val="001E0C45"/>
    <w:rsid w:val="001E4F4E"/>
    <w:rsid w:val="001E5976"/>
    <w:rsid w:val="001F046C"/>
    <w:rsid w:val="001F249E"/>
    <w:rsid w:val="001F3523"/>
    <w:rsid w:val="001F4EFB"/>
    <w:rsid w:val="001F54B3"/>
    <w:rsid w:val="001F658F"/>
    <w:rsid w:val="001F6D21"/>
    <w:rsid w:val="001F77B4"/>
    <w:rsid w:val="00200C53"/>
    <w:rsid w:val="00201A4D"/>
    <w:rsid w:val="00202927"/>
    <w:rsid w:val="0020295D"/>
    <w:rsid w:val="002078C5"/>
    <w:rsid w:val="00207D4F"/>
    <w:rsid w:val="00212388"/>
    <w:rsid w:val="00212DF2"/>
    <w:rsid w:val="00213214"/>
    <w:rsid w:val="00215DFB"/>
    <w:rsid w:val="002168EA"/>
    <w:rsid w:val="00216F28"/>
    <w:rsid w:val="0021754D"/>
    <w:rsid w:val="00217C38"/>
    <w:rsid w:val="00220B8F"/>
    <w:rsid w:val="00221224"/>
    <w:rsid w:val="002227CB"/>
    <w:rsid w:val="00223646"/>
    <w:rsid w:val="00227178"/>
    <w:rsid w:val="0023067C"/>
    <w:rsid w:val="002308C7"/>
    <w:rsid w:val="00233436"/>
    <w:rsid w:val="002334D5"/>
    <w:rsid w:val="00233E8D"/>
    <w:rsid w:val="00233E8E"/>
    <w:rsid w:val="00234EE2"/>
    <w:rsid w:val="002352B9"/>
    <w:rsid w:val="00240067"/>
    <w:rsid w:val="002402E4"/>
    <w:rsid w:val="00240933"/>
    <w:rsid w:val="00240A17"/>
    <w:rsid w:val="00241038"/>
    <w:rsid w:val="00241CAA"/>
    <w:rsid w:val="0024350A"/>
    <w:rsid w:val="00246B36"/>
    <w:rsid w:val="0024715B"/>
    <w:rsid w:val="00250202"/>
    <w:rsid w:val="002522D4"/>
    <w:rsid w:val="0025288E"/>
    <w:rsid w:val="0025371B"/>
    <w:rsid w:val="00254D23"/>
    <w:rsid w:val="002574C6"/>
    <w:rsid w:val="00257EC0"/>
    <w:rsid w:val="0026022E"/>
    <w:rsid w:val="00261BD4"/>
    <w:rsid w:val="002624DD"/>
    <w:rsid w:val="00262C51"/>
    <w:rsid w:val="002633EF"/>
    <w:rsid w:val="00266487"/>
    <w:rsid w:val="002672A9"/>
    <w:rsid w:val="002674DE"/>
    <w:rsid w:val="002728F2"/>
    <w:rsid w:val="00276147"/>
    <w:rsid w:val="00280DC0"/>
    <w:rsid w:val="00281396"/>
    <w:rsid w:val="00281C39"/>
    <w:rsid w:val="0028428E"/>
    <w:rsid w:val="00284C81"/>
    <w:rsid w:val="00285224"/>
    <w:rsid w:val="00285B54"/>
    <w:rsid w:val="00286ACF"/>
    <w:rsid w:val="00290545"/>
    <w:rsid w:val="0029066D"/>
    <w:rsid w:val="0029116E"/>
    <w:rsid w:val="002927A9"/>
    <w:rsid w:val="00292AC0"/>
    <w:rsid w:val="002930E7"/>
    <w:rsid w:val="002932D1"/>
    <w:rsid w:val="0029537B"/>
    <w:rsid w:val="002970F7"/>
    <w:rsid w:val="00297830"/>
    <w:rsid w:val="002A1D04"/>
    <w:rsid w:val="002A319B"/>
    <w:rsid w:val="002A3474"/>
    <w:rsid w:val="002A3FD8"/>
    <w:rsid w:val="002A5506"/>
    <w:rsid w:val="002A5DF2"/>
    <w:rsid w:val="002A7477"/>
    <w:rsid w:val="002B2ADE"/>
    <w:rsid w:val="002B3AF9"/>
    <w:rsid w:val="002B5591"/>
    <w:rsid w:val="002B55E6"/>
    <w:rsid w:val="002B60F5"/>
    <w:rsid w:val="002C0425"/>
    <w:rsid w:val="002C0A46"/>
    <w:rsid w:val="002C0D2E"/>
    <w:rsid w:val="002C2F0E"/>
    <w:rsid w:val="002C3097"/>
    <w:rsid w:val="002C3D74"/>
    <w:rsid w:val="002C4963"/>
    <w:rsid w:val="002C665C"/>
    <w:rsid w:val="002D10FE"/>
    <w:rsid w:val="002D3734"/>
    <w:rsid w:val="002D5599"/>
    <w:rsid w:val="002D6161"/>
    <w:rsid w:val="002D6F64"/>
    <w:rsid w:val="002D712A"/>
    <w:rsid w:val="002D7DCA"/>
    <w:rsid w:val="002E02D2"/>
    <w:rsid w:val="002E1022"/>
    <w:rsid w:val="002E18AE"/>
    <w:rsid w:val="002E2A8C"/>
    <w:rsid w:val="002E2B4C"/>
    <w:rsid w:val="002E469D"/>
    <w:rsid w:val="002E7084"/>
    <w:rsid w:val="002E73A3"/>
    <w:rsid w:val="002E742E"/>
    <w:rsid w:val="002F0097"/>
    <w:rsid w:val="002F3C2A"/>
    <w:rsid w:val="002F4B42"/>
    <w:rsid w:val="002F5294"/>
    <w:rsid w:val="002F7889"/>
    <w:rsid w:val="0030025E"/>
    <w:rsid w:val="00302B00"/>
    <w:rsid w:val="00304764"/>
    <w:rsid w:val="0030479D"/>
    <w:rsid w:val="00304EC6"/>
    <w:rsid w:val="003069BB"/>
    <w:rsid w:val="00306BA2"/>
    <w:rsid w:val="003073F3"/>
    <w:rsid w:val="00307685"/>
    <w:rsid w:val="0031215B"/>
    <w:rsid w:val="00313DD0"/>
    <w:rsid w:val="00314FD7"/>
    <w:rsid w:val="003153FD"/>
    <w:rsid w:val="00316030"/>
    <w:rsid w:val="00316D9E"/>
    <w:rsid w:val="0032014A"/>
    <w:rsid w:val="00322E4F"/>
    <w:rsid w:val="00323F1A"/>
    <w:rsid w:val="0033269B"/>
    <w:rsid w:val="00332F21"/>
    <w:rsid w:val="00333667"/>
    <w:rsid w:val="00334621"/>
    <w:rsid w:val="003407E5"/>
    <w:rsid w:val="00340A83"/>
    <w:rsid w:val="00341FDE"/>
    <w:rsid w:val="00343850"/>
    <w:rsid w:val="00345745"/>
    <w:rsid w:val="00346AE0"/>
    <w:rsid w:val="00347A37"/>
    <w:rsid w:val="003503B8"/>
    <w:rsid w:val="00351020"/>
    <w:rsid w:val="003527F8"/>
    <w:rsid w:val="00353957"/>
    <w:rsid w:val="0035496B"/>
    <w:rsid w:val="003562AF"/>
    <w:rsid w:val="00356689"/>
    <w:rsid w:val="00365978"/>
    <w:rsid w:val="00365DF2"/>
    <w:rsid w:val="00366413"/>
    <w:rsid w:val="003677B2"/>
    <w:rsid w:val="00367A5D"/>
    <w:rsid w:val="0037077D"/>
    <w:rsid w:val="00371917"/>
    <w:rsid w:val="00371A60"/>
    <w:rsid w:val="0037378B"/>
    <w:rsid w:val="00374251"/>
    <w:rsid w:val="0037544A"/>
    <w:rsid w:val="00376C04"/>
    <w:rsid w:val="003770DD"/>
    <w:rsid w:val="003770E1"/>
    <w:rsid w:val="00377389"/>
    <w:rsid w:val="00380F42"/>
    <w:rsid w:val="0038166F"/>
    <w:rsid w:val="0038206D"/>
    <w:rsid w:val="00385895"/>
    <w:rsid w:val="00385C57"/>
    <w:rsid w:val="003862DA"/>
    <w:rsid w:val="003868F2"/>
    <w:rsid w:val="00386908"/>
    <w:rsid w:val="003873CB"/>
    <w:rsid w:val="00387C2B"/>
    <w:rsid w:val="00393E3E"/>
    <w:rsid w:val="00394693"/>
    <w:rsid w:val="00394CFF"/>
    <w:rsid w:val="00395096"/>
    <w:rsid w:val="00395307"/>
    <w:rsid w:val="00395D3D"/>
    <w:rsid w:val="003975DF"/>
    <w:rsid w:val="0039791C"/>
    <w:rsid w:val="003A0C55"/>
    <w:rsid w:val="003A0CF8"/>
    <w:rsid w:val="003A2FEC"/>
    <w:rsid w:val="003A4836"/>
    <w:rsid w:val="003A48CC"/>
    <w:rsid w:val="003A6D80"/>
    <w:rsid w:val="003B0A1E"/>
    <w:rsid w:val="003B196C"/>
    <w:rsid w:val="003B3A42"/>
    <w:rsid w:val="003B3CCA"/>
    <w:rsid w:val="003B720D"/>
    <w:rsid w:val="003C0A05"/>
    <w:rsid w:val="003C0DEC"/>
    <w:rsid w:val="003C116F"/>
    <w:rsid w:val="003C1D19"/>
    <w:rsid w:val="003C5C90"/>
    <w:rsid w:val="003C62FD"/>
    <w:rsid w:val="003C74FD"/>
    <w:rsid w:val="003D0EE4"/>
    <w:rsid w:val="003D0F6A"/>
    <w:rsid w:val="003D7E8C"/>
    <w:rsid w:val="003E1B62"/>
    <w:rsid w:val="003E21F9"/>
    <w:rsid w:val="003E55A8"/>
    <w:rsid w:val="003F0903"/>
    <w:rsid w:val="003F47AE"/>
    <w:rsid w:val="003F4905"/>
    <w:rsid w:val="003F5366"/>
    <w:rsid w:val="003F5B02"/>
    <w:rsid w:val="003F63B1"/>
    <w:rsid w:val="0040075F"/>
    <w:rsid w:val="0040143E"/>
    <w:rsid w:val="00401FF6"/>
    <w:rsid w:val="0040354D"/>
    <w:rsid w:val="00404BEC"/>
    <w:rsid w:val="004052FF"/>
    <w:rsid w:val="0040543F"/>
    <w:rsid w:val="004061B2"/>
    <w:rsid w:val="00406B05"/>
    <w:rsid w:val="0040753A"/>
    <w:rsid w:val="00407E46"/>
    <w:rsid w:val="00407F01"/>
    <w:rsid w:val="0041017F"/>
    <w:rsid w:val="004108EA"/>
    <w:rsid w:val="00412402"/>
    <w:rsid w:val="00413FA9"/>
    <w:rsid w:val="00414A8B"/>
    <w:rsid w:val="00414FEE"/>
    <w:rsid w:val="00415D55"/>
    <w:rsid w:val="00416ABD"/>
    <w:rsid w:val="0041746F"/>
    <w:rsid w:val="004205AD"/>
    <w:rsid w:val="00420C2A"/>
    <w:rsid w:val="004215F7"/>
    <w:rsid w:val="00423709"/>
    <w:rsid w:val="00423FD7"/>
    <w:rsid w:val="004248AC"/>
    <w:rsid w:val="00424CCB"/>
    <w:rsid w:val="004256D7"/>
    <w:rsid w:val="00435971"/>
    <w:rsid w:val="004378AA"/>
    <w:rsid w:val="0044052A"/>
    <w:rsid w:val="004418EF"/>
    <w:rsid w:val="00444800"/>
    <w:rsid w:val="00444DA2"/>
    <w:rsid w:val="004452FC"/>
    <w:rsid w:val="00445CD9"/>
    <w:rsid w:val="004478E6"/>
    <w:rsid w:val="00451AF3"/>
    <w:rsid w:val="004534A5"/>
    <w:rsid w:val="004534FD"/>
    <w:rsid w:val="00456C1B"/>
    <w:rsid w:val="00463812"/>
    <w:rsid w:val="004641D4"/>
    <w:rsid w:val="00465369"/>
    <w:rsid w:val="004658E3"/>
    <w:rsid w:val="0046650E"/>
    <w:rsid w:val="004676C3"/>
    <w:rsid w:val="004727F5"/>
    <w:rsid w:val="00473007"/>
    <w:rsid w:val="00475A91"/>
    <w:rsid w:val="00476455"/>
    <w:rsid w:val="00481998"/>
    <w:rsid w:val="004858F1"/>
    <w:rsid w:val="00485FB6"/>
    <w:rsid w:val="00490599"/>
    <w:rsid w:val="00492D0D"/>
    <w:rsid w:val="00492F40"/>
    <w:rsid w:val="004954F4"/>
    <w:rsid w:val="00497199"/>
    <w:rsid w:val="004A0401"/>
    <w:rsid w:val="004A0D08"/>
    <w:rsid w:val="004A13E6"/>
    <w:rsid w:val="004A1D10"/>
    <w:rsid w:val="004A218F"/>
    <w:rsid w:val="004A246A"/>
    <w:rsid w:val="004A61DB"/>
    <w:rsid w:val="004A6B56"/>
    <w:rsid w:val="004A773E"/>
    <w:rsid w:val="004B084A"/>
    <w:rsid w:val="004B2071"/>
    <w:rsid w:val="004B2DE4"/>
    <w:rsid w:val="004B2DFA"/>
    <w:rsid w:val="004B3BAB"/>
    <w:rsid w:val="004B4AAF"/>
    <w:rsid w:val="004B7E6E"/>
    <w:rsid w:val="004D079F"/>
    <w:rsid w:val="004D13EA"/>
    <w:rsid w:val="004D319B"/>
    <w:rsid w:val="004D42FE"/>
    <w:rsid w:val="004D49CE"/>
    <w:rsid w:val="004D4FC9"/>
    <w:rsid w:val="004D6EE6"/>
    <w:rsid w:val="004E38E3"/>
    <w:rsid w:val="004E3A9C"/>
    <w:rsid w:val="004E42F1"/>
    <w:rsid w:val="004E4ED0"/>
    <w:rsid w:val="004E5205"/>
    <w:rsid w:val="004E59DC"/>
    <w:rsid w:val="004E70CB"/>
    <w:rsid w:val="004E7CC9"/>
    <w:rsid w:val="004F2CF1"/>
    <w:rsid w:val="004F40BF"/>
    <w:rsid w:val="004F46D0"/>
    <w:rsid w:val="004F5F66"/>
    <w:rsid w:val="00501916"/>
    <w:rsid w:val="00505801"/>
    <w:rsid w:val="005107C2"/>
    <w:rsid w:val="00512D0C"/>
    <w:rsid w:val="00513CB4"/>
    <w:rsid w:val="00516D0D"/>
    <w:rsid w:val="005172D1"/>
    <w:rsid w:val="0052471D"/>
    <w:rsid w:val="00525B3E"/>
    <w:rsid w:val="00526145"/>
    <w:rsid w:val="00526592"/>
    <w:rsid w:val="00526C44"/>
    <w:rsid w:val="00534D46"/>
    <w:rsid w:val="005358A6"/>
    <w:rsid w:val="00535B2C"/>
    <w:rsid w:val="00541347"/>
    <w:rsid w:val="00541F04"/>
    <w:rsid w:val="0054250A"/>
    <w:rsid w:val="005477A6"/>
    <w:rsid w:val="00551798"/>
    <w:rsid w:val="005554A4"/>
    <w:rsid w:val="00555BC8"/>
    <w:rsid w:val="00561806"/>
    <w:rsid w:val="00563436"/>
    <w:rsid w:val="00564DD3"/>
    <w:rsid w:val="00565BA7"/>
    <w:rsid w:val="00566021"/>
    <w:rsid w:val="00566E9B"/>
    <w:rsid w:val="005713BB"/>
    <w:rsid w:val="00572784"/>
    <w:rsid w:val="00572C7A"/>
    <w:rsid w:val="005735ED"/>
    <w:rsid w:val="005751F3"/>
    <w:rsid w:val="00575E29"/>
    <w:rsid w:val="00575F4D"/>
    <w:rsid w:val="00577952"/>
    <w:rsid w:val="005808DA"/>
    <w:rsid w:val="00582354"/>
    <w:rsid w:val="00586503"/>
    <w:rsid w:val="005870D5"/>
    <w:rsid w:val="00587441"/>
    <w:rsid w:val="00590F8D"/>
    <w:rsid w:val="00591750"/>
    <w:rsid w:val="00591BA4"/>
    <w:rsid w:val="00592C65"/>
    <w:rsid w:val="005938F0"/>
    <w:rsid w:val="005940FD"/>
    <w:rsid w:val="00594ECA"/>
    <w:rsid w:val="00596772"/>
    <w:rsid w:val="00597A01"/>
    <w:rsid w:val="005A0ECD"/>
    <w:rsid w:val="005A10C4"/>
    <w:rsid w:val="005A2614"/>
    <w:rsid w:val="005A2AC1"/>
    <w:rsid w:val="005A6D2D"/>
    <w:rsid w:val="005A79E1"/>
    <w:rsid w:val="005B0DE6"/>
    <w:rsid w:val="005B3604"/>
    <w:rsid w:val="005B3F4F"/>
    <w:rsid w:val="005B57D5"/>
    <w:rsid w:val="005B793B"/>
    <w:rsid w:val="005C4085"/>
    <w:rsid w:val="005C41A4"/>
    <w:rsid w:val="005C4939"/>
    <w:rsid w:val="005C4B5B"/>
    <w:rsid w:val="005C5709"/>
    <w:rsid w:val="005C6625"/>
    <w:rsid w:val="005C6818"/>
    <w:rsid w:val="005C6ADC"/>
    <w:rsid w:val="005C6F43"/>
    <w:rsid w:val="005C775B"/>
    <w:rsid w:val="005D05B1"/>
    <w:rsid w:val="005D260D"/>
    <w:rsid w:val="005D2987"/>
    <w:rsid w:val="005D2C81"/>
    <w:rsid w:val="005D315F"/>
    <w:rsid w:val="005D378E"/>
    <w:rsid w:val="005D4A18"/>
    <w:rsid w:val="005D67F6"/>
    <w:rsid w:val="005E15DC"/>
    <w:rsid w:val="005F6683"/>
    <w:rsid w:val="005F6E5A"/>
    <w:rsid w:val="005F7CD2"/>
    <w:rsid w:val="00603101"/>
    <w:rsid w:val="00603C63"/>
    <w:rsid w:val="0060691F"/>
    <w:rsid w:val="00606B64"/>
    <w:rsid w:val="00607794"/>
    <w:rsid w:val="0060791D"/>
    <w:rsid w:val="00607E84"/>
    <w:rsid w:val="00611A09"/>
    <w:rsid w:val="00614A4E"/>
    <w:rsid w:val="00614EE3"/>
    <w:rsid w:val="006156FB"/>
    <w:rsid w:val="00615CD4"/>
    <w:rsid w:val="00617140"/>
    <w:rsid w:val="006173DB"/>
    <w:rsid w:val="00617DD3"/>
    <w:rsid w:val="00622CDC"/>
    <w:rsid w:val="00624D1C"/>
    <w:rsid w:val="0062520B"/>
    <w:rsid w:val="00625653"/>
    <w:rsid w:val="00632352"/>
    <w:rsid w:val="00632E2F"/>
    <w:rsid w:val="00633309"/>
    <w:rsid w:val="00634539"/>
    <w:rsid w:val="0063594D"/>
    <w:rsid w:val="006361D2"/>
    <w:rsid w:val="0063732D"/>
    <w:rsid w:val="00640D66"/>
    <w:rsid w:val="0064324D"/>
    <w:rsid w:val="006436AF"/>
    <w:rsid w:val="00643A5A"/>
    <w:rsid w:val="00643BC9"/>
    <w:rsid w:val="0064750B"/>
    <w:rsid w:val="00652DC6"/>
    <w:rsid w:val="006539EA"/>
    <w:rsid w:val="006568F3"/>
    <w:rsid w:val="00661236"/>
    <w:rsid w:val="006620CB"/>
    <w:rsid w:val="006630ED"/>
    <w:rsid w:val="00664F09"/>
    <w:rsid w:val="00670BC8"/>
    <w:rsid w:val="00670E79"/>
    <w:rsid w:val="00671969"/>
    <w:rsid w:val="00672CED"/>
    <w:rsid w:val="006743CE"/>
    <w:rsid w:val="006758A0"/>
    <w:rsid w:val="006766DF"/>
    <w:rsid w:val="00680F60"/>
    <w:rsid w:val="00683B03"/>
    <w:rsid w:val="00685905"/>
    <w:rsid w:val="0068776E"/>
    <w:rsid w:val="006912C8"/>
    <w:rsid w:val="00692697"/>
    <w:rsid w:val="00694472"/>
    <w:rsid w:val="006968FF"/>
    <w:rsid w:val="006977F2"/>
    <w:rsid w:val="006A02DF"/>
    <w:rsid w:val="006A1643"/>
    <w:rsid w:val="006A2EF9"/>
    <w:rsid w:val="006A3553"/>
    <w:rsid w:val="006A3C8F"/>
    <w:rsid w:val="006A479A"/>
    <w:rsid w:val="006A6C71"/>
    <w:rsid w:val="006A7DC3"/>
    <w:rsid w:val="006B2047"/>
    <w:rsid w:val="006B25A4"/>
    <w:rsid w:val="006B40A0"/>
    <w:rsid w:val="006B65F2"/>
    <w:rsid w:val="006C1638"/>
    <w:rsid w:val="006C247B"/>
    <w:rsid w:val="006C2740"/>
    <w:rsid w:val="006C3CB1"/>
    <w:rsid w:val="006C3D2E"/>
    <w:rsid w:val="006C4CB1"/>
    <w:rsid w:val="006C5638"/>
    <w:rsid w:val="006C7812"/>
    <w:rsid w:val="006D0336"/>
    <w:rsid w:val="006D0D3A"/>
    <w:rsid w:val="006D386C"/>
    <w:rsid w:val="006D3957"/>
    <w:rsid w:val="006D4119"/>
    <w:rsid w:val="006D4DA7"/>
    <w:rsid w:val="006D7EDF"/>
    <w:rsid w:val="006E074E"/>
    <w:rsid w:val="006E239F"/>
    <w:rsid w:val="006E395E"/>
    <w:rsid w:val="006E4590"/>
    <w:rsid w:val="006E7A84"/>
    <w:rsid w:val="006F0BF7"/>
    <w:rsid w:val="006F1EE7"/>
    <w:rsid w:val="006F4056"/>
    <w:rsid w:val="006F497D"/>
    <w:rsid w:val="006F5775"/>
    <w:rsid w:val="006F75BA"/>
    <w:rsid w:val="00701BE8"/>
    <w:rsid w:val="007113F0"/>
    <w:rsid w:val="00711DE2"/>
    <w:rsid w:val="00712074"/>
    <w:rsid w:val="00712ED5"/>
    <w:rsid w:val="007153F1"/>
    <w:rsid w:val="00716645"/>
    <w:rsid w:val="00717783"/>
    <w:rsid w:val="007179D6"/>
    <w:rsid w:val="00717B54"/>
    <w:rsid w:val="007209D4"/>
    <w:rsid w:val="00721AE5"/>
    <w:rsid w:val="007221BD"/>
    <w:rsid w:val="00722B4F"/>
    <w:rsid w:val="00722F9D"/>
    <w:rsid w:val="007266E9"/>
    <w:rsid w:val="007278E0"/>
    <w:rsid w:val="00730758"/>
    <w:rsid w:val="00730F9A"/>
    <w:rsid w:val="007310A0"/>
    <w:rsid w:val="00731B81"/>
    <w:rsid w:val="007323C3"/>
    <w:rsid w:val="00732690"/>
    <w:rsid w:val="00736B54"/>
    <w:rsid w:val="0073720F"/>
    <w:rsid w:val="0073754B"/>
    <w:rsid w:val="00740CA7"/>
    <w:rsid w:val="00742455"/>
    <w:rsid w:val="0074329F"/>
    <w:rsid w:val="007466EB"/>
    <w:rsid w:val="00746B6C"/>
    <w:rsid w:val="00747858"/>
    <w:rsid w:val="00747AD0"/>
    <w:rsid w:val="00751152"/>
    <w:rsid w:val="0075166E"/>
    <w:rsid w:val="00757DB4"/>
    <w:rsid w:val="00760630"/>
    <w:rsid w:val="007611D3"/>
    <w:rsid w:val="00765CD2"/>
    <w:rsid w:val="00766BE3"/>
    <w:rsid w:val="0077354C"/>
    <w:rsid w:val="00774319"/>
    <w:rsid w:val="007768F0"/>
    <w:rsid w:val="00776CAE"/>
    <w:rsid w:val="00780D6E"/>
    <w:rsid w:val="00781413"/>
    <w:rsid w:val="007817B5"/>
    <w:rsid w:val="00781BEF"/>
    <w:rsid w:val="0078272B"/>
    <w:rsid w:val="00782E36"/>
    <w:rsid w:val="00783AE2"/>
    <w:rsid w:val="00784795"/>
    <w:rsid w:val="007852AF"/>
    <w:rsid w:val="00787AD4"/>
    <w:rsid w:val="00792D51"/>
    <w:rsid w:val="0079609A"/>
    <w:rsid w:val="007960F5"/>
    <w:rsid w:val="007964EB"/>
    <w:rsid w:val="007A065A"/>
    <w:rsid w:val="007A1D10"/>
    <w:rsid w:val="007A51F1"/>
    <w:rsid w:val="007A64B9"/>
    <w:rsid w:val="007B04AC"/>
    <w:rsid w:val="007B1D4D"/>
    <w:rsid w:val="007B200E"/>
    <w:rsid w:val="007B2186"/>
    <w:rsid w:val="007B2983"/>
    <w:rsid w:val="007B38C1"/>
    <w:rsid w:val="007B3914"/>
    <w:rsid w:val="007B4F58"/>
    <w:rsid w:val="007B7CD9"/>
    <w:rsid w:val="007C31D1"/>
    <w:rsid w:val="007C3DF6"/>
    <w:rsid w:val="007C5A61"/>
    <w:rsid w:val="007C6527"/>
    <w:rsid w:val="007C6831"/>
    <w:rsid w:val="007C6C6A"/>
    <w:rsid w:val="007C7503"/>
    <w:rsid w:val="007C7E6C"/>
    <w:rsid w:val="007D1F94"/>
    <w:rsid w:val="007D3BF4"/>
    <w:rsid w:val="007D53D6"/>
    <w:rsid w:val="007D750C"/>
    <w:rsid w:val="007E1F62"/>
    <w:rsid w:val="007E3F20"/>
    <w:rsid w:val="007E531B"/>
    <w:rsid w:val="007E54FC"/>
    <w:rsid w:val="007E6EA4"/>
    <w:rsid w:val="007E71F1"/>
    <w:rsid w:val="007F03BE"/>
    <w:rsid w:val="007F0801"/>
    <w:rsid w:val="007F13F6"/>
    <w:rsid w:val="007F1BD9"/>
    <w:rsid w:val="007F1E4E"/>
    <w:rsid w:val="007F3647"/>
    <w:rsid w:val="00800FF7"/>
    <w:rsid w:val="008015AC"/>
    <w:rsid w:val="008015B5"/>
    <w:rsid w:val="008016D8"/>
    <w:rsid w:val="00802ABC"/>
    <w:rsid w:val="00804853"/>
    <w:rsid w:val="00807AF0"/>
    <w:rsid w:val="00813A95"/>
    <w:rsid w:val="00816DD0"/>
    <w:rsid w:val="00817FAC"/>
    <w:rsid w:val="0082055F"/>
    <w:rsid w:val="00820829"/>
    <w:rsid w:val="00820857"/>
    <w:rsid w:val="0082151F"/>
    <w:rsid w:val="00822EC2"/>
    <w:rsid w:val="0082342A"/>
    <w:rsid w:val="008249EB"/>
    <w:rsid w:val="0082631C"/>
    <w:rsid w:val="0083010A"/>
    <w:rsid w:val="00831EB8"/>
    <w:rsid w:val="0083478F"/>
    <w:rsid w:val="008352F1"/>
    <w:rsid w:val="00836187"/>
    <w:rsid w:val="008376B8"/>
    <w:rsid w:val="00840904"/>
    <w:rsid w:val="00840FC6"/>
    <w:rsid w:val="008414D6"/>
    <w:rsid w:val="008420D7"/>
    <w:rsid w:val="00844825"/>
    <w:rsid w:val="008456D3"/>
    <w:rsid w:val="00846E26"/>
    <w:rsid w:val="00847995"/>
    <w:rsid w:val="00847F3D"/>
    <w:rsid w:val="008521A3"/>
    <w:rsid w:val="0085264B"/>
    <w:rsid w:val="00853580"/>
    <w:rsid w:val="008557BD"/>
    <w:rsid w:val="00856DB0"/>
    <w:rsid w:val="008575B5"/>
    <w:rsid w:val="00857C38"/>
    <w:rsid w:val="0086376E"/>
    <w:rsid w:val="008654C8"/>
    <w:rsid w:val="0086665D"/>
    <w:rsid w:val="0087285C"/>
    <w:rsid w:val="00874E4F"/>
    <w:rsid w:val="00876737"/>
    <w:rsid w:val="008774FE"/>
    <w:rsid w:val="00877904"/>
    <w:rsid w:val="00882993"/>
    <w:rsid w:val="008861E2"/>
    <w:rsid w:val="00886629"/>
    <w:rsid w:val="00887B99"/>
    <w:rsid w:val="00887DDB"/>
    <w:rsid w:val="00893C9C"/>
    <w:rsid w:val="008A069A"/>
    <w:rsid w:val="008A1269"/>
    <w:rsid w:val="008A2B48"/>
    <w:rsid w:val="008A318B"/>
    <w:rsid w:val="008A4286"/>
    <w:rsid w:val="008A5C45"/>
    <w:rsid w:val="008A613F"/>
    <w:rsid w:val="008A64BD"/>
    <w:rsid w:val="008A6511"/>
    <w:rsid w:val="008B1F07"/>
    <w:rsid w:val="008B2510"/>
    <w:rsid w:val="008B62C4"/>
    <w:rsid w:val="008B6440"/>
    <w:rsid w:val="008B72A3"/>
    <w:rsid w:val="008C1AF0"/>
    <w:rsid w:val="008C1B72"/>
    <w:rsid w:val="008C1DCB"/>
    <w:rsid w:val="008C2643"/>
    <w:rsid w:val="008C352E"/>
    <w:rsid w:val="008C4AF7"/>
    <w:rsid w:val="008C5285"/>
    <w:rsid w:val="008C54F4"/>
    <w:rsid w:val="008C6393"/>
    <w:rsid w:val="008C7D84"/>
    <w:rsid w:val="008D419F"/>
    <w:rsid w:val="008D4E13"/>
    <w:rsid w:val="008D539B"/>
    <w:rsid w:val="008D6158"/>
    <w:rsid w:val="008E4886"/>
    <w:rsid w:val="008E512C"/>
    <w:rsid w:val="008E5C04"/>
    <w:rsid w:val="008E70C7"/>
    <w:rsid w:val="008E75A8"/>
    <w:rsid w:val="008E7FA7"/>
    <w:rsid w:val="008F1539"/>
    <w:rsid w:val="008F1979"/>
    <w:rsid w:val="008F2869"/>
    <w:rsid w:val="008F3756"/>
    <w:rsid w:val="008F3881"/>
    <w:rsid w:val="008F6809"/>
    <w:rsid w:val="008F7245"/>
    <w:rsid w:val="008F770F"/>
    <w:rsid w:val="00902045"/>
    <w:rsid w:val="00902F3B"/>
    <w:rsid w:val="0090325A"/>
    <w:rsid w:val="0090466E"/>
    <w:rsid w:val="009141C6"/>
    <w:rsid w:val="00914234"/>
    <w:rsid w:val="009154AA"/>
    <w:rsid w:val="009166C8"/>
    <w:rsid w:val="00917650"/>
    <w:rsid w:val="00917BA0"/>
    <w:rsid w:val="00920186"/>
    <w:rsid w:val="009210B3"/>
    <w:rsid w:val="0092148F"/>
    <w:rsid w:val="00921E94"/>
    <w:rsid w:val="00922661"/>
    <w:rsid w:val="00922766"/>
    <w:rsid w:val="00923F25"/>
    <w:rsid w:val="009257ED"/>
    <w:rsid w:val="0092701A"/>
    <w:rsid w:val="00930B0A"/>
    <w:rsid w:val="00930B21"/>
    <w:rsid w:val="00931622"/>
    <w:rsid w:val="0093254D"/>
    <w:rsid w:val="00935936"/>
    <w:rsid w:val="00937688"/>
    <w:rsid w:val="00937F13"/>
    <w:rsid w:val="00940112"/>
    <w:rsid w:val="009410C5"/>
    <w:rsid w:val="009420D4"/>
    <w:rsid w:val="00942319"/>
    <w:rsid w:val="00946EFF"/>
    <w:rsid w:val="0095254C"/>
    <w:rsid w:val="00953AA6"/>
    <w:rsid w:val="00953D0D"/>
    <w:rsid w:val="00954786"/>
    <w:rsid w:val="00954DDD"/>
    <w:rsid w:val="00956CAC"/>
    <w:rsid w:val="00960AEB"/>
    <w:rsid w:val="00961381"/>
    <w:rsid w:val="0096204E"/>
    <w:rsid w:val="009629BF"/>
    <w:rsid w:val="00965BA7"/>
    <w:rsid w:val="009672A1"/>
    <w:rsid w:val="009713B6"/>
    <w:rsid w:val="00971747"/>
    <w:rsid w:val="0097174A"/>
    <w:rsid w:val="0097287D"/>
    <w:rsid w:val="00972D21"/>
    <w:rsid w:val="00972E6D"/>
    <w:rsid w:val="00974957"/>
    <w:rsid w:val="00974D54"/>
    <w:rsid w:val="009753C1"/>
    <w:rsid w:val="009777BF"/>
    <w:rsid w:val="00977B56"/>
    <w:rsid w:val="009815BD"/>
    <w:rsid w:val="0098249B"/>
    <w:rsid w:val="009826CC"/>
    <w:rsid w:val="00984053"/>
    <w:rsid w:val="009843DA"/>
    <w:rsid w:val="009847EF"/>
    <w:rsid w:val="00987DE1"/>
    <w:rsid w:val="00990310"/>
    <w:rsid w:val="00991712"/>
    <w:rsid w:val="0099205D"/>
    <w:rsid w:val="00992BEC"/>
    <w:rsid w:val="00993087"/>
    <w:rsid w:val="00993129"/>
    <w:rsid w:val="00993362"/>
    <w:rsid w:val="00993F64"/>
    <w:rsid w:val="0099589F"/>
    <w:rsid w:val="00996A74"/>
    <w:rsid w:val="009A0DD2"/>
    <w:rsid w:val="009A33AF"/>
    <w:rsid w:val="009A5991"/>
    <w:rsid w:val="009B0A05"/>
    <w:rsid w:val="009B4C3D"/>
    <w:rsid w:val="009B6C2D"/>
    <w:rsid w:val="009C2620"/>
    <w:rsid w:val="009C2FE6"/>
    <w:rsid w:val="009C3014"/>
    <w:rsid w:val="009C5880"/>
    <w:rsid w:val="009D02EE"/>
    <w:rsid w:val="009D0B7B"/>
    <w:rsid w:val="009D185F"/>
    <w:rsid w:val="009D4AD8"/>
    <w:rsid w:val="009D50B2"/>
    <w:rsid w:val="009D642C"/>
    <w:rsid w:val="009E1EDB"/>
    <w:rsid w:val="009E25FE"/>
    <w:rsid w:val="009E593A"/>
    <w:rsid w:val="009E63EC"/>
    <w:rsid w:val="009F228B"/>
    <w:rsid w:val="009F266B"/>
    <w:rsid w:val="009F3890"/>
    <w:rsid w:val="00A00E73"/>
    <w:rsid w:val="00A0720A"/>
    <w:rsid w:val="00A1132E"/>
    <w:rsid w:val="00A13DDC"/>
    <w:rsid w:val="00A15C5E"/>
    <w:rsid w:val="00A22599"/>
    <w:rsid w:val="00A22FE6"/>
    <w:rsid w:val="00A24070"/>
    <w:rsid w:val="00A25661"/>
    <w:rsid w:val="00A25680"/>
    <w:rsid w:val="00A2744C"/>
    <w:rsid w:val="00A27A38"/>
    <w:rsid w:val="00A3060B"/>
    <w:rsid w:val="00A30F1A"/>
    <w:rsid w:val="00A32C7E"/>
    <w:rsid w:val="00A34550"/>
    <w:rsid w:val="00A35F60"/>
    <w:rsid w:val="00A40211"/>
    <w:rsid w:val="00A40FDF"/>
    <w:rsid w:val="00A41598"/>
    <w:rsid w:val="00A43E12"/>
    <w:rsid w:val="00A44D4F"/>
    <w:rsid w:val="00A47166"/>
    <w:rsid w:val="00A47322"/>
    <w:rsid w:val="00A5187D"/>
    <w:rsid w:val="00A523C6"/>
    <w:rsid w:val="00A5425B"/>
    <w:rsid w:val="00A5596C"/>
    <w:rsid w:val="00A55B08"/>
    <w:rsid w:val="00A572E5"/>
    <w:rsid w:val="00A57794"/>
    <w:rsid w:val="00A621AF"/>
    <w:rsid w:val="00A63A46"/>
    <w:rsid w:val="00A6443D"/>
    <w:rsid w:val="00A66AD6"/>
    <w:rsid w:val="00A672E0"/>
    <w:rsid w:val="00A71C83"/>
    <w:rsid w:val="00A724B6"/>
    <w:rsid w:val="00A72F54"/>
    <w:rsid w:val="00A732AF"/>
    <w:rsid w:val="00A739B7"/>
    <w:rsid w:val="00A74995"/>
    <w:rsid w:val="00A77204"/>
    <w:rsid w:val="00A77745"/>
    <w:rsid w:val="00A83B58"/>
    <w:rsid w:val="00A84954"/>
    <w:rsid w:val="00A85229"/>
    <w:rsid w:val="00A87103"/>
    <w:rsid w:val="00A90F56"/>
    <w:rsid w:val="00A91A60"/>
    <w:rsid w:val="00A9429B"/>
    <w:rsid w:val="00A94D51"/>
    <w:rsid w:val="00A95E92"/>
    <w:rsid w:val="00AA44C2"/>
    <w:rsid w:val="00AA45EB"/>
    <w:rsid w:val="00AA4CE3"/>
    <w:rsid w:val="00AA63A0"/>
    <w:rsid w:val="00AA7E67"/>
    <w:rsid w:val="00AB05BE"/>
    <w:rsid w:val="00AB2A73"/>
    <w:rsid w:val="00AB316A"/>
    <w:rsid w:val="00AB51B0"/>
    <w:rsid w:val="00AC196C"/>
    <w:rsid w:val="00AC250A"/>
    <w:rsid w:val="00AC3036"/>
    <w:rsid w:val="00AC3116"/>
    <w:rsid w:val="00AC5A84"/>
    <w:rsid w:val="00AC71BE"/>
    <w:rsid w:val="00AC74A0"/>
    <w:rsid w:val="00AD0042"/>
    <w:rsid w:val="00AD16A9"/>
    <w:rsid w:val="00AD2997"/>
    <w:rsid w:val="00AD38FB"/>
    <w:rsid w:val="00AD3A71"/>
    <w:rsid w:val="00AD43F2"/>
    <w:rsid w:val="00AD637E"/>
    <w:rsid w:val="00AD6F89"/>
    <w:rsid w:val="00AE0F4C"/>
    <w:rsid w:val="00AE11EA"/>
    <w:rsid w:val="00AE15E7"/>
    <w:rsid w:val="00AE1BC3"/>
    <w:rsid w:val="00AE29E7"/>
    <w:rsid w:val="00AE4448"/>
    <w:rsid w:val="00AE4D62"/>
    <w:rsid w:val="00AE52B5"/>
    <w:rsid w:val="00AE548D"/>
    <w:rsid w:val="00AF119F"/>
    <w:rsid w:val="00AF20F5"/>
    <w:rsid w:val="00AF292E"/>
    <w:rsid w:val="00AF3991"/>
    <w:rsid w:val="00AF7848"/>
    <w:rsid w:val="00B00016"/>
    <w:rsid w:val="00B03F04"/>
    <w:rsid w:val="00B06446"/>
    <w:rsid w:val="00B06AFC"/>
    <w:rsid w:val="00B0705E"/>
    <w:rsid w:val="00B1119A"/>
    <w:rsid w:val="00B1276D"/>
    <w:rsid w:val="00B14E71"/>
    <w:rsid w:val="00B15BA6"/>
    <w:rsid w:val="00B172EB"/>
    <w:rsid w:val="00B220A3"/>
    <w:rsid w:val="00B23C11"/>
    <w:rsid w:val="00B24010"/>
    <w:rsid w:val="00B24517"/>
    <w:rsid w:val="00B24AAE"/>
    <w:rsid w:val="00B26F78"/>
    <w:rsid w:val="00B32FA1"/>
    <w:rsid w:val="00B35E21"/>
    <w:rsid w:val="00B401B9"/>
    <w:rsid w:val="00B41AFE"/>
    <w:rsid w:val="00B42309"/>
    <w:rsid w:val="00B433BC"/>
    <w:rsid w:val="00B43478"/>
    <w:rsid w:val="00B446E0"/>
    <w:rsid w:val="00B46848"/>
    <w:rsid w:val="00B50D13"/>
    <w:rsid w:val="00B54459"/>
    <w:rsid w:val="00B550E7"/>
    <w:rsid w:val="00B552A2"/>
    <w:rsid w:val="00B55757"/>
    <w:rsid w:val="00B55846"/>
    <w:rsid w:val="00B56249"/>
    <w:rsid w:val="00B56E35"/>
    <w:rsid w:val="00B570C2"/>
    <w:rsid w:val="00B70146"/>
    <w:rsid w:val="00B70615"/>
    <w:rsid w:val="00B715B6"/>
    <w:rsid w:val="00B72407"/>
    <w:rsid w:val="00B72D11"/>
    <w:rsid w:val="00B73D78"/>
    <w:rsid w:val="00B77A5E"/>
    <w:rsid w:val="00B80364"/>
    <w:rsid w:val="00B80A29"/>
    <w:rsid w:val="00B8165F"/>
    <w:rsid w:val="00B820DD"/>
    <w:rsid w:val="00B84EA9"/>
    <w:rsid w:val="00B879D7"/>
    <w:rsid w:val="00B93D4E"/>
    <w:rsid w:val="00B94AAB"/>
    <w:rsid w:val="00B978FB"/>
    <w:rsid w:val="00BA03E9"/>
    <w:rsid w:val="00BA1F33"/>
    <w:rsid w:val="00BA5D05"/>
    <w:rsid w:val="00BA5F2A"/>
    <w:rsid w:val="00BB17BD"/>
    <w:rsid w:val="00BB5EE1"/>
    <w:rsid w:val="00BB7CD5"/>
    <w:rsid w:val="00BC1685"/>
    <w:rsid w:val="00BC1D0C"/>
    <w:rsid w:val="00BC21F7"/>
    <w:rsid w:val="00BC25DF"/>
    <w:rsid w:val="00BD00A7"/>
    <w:rsid w:val="00BD05A4"/>
    <w:rsid w:val="00BD36B1"/>
    <w:rsid w:val="00BD651A"/>
    <w:rsid w:val="00BD700A"/>
    <w:rsid w:val="00BD739B"/>
    <w:rsid w:val="00BD7E65"/>
    <w:rsid w:val="00BD7F75"/>
    <w:rsid w:val="00BE0048"/>
    <w:rsid w:val="00BE05C4"/>
    <w:rsid w:val="00BE1A9B"/>
    <w:rsid w:val="00BE2F8F"/>
    <w:rsid w:val="00BE40C4"/>
    <w:rsid w:val="00BE445F"/>
    <w:rsid w:val="00BE70CA"/>
    <w:rsid w:val="00BE725F"/>
    <w:rsid w:val="00BE737A"/>
    <w:rsid w:val="00BE7817"/>
    <w:rsid w:val="00BF045F"/>
    <w:rsid w:val="00BF18F4"/>
    <w:rsid w:val="00BF1C99"/>
    <w:rsid w:val="00BF2ECB"/>
    <w:rsid w:val="00BF4463"/>
    <w:rsid w:val="00BF5773"/>
    <w:rsid w:val="00BF6DA8"/>
    <w:rsid w:val="00BF7084"/>
    <w:rsid w:val="00C0122B"/>
    <w:rsid w:val="00C01AFD"/>
    <w:rsid w:val="00C02D80"/>
    <w:rsid w:val="00C04EB8"/>
    <w:rsid w:val="00C04F50"/>
    <w:rsid w:val="00C06FFA"/>
    <w:rsid w:val="00C07036"/>
    <w:rsid w:val="00C11733"/>
    <w:rsid w:val="00C141BD"/>
    <w:rsid w:val="00C17DED"/>
    <w:rsid w:val="00C22C1E"/>
    <w:rsid w:val="00C22D8F"/>
    <w:rsid w:val="00C23AE7"/>
    <w:rsid w:val="00C2445E"/>
    <w:rsid w:val="00C2458A"/>
    <w:rsid w:val="00C245AB"/>
    <w:rsid w:val="00C258D8"/>
    <w:rsid w:val="00C26070"/>
    <w:rsid w:val="00C27D63"/>
    <w:rsid w:val="00C3191D"/>
    <w:rsid w:val="00C32362"/>
    <w:rsid w:val="00C332CF"/>
    <w:rsid w:val="00C3335E"/>
    <w:rsid w:val="00C33917"/>
    <w:rsid w:val="00C34F6B"/>
    <w:rsid w:val="00C3751B"/>
    <w:rsid w:val="00C4071F"/>
    <w:rsid w:val="00C40E3D"/>
    <w:rsid w:val="00C42F1D"/>
    <w:rsid w:val="00C42FE0"/>
    <w:rsid w:val="00C44C5D"/>
    <w:rsid w:val="00C450C4"/>
    <w:rsid w:val="00C457D4"/>
    <w:rsid w:val="00C4764D"/>
    <w:rsid w:val="00C501B8"/>
    <w:rsid w:val="00C51307"/>
    <w:rsid w:val="00C52C82"/>
    <w:rsid w:val="00C52F37"/>
    <w:rsid w:val="00C535AD"/>
    <w:rsid w:val="00C54EA0"/>
    <w:rsid w:val="00C56C72"/>
    <w:rsid w:val="00C574BF"/>
    <w:rsid w:val="00C60F3E"/>
    <w:rsid w:val="00C61247"/>
    <w:rsid w:val="00C61B2A"/>
    <w:rsid w:val="00C6328B"/>
    <w:rsid w:val="00C6364E"/>
    <w:rsid w:val="00C63748"/>
    <w:rsid w:val="00C704A7"/>
    <w:rsid w:val="00C711DA"/>
    <w:rsid w:val="00C72479"/>
    <w:rsid w:val="00C750C1"/>
    <w:rsid w:val="00C75153"/>
    <w:rsid w:val="00C75B55"/>
    <w:rsid w:val="00C76ABD"/>
    <w:rsid w:val="00C77EB8"/>
    <w:rsid w:val="00C82078"/>
    <w:rsid w:val="00C82DD2"/>
    <w:rsid w:val="00C8446B"/>
    <w:rsid w:val="00C871F1"/>
    <w:rsid w:val="00C878A1"/>
    <w:rsid w:val="00C9017A"/>
    <w:rsid w:val="00C9275F"/>
    <w:rsid w:val="00C93960"/>
    <w:rsid w:val="00C97E24"/>
    <w:rsid w:val="00CA2B2A"/>
    <w:rsid w:val="00CA2FD4"/>
    <w:rsid w:val="00CA541B"/>
    <w:rsid w:val="00CB0015"/>
    <w:rsid w:val="00CB0C63"/>
    <w:rsid w:val="00CB15DD"/>
    <w:rsid w:val="00CB42A4"/>
    <w:rsid w:val="00CB4F71"/>
    <w:rsid w:val="00CB5C09"/>
    <w:rsid w:val="00CB6EA8"/>
    <w:rsid w:val="00CB7D0C"/>
    <w:rsid w:val="00CC007C"/>
    <w:rsid w:val="00CC0FCE"/>
    <w:rsid w:val="00CC148C"/>
    <w:rsid w:val="00CC1F33"/>
    <w:rsid w:val="00CC2571"/>
    <w:rsid w:val="00CC3251"/>
    <w:rsid w:val="00CC74EF"/>
    <w:rsid w:val="00CC7C74"/>
    <w:rsid w:val="00CC7D3D"/>
    <w:rsid w:val="00CD0FDA"/>
    <w:rsid w:val="00CD1AC9"/>
    <w:rsid w:val="00CD219E"/>
    <w:rsid w:val="00CD2ACD"/>
    <w:rsid w:val="00CD2B75"/>
    <w:rsid w:val="00CD30F3"/>
    <w:rsid w:val="00CD4E4A"/>
    <w:rsid w:val="00CD76BE"/>
    <w:rsid w:val="00CD7A72"/>
    <w:rsid w:val="00CE09F6"/>
    <w:rsid w:val="00CE4BA1"/>
    <w:rsid w:val="00CE588F"/>
    <w:rsid w:val="00CE7312"/>
    <w:rsid w:val="00CF08B0"/>
    <w:rsid w:val="00CF14FB"/>
    <w:rsid w:val="00CF3848"/>
    <w:rsid w:val="00CF4705"/>
    <w:rsid w:val="00CF5487"/>
    <w:rsid w:val="00CF5CE6"/>
    <w:rsid w:val="00D01496"/>
    <w:rsid w:val="00D02C55"/>
    <w:rsid w:val="00D04427"/>
    <w:rsid w:val="00D05EEF"/>
    <w:rsid w:val="00D06B75"/>
    <w:rsid w:val="00D115E0"/>
    <w:rsid w:val="00D11BD4"/>
    <w:rsid w:val="00D12513"/>
    <w:rsid w:val="00D12604"/>
    <w:rsid w:val="00D12F55"/>
    <w:rsid w:val="00D15A65"/>
    <w:rsid w:val="00D25B47"/>
    <w:rsid w:val="00D26C91"/>
    <w:rsid w:val="00D27A56"/>
    <w:rsid w:val="00D30816"/>
    <w:rsid w:val="00D35106"/>
    <w:rsid w:val="00D361F8"/>
    <w:rsid w:val="00D36684"/>
    <w:rsid w:val="00D37BD3"/>
    <w:rsid w:val="00D43EB7"/>
    <w:rsid w:val="00D445E7"/>
    <w:rsid w:val="00D464B1"/>
    <w:rsid w:val="00D465CF"/>
    <w:rsid w:val="00D503E9"/>
    <w:rsid w:val="00D54AB5"/>
    <w:rsid w:val="00D56850"/>
    <w:rsid w:val="00D57CEA"/>
    <w:rsid w:val="00D62A98"/>
    <w:rsid w:val="00D637C7"/>
    <w:rsid w:val="00D66441"/>
    <w:rsid w:val="00D671BC"/>
    <w:rsid w:val="00D71067"/>
    <w:rsid w:val="00D7174D"/>
    <w:rsid w:val="00D75D34"/>
    <w:rsid w:val="00D7660E"/>
    <w:rsid w:val="00D81C2C"/>
    <w:rsid w:val="00D84DD0"/>
    <w:rsid w:val="00D85406"/>
    <w:rsid w:val="00D85C90"/>
    <w:rsid w:val="00D85D77"/>
    <w:rsid w:val="00D87689"/>
    <w:rsid w:val="00D957D8"/>
    <w:rsid w:val="00D96A72"/>
    <w:rsid w:val="00D97C40"/>
    <w:rsid w:val="00DA0491"/>
    <w:rsid w:val="00DA213B"/>
    <w:rsid w:val="00DA38CC"/>
    <w:rsid w:val="00DA391B"/>
    <w:rsid w:val="00DA4DFD"/>
    <w:rsid w:val="00DA57DA"/>
    <w:rsid w:val="00DB0553"/>
    <w:rsid w:val="00DB0742"/>
    <w:rsid w:val="00DB16B4"/>
    <w:rsid w:val="00DB3AE8"/>
    <w:rsid w:val="00DB57AB"/>
    <w:rsid w:val="00DC2193"/>
    <w:rsid w:val="00DC39DF"/>
    <w:rsid w:val="00DC4225"/>
    <w:rsid w:val="00DC4353"/>
    <w:rsid w:val="00DC4A69"/>
    <w:rsid w:val="00DC5C1A"/>
    <w:rsid w:val="00DC6B52"/>
    <w:rsid w:val="00DD153B"/>
    <w:rsid w:val="00DD4665"/>
    <w:rsid w:val="00DD635C"/>
    <w:rsid w:val="00DD65CF"/>
    <w:rsid w:val="00DD68AF"/>
    <w:rsid w:val="00DE0407"/>
    <w:rsid w:val="00DE06D2"/>
    <w:rsid w:val="00DE2DED"/>
    <w:rsid w:val="00DE5E20"/>
    <w:rsid w:val="00DE6BA3"/>
    <w:rsid w:val="00DE6CC1"/>
    <w:rsid w:val="00DF2603"/>
    <w:rsid w:val="00DF4DF3"/>
    <w:rsid w:val="00E00A81"/>
    <w:rsid w:val="00E01D8C"/>
    <w:rsid w:val="00E04030"/>
    <w:rsid w:val="00E04202"/>
    <w:rsid w:val="00E0438B"/>
    <w:rsid w:val="00E04DC8"/>
    <w:rsid w:val="00E05EF2"/>
    <w:rsid w:val="00E062D6"/>
    <w:rsid w:val="00E06389"/>
    <w:rsid w:val="00E109FB"/>
    <w:rsid w:val="00E13BAF"/>
    <w:rsid w:val="00E16243"/>
    <w:rsid w:val="00E20C58"/>
    <w:rsid w:val="00E2128E"/>
    <w:rsid w:val="00E25A08"/>
    <w:rsid w:val="00E27964"/>
    <w:rsid w:val="00E32302"/>
    <w:rsid w:val="00E32419"/>
    <w:rsid w:val="00E32FEB"/>
    <w:rsid w:val="00E34C26"/>
    <w:rsid w:val="00E358F9"/>
    <w:rsid w:val="00E35BFB"/>
    <w:rsid w:val="00E37521"/>
    <w:rsid w:val="00E37628"/>
    <w:rsid w:val="00E401CE"/>
    <w:rsid w:val="00E430F0"/>
    <w:rsid w:val="00E4473D"/>
    <w:rsid w:val="00E463B4"/>
    <w:rsid w:val="00E5029D"/>
    <w:rsid w:val="00E51B59"/>
    <w:rsid w:val="00E52DE4"/>
    <w:rsid w:val="00E53927"/>
    <w:rsid w:val="00E568AA"/>
    <w:rsid w:val="00E605B7"/>
    <w:rsid w:val="00E6674F"/>
    <w:rsid w:val="00E706B2"/>
    <w:rsid w:val="00E72C99"/>
    <w:rsid w:val="00E73C1D"/>
    <w:rsid w:val="00E7795E"/>
    <w:rsid w:val="00E804A7"/>
    <w:rsid w:val="00E8328F"/>
    <w:rsid w:val="00E8439B"/>
    <w:rsid w:val="00E85159"/>
    <w:rsid w:val="00E85278"/>
    <w:rsid w:val="00E9063B"/>
    <w:rsid w:val="00E93646"/>
    <w:rsid w:val="00E93D11"/>
    <w:rsid w:val="00E970C6"/>
    <w:rsid w:val="00E973D5"/>
    <w:rsid w:val="00EA0855"/>
    <w:rsid w:val="00EA08AE"/>
    <w:rsid w:val="00EA16D3"/>
    <w:rsid w:val="00EA3107"/>
    <w:rsid w:val="00EA333B"/>
    <w:rsid w:val="00EA390D"/>
    <w:rsid w:val="00EA447A"/>
    <w:rsid w:val="00EA4C73"/>
    <w:rsid w:val="00EA4F21"/>
    <w:rsid w:val="00EA6091"/>
    <w:rsid w:val="00EA67A7"/>
    <w:rsid w:val="00EB0AE4"/>
    <w:rsid w:val="00EB1337"/>
    <w:rsid w:val="00EB334C"/>
    <w:rsid w:val="00EB4BDF"/>
    <w:rsid w:val="00EB5F49"/>
    <w:rsid w:val="00EC0AF8"/>
    <w:rsid w:val="00EC10B6"/>
    <w:rsid w:val="00EC1172"/>
    <w:rsid w:val="00EC2580"/>
    <w:rsid w:val="00EC56CF"/>
    <w:rsid w:val="00EC5DA9"/>
    <w:rsid w:val="00EC610A"/>
    <w:rsid w:val="00ED0700"/>
    <w:rsid w:val="00ED0C9E"/>
    <w:rsid w:val="00ED129E"/>
    <w:rsid w:val="00ED1550"/>
    <w:rsid w:val="00ED32F8"/>
    <w:rsid w:val="00ED473C"/>
    <w:rsid w:val="00ED5857"/>
    <w:rsid w:val="00ED7B90"/>
    <w:rsid w:val="00EE0855"/>
    <w:rsid w:val="00EE136D"/>
    <w:rsid w:val="00EE1BC8"/>
    <w:rsid w:val="00EE2616"/>
    <w:rsid w:val="00EE2D34"/>
    <w:rsid w:val="00EE698D"/>
    <w:rsid w:val="00EE73D4"/>
    <w:rsid w:val="00EE7566"/>
    <w:rsid w:val="00EF2470"/>
    <w:rsid w:val="00EF31E5"/>
    <w:rsid w:val="00EF39B1"/>
    <w:rsid w:val="00EF4F42"/>
    <w:rsid w:val="00EF4FA1"/>
    <w:rsid w:val="00EF5031"/>
    <w:rsid w:val="00EF63D5"/>
    <w:rsid w:val="00EF69E1"/>
    <w:rsid w:val="00EF6B9B"/>
    <w:rsid w:val="00EF6D45"/>
    <w:rsid w:val="00F03EF2"/>
    <w:rsid w:val="00F057FB"/>
    <w:rsid w:val="00F059AE"/>
    <w:rsid w:val="00F06171"/>
    <w:rsid w:val="00F071DA"/>
    <w:rsid w:val="00F079A8"/>
    <w:rsid w:val="00F1151B"/>
    <w:rsid w:val="00F13C6F"/>
    <w:rsid w:val="00F15F4D"/>
    <w:rsid w:val="00F16125"/>
    <w:rsid w:val="00F16D28"/>
    <w:rsid w:val="00F17BB9"/>
    <w:rsid w:val="00F23EA1"/>
    <w:rsid w:val="00F25F1B"/>
    <w:rsid w:val="00F269F5"/>
    <w:rsid w:val="00F30687"/>
    <w:rsid w:val="00F323D1"/>
    <w:rsid w:val="00F33BB9"/>
    <w:rsid w:val="00F34223"/>
    <w:rsid w:val="00F346AB"/>
    <w:rsid w:val="00F35099"/>
    <w:rsid w:val="00F3587F"/>
    <w:rsid w:val="00F36198"/>
    <w:rsid w:val="00F379B6"/>
    <w:rsid w:val="00F40F90"/>
    <w:rsid w:val="00F42374"/>
    <w:rsid w:val="00F4326B"/>
    <w:rsid w:val="00F44E08"/>
    <w:rsid w:val="00F451A2"/>
    <w:rsid w:val="00F4603D"/>
    <w:rsid w:val="00F46BA7"/>
    <w:rsid w:val="00F50334"/>
    <w:rsid w:val="00F50EAC"/>
    <w:rsid w:val="00F55EC3"/>
    <w:rsid w:val="00F575C7"/>
    <w:rsid w:val="00F577AA"/>
    <w:rsid w:val="00F60690"/>
    <w:rsid w:val="00F61633"/>
    <w:rsid w:val="00F647BC"/>
    <w:rsid w:val="00F6654D"/>
    <w:rsid w:val="00F673C9"/>
    <w:rsid w:val="00F72005"/>
    <w:rsid w:val="00F722F4"/>
    <w:rsid w:val="00F72528"/>
    <w:rsid w:val="00F735DB"/>
    <w:rsid w:val="00F73B38"/>
    <w:rsid w:val="00F74728"/>
    <w:rsid w:val="00F7482C"/>
    <w:rsid w:val="00F75551"/>
    <w:rsid w:val="00F75921"/>
    <w:rsid w:val="00F773D4"/>
    <w:rsid w:val="00F855BE"/>
    <w:rsid w:val="00F8580D"/>
    <w:rsid w:val="00F87411"/>
    <w:rsid w:val="00F8765B"/>
    <w:rsid w:val="00F8788B"/>
    <w:rsid w:val="00F92E91"/>
    <w:rsid w:val="00F9324F"/>
    <w:rsid w:val="00F932BA"/>
    <w:rsid w:val="00F945D5"/>
    <w:rsid w:val="00F95604"/>
    <w:rsid w:val="00F97443"/>
    <w:rsid w:val="00FA0ECB"/>
    <w:rsid w:val="00FA377A"/>
    <w:rsid w:val="00FA3847"/>
    <w:rsid w:val="00FA429B"/>
    <w:rsid w:val="00FA4FF5"/>
    <w:rsid w:val="00FB0320"/>
    <w:rsid w:val="00FB0E61"/>
    <w:rsid w:val="00FB16DD"/>
    <w:rsid w:val="00FB2EFA"/>
    <w:rsid w:val="00FB4DBC"/>
    <w:rsid w:val="00FB51CE"/>
    <w:rsid w:val="00FB5DC1"/>
    <w:rsid w:val="00FB666C"/>
    <w:rsid w:val="00FB6B3F"/>
    <w:rsid w:val="00FB72E5"/>
    <w:rsid w:val="00FC03B7"/>
    <w:rsid w:val="00FC26C5"/>
    <w:rsid w:val="00FC7181"/>
    <w:rsid w:val="00FC7B99"/>
    <w:rsid w:val="00FD038A"/>
    <w:rsid w:val="00FD1504"/>
    <w:rsid w:val="00FD42E4"/>
    <w:rsid w:val="00FD4720"/>
    <w:rsid w:val="00FD5A68"/>
    <w:rsid w:val="00FD5F8C"/>
    <w:rsid w:val="00FD5FDC"/>
    <w:rsid w:val="00FD7E8B"/>
    <w:rsid w:val="00FE03BC"/>
    <w:rsid w:val="00FE10D8"/>
    <w:rsid w:val="00FE451F"/>
    <w:rsid w:val="00FE5696"/>
    <w:rsid w:val="00FE5B95"/>
    <w:rsid w:val="00FE5BE7"/>
    <w:rsid w:val="00FF06A6"/>
    <w:rsid w:val="00FF3766"/>
    <w:rsid w:val="00FF3C73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5AC2D"/>
  <w15:docId w15:val="{490A2A89-721A-4670-B443-B253CB9E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  <w:ind w:left="107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14A"/>
  </w:style>
  <w:style w:type="paragraph" w:styleId="Heading4">
    <w:name w:val="heading 4"/>
    <w:basedOn w:val="Normal"/>
    <w:link w:val="Heading4Char"/>
    <w:uiPriority w:val="9"/>
    <w:qFormat/>
    <w:rsid w:val="0015424F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sidrant">
    <w:name w:val="considrant"/>
    <w:basedOn w:val="Normal"/>
    <w:uiPriority w:val="99"/>
    <w:rsid w:val="002D7DCA"/>
    <w:pPr>
      <w:spacing w:before="120" w:after="120"/>
      <w:ind w:left="0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64EB"/>
    <w:pPr>
      <w:tabs>
        <w:tab w:val="center" w:pos="4153"/>
        <w:tab w:val="right" w:pos="8306"/>
      </w:tabs>
      <w:spacing w:after="0"/>
      <w:ind w:left="0"/>
      <w:jc w:val="left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964EB"/>
    <w:rPr>
      <w:rFonts w:ascii="Times New Roman" w:eastAsia="Calibri" w:hAnsi="Times New Roman" w:cs="Times New Roman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0A1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A1E"/>
  </w:style>
  <w:style w:type="paragraph" w:styleId="BalloonText">
    <w:name w:val="Balloon Text"/>
    <w:basedOn w:val="Normal"/>
    <w:link w:val="BalloonTextChar"/>
    <w:uiPriority w:val="99"/>
    <w:semiHidden/>
    <w:unhideWhenUsed/>
    <w:rsid w:val="00DF26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03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5B3F4F"/>
    <w:rPr>
      <w:vertAlign w:val="superscript"/>
    </w:rPr>
  </w:style>
  <w:style w:type="character" w:styleId="Strong">
    <w:name w:val="Strong"/>
    <w:basedOn w:val="DefaultParagraphFont"/>
    <w:uiPriority w:val="22"/>
    <w:qFormat/>
    <w:rsid w:val="008C639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7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5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B4C"/>
    <w:pPr>
      <w:spacing w:after="0"/>
      <w:ind w:left="720"/>
      <w:jc w:val="left"/>
    </w:pPr>
    <w:rPr>
      <w:rFonts w:ascii="Calibri" w:hAnsi="Calibri" w:cs="Calibri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15424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Default">
    <w:name w:val="Default"/>
    <w:basedOn w:val="Normal"/>
    <w:uiPriority w:val="99"/>
    <w:rsid w:val="00DC4A69"/>
    <w:pPr>
      <w:autoSpaceDE w:val="0"/>
      <w:autoSpaceDN w:val="0"/>
      <w:spacing w:after="0"/>
      <w:ind w:left="0"/>
      <w:jc w:val="left"/>
    </w:pPr>
    <w:rPr>
      <w:rFonts w:ascii="EUAlbertina" w:eastAsia="Calibri" w:hAnsi="EUAlbertina" w:cs="Times New Roman"/>
      <w:color w:val="000000"/>
      <w:sz w:val="24"/>
      <w:szCs w:val="24"/>
      <w:lang w:eastAsia="lv-LV"/>
    </w:rPr>
  </w:style>
  <w:style w:type="paragraph" w:customStyle="1" w:styleId="tv2131">
    <w:name w:val="tv2131"/>
    <w:basedOn w:val="Normal"/>
    <w:rsid w:val="002B2ADE"/>
    <w:pPr>
      <w:spacing w:after="0" w:line="360" w:lineRule="auto"/>
      <w:ind w:left="0"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D25B47"/>
    <w:pPr>
      <w:spacing w:after="0"/>
      <w:ind w:left="0"/>
      <w:jc w:val="left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B15BA6"/>
    <w:pPr>
      <w:spacing w:after="0"/>
      <w:ind w:left="0"/>
      <w:jc w:val="left"/>
    </w:pPr>
  </w:style>
  <w:style w:type="paragraph" w:customStyle="1" w:styleId="tv213">
    <w:name w:val="tv213"/>
    <w:basedOn w:val="Normal"/>
    <w:rsid w:val="006D7ED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8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3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84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88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13AB-CF2B-463B-B35A-0435361F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4878</Words>
  <Characters>2782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FMAnot_270515_TARIC_groz; Ministru kabineta noteikumu projekta „Grozījums Ministru kabineta 2011.gada 27.septembra noteikumos Nr.731 “Noteikumi par akcīzes preču apvienotā Kopienas tarifa (TARIC) nacionālajiem kodiem un to piemērošanas kārtību”” anotācija</vt:lpstr>
      <vt:lpstr>Noteikumi par vienkāršoto deklarēšanu un vietējo muitošanu, atzītā nosūtītāja un atzītā saņēmēja statusu, vienoto atļauju un atzītā komersanta sertifikātu</vt:lpstr>
    </vt:vector>
  </TitlesOfParts>
  <Company>Finanšu ministrija/Valsts ieņēmumu dienests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FMAnot_270515_TARIC_groz; Ministru kabineta noteikumu projekta „Grozījums Ministru kabineta 2011.gada 27.septembra noteikumos Nr.731 “Noteikumi par akcīzes preču apvienotā Kopienas tarifa (TARIC) nacionālajiem kodiem un to piemērošanas kārtību”” anotācija</dc:title>
  <dc:subject>Anotācija</dc:subject>
  <dc:creator>Jānis Eberšteins</dc:creator>
  <dc:description>67121013, janis.ebersteins@vid.gov.lv</dc:description>
  <cp:lastModifiedBy>Finanšu ministrija</cp:lastModifiedBy>
  <cp:revision>28</cp:revision>
  <cp:lastPrinted>2014-10-30T08:20:00Z</cp:lastPrinted>
  <dcterms:created xsi:type="dcterms:W3CDTF">2015-07-09T12:27:00Z</dcterms:created>
  <dcterms:modified xsi:type="dcterms:W3CDTF">2015-07-30T07:47:00Z</dcterms:modified>
  <cp:category>Anotācija</cp:category>
</cp:coreProperties>
</file>