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F9" w:rsidRDefault="000F00DF" w:rsidP="00BD39F9">
      <w:pPr>
        <w:ind w:firstLine="709"/>
        <w:jc w:val="center"/>
        <w:rPr>
          <w:b/>
        </w:rPr>
      </w:pPr>
      <w:bookmarkStart w:id="0" w:name="_GoBack"/>
      <w:bookmarkEnd w:id="0"/>
      <w:r>
        <w:rPr>
          <w:b/>
        </w:rPr>
        <w:t xml:space="preserve"> </w:t>
      </w:r>
    </w:p>
    <w:p w:rsidR="00BD39F9" w:rsidRDefault="00BD39F9" w:rsidP="00BD39F9">
      <w:pPr>
        <w:ind w:firstLine="709"/>
        <w:jc w:val="center"/>
        <w:rPr>
          <w:b/>
        </w:rPr>
      </w:pPr>
    </w:p>
    <w:p w:rsidR="00BD39F9" w:rsidRDefault="00BD39F9" w:rsidP="00BD39F9">
      <w:pPr>
        <w:ind w:firstLine="709"/>
        <w:jc w:val="center"/>
        <w:rPr>
          <w:b/>
        </w:rPr>
      </w:pPr>
    </w:p>
    <w:p w:rsidR="00BD39F9" w:rsidRDefault="00BD39F9" w:rsidP="00BD39F9">
      <w:pPr>
        <w:ind w:firstLine="709"/>
        <w:jc w:val="center"/>
        <w:rPr>
          <w:b/>
        </w:rPr>
      </w:pPr>
    </w:p>
    <w:p w:rsidR="00BD39F9" w:rsidRDefault="00BD39F9" w:rsidP="00BD39F9">
      <w:pPr>
        <w:ind w:firstLine="709"/>
        <w:jc w:val="center"/>
        <w:rPr>
          <w:b/>
        </w:rPr>
      </w:pPr>
    </w:p>
    <w:p w:rsidR="00BD39F9" w:rsidRDefault="00BD39F9" w:rsidP="00BD39F9">
      <w:pPr>
        <w:ind w:firstLine="709"/>
        <w:jc w:val="center"/>
        <w:rPr>
          <w:b/>
        </w:rPr>
      </w:pPr>
    </w:p>
    <w:p w:rsidR="00BD39F9" w:rsidRDefault="00BD39F9" w:rsidP="00BD39F9">
      <w:pPr>
        <w:ind w:firstLine="709"/>
        <w:jc w:val="center"/>
        <w:rPr>
          <w:b/>
        </w:rPr>
      </w:pPr>
    </w:p>
    <w:p w:rsidR="00BD39F9" w:rsidRDefault="00BD39F9" w:rsidP="00BD39F9">
      <w:pPr>
        <w:ind w:firstLine="709"/>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Default="00BD39F9" w:rsidP="00BD39F9">
      <w:pPr>
        <w:jc w:val="center"/>
        <w:rPr>
          <w:b/>
        </w:rPr>
      </w:pPr>
    </w:p>
    <w:p w:rsidR="00BD39F9" w:rsidRPr="00994ECF" w:rsidRDefault="00BD39F9" w:rsidP="00BD39F9">
      <w:pPr>
        <w:jc w:val="center"/>
        <w:rPr>
          <w:b/>
          <w:color w:val="000000" w:themeColor="text1"/>
        </w:rPr>
      </w:pPr>
      <w:r w:rsidRPr="00994ECF">
        <w:rPr>
          <w:b/>
          <w:color w:val="000000" w:themeColor="text1"/>
        </w:rPr>
        <w:t>Informatīvais ziņojums</w:t>
      </w:r>
    </w:p>
    <w:p w:rsidR="00BD39F9" w:rsidRPr="00994ECF" w:rsidRDefault="00994ECF" w:rsidP="00BD39F9">
      <w:pPr>
        <w:ind w:firstLine="709"/>
        <w:jc w:val="center"/>
        <w:rPr>
          <w:b/>
          <w:color w:val="000000" w:themeColor="text1"/>
        </w:rPr>
      </w:pPr>
      <w:r w:rsidRPr="00994ECF">
        <w:rPr>
          <w:b/>
          <w:color w:val="000000" w:themeColor="text1"/>
        </w:rPr>
        <w:t>„Par Eiropas Stabilitātes</w:t>
      </w:r>
      <w:r w:rsidR="00BD39F9" w:rsidRPr="00994ECF">
        <w:rPr>
          <w:b/>
          <w:color w:val="000000" w:themeColor="text1"/>
        </w:rPr>
        <w:t xml:space="preserve"> mehānisma </w:t>
      </w:r>
      <w:r w:rsidRPr="00994ECF">
        <w:rPr>
          <w:b/>
          <w:color w:val="000000" w:themeColor="text1"/>
        </w:rPr>
        <w:t>darbību 2014</w:t>
      </w:r>
      <w:r w:rsidR="00BD39F9" w:rsidRPr="00994ECF">
        <w:rPr>
          <w:b/>
          <w:color w:val="000000" w:themeColor="text1"/>
        </w:rPr>
        <w:t>.gadā”</w:t>
      </w:r>
    </w:p>
    <w:p w:rsidR="00BD39F9" w:rsidRPr="00994ECF" w:rsidRDefault="00BD39F9" w:rsidP="00BD39F9">
      <w:pPr>
        <w:ind w:firstLine="709"/>
        <w:rPr>
          <w:color w:val="FF0000"/>
        </w:rPr>
      </w:pPr>
      <w:r w:rsidRPr="00994ECF">
        <w:rPr>
          <w:color w:val="FF0000"/>
        </w:rPr>
        <w:br w:type="page"/>
      </w:r>
    </w:p>
    <w:p w:rsidR="009C438F" w:rsidRPr="00032C70" w:rsidRDefault="009C438F" w:rsidP="00BD39F9">
      <w:pPr>
        <w:ind w:firstLine="709"/>
        <w:jc w:val="both"/>
      </w:pPr>
      <w:r w:rsidRPr="00032C70">
        <w:lastRenderedPageBreak/>
        <w:t>2014.gada 21.februārī tika deponēts pievienošanās instruments Eiropas Stabilitātes mehānismam (turpmāk – ESM), kā rezultātā atbilstoši Līguma par ESM dibināšanu 48.panta trešajā daļā noteiktajam Latvija 2014.gada 13.martā kļuva par ESM dalībnieci ar pilnām tiesībām un pienākumiem.</w:t>
      </w:r>
    </w:p>
    <w:p w:rsidR="00BD39F9" w:rsidRPr="00032C70" w:rsidRDefault="009C438F" w:rsidP="00BD39F9">
      <w:pPr>
        <w:ind w:firstLine="709"/>
        <w:jc w:val="both"/>
        <w:rPr>
          <w:color w:val="000000"/>
          <w:spacing w:val="-6"/>
        </w:rPr>
      </w:pPr>
      <w:r w:rsidRPr="00032C70">
        <w:t>Pirms šī notikuma 2014.gada 7</w:t>
      </w:r>
      <w:r w:rsidR="00BD39F9" w:rsidRPr="00032C70">
        <w:t xml:space="preserve">.februārī spēkā stājās likums „Par Latvijas pārstāvību Eiropas Stabilitātes mehānisma Valdē un Direktoru padomē”, kas </w:t>
      </w:r>
      <w:r w:rsidR="00BD39F9" w:rsidRPr="00032C70">
        <w:rPr>
          <w:color w:val="000000"/>
          <w:spacing w:val="-6"/>
        </w:rPr>
        <w:t xml:space="preserve">nosaka Latvijas puses pilnvarojumu saņemšanas kārtību Latvijas pārstāvjiem </w:t>
      </w:r>
      <w:r w:rsidRPr="00032C70">
        <w:t>ESM</w:t>
      </w:r>
      <w:r w:rsidR="00BD39F9" w:rsidRPr="00032C70">
        <w:rPr>
          <w:color w:val="000000"/>
          <w:spacing w:val="-6"/>
        </w:rPr>
        <w:t xml:space="preserve"> Valdē un Direktoru padomē pieņemt </w:t>
      </w:r>
      <w:r w:rsidRPr="00032C70">
        <w:rPr>
          <w:color w:val="000000"/>
          <w:spacing w:val="-6"/>
        </w:rPr>
        <w:t>noteiktu</w:t>
      </w:r>
      <w:r w:rsidR="00BD39F9" w:rsidRPr="00032C70">
        <w:rPr>
          <w:color w:val="000000"/>
          <w:spacing w:val="-6"/>
        </w:rPr>
        <w:t xml:space="preserve"> veidu lēmumus. </w:t>
      </w:r>
    </w:p>
    <w:p w:rsidR="00BD39F9" w:rsidRDefault="009C438F" w:rsidP="00D11F24">
      <w:pPr>
        <w:ind w:firstLine="709"/>
        <w:jc w:val="both"/>
      </w:pPr>
      <w:r w:rsidRPr="00032C70">
        <w:t>Turklāt l</w:t>
      </w:r>
      <w:r w:rsidR="004370EC" w:rsidRPr="00032C70">
        <w:t xml:space="preserve">ikuma </w:t>
      </w:r>
      <w:r w:rsidR="00522FBC" w:rsidRPr="00032C70">
        <w:t xml:space="preserve">“Par Latvijas pārstāvību Eiropas Stabilitātes mehānisma Valdē un Direktoru padomē” </w:t>
      </w:r>
      <w:r w:rsidR="004370EC" w:rsidRPr="00032C70">
        <w:t xml:space="preserve">7.pantā ir noteikts, ka Ministru kabinets katru gadu iesniedz Saeimai ziņojumu par ESM darbību </w:t>
      </w:r>
      <w:r w:rsidR="00522FBC" w:rsidRPr="00032C70">
        <w:t xml:space="preserve">iepriekšējā gadā. </w:t>
      </w:r>
      <w:r w:rsidR="00032C70" w:rsidRPr="00032C70">
        <w:t>Šajā nolūkā d</w:t>
      </w:r>
      <w:r w:rsidR="00E56244" w:rsidRPr="00032C70">
        <w:t>otais informatīvais ziņojums turpmākajās sadaļās sniedz informāciju par ESM darbību 2014.gadā.</w:t>
      </w:r>
    </w:p>
    <w:p w:rsidR="001F5245" w:rsidRPr="00014BC7" w:rsidRDefault="00A30852" w:rsidP="001B5973">
      <w:pPr>
        <w:ind w:firstLine="709"/>
        <w:jc w:val="both"/>
      </w:pPr>
      <w:r>
        <w:t xml:space="preserve">ESM ir viens no </w:t>
      </w:r>
      <w:r>
        <w:rPr>
          <w:i/>
        </w:rPr>
        <w:t xml:space="preserve">euro </w:t>
      </w:r>
      <w:r w:rsidR="0044061A">
        <w:t>zonas ieviestajiem</w:t>
      </w:r>
      <w:r>
        <w:t xml:space="preserve"> ekonomikas pārvaldības un koordinācijas pastiprināšanas instrumentiem, kas </w:t>
      </w:r>
      <w:r w:rsidR="001B5973">
        <w:t xml:space="preserve">izveidots, lai novērstu </w:t>
      </w:r>
      <w:r w:rsidR="001B5973" w:rsidRPr="001B5973">
        <w:t>trūkumus Ekonomikas un monetārajā savienībā</w:t>
      </w:r>
      <w:r w:rsidR="001B5973">
        <w:t xml:space="preserve">. ESM izveidošanas ieguvums citām valstīm saistāms ar to, ka tiek mazināta atsevišķu valstu radīto fiskālo un finanšu satricinājumu ietekme uz visas </w:t>
      </w:r>
      <w:r w:rsidR="001B5973">
        <w:rPr>
          <w:i/>
        </w:rPr>
        <w:t xml:space="preserve">euro </w:t>
      </w:r>
      <w:r w:rsidR="001B5973">
        <w:t xml:space="preserve">zonas stabilitāti. </w:t>
      </w:r>
      <w:r w:rsidR="00E01935" w:rsidRPr="00014BC7">
        <w:t>Eiropas finanšu</w:t>
      </w:r>
      <w:r w:rsidR="00B51911" w:rsidRPr="00014BC7">
        <w:t xml:space="preserve"> krīžu noregulēšanas mehānism</w:t>
      </w:r>
      <w:r w:rsidR="005E6CED" w:rsidRPr="00014BC7">
        <w:t>s</w:t>
      </w:r>
      <w:r w:rsidR="00B51911" w:rsidRPr="00014BC7">
        <w:t xml:space="preserve"> ESM</w:t>
      </w:r>
      <w:r w:rsidR="00E01935" w:rsidRPr="00014BC7">
        <w:t xml:space="preserve"> ir uzskatām</w:t>
      </w:r>
      <w:r w:rsidR="00B51911" w:rsidRPr="00014BC7">
        <w:t>s</w:t>
      </w:r>
      <w:r w:rsidR="00E01935" w:rsidRPr="00014BC7">
        <w:t xml:space="preserve"> par pēdējās instances aizdevēj</w:t>
      </w:r>
      <w:r w:rsidR="005E6CED" w:rsidRPr="00014BC7">
        <w:t>u</w:t>
      </w:r>
      <w:r w:rsidR="00E01935" w:rsidRPr="00014BC7">
        <w:t xml:space="preserve"> </w:t>
      </w:r>
      <w:r w:rsidR="001B5973" w:rsidRPr="00014BC7">
        <w:t xml:space="preserve">valstīm </w:t>
      </w:r>
      <w:r w:rsidR="00E01935" w:rsidRPr="00014BC7">
        <w:t xml:space="preserve">situācijās, kad </w:t>
      </w:r>
      <w:r w:rsidR="001B5973" w:rsidRPr="00014BC7">
        <w:t xml:space="preserve">tās nevar piekļūt finanšu tirgiem par ilgtspējīgām procentu likmēm. </w:t>
      </w:r>
      <w:r w:rsidR="00E01935" w:rsidRPr="00014BC7">
        <w:t xml:space="preserve"> </w:t>
      </w:r>
      <w:r w:rsidR="001B5973" w:rsidRPr="00014BC7">
        <w:t xml:space="preserve">Tādējādi </w:t>
      </w:r>
      <w:r w:rsidR="00E01935" w:rsidRPr="00014BC7">
        <w:t xml:space="preserve">ESM </w:t>
      </w:r>
      <w:r w:rsidR="001B5973" w:rsidRPr="00014BC7">
        <w:t xml:space="preserve">uzdevums ir </w:t>
      </w:r>
      <w:r w:rsidR="00E01935" w:rsidRPr="00014BC7">
        <w:t>stiprin</w:t>
      </w:r>
      <w:r w:rsidR="001B5973" w:rsidRPr="00014BC7">
        <w:t>āt</w:t>
      </w:r>
      <w:r w:rsidR="00E01935" w:rsidRPr="00014BC7">
        <w:t xml:space="preserve"> investoru uzticību un palīdz</w:t>
      </w:r>
      <w:r w:rsidR="001B5973" w:rsidRPr="00014BC7">
        <w:t>ēt dalībvalstīm</w:t>
      </w:r>
      <w:r w:rsidR="00937054" w:rsidRPr="00014BC7">
        <w:t xml:space="preserve"> </w:t>
      </w:r>
      <w:r w:rsidR="00E01935" w:rsidRPr="00014BC7">
        <w:t xml:space="preserve">stabilizēt </w:t>
      </w:r>
      <w:r w:rsidR="001B5973" w:rsidRPr="00014BC7">
        <w:t xml:space="preserve">situāciju iekšzemes </w:t>
      </w:r>
      <w:r w:rsidR="00E01935" w:rsidRPr="00014BC7">
        <w:t>finanšu tirgos</w:t>
      </w:r>
      <w:r w:rsidR="001B5973" w:rsidRPr="00014BC7">
        <w:t xml:space="preserve"> un fiskālajā stāvoklī</w:t>
      </w:r>
      <w:r w:rsidR="006A1A20">
        <w:t>.</w:t>
      </w:r>
    </w:p>
    <w:p w:rsidR="001F5245" w:rsidRPr="00014BC7" w:rsidRDefault="001F5245" w:rsidP="001B5973">
      <w:pPr>
        <w:ind w:firstLine="709"/>
        <w:jc w:val="both"/>
      </w:pPr>
      <w:r w:rsidRPr="00014BC7">
        <w:t>2014.gadā</w:t>
      </w:r>
      <w:r w:rsidR="004D18B9" w:rsidRPr="00014BC7">
        <w:t xml:space="preserve"> ESM ir </w:t>
      </w:r>
      <w:r w:rsidRPr="00014BC7">
        <w:t>turpinājis īstenot</w:t>
      </w:r>
      <w:r w:rsidR="004D18B9" w:rsidRPr="00014BC7">
        <w:t xml:space="preserve"> Kipras </w:t>
      </w:r>
      <w:r w:rsidRPr="00014BC7">
        <w:t xml:space="preserve">makroekonomikas korekcijas programmu, kā arī tika uzsākta Spānijas pēc-programmas uzraudzība. </w:t>
      </w:r>
    </w:p>
    <w:p w:rsidR="00280255" w:rsidRDefault="00280255" w:rsidP="00E205D1">
      <w:pPr>
        <w:rPr>
          <w:rFonts w:eastAsia="Times New Roman" w:cs="Times New Roman"/>
          <w:i/>
          <w:szCs w:val="24"/>
          <w:highlight w:val="yellow"/>
          <w:lang w:eastAsia="lv-LV"/>
        </w:rPr>
      </w:pPr>
    </w:p>
    <w:p w:rsidR="007065B4" w:rsidRPr="00994ECF" w:rsidRDefault="007065B4" w:rsidP="00E205D1">
      <w:pPr>
        <w:rPr>
          <w:rFonts w:eastAsia="Times New Roman" w:cs="Times New Roman"/>
          <w:i/>
          <w:szCs w:val="24"/>
          <w:highlight w:val="yellow"/>
          <w:lang w:eastAsia="lv-LV"/>
        </w:rPr>
      </w:pPr>
    </w:p>
    <w:p w:rsidR="00280255" w:rsidRPr="001F5245" w:rsidRDefault="001F5245" w:rsidP="00A83D94">
      <w:pPr>
        <w:jc w:val="center"/>
        <w:rPr>
          <w:rFonts w:eastAsia="Times New Roman" w:cs="Times New Roman"/>
          <w:b/>
          <w:szCs w:val="24"/>
          <w:lang w:eastAsia="lv-LV"/>
        </w:rPr>
      </w:pPr>
      <w:r w:rsidRPr="001F5245">
        <w:rPr>
          <w:rFonts w:eastAsia="Times New Roman" w:cs="Times New Roman"/>
          <w:b/>
          <w:szCs w:val="24"/>
          <w:lang w:eastAsia="lv-LV"/>
        </w:rPr>
        <w:t>1</w:t>
      </w:r>
      <w:r w:rsidR="000C076D" w:rsidRPr="001F5245">
        <w:rPr>
          <w:rFonts w:eastAsia="Times New Roman" w:cs="Times New Roman"/>
          <w:b/>
          <w:szCs w:val="24"/>
          <w:lang w:eastAsia="lv-LV"/>
        </w:rPr>
        <w:t xml:space="preserve">. </w:t>
      </w:r>
      <w:r w:rsidR="00280255" w:rsidRPr="001F5245">
        <w:rPr>
          <w:rFonts w:eastAsia="Times New Roman" w:cs="Times New Roman"/>
          <w:b/>
          <w:szCs w:val="24"/>
          <w:lang w:eastAsia="lv-LV"/>
        </w:rPr>
        <w:t xml:space="preserve">ESM </w:t>
      </w:r>
      <w:r>
        <w:rPr>
          <w:rFonts w:eastAsia="Times New Roman" w:cs="Times New Roman"/>
          <w:b/>
          <w:szCs w:val="24"/>
          <w:lang w:eastAsia="lv-LV"/>
        </w:rPr>
        <w:t>īstenotās</w:t>
      </w:r>
      <w:r w:rsidR="00A83D94" w:rsidRPr="001F5245">
        <w:rPr>
          <w:rFonts w:eastAsia="Times New Roman" w:cs="Times New Roman"/>
          <w:b/>
          <w:szCs w:val="24"/>
          <w:lang w:eastAsia="lv-LV"/>
        </w:rPr>
        <w:t xml:space="preserve"> finansiālās palīdzības programmas</w:t>
      </w:r>
    </w:p>
    <w:p w:rsidR="00280255" w:rsidRPr="00994ECF" w:rsidRDefault="00280255" w:rsidP="00E205D1">
      <w:pPr>
        <w:rPr>
          <w:rFonts w:eastAsia="Times New Roman" w:cs="Times New Roman"/>
          <w:b/>
          <w:szCs w:val="24"/>
          <w:highlight w:val="yellow"/>
          <w:lang w:eastAsia="lv-LV"/>
        </w:rPr>
      </w:pPr>
    </w:p>
    <w:p w:rsidR="00280255" w:rsidRPr="001F5245" w:rsidRDefault="001F5245" w:rsidP="00D43DE7">
      <w:pPr>
        <w:jc w:val="center"/>
        <w:rPr>
          <w:rFonts w:eastAsia="Times New Roman" w:cs="Times New Roman"/>
          <w:szCs w:val="24"/>
          <w:lang w:eastAsia="lv-LV"/>
        </w:rPr>
      </w:pPr>
      <w:r w:rsidRPr="001F5245">
        <w:rPr>
          <w:rFonts w:eastAsia="Times New Roman" w:cs="Times New Roman"/>
          <w:szCs w:val="24"/>
          <w:lang w:eastAsia="lv-LV"/>
        </w:rPr>
        <w:t>1</w:t>
      </w:r>
      <w:r w:rsidR="00D43DE7" w:rsidRPr="001F5245">
        <w:rPr>
          <w:rFonts w:eastAsia="Times New Roman" w:cs="Times New Roman"/>
          <w:szCs w:val="24"/>
          <w:lang w:eastAsia="lv-LV"/>
        </w:rPr>
        <w:t xml:space="preserve">.1. Finansiālās palīdzības programma </w:t>
      </w:r>
      <w:r w:rsidR="00280255" w:rsidRPr="001F5245">
        <w:rPr>
          <w:rFonts w:eastAsia="Times New Roman" w:cs="Times New Roman"/>
          <w:szCs w:val="24"/>
          <w:lang w:eastAsia="lv-LV"/>
        </w:rPr>
        <w:t>Kipra</w:t>
      </w:r>
      <w:r w:rsidR="00D43DE7" w:rsidRPr="001F5245">
        <w:rPr>
          <w:rFonts w:eastAsia="Times New Roman" w:cs="Times New Roman"/>
          <w:szCs w:val="24"/>
          <w:lang w:eastAsia="lv-LV"/>
        </w:rPr>
        <w:t>i</w:t>
      </w:r>
    </w:p>
    <w:p w:rsidR="00280255" w:rsidRPr="00994ECF" w:rsidRDefault="00280255" w:rsidP="00E205D1">
      <w:pPr>
        <w:rPr>
          <w:rFonts w:eastAsia="Times New Roman" w:cs="Times New Roman"/>
          <w:b/>
          <w:szCs w:val="24"/>
          <w:highlight w:val="yellow"/>
          <w:lang w:eastAsia="lv-LV"/>
        </w:rPr>
      </w:pPr>
    </w:p>
    <w:p w:rsidR="004E5B2C" w:rsidRPr="008E3C46" w:rsidRDefault="004E5B2C" w:rsidP="004E5B2C">
      <w:pPr>
        <w:ind w:firstLine="720"/>
        <w:jc w:val="both"/>
        <w:rPr>
          <w:rFonts w:eastAsia="Times New Roman" w:cs="Times New Roman"/>
          <w:szCs w:val="24"/>
          <w:lang w:eastAsia="lv-LV"/>
        </w:rPr>
      </w:pPr>
      <w:r w:rsidRPr="008E3C46">
        <w:rPr>
          <w:rFonts w:eastAsia="Times New Roman" w:cs="Times New Roman"/>
          <w:szCs w:val="24"/>
          <w:lang w:eastAsia="lv-LV"/>
        </w:rPr>
        <w:t xml:space="preserve">Kipras makroekonomikas korekcijas programmas mērķis ir atjaunot finanšu sektora stabilitāti, stiprināt publisko finanšu ilgtspēju un veicināt strukturālo reformu īstenošanu ilgtspējīgas ekonomiskās izaugsmes nodrošināšanai. Saskaņā ar vienošanos par finansiālo palīdzību starp ESM un Kipru tai ir pieejami līdz 9 miljardiem </w:t>
      </w:r>
      <w:r w:rsidRPr="008E3C46">
        <w:rPr>
          <w:rFonts w:eastAsia="Times New Roman" w:cs="Times New Roman"/>
          <w:i/>
          <w:szCs w:val="24"/>
          <w:lang w:eastAsia="lv-LV"/>
        </w:rPr>
        <w:t>euro</w:t>
      </w:r>
      <w:r w:rsidRPr="008E3C46">
        <w:rPr>
          <w:rFonts w:eastAsia="Times New Roman" w:cs="Times New Roman"/>
          <w:szCs w:val="24"/>
          <w:lang w:eastAsia="lv-LV"/>
        </w:rPr>
        <w:t xml:space="preserve"> valsts parāda samazināšanai, budžeta deficīta mazināšanai un finanšu institū</w:t>
      </w:r>
      <w:r w:rsidR="006A1A20">
        <w:rPr>
          <w:rFonts w:eastAsia="Times New Roman" w:cs="Times New Roman"/>
          <w:szCs w:val="24"/>
          <w:lang w:eastAsia="lv-LV"/>
        </w:rPr>
        <w:t>ciju rekapitalizācijai. Papildu</w:t>
      </w:r>
      <w:r w:rsidRPr="008E3C46">
        <w:rPr>
          <w:rFonts w:eastAsia="Times New Roman" w:cs="Times New Roman"/>
          <w:szCs w:val="24"/>
          <w:lang w:eastAsia="lv-LV"/>
        </w:rPr>
        <w:t xml:space="preserve"> ESM finansējumam Starptautiskais Valūtas fonds Kiprai atvēlējis 1 miljardu </w:t>
      </w:r>
      <w:r w:rsidRPr="008E3C46">
        <w:rPr>
          <w:rFonts w:eastAsia="Times New Roman" w:cs="Times New Roman"/>
          <w:i/>
          <w:szCs w:val="24"/>
          <w:lang w:eastAsia="lv-LV"/>
        </w:rPr>
        <w:t>euro</w:t>
      </w:r>
      <w:r w:rsidRPr="008E3C46">
        <w:rPr>
          <w:rFonts w:eastAsia="Times New Roman" w:cs="Times New Roman"/>
          <w:szCs w:val="24"/>
          <w:lang w:eastAsia="lv-LV"/>
        </w:rPr>
        <w:t>. No 2013.gada maija līdz</w:t>
      </w:r>
      <w:r w:rsidR="008E3C46" w:rsidRPr="008E3C46">
        <w:rPr>
          <w:rFonts w:eastAsia="Times New Roman" w:cs="Times New Roman"/>
          <w:szCs w:val="24"/>
          <w:lang w:eastAsia="lv-LV"/>
        </w:rPr>
        <w:t xml:space="preserve"> 2015</w:t>
      </w:r>
      <w:r w:rsidRPr="008E3C46">
        <w:rPr>
          <w:rFonts w:eastAsia="Times New Roman" w:cs="Times New Roman"/>
          <w:szCs w:val="24"/>
          <w:lang w:eastAsia="lv-LV"/>
        </w:rPr>
        <w:t xml:space="preserve">.gada </w:t>
      </w:r>
      <w:r w:rsidR="008E3C46" w:rsidRPr="008E3C46">
        <w:rPr>
          <w:rFonts w:eastAsia="Times New Roman" w:cs="Times New Roman"/>
          <w:szCs w:val="24"/>
          <w:lang w:eastAsia="lv-LV"/>
        </w:rPr>
        <w:t xml:space="preserve"> jūlijam</w:t>
      </w:r>
      <w:r w:rsidRPr="008E3C46">
        <w:rPr>
          <w:rFonts w:eastAsia="Times New Roman" w:cs="Times New Roman"/>
          <w:szCs w:val="24"/>
          <w:lang w:eastAsia="lv-LV"/>
        </w:rPr>
        <w:t xml:space="preserve"> no ESM Kiprai kopumā tika</w:t>
      </w:r>
      <w:r w:rsidR="008E3C46" w:rsidRPr="008E3C46">
        <w:rPr>
          <w:rFonts w:eastAsia="Times New Roman" w:cs="Times New Roman"/>
          <w:szCs w:val="24"/>
          <w:lang w:eastAsia="lv-LV"/>
        </w:rPr>
        <w:t xml:space="preserve"> izmaksāti 5,8</w:t>
      </w:r>
      <w:r w:rsidRPr="008E3C46">
        <w:rPr>
          <w:rFonts w:eastAsia="Times New Roman" w:cs="Times New Roman"/>
          <w:szCs w:val="24"/>
          <w:lang w:eastAsia="lv-LV"/>
        </w:rPr>
        <w:t xml:space="preserve"> miljardi </w:t>
      </w:r>
      <w:r w:rsidR="008E3C46" w:rsidRPr="008E3C46">
        <w:rPr>
          <w:rFonts w:eastAsia="Times New Roman" w:cs="Times New Roman"/>
          <w:i/>
          <w:szCs w:val="24"/>
          <w:lang w:eastAsia="lv-LV"/>
        </w:rPr>
        <w:t>euro</w:t>
      </w:r>
      <w:r w:rsidRPr="008E3C46">
        <w:rPr>
          <w:rFonts w:eastAsia="Times New Roman" w:cs="Times New Roman"/>
          <w:szCs w:val="24"/>
          <w:lang w:eastAsia="lv-LV"/>
        </w:rPr>
        <w:t>.</w:t>
      </w:r>
    </w:p>
    <w:p w:rsidR="002B46EA" w:rsidRDefault="00AB015A" w:rsidP="00A13238">
      <w:pPr>
        <w:ind w:firstLine="720"/>
        <w:jc w:val="both"/>
        <w:rPr>
          <w:rFonts w:eastAsia="Times New Roman" w:cs="Times New Roman"/>
          <w:szCs w:val="24"/>
          <w:lang w:eastAsia="lv-LV"/>
        </w:rPr>
      </w:pPr>
      <w:r>
        <w:rPr>
          <w:rFonts w:eastAsia="Times New Roman" w:cs="Times New Roman"/>
          <w:szCs w:val="24"/>
          <w:lang w:eastAsia="lv-LV"/>
        </w:rPr>
        <w:t>Pārskata gadā</w:t>
      </w:r>
      <w:r w:rsidR="008E3C46">
        <w:rPr>
          <w:rFonts w:eastAsia="Times New Roman" w:cs="Times New Roman"/>
          <w:szCs w:val="24"/>
          <w:lang w:eastAsia="lv-LV"/>
        </w:rPr>
        <w:t xml:space="preserve"> pārliecinoši </w:t>
      </w:r>
      <w:r>
        <w:rPr>
          <w:rFonts w:eastAsia="Times New Roman" w:cs="Times New Roman"/>
          <w:szCs w:val="24"/>
          <w:lang w:eastAsia="lv-LV"/>
        </w:rPr>
        <w:t>norisinājās</w:t>
      </w:r>
      <w:r w:rsidR="008E3C46">
        <w:rPr>
          <w:rFonts w:eastAsia="Times New Roman" w:cs="Times New Roman"/>
          <w:szCs w:val="24"/>
          <w:lang w:eastAsia="lv-LV"/>
        </w:rPr>
        <w:t xml:space="preserve"> Kipras ekonomiskā stabilizācija. </w:t>
      </w:r>
      <w:r w:rsidR="00467C93" w:rsidRPr="00923E49">
        <w:rPr>
          <w:rFonts w:eastAsia="Times New Roman" w:cs="Times New Roman"/>
          <w:szCs w:val="24"/>
          <w:lang w:eastAsia="lv-LV"/>
        </w:rPr>
        <w:t>Lai gan tautsaimniecības lejupslīde turpinājās 2014.gadā, uzrādot 2,3% ekonomiskās aktivitātes kritumu, tā izrādījās vājāka kā tika prognozēts. Ekonomikas iekšējā pielāgošanās turpinājās, tomēr arī ar lēnāku tempu nekā iepriekšējās programmas prognozēs. Ņemot vērā spiedienu uz ienākumiem pēc nodokļu un citu maksājumu veikšanas, kā arī stingro banku kreditēšanas politiku, infl</w:t>
      </w:r>
      <w:r w:rsidR="00923E49" w:rsidRPr="00923E49">
        <w:rPr>
          <w:rFonts w:eastAsia="Times New Roman" w:cs="Times New Roman"/>
          <w:szCs w:val="24"/>
          <w:lang w:eastAsia="lv-LV"/>
        </w:rPr>
        <w:t>ācija ieslīdēja negatīvajā zonā. Savukārt bezdarba līmenis pirmo reizi kopš 2008.gada samazinājās galvenokārt darbaspēka sarukuma dēļ.</w:t>
      </w:r>
    </w:p>
    <w:p w:rsidR="00923E49" w:rsidRDefault="00923E49" w:rsidP="00A13238">
      <w:pPr>
        <w:ind w:firstLine="720"/>
        <w:jc w:val="both"/>
        <w:rPr>
          <w:rFonts w:eastAsia="Times New Roman" w:cs="Times New Roman"/>
          <w:szCs w:val="24"/>
          <w:lang w:eastAsia="lv-LV"/>
        </w:rPr>
      </w:pPr>
      <w:r>
        <w:rPr>
          <w:rFonts w:eastAsia="Times New Roman" w:cs="Times New Roman"/>
          <w:szCs w:val="24"/>
          <w:lang w:eastAsia="lv-LV"/>
        </w:rPr>
        <w:t>Valsts parāds attiecībā pret IKP sasniedza 107% un tiek prognozēts, ka tas sasniegs savu augstāko rādītāju, 116% no IKP, 2015.gadā, kas ir ievērojami mazāk nekā iepriekšējā prognozēšanas raundā, kad tā rādītājs tika prognozēts 126% apmērā. Samazinājums saistāms ar Eiropas Savienības statistikas biroja “</w:t>
      </w:r>
      <w:r w:rsidRPr="00923E49">
        <w:rPr>
          <w:rFonts w:eastAsia="Times New Roman" w:cs="Times New Roman"/>
          <w:i/>
          <w:szCs w:val="24"/>
          <w:lang w:eastAsia="lv-LV"/>
        </w:rPr>
        <w:t>Eurostat</w:t>
      </w:r>
      <w:r>
        <w:rPr>
          <w:rFonts w:eastAsia="Times New Roman" w:cs="Times New Roman"/>
          <w:szCs w:val="24"/>
          <w:lang w:eastAsia="lv-LV"/>
        </w:rPr>
        <w:t xml:space="preserve">” veikto IKP </w:t>
      </w:r>
      <w:r>
        <w:rPr>
          <w:rFonts w:eastAsia="Times New Roman" w:cs="Times New Roman"/>
          <w:szCs w:val="24"/>
          <w:lang w:eastAsia="lv-LV"/>
        </w:rPr>
        <w:lastRenderedPageBreak/>
        <w:t>revīziju saistībā ar pāreju uz Eiropas Kontu sistēmu 2010, kuras rezultātā IKP palielinājās par aptuveni 10%.</w:t>
      </w:r>
    </w:p>
    <w:p w:rsidR="00923E49" w:rsidRPr="00923E49" w:rsidRDefault="00923E49" w:rsidP="00A13238">
      <w:pPr>
        <w:ind w:firstLine="720"/>
        <w:jc w:val="both"/>
        <w:rPr>
          <w:rFonts w:eastAsia="Times New Roman" w:cs="Times New Roman"/>
          <w:szCs w:val="24"/>
          <w:lang w:eastAsia="lv-LV"/>
        </w:rPr>
      </w:pPr>
      <w:r>
        <w:rPr>
          <w:rFonts w:eastAsia="Times New Roman" w:cs="Times New Roman"/>
          <w:szCs w:val="24"/>
          <w:lang w:eastAsia="lv-LV"/>
        </w:rPr>
        <w:t xml:space="preserve">Attiecībā uz publiskajām finansēm, konsolidācijas pasākumi un uzlabojumi nodokļu iekasēšanā kopā ar stingru izdevumu kontroli un samazināto publiskajā sektorā nodarbināto kopējās atlīdzības </w:t>
      </w:r>
      <w:r w:rsidR="00F0479B">
        <w:rPr>
          <w:rFonts w:eastAsia="Times New Roman" w:cs="Times New Roman"/>
          <w:szCs w:val="24"/>
          <w:lang w:eastAsia="lv-LV"/>
        </w:rPr>
        <w:t xml:space="preserve">apmēru nodrošināja recesijas negatīvās ietekmes kompensēšanu. Šo pasākumu rezultātā primārā budžeta bilance (budžeta bilance, no kuras atskaitīti izdevumi parāda apkalpošanai) 2014.gadā sasniedza 2,8% no IKP, kas izpilda nākamo divu gadu nospraustos programmas mērķus. Neskatoties uz iepriekš minēto, fiskālo risku iestāšanās un to ietekme saglabājas augsta, ņemot vērā valdības galvojumu lielo apmēru, kas ir tuvs 20% no IKP. Šajā sakarā ESM sniedz tehnisko palīdzību ar mērķi uzlabot fiskālo risku novērtēšanu un vadību, kas saistīta ar no jauna izsniegtajām un esošajām valdības garantijām.  </w:t>
      </w:r>
    </w:p>
    <w:p w:rsidR="002B46EA" w:rsidRPr="000F48EA" w:rsidRDefault="000F48EA" w:rsidP="00A13238">
      <w:pPr>
        <w:ind w:firstLine="720"/>
        <w:jc w:val="both"/>
        <w:rPr>
          <w:rFonts w:eastAsia="Times New Roman" w:cs="Times New Roman"/>
          <w:szCs w:val="24"/>
          <w:lang w:eastAsia="lv-LV"/>
        </w:rPr>
      </w:pPr>
      <w:r>
        <w:rPr>
          <w:rFonts w:eastAsia="Times New Roman" w:cs="Times New Roman"/>
          <w:szCs w:val="24"/>
          <w:lang w:eastAsia="lv-LV"/>
        </w:rPr>
        <w:t xml:space="preserve">Lai gan privatizācijas un citu svarīgu reformu īstenošana atpalika no plānotā grafika </w:t>
      </w:r>
      <w:r w:rsidRPr="000F48EA">
        <w:rPr>
          <w:rFonts w:eastAsia="Times New Roman" w:cs="Times New Roman"/>
          <w:szCs w:val="24"/>
          <w:lang w:eastAsia="lv-LV"/>
        </w:rPr>
        <w:t>2014.gada nogalē</w:t>
      </w:r>
      <w:r>
        <w:rPr>
          <w:rFonts w:eastAsia="Times New Roman" w:cs="Times New Roman"/>
          <w:szCs w:val="24"/>
          <w:lang w:eastAsia="lv-LV"/>
        </w:rPr>
        <w:t xml:space="preserve">, to ieviešanas temps paātrinājās šā gada pirmajā pusē. Turpmākās programmas īstenošanā svarīgi, ka Kipra paātrina strukturālo reformu īstenošanas gaitu. </w:t>
      </w:r>
    </w:p>
    <w:p w:rsidR="002B46EA" w:rsidRDefault="005438CE" w:rsidP="00A13238">
      <w:pPr>
        <w:ind w:firstLine="720"/>
        <w:jc w:val="both"/>
        <w:rPr>
          <w:rFonts w:eastAsia="Times New Roman" w:cs="Times New Roman"/>
          <w:szCs w:val="24"/>
          <w:lang w:eastAsia="lv-LV"/>
        </w:rPr>
      </w:pPr>
      <w:r>
        <w:rPr>
          <w:rFonts w:eastAsia="Times New Roman" w:cs="Times New Roman"/>
          <w:szCs w:val="24"/>
          <w:lang w:eastAsia="lv-LV"/>
        </w:rPr>
        <w:t>2014.gadā Kipras f</w:t>
      </w:r>
      <w:r w:rsidRPr="005438CE">
        <w:rPr>
          <w:rFonts w:eastAsia="Times New Roman" w:cs="Times New Roman"/>
          <w:szCs w:val="24"/>
          <w:lang w:eastAsia="lv-LV"/>
        </w:rPr>
        <w:t>inan</w:t>
      </w:r>
      <w:r>
        <w:rPr>
          <w:rFonts w:eastAsia="Times New Roman" w:cs="Times New Roman"/>
          <w:szCs w:val="24"/>
          <w:lang w:eastAsia="lv-LV"/>
        </w:rPr>
        <w:t xml:space="preserve">šu sektors tika atbilstoši kapitalizēts, bet ļoti augstais problemātisko aizdevumu īpatsvars banku bilancēs </w:t>
      </w:r>
      <w:r w:rsidR="00B77CB8">
        <w:rPr>
          <w:rFonts w:eastAsia="Times New Roman" w:cs="Times New Roman"/>
          <w:szCs w:val="24"/>
          <w:lang w:eastAsia="lv-LV"/>
        </w:rPr>
        <w:t>negatīvi ietekmēja kredītiestāžu pelnītspējas radītājus un nākotnes perspektīvas. Atzīmējams, ka visas Kipras bankas, izņemot vienu</w:t>
      </w:r>
      <w:r w:rsidR="00B77CB8">
        <w:rPr>
          <w:rStyle w:val="FootnoteReference"/>
          <w:rFonts w:eastAsia="Times New Roman" w:cs="Times New Roman"/>
          <w:szCs w:val="24"/>
          <w:lang w:eastAsia="lv-LV"/>
        </w:rPr>
        <w:footnoteReference w:id="1"/>
      </w:r>
      <w:r w:rsidR="00B77CB8">
        <w:rPr>
          <w:rFonts w:eastAsia="Times New Roman" w:cs="Times New Roman"/>
          <w:szCs w:val="24"/>
          <w:lang w:eastAsia="lv-LV"/>
        </w:rPr>
        <w:t>, veiksmīgi spēja izpildīt Eiropas Centrālās bankas finansiālā stāvokļa novērtējumu</w:t>
      </w:r>
      <w:r w:rsidR="004E5B2C">
        <w:rPr>
          <w:rFonts w:eastAsia="Times New Roman" w:cs="Times New Roman"/>
          <w:szCs w:val="24"/>
          <w:lang w:eastAsia="lv-LV"/>
        </w:rPr>
        <w:t>. Vidējais problemātisko aizdevumu īpatsvars sektorā sasniedz 49,7% 2014.gada novembra beigās un tiek prognozēts, ka tas sasniegts savu augstāko līmeni 2015.gada pirmajā pusē. Svarīgi, ka depozītu bāze ir stabilizējusies un šā gada aprīlī ir atcelti visi kapitāla kontroles pasākumi.</w:t>
      </w:r>
    </w:p>
    <w:p w:rsidR="00D2071E" w:rsidRPr="005438CE" w:rsidRDefault="004E5B2C" w:rsidP="00D2071E">
      <w:pPr>
        <w:ind w:firstLine="720"/>
        <w:jc w:val="both"/>
        <w:rPr>
          <w:rFonts w:eastAsia="Times New Roman" w:cs="Times New Roman"/>
          <w:szCs w:val="24"/>
          <w:lang w:eastAsia="lv-LV"/>
        </w:rPr>
      </w:pPr>
      <w:r>
        <w:rPr>
          <w:rFonts w:eastAsia="Times New Roman" w:cs="Times New Roman"/>
          <w:szCs w:val="24"/>
          <w:lang w:eastAsia="lv-LV"/>
        </w:rPr>
        <w:t xml:space="preserve">2014.gada aprīlī Kipra spēja pirmo reizi triju gadu laikā piesaistīt patstāvīgi finanšu resursus starptautiskajos kapitāla tirgos, emitējot 6 gadu </w:t>
      </w:r>
      <w:r w:rsidRPr="004E5B2C">
        <w:rPr>
          <w:rFonts w:eastAsia="Times New Roman" w:cs="Times New Roman"/>
          <w:i/>
          <w:szCs w:val="24"/>
          <w:lang w:eastAsia="lv-LV"/>
        </w:rPr>
        <w:t>euro</w:t>
      </w:r>
      <w:r>
        <w:rPr>
          <w:rFonts w:eastAsia="Times New Roman" w:cs="Times New Roman"/>
          <w:szCs w:val="24"/>
          <w:lang w:eastAsia="lv-LV"/>
        </w:rPr>
        <w:t xml:space="preserve"> obligācijas 100 miljonu </w:t>
      </w:r>
      <w:r w:rsidRPr="004E5B2C">
        <w:rPr>
          <w:rFonts w:eastAsia="Times New Roman" w:cs="Times New Roman"/>
          <w:i/>
          <w:szCs w:val="24"/>
          <w:lang w:eastAsia="lv-LV"/>
        </w:rPr>
        <w:t>euro</w:t>
      </w:r>
      <w:r>
        <w:rPr>
          <w:rFonts w:eastAsia="Times New Roman" w:cs="Times New Roman"/>
          <w:szCs w:val="24"/>
          <w:lang w:eastAsia="lv-LV"/>
        </w:rPr>
        <w:t xml:space="preserve"> apmērā un 2014.gada jūnijā 5 gadu vidēja termiņa </w:t>
      </w:r>
      <w:r w:rsidRPr="004E5B2C">
        <w:rPr>
          <w:rFonts w:eastAsia="Times New Roman" w:cs="Times New Roman"/>
          <w:i/>
          <w:szCs w:val="24"/>
          <w:lang w:eastAsia="lv-LV"/>
        </w:rPr>
        <w:t>euro</w:t>
      </w:r>
      <w:r>
        <w:rPr>
          <w:rFonts w:eastAsia="Times New Roman" w:cs="Times New Roman"/>
          <w:szCs w:val="24"/>
          <w:lang w:eastAsia="lv-LV"/>
        </w:rPr>
        <w:t xml:space="preserve"> parādzīmes 750 miljonu </w:t>
      </w:r>
      <w:r w:rsidR="006A1A20" w:rsidRPr="006A1A20">
        <w:rPr>
          <w:rFonts w:eastAsia="Times New Roman" w:cs="Times New Roman"/>
          <w:i/>
          <w:szCs w:val="24"/>
          <w:lang w:eastAsia="lv-LV"/>
        </w:rPr>
        <w:t>euro</w:t>
      </w:r>
      <w:r w:rsidR="006A1A20">
        <w:rPr>
          <w:rFonts w:eastAsia="Times New Roman" w:cs="Times New Roman"/>
          <w:szCs w:val="24"/>
          <w:lang w:eastAsia="lv-LV"/>
        </w:rPr>
        <w:t xml:space="preserve"> </w:t>
      </w:r>
      <w:r>
        <w:rPr>
          <w:rFonts w:eastAsia="Times New Roman" w:cs="Times New Roman"/>
          <w:szCs w:val="24"/>
          <w:lang w:eastAsia="lv-LV"/>
        </w:rPr>
        <w:t>apmērā. Valdība apņēmīgi strādā, lai nodrošinātu ilgtspējīgu atgriešanos finanšu tirgos. Turklāt atzīmējams, ka ESM nodrošina tehnisko palīdzību Kipras Publiskā parāda vadības birojam ar mērķi veicināt operāciju optimizēšanu.</w:t>
      </w:r>
    </w:p>
    <w:p w:rsidR="001113BF" w:rsidRDefault="001113BF" w:rsidP="00085635">
      <w:pPr>
        <w:jc w:val="both"/>
        <w:rPr>
          <w:highlight w:val="yellow"/>
        </w:rPr>
      </w:pPr>
    </w:p>
    <w:p w:rsidR="00D2071E" w:rsidRPr="00994ECF" w:rsidRDefault="00D2071E" w:rsidP="00085635">
      <w:pPr>
        <w:jc w:val="both"/>
        <w:rPr>
          <w:highlight w:val="yellow"/>
        </w:rPr>
      </w:pPr>
    </w:p>
    <w:p w:rsidR="00A13238" w:rsidRPr="00A90717" w:rsidRDefault="00A90717" w:rsidP="00D43DE7">
      <w:pPr>
        <w:jc w:val="center"/>
      </w:pPr>
      <w:r w:rsidRPr="00A90717">
        <w:t>1</w:t>
      </w:r>
      <w:r w:rsidR="00D43DE7" w:rsidRPr="00A90717">
        <w:t xml:space="preserve">.2. </w:t>
      </w:r>
      <w:r w:rsidR="00A13238" w:rsidRPr="00A90717">
        <w:t xml:space="preserve">ESM </w:t>
      </w:r>
      <w:r>
        <w:t xml:space="preserve">veiktie maksājumi </w:t>
      </w:r>
      <w:r w:rsidRPr="00A90717">
        <w:t>Kiprai</w:t>
      </w:r>
    </w:p>
    <w:p w:rsidR="00A13238" w:rsidRPr="00994ECF" w:rsidRDefault="00A13238" w:rsidP="00085635">
      <w:pPr>
        <w:jc w:val="both"/>
        <w:rPr>
          <w:highlight w:val="yellow"/>
        </w:rPr>
      </w:pPr>
    </w:p>
    <w:p w:rsidR="00D2071E" w:rsidRPr="00D2071E" w:rsidRDefault="004C2FFF" w:rsidP="00A13238">
      <w:pPr>
        <w:ind w:firstLine="720"/>
        <w:jc w:val="both"/>
      </w:pPr>
      <w:r w:rsidRPr="00D2071E">
        <w:t xml:space="preserve">ESM un Kipra finansiālās palīdzības līgumu parakstīja 2013.gada 8.maijā. Tas paredzēja kopējo aizdevumu līdz 10 miljardiem </w:t>
      </w:r>
      <w:r w:rsidR="00D2071E" w:rsidRPr="00D2071E">
        <w:rPr>
          <w:i/>
        </w:rPr>
        <w:t>euro</w:t>
      </w:r>
      <w:r w:rsidRPr="00D2071E">
        <w:t xml:space="preserve">, ieskaitot SVF sniegto atbalstu. Kiprai izmaksāto aizdevumu maksimālais termiņš ir 20 gadi, bet vidējais termiņš – 15 gadi. </w:t>
      </w:r>
      <w:r w:rsidR="00D2071E" w:rsidRPr="00D2071E">
        <w:t>Savukārt vidējais svērtais termiņš 2014.gada beigās sasniedza 14,88 gad</w:t>
      </w:r>
      <w:r w:rsidR="006A1A20">
        <w:t>us</w:t>
      </w:r>
      <w:r w:rsidR="00D2071E" w:rsidRPr="00D2071E">
        <w:t xml:space="preserve">. </w:t>
      </w:r>
    </w:p>
    <w:p w:rsidR="00D2071E" w:rsidRDefault="00D2071E" w:rsidP="00A13238">
      <w:pPr>
        <w:ind w:firstLine="720"/>
        <w:jc w:val="both"/>
      </w:pPr>
      <w:r w:rsidRPr="00D2071E">
        <w:t>2014.gadā tika veikt</w:t>
      </w:r>
      <w:r>
        <w:t>i trīs</w:t>
      </w:r>
      <w:r w:rsidRPr="00D2071E">
        <w:t xml:space="preserve"> aizdevuma daļu maksājumi, kopā veidojot 1,1 miljardu </w:t>
      </w:r>
      <w:r w:rsidRPr="00D2071E">
        <w:rPr>
          <w:i/>
        </w:rPr>
        <w:t>euro</w:t>
      </w:r>
      <w:r w:rsidRPr="00D2071E">
        <w:t>. Pārskata gada pirmais maksājums tika veikts</w:t>
      </w:r>
      <w:r w:rsidR="00D56514">
        <w:t xml:space="preserve"> 2014.gada 4</w:t>
      </w:r>
      <w:r w:rsidRPr="00D2071E">
        <w:t xml:space="preserve">.aprīlī un veidoja 150 miljonus </w:t>
      </w:r>
      <w:r w:rsidRPr="00D2071E">
        <w:rPr>
          <w:i/>
        </w:rPr>
        <w:t>euro</w:t>
      </w:r>
      <w:r w:rsidRPr="00D2071E">
        <w:t xml:space="preserve">, kam sekoja nākamās daļas maksājums 600 miljonu </w:t>
      </w:r>
      <w:r w:rsidRPr="00D2071E">
        <w:rPr>
          <w:i/>
        </w:rPr>
        <w:t>euro</w:t>
      </w:r>
      <w:r w:rsidRPr="00D2071E">
        <w:t xml:space="preserve"> 2014.gada 9.jūlijā. Savukārt pārskata gada beidzamais maksājums 350 miljonu </w:t>
      </w:r>
      <w:r w:rsidRPr="00D2071E">
        <w:rPr>
          <w:i/>
        </w:rPr>
        <w:t>euro</w:t>
      </w:r>
      <w:r w:rsidRPr="00D2071E">
        <w:t xml:space="preserve"> </w:t>
      </w:r>
      <w:r>
        <w:t>apmērā</w:t>
      </w:r>
      <w:r w:rsidRPr="00D2071E">
        <w:t xml:space="preserve"> tika veikts 2014.gada 15.decembrī.</w:t>
      </w:r>
    </w:p>
    <w:p w:rsidR="00D2071E" w:rsidRPr="00D2071E" w:rsidRDefault="00D2071E" w:rsidP="00A13238">
      <w:pPr>
        <w:ind w:firstLine="720"/>
        <w:jc w:val="both"/>
      </w:pPr>
    </w:p>
    <w:p w:rsidR="00A13238" w:rsidRPr="00994ECF" w:rsidRDefault="00A13238" w:rsidP="00A13238">
      <w:pPr>
        <w:ind w:firstLine="720"/>
        <w:jc w:val="both"/>
        <w:rPr>
          <w:highlight w:val="yellow"/>
        </w:rPr>
      </w:pPr>
    </w:p>
    <w:p w:rsidR="004C2FFF" w:rsidRPr="00A90717" w:rsidRDefault="00A13238" w:rsidP="00A13238">
      <w:pPr>
        <w:jc w:val="center"/>
      </w:pPr>
      <w:r w:rsidRPr="00A90717">
        <w:lastRenderedPageBreak/>
        <w:t xml:space="preserve">1.tabula Kipras </w:t>
      </w:r>
      <w:r w:rsidR="00DE3F13" w:rsidRPr="00A90717">
        <w:t xml:space="preserve">makroekonomikas korekcijas </w:t>
      </w:r>
      <w:r w:rsidRPr="00A90717">
        <w:t xml:space="preserve">programmas ietvaros veiktie </w:t>
      </w:r>
      <w:r w:rsidR="00DE3F13" w:rsidRPr="00A90717">
        <w:t xml:space="preserve">ESM </w:t>
      </w:r>
      <w:r w:rsidRPr="00A90717">
        <w:t>maksājumi</w:t>
      </w:r>
    </w:p>
    <w:tbl>
      <w:tblPr>
        <w:tblStyle w:val="TableGrid"/>
        <w:tblW w:w="0" w:type="auto"/>
        <w:jc w:val="center"/>
        <w:tblLook w:val="04A0" w:firstRow="1" w:lastRow="0" w:firstColumn="1" w:lastColumn="0" w:noHBand="0" w:noVBand="1"/>
      </w:tblPr>
      <w:tblGrid>
        <w:gridCol w:w="1466"/>
        <w:gridCol w:w="1253"/>
        <w:gridCol w:w="1347"/>
        <w:gridCol w:w="1360"/>
        <w:gridCol w:w="3102"/>
      </w:tblGrid>
      <w:tr w:rsidR="0013137B" w:rsidRPr="00994ECF" w:rsidTr="00715C24">
        <w:trPr>
          <w:jc w:val="center"/>
        </w:trPr>
        <w:tc>
          <w:tcPr>
            <w:tcW w:w="1514" w:type="dxa"/>
            <w:shd w:val="clear" w:color="auto" w:fill="F2F2F2" w:themeFill="background1" w:themeFillShade="F2"/>
            <w:vAlign w:val="center"/>
          </w:tcPr>
          <w:p w:rsidR="0013137B" w:rsidRPr="004F74A5" w:rsidRDefault="0013137B" w:rsidP="001C4618">
            <w:pPr>
              <w:jc w:val="center"/>
              <w:rPr>
                <w:b/>
                <w:sz w:val="22"/>
              </w:rPr>
            </w:pPr>
            <w:r w:rsidRPr="004F74A5">
              <w:rPr>
                <w:b/>
                <w:sz w:val="22"/>
              </w:rPr>
              <w:t>Maksājums</w:t>
            </w:r>
          </w:p>
        </w:tc>
        <w:tc>
          <w:tcPr>
            <w:tcW w:w="1276" w:type="dxa"/>
            <w:shd w:val="clear" w:color="auto" w:fill="F2F2F2" w:themeFill="background1" w:themeFillShade="F2"/>
            <w:vAlign w:val="center"/>
          </w:tcPr>
          <w:p w:rsidR="0013137B" w:rsidRPr="004F74A5" w:rsidRDefault="0013137B" w:rsidP="001C4618">
            <w:pPr>
              <w:jc w:val="center"/>
              <w:rPr>
                <w:b/>
                <w:sz w:val="22"/>
              </w:rPr>
            </w:pPr>
            <w:r w:rsidRPr="004F74A5">
              <w:rPr>
                <w:b/>
                <w:sz w:val="22"/>
              </w:rPr>
              <w:t>Izmaksas datums</w:t>
            </w:r>
          </w:p>
        </w:tc>
        <w:tc>
          <w:tcPr>
            <w:tcW w:w="1417" w:type="dxa"/>
            <w:shd w:val="clear" w:color="auto" w:fill="F2F2F2" w:themeFill="background1" w:themeFillShade="F2"/>
            <w:vAlign w:val="center"/>
          </w:tcPr>
          <w:p w:rsidR="0013137B" w:rsidRPr="004F74A5" w:rsidRDefault="0013137B" w:rsidP="001C4618">
            <w:pPr>
              <w:jc w:val="center"/>
              <w:rPr>
                <w:b/>
                <w:sz w:val="22"/>
              </w:rPr>
            </w:pPr>
            <w:r w:rsidRPr="004F74A5">
              <w:rPr>
                <w:b/>
                <w:sz w:val="22"/>
              </w:rPr>
              <w:t>Termiņš</w:t>
            </w:r>
          </w:p>
        </w:tc>
        <w:tc>
          <w:tcPr>
            <w:tcW w:w="1559" w:type="dxa"/>
            <w:shd w:val="clear" w:color="auto" w:fill="F2F2F2" w:themeFill="background1" w:themeFillShade="F2"/>
            <w:vAlign w:val="center"/>
          </w:tcPr>
          <w:p w:rsidR="0013137B" w:rsidRPr="004F74A5" w:rsidRDefault="0013137B" w:rsidP="00DE3F13">
            <w:pPr>
              <w:jc w:val="center"/>
              <w:rPr>
                <w:b/>
                <w:sz w:val="22"/>
              </w:rPr>
            </w:pPr>
            <w:r w:rsidRPr="004F74A5">
              <w:rPr>
                <w:b/>
                <w:sz w:val="22"/>
              </w:rPr>
              <w:t xml:space="preserve">Apmērs (miljoni </w:t>
            </w:r>
            <w:r w:rsidR="00DE3F13" w:rsidRPr="00DE3F13">
              <w:rPr>
                <w:b/>
                <w:i/>
                <w:sz w:val="22"/>
              </w:rPr>
              <w:t>euro</w:t>
            </w:r>
            <w:r w:rsidRPr="004F74A5">
              <w:rPr>
                <w:b/>
                <w:sz w:val="22"/>
              </w:rPr>
              <w:t>)</w:t>
            </w:r>
          </w:p>
        </w:tc>
        <w:tc>
          <w:tcPr>
            <w:tcW w:w="3871" w:type="dxa"/>
            <w:shd w:val="clear" w:color="auto" w:fill="F2F2F2" w:themeFill="background1" w:themeFillShade="F2"/>
            <w:vAlign w:val="center"/>
          </w:tcPr>
          <w:p w:rsidR="0013137B" w:rsidRPr="004F74A5" w:rsidRDefault="0013137B" w:rsidP="001C4618">
            <w:pPr>
              <w:jc w:val="center"/>
              <w:rPr>
                <w:b/>
                <w:sz w:val="22"/>
              </w:rPr>
            </w:pPr>
            <w:r w:rsidRPr="004F74A5">
              <w:rPr>
                <w:b/>
                <w:sz w:val="22"/>
              </w:rPr>
              <w:t>Mērķis</w:t>
            </w:r>
          </w:p>
        </w:tc>
      </w:tr>
      <w:tr w:rsidR="0013137B" w:rsidRPr="00994ECF" w:rsidTr="00715C24">
        <w:trPr>
          <w:jc w:val="center"/>
        </w:trPr>
        <w:tc>
          <w:tcPr>
            <w:tcW w:w="1514" w:type="dxa"/>
          </w:tcPr>
          <w:p w:rsidR="0013137B" w:rsidRPr="004F74A5" w:rsidRDefault="0013137B" w:rsidP="00085635">
            <w:pPr>
              <w:jc w:val="both"/>
              <w:rPr>
                <w:sz w:val="22"/>
              </w:rPr>
            </w:pPr>
            <w:r w:rsidRPr="004F74A5">
              <w:rPr>
                <w:sz w:val="22"/>
              </w:rPr>
              <w:t>1.maksājums</w:t>
            </w:r>
          </w:p>
        </w:tc>
        <w:tc>
          <w:tcPr>
            <w:tcW w:w="1276" w:type="dxa"/>
          </w:tcPr>
          <w:p w:rsidR="0013137B" w:rsidRPr="004F74A5" w:rsidRDefault="0013137B" w:rsidP="00085635">
            <w:pPr>
              <w:jc w:val="both"/>
              <w:rPr>
                <w:sz w:val="22"/>
              </w:rPr>
            </w:pPr>
            <w:r w:rsidRPr="004F74A5">
              <w:rPr>
                <w:sz w:val="22"/>
              </w:rPr>
              <w:t>13.05.2013</w:t>
            </w:r>
          </w:p>
        </w:tc>
        <w:tc>
          <w:tcPr>
            <w:tcW w:w="1417" w:type="dxa"/>
          </w:tcPr>
          <w:p w:rsidR="0013137B" w:rsidRPr="004F74A5" w:rsidRDefault="0013137B" w:rsidP="00085635">
            <w:pPr>
              <w:jc w:val="both"/>
              <w:rPr>
                <w:sz w:val="22"/>
              </w:rPr>
            </w:pPr>
            <w:r w:rsidRPr="004F74A5">
              <w:rPr>
                <w:sz w:val="22"/>
              </w:rPr>
              <w:t>13.05.2026</w:t>
            </w:r>
          </w:p>
        </w:tc>
        <w:tc>
          <w:tcPr>
            <w:tcW w:w="1559" w:type="dxa"/>
          </w:tcPr>
          <w:p w:rsidR="0013137B" w:rsidRPr="004F74A5" w:rsidRDefault="0013137B" w:rsidP="00085635">
            <w:pPr>
              <w:jc w:val="both"/>
              <w:rPr>
                <w:sz w:val="22"/>
              </w:rPr>
            </w:pPr>
            <w:r w:rsidRPr="004F74A5">
              <w:rPr>
                <w:sz w:val="22"/>
              </w:rPr>
              <w:t>1000</w:t>
            </w:r>
          </w:p>
        </w:tc>
        <w:tc>
          <w:tcPr>
            <w:tcW w:w="3871" w:type="dxa"/>
          </w:tcPr>
          <w:p w:rsidR="0013137B" w:rsidRPr="004F74A5" w:rsidRDefault="00715C24" w:rsidP="00715C24">
            <w:pPr>
              <w:jc w:val="both"/>
              <w:rPr>
                <w:sz w:val="22"/>
              </w:rPr>
            </w:pPr>
            <w:r>
              <w:rPr>
                <w:rFonts w:eastAsia="Times New Roman" w:cs="Times New Roman"/>
                <w:szCs w:val="24"/>
                <w:lang w:eastAsia="lv-LV"/>
              </w:rPr>
              <w:t>F</w:t>
            </w:r>
            <w:r w:rsidRPr="008E3C46">
              <w:rPr>
                <w:rFonts w:eastAsia="Times New Roman" w:cs="Times New Roman"/>
                <w:szCs w:val="24"/>
                <w:lang w:eastAsia="lv-LV"/>
              </w:rPr>
              <w:t>inanšu sektora stabilitāt</w:t>
            </w:r>
            <w:r>
              <w:rPr>
                <w:rFonts w:eastAsia="Times New Roman" w:cs="Times New Roman"/>
                <w:szCs w:val="24"/>
                <w:lang w:eastAsia="lv-LV"/>
              </w:rPr>
              <w:t>es atjaunošana</w:t>
            </w:r>
            <w:r w:rsidRPr="008E3C46">
              <w:rPr>
                <w:rFonts w:eastAsia="Times New Roman" w:cs="Times New Roman"/>
                <w:szCs w:val="24"/>
                <w:lang w:eastAsia="lv-LV"/>
              </w:rPr>
              <w:t xml:space="preserve">, </w:t>
            </w:r>
            <w:r w:rsidR="009C044F">
              <w:rPr>
                <w:rFonts w:eastAsia="Times New Roman" w:cs="Times New Roman"/>
                <w:szCs w:val="24"/>
                <w:lang w:eastAsia="lv-LV"/>
              </w:rPr>
              <w:t>publisko finanšu ilgtspējas</w:t>
            </w:r>
            <w:r>
              <w:rPr>
                <w:rFonts w:eastAsia="Times New Roman" w:cs="Times New Roman"/>
                <w:szCs w:val="24"/>
                <w:lang w:eastAsia="lv-LV"/>
              </w:rPr>
              <w:t xml:space="preserve"> stiprināšana</w:t>
            </w:r>
            <w:r w:rsidRPr="008E3C46">
              <w:rPr>
                <w:rFonts w:eastAsia="Times New Roman" w:cs="Times New Roman"/>
                <w:szCs w:val="24"/>
                <w:lang w:eastAsia="lv-LV"/>
              </w:rPr>
              <w:t xml:space="preserve"> un strukturālo reformu </w:t>
            </w:r>
            <w:r>
              <w:rPr>
                <w:rFonts w:eastAsia="Times New Roman" w:cs="Times New Roman"/>
                <w:szCs w:val="24"/>
                <w:lang w:eastAsia="lv-LV"/>
              </w:rPr>
              <w:t>veicināšana.</w:t>
            </w:r>
          </w:p>
        </w:tc>
      </w:tr>
      <w:tr w:rsidR="0013137B" w:rsidRPr="00994ECF" w:rsidTr="00715C24">
        <w:trPr>
          <w:jc w:val="center"/>
        </w:trPr>
        <w:tc>
          <w:tcPr>
            <w:tcW w:w="1514" w:type="dxa"/>
          </w:tcPr>
          <w:p w:rsidR="0013137B" w:rsidRPr="004F74A5" w:rsidRDefault="0013137B" w:rsidP="001C4618">
            <w:pPr>
              <w:jc w:val="both"/>
              <w:rPr>
                <w:sz w:val="22"/>
              </w:rPr>
            </w:pPr>
          </w:p>
        </w:tc>
        <w:tc>
          <w:tcPr>
            <w:tcW w:w="1276" w:type="dxa"/>
          </w:tcPr>
          <w:p w:rsidR="0013137B" w:rsidRPr="004F74A5" w:rsidRDefault="0013137B" w:rsidP="001C4618">
            <w:pPr>
              <w:jc w:val="both"/>
              <w:rPr>
                <w:sz w:val="22"/>
              </w:rPr>
            </w:pPr>
            <w:r w:rsidRPr="004F74A5">
              <w:rPr>
                <w:sz w:val="22"/>
              </w:rPr>
              <w:t>13.05.2013</w:t>
            </w:r>
          </w:p>
        </w:tc>
        <w:tc>
          <w:tcPr>
            <w:tcW w:w="1417" w:type="dxa"/>
          </w:tcPr>
          <w:p w:rsidR="0013137B" w:rsidRPr="004F74A5" w:rsidRDefault="0013137B" w:rsidP="001C4618">
            <w:pPr>
              <w:jc w:val="both"/>
              <w:rPr>
                <w:sz w:val="22"/>
              </w:rPr>
            </w:pPr>
            <w:r w:rsidRPr="004F74A5">
              <w:rPr>
                <w:sz w:val="22"/>
              </w:rPr>
              <w:t>13.05.2027</w:t>
            </w:r>
          </w:p>
        </w:tc>
        <w:tc>
          <w:tcPr>
            <w:tcW w:w="1559" w:type="dxa"/>
          </w:tcPr>
          <w:p w:rsidR="0013137B" w:rsidRPr="004F74A5" w:rsidRDefault="0013137B" w:rsidP="001C4618">
            <w:pPr>
              <w:jc w:val="both"/>
              <w:rPr>
                <w:sz w:val="22"/>
              </w:rPr>
            </w:pPr>
            <w:r w:rsidRPr="004F74A5">
              <w:rPr>
                <w:sz w:val="22"/>
              </w:rPr>
              <w:t>1000</w:t>
            </w:r>
          </w:p>
        </w:tc>
        <w:tc>
          <w:tcPr>
            <w:tcW w:w="3871" w:type="dxa"/>
          </w:tcPr>
          <w:p w:rsidR="0013137B" w:rsidRPr="004F74A5" w:rsidRDefault="00715C24" w:rsidP="001C4618">
            <w:pPr>
              <w:jc w:val="both"/>
              <w:rPr>
                <w:sz w:val="22"/>
              </w:rPr>
            </w:pPr>
            <w:r>
              <w:rPr>
                <w:rFonts w:eastAsia="Times New Roman" w:cs="Times New Roman"/>
                <w:szCs w:val="24"/>
                <w:lang w:eastAsia="lv-LV"/>
              </w:rPr>
              <w:t>F</w:t>
            </w:r>
            <w:r w:rsidRPr="008E3C46">
              <w:rPr>
                <w:rFonts w:eastAsia="Times New Roman" w:cs="Times New Roman"/>
                <w:szCs w:val="24"/>
                <w:lang w:eastAsia="lv-LV"/>
              </w:rPr>
              <w:t>inanšu sektora stabilitāt</w:t>
            </w:r>
            <w:r>
              <w:rPr>
                <w:rFonts w:eastAsia="Times New Roman" w:cs="Times New Roman"/>
                <w:szCs w:val="24"/>
                <w:lang w:eastAsia="lv-LV"/>
              </w:rPr>
              <w:t>es atjaunošana</w:t>
            </w:r>
            <w:r w:rsidRPr="008E3C46">
              <w:rPr>
                <w:rFonts w:eastAsia="Times New Roman" w:cs="Times New Roman"/>
                <w:szCs w:val="24"/>
                <w:lang w:eastAsia="lv-LV"/>
              </w:rPr>
              <w:t xml:space="preserve">, </w:t>
            </w:r>
            <w:r w:rsidR="009C044F">
              <w:rPr>
                <w:rFonts w:eastAsia="Times New Roman" w:cs="Times New Roman"/>
                <w:szCs w:val="24"/>
                <w:lang w:eastAsia="lv-LV"/>
              </w:rPr>
              <w:t>publisko finanšu ilgtspējas</w:t>
            </w:r>
            <w:r>
              <w:rPr>
                <w:rFonts w:eastAsia="Times New Roman" w:cs="Times New Roman"/>
                <w:szCs w:val="24"/>
                <w:lang w:eastAsia="lv-LV"/>
              </w:rPr>
              <w:t xml:space="preserve"> stiprināšana</w:t>
            </w:r>
            <w:r w:rsidRPr="008E3C46">
              <w:rPr>
                <w:rFonts w:eastAsia="Times New Roman" w:cs="Times New Roman"/>
                <w:szCs w:val="24"/>
                <w:lang w:eastAsia="lv-LV"/>
              </w:rPr>
              <w:t xml:space="preserve"> un strukturālo reformu </w:t>
            </w:r>
            <w:r>
              <w:rPr>
                <w:rFonts w:eastAsia="Times New Roman" w:cs="Times New Roman"/>
                <w:szCs w:val="24"/>
                <w:lang w:eastAsia="lv-LV"/>
              </w:rPr>
              <w:t>veicināšana.</w:t>
            </w:r>
          </w:p>
        </w:tc>
      </w:tr>
      <w:tr w:rsidR="0013137B" w:rsidRPr="00994ECF" w:rsidTr="00715C24">
        <w:trPr>
          <w:jc w:val="center"/>
        </w:trPr>
        <w:tc>
          <w:tcPr>
            <w:tcW w:w="1514" w:type="dxa"/>
          </w:tcPr>
          <w:p w:rsidR="0013137B" w:rsidRPr="004F74A5" w:rsidRDefault="0013137B" w:rsidP="0013137B">
            <w:pPr>
              <w:jc w:val="both"/>
              <w:rPr>
                <w:sz w:val="22"/>
              </w:rPr>
            </w:pPr>
          </w:p>
        </w:tc>
        <w:tc>
          <w:tcPr>
            <w:tcW w:w="1276" w:type="dxa"/>
          </w:tcPr>
          <w:p w:rsidR="0013137B" w:rsidRPr="004F74A5" w:rsidRDefault="0013137B" w:rsidP="0013137B">
            <w:pPr>
              <w:jc w:val="both"/>
              <w:rPr>
                <w:sz w:val="22"/>
              </w:rPr>
            </w:pPr>
            <w:r w:rsidRPr="004F74A5">
              <w:rPr>
                <w:sz w:val="22"/>
              </w:rPr>
              <w:t>26.06.2013</w:t>
            </w:r>
          </w:p>
        </w:tc>
        <w:tc>
          <w:tcPr>
            <w:tcW w:w="1417" w:type="dxa"/>
          </w:tcPr>
          <w:p w:rsidR="0013137B" w:rsidRPr="004F74A5" w:rsidRDefault="0013137B" w:rsidP="0013137B">
            <w:pPr>
              <w:jc w:val="both"/>
              <w:rPr>
                <w:sz w:val="22"/>
              </w:rPr>
            </w:pPr>
            <w:r w:rsidRPr="004F74A5">
              <w:rPr>
                <w:sz w:val="22"/>
              </w:rPr>
              <w:t>26.06.2028</w:t>
            </w:r>
          </w:p>
        </w:tc>
        <w:tc>
          <w:tcPr>
            <w:tcW w:w="1559" w:type="dxa"/>
          </w:tcPr>
          <w:p w:rsidR="0013137B" w:rsidRPr="004F74A5" w:rsidRDefault="0013137B" w:rsidP="0013137B">
            <w:pPr>
              <w:jc w:val="both"/>
              <w:rPr>
                <w:sz w:val="22"/>
              </w:rPr>
            </w:pPr>
            <w:r w:rsidRPr="004F74A5">
              <w:rPr>
                <w:sz w:val="22"/>
              </w:rPr>
              <w:t>1000</w:t>
            </w:r>
          </w:p>
        </w:tc>
        <w:tc>
          <w:tcPr>
            <w:tcW w:w="3871" w:type="dxa"/>
          </w:tcPr>
          <w:p w:rsidR="0013137B" w:rsidRPr="004F74A5" w:rsidRDefault="00715C24" w:rsidP="0013137B">
            <w:pPr>
              <w:jc w:val="both"/>
              <w:rPr>
                <w:sz w:val="22"/>
              </w:rPr>
            </w:pPr>
            <w:r>
              <w:rPr>
                <w:rFonts w:eastAsia="Times New Roman" w:cs="Times New Roman"/>
                <w:szCs w:val="24"/>
                <w:lang w:eastAsia="lv-LV"/>
              </w:rPr>
              <w:t>F</w:t>
            </w:r>
            <w:r w:rsidRPr="008E3C46">
              <w:rPr>
                <w:rFonts w:eastAsia="Times New Roman" w:cs="Times New Roman"/>
                <w:szCs w:val="24"/>
                <w:lang w:eastAsia="lv-LV"/>
              </w:rPr>
              <w:t>inanšu sektora stabilitāt</w:t>
            </w:r>
            <w:r>
              <w:rPr>
                <w:rFonts w:eastAsia="Times New Roman" w:cs="Times New Roman"/>
                <w:szCs w:val="24"/>
                <w:lang w:eastAsia="lv-LV"/>
              </w:rPr>
              <w:t>es atjaunošana</w:t>
            </w:r>
            <w:r w:rsidRPr="008E3C46">
              <w:rPr>
                <w:rFonts w:eastAsia="Times New Roman" w:cs="Times New Roman"/>
                <w:szCs w:val="24"/>
                <w:lang w:eastAsia="lv-LV"/>
              </w:rPr>
              <w:t xml:space="preserve">, </w:t>
            </w:r>
            <w:r w:rsidR="009C044F">
              <w:rPr>
                <w:rFonts w:eastAsia="Times New Roman" w:cs="Times New Roman"/>
                <w:szCs w:val="24"/>
                <w:lang w:eastAsia="lv-LV"/>
              </w:rPr>
              <w:t>publisko finanšu ilgtspējas</w:t>
            </w:r>
            <w:r>
              <w:rPr>
                <w:rFonts w:eastAsia="Times New Roman" w:cs="Times New Roman"/>
                <w:szCs w:val="24"/>
                <w:lang w:eastAsia="lv-LV"/>
              </w:rPr>
              <w:t xml:space="preserve"> stiprināšana</w:t>
            </w:r>
            <w:r w:rsidRPr="008E3C46">
              <w:rPr>
                <w:rFonts w:eastAsia="Times New Roman" w:cs="Times New Roman"/>
                <w:szCs w:val="24"/>
                <w:lang w:eastAsia="lv-LV"/>
              </w:rPr>
              <w:t xml:space="preserve"> un strukturālo reformu </w:t>
            </w:r>
            <w:r>
              <w:rPr>
                <w:rFonts w:eastAsia="Times New Roman" w:cs="Times New Roman"/>
                <w:szCs w:val="24"/>
                <w:lang w:eastAsia="lv-LV"/>
              </w:rPr>
              <w:t>veicināšana.</w:t>
            </w:r>
          </w:p>
        </w:tc>
      </w:tr>
      <w:tr w:rsidR="0013137B" w:rsidRPr="00994ECF" w:rsidTr="00715C24">
        <w:trPr>
          <w:jc w:val="center"/>
        </w:trPr>
        <w:tc>
          <w:tcPr>
            <w:tcW w:w="1514" w:type="dxa"/>
          </w:tcPr>
          <w:p w:rsidR="0013137B" w:rsidRPr="004F74A5" w:rsidRDefault="0013137B" w:rsidP="0013137B">
            <w:pPr>
              <w:jc w:val="both"/>
              <w:rPr>
                <w:sz w:val="22"/>
              </w:rPr>
            </w:pPr>
            <w:r w:rsidRPr="004F74A5">
              <w:rPr>
                <w:sz w:val="22"/>
              </w:rPr>
              <w:t>2.maksājums</w:t>
            </w:r>
          </w:p>
        </w:tc>
        <w:tc>
          <w:tcPr>
            <w:tcW w:w="1276" w:type="dxa"/>
          </w:tcPr>
          <w:p w:rsidR="0013137B" w:rsidRPr="004F74A5" w:rsidRDefault="0013137B" w:rsidP="0013137B">
            <w:pPr>
              <w:jc w:val="both"/>
              <w:rPr>
                <w:sz w:val="22"/>
              </w:rPr>
            </w:pPr>
            <w:r w:rsidRPr="004F74A5">
              <w:rPr>
                <w:sz w:val="22"/>
              </w:rPr>
              <w:t>27.09.2013</w:t>
            </w:r>
          </w:p>
        </w:tc>
        <w:tc>
          <w:tcPr>
            <w:tcW w:w="1417" w:type="dxa"/>
          </w:tcPr>
          <w:p w:rsidR="0013137B" w:rsidRPr="004F74A5" w:rsidRDefault="0013137B" w:rsidP="0013137B">
            <w:pPr>
              <w:jc w:val="both"/>
              <w:rPr>
                <w:sz w:val="22"/>
              </w:rPr>
            </w:pPr>
            <w:r w:rsidRPr="004F74A5">
              <w:rPr>
                <w:sz w:val="22"/>
              </w:rPr>
              <w:t>27.09.2029</w:t>
            </w:r>
          </w:p>
        </w:tc>
        <w:tc>
          <w:tcPr>
            <w:tcW w:w="1559" w:type="dxa"/>
          </w:tcPr>
          <w:p w:rsidR="0013137B" w:rsidRPr="004F74A5" w:rsidRDefault="0013137B" w:rsidP="0013137B">
            <w:pPr>
              <w:jc w:val="both"/>
              <w:rPr>
                <w:sz w:val="22"/>
              </w:rPr>
            </w:pPr>
            <w:r w:rsidRPr="004F74A5">
              <w:rPr>
                <w:sz w:val="22"/>
              </w:rPr>
              <w:t>750</w:t>
            </w:r>
          </w:p>
        </w:tc>
        <w:tc>
          <w:tcPr>
            <w:tcW w:w="3871" w:type="dxa"/>
          </w:tcPr>
          <w:p w:rsidR="0013137B" w:rsidRPr="004F74A5" w:rsidRDefault="0013137B" w:rsidP="0013137B">
            <w:pPr>
              <w:jc w:val="both"/>
              <w:rPr>
                <w:sz w:val="22"/>
              </w:rPr>
            </w:pPr>
            <w:r w:rsidRPr="004F74A5">
              <w:rPr>
                <w:sz w:val="22"/>
              </w:rPr>
              <w:t>Banku rekapitalizācija</w:t>
            </w:r>
          </w:p>
        </w:tc>
      </w:tr>
      <w:tr w:rsidR="0013137B" w:rsidRPr="00994ECF" w:rsidTr="00715C24">
        <w:trPr>
          <w:jc w:val="center"/>
        </w:trPr>
        <w:tc>
          <w:tcPr>
            <w:tcW w:w="1514" w:type="dxa"/>
          </w:tcPr>
          <w:p w:rsidR="0013137B" w:rsidRPr="004F74A5" w:rsidRDefault="0013137B" w:rsidP="0013137B">
            <w:pPr>
              <w:jc w:val="both"/>
              <w:rPr>
                <w:sz w:val="22"/>
              </w:rPr>
            </w:pPr>
          </w:p>
        </w:tc>
        <w:tc>
          <w:tcPr>
            <w:tcW w:w="1276" w:type="dxa"/>
          </w:tcPr>
          <w:p w:rsidR="0013137B" w:rsidRPr="004F74A5" w:rsidRDefault="0013137B" w:rsidP="0013137B">
            <w:pPr>
              <w:jc w:val="both"/>
              <w:rPr>
                <w:sz w:val="22"/>
              </w:rPr>
            </w:pPr>
            <w:r w:rsidRPr="004F74A5">
              <w:rPr>
                <w:sz w:val="22"/>
              </w:rPr>
              <w:t>27.09.2013</w:t>
            </w:r>
          </w:p>
        </w:tc>
        <w:tc>
          <w:tcPr>
            <w:tcW w:w="1417" w:type="dxa"/>
          </w:tcPr>
          <w:p w:rsidR="0013137B" w:rsidRPr="004F74A5" w:rsidRDefault="0013137B" w:rsidP="0013137B">
            <w:pPr>
              <w:jc w:val="both"/>
              <w:rPr>
                <w:sz w:val="22"/>
              </w:rPr>
            </w:pPr>
            <w:r w:rsidRPr="004F74A5">
              <w:rPr>
                <w:sz w:val="22"/>
              </w:rPr>
              <w:t>27.09.2030</w:t>
            </w:r>
          </w:p>
        </w:tc>
        <w:tc>
          <w:tcPr>
            <w:tcW w:w="1559" w:type="dxa"/>
          </w:tcPr>
          <w:p w:rsidR="0013137B" w:rsidRPr="004F74A5" w:rsidRDefault="0013137B" w:rsidP="0013137B">
            <w:pPr>
              <w:jc w:val="both"/>
              <w:rPr>
                <w:sz w:val="22"/>
              </w:rPr>
            </w:pPr>
            <w:r w:rsidRPr="004F74A5">
              <w:rPr>
                <w:sz w:val="22"/>
              </w:rPr>
              <w:t>750</w:t>
            </w:r>
          </w:p>
        </w:tc>
        <w:tc>
          <w:tcPr>
            <w:tcW w:w="3871" w:type="dxa"/>
          </w:tcPr>
          <w:p w:rsidR="0013137B" w:rsidRPr="004F74A5" w:rsidRDefault="0013137B" w:rsidP="0013137B">
            <w:pPr>
              <w:jc w:val="both"/>
              <w:rPr>
                <w:sz w:val="22"/>
              </w:rPr>
            </w:pPr>
            <w:r w:rsidRPr="004F74A5">
              <w:rPr>
                <w:sz w:val="22"/>
              </w:rPr>
              <w:t>Banku rekapitalizācija</w:t>
            </w:r>
          </w:p>
        </w:tc>
      </w:tr>
      <w:tr w:rsidR="0013137B" w:rsidRPr="00994ECF" w:rsidTr="00715C24">
        <w:trPr>
          <w:jc w:val="center"/>
        </w:trPr>
        <w:tc>
          <w:tcPr>
            <w:tcW w:w="1514" w:type="dxa"/>
          </w:tcPr>
          <w:p w:rsidR="0013137B" w:rsidRPr="004F74A5" w:rsidRDefault="0013137B" w:rsidP="0013137B">
            <w:pPr>
              <w:jc w:val="both"/>
              <w:rPr>
                <w:sz w:val="22"/>
              </w:rPr>
            </w:pPr>
            <w:r w:rsidRPr="004F74A5">
              <w:rPr>
                <w:sz w:val="22"/>
              </w:rPr>
              <w:t>3.maksājums</w:t>
            </w:r>
          </w:p>
        </w:tc>
        <w:tc>
          <w:tcPr>
            <w:tcW w:w="1276" w:type="dxa"/>
          </w:tcPr>
          <w:p w:rsidR="0013137B" w:rsidRPr="004F74A5" w:rsidRDefault="0013137B" w:rsidP="0013137B">
            <w:pPr>
              <w:jc w:val="both"/>
              <w:rPr>
                <w:sz w:val="22"/>
              </w:rPr>
            </w:pPr>
            <w:r w:rsidRPr="004F74A5">
              <w:rPr>
                <w:sz w:val="22"/>
              </w:rPr>
              <w:t>19.12.2013</w:t>
            </w:r>
          </w:p>
        </w:tc>
        <w:tc>
          <w:tcPr>
            <w:tcW w:w="1417" w:type="dxa"/>
          </w:tcPr>
          <w:p w:rsidR="0013137B" w:rsidRPr="004F74A5" w:rsidRDefault="0013137B" w:rsidP="0013137B">
            <w:pPr>
              <w:jc w:val="both"/>
              <w:rPr>
                <w:sz w:val="22"/>
              </w:rPr>
            </w:pPr>
            <w:r w:rsidRPr="004F74A5">
              <w:rPr>
                <w:sz w:val="22"/>
              </w:rPr>
              <w:t>19.12.2019</w:t>
            </w:r>
          </w:p>
        </w:tc>
        <w:tc>
          <w:tcPr>
            <w:tcW w:w="1559" w:type="dxa"/>
          </w:tcPr>
          <w:p w:rsidR="0013137B" w:rsidRPr="004F74A5" w:rsidRDefault="0013137B" w:rsidP="0013137B">
            <w:pPr>
              <w:jc w:val="both"/>
              <w:rPr>
                <w:sz w:val="22"/>
              </w:rPr>
            </w:pPr>
            <w:r w:rsidRPr="004F74A5">
              <w:rPr>
                <w:sz w:val="22"/>
              </w:rPr>
              <w:t>100</w:t>
            </w:r>
          </w:p>
        </w:tc>
        <w:tc>
          <w:tcPr>
            <w:tcW w:w="3871" w:type="dxa"/>
          </w:tcPr>
          <w:p w:rsidR="0013137B" w:rsidRPr="004F74A5" w:rsidRDefault="00715C24" w:rsidP="0013137B">
            <w:pPr>
              <w:jc w:val="both"/>
              <w:rPr>
                <w:sz w:val="22"/>
              </w:rPr>
            </w:pPr>
            <w:r>
              <w:rPr>
                <w:rFonts w:eastAsia="Times New Roman" w:cs="Times New Roman"/>
                <w:szCs w:val="24"/>
                <w:lang w:eastAsia="lv-LV"/>
              </w:rPr>
              <w:t>F</w:t>
            </w:r>
            <w:r w:rsidRPr="008E3C46">
              <w:rPr>
                <w:rFonts w:eastAsia="Times New Roman" w:cs="Times New Roman"/>
                <w:szCs w:val="24"/>
                <w:lang w:eastAsia="lv-LV"/>
              </w:rPr>
              <w:t>inanšu sektora stabilitāt</w:t>
            </w:r>
            <w:r>
              <w:rPr>
                <w:rFonts w:eastAsia="Times New Roman" w:cs="Times New Roman"/>
                <w:szCs w:val="24"/>
                <w:lang w:eastAsia="lv-LV"/>
              </w:rPr>
              <w:t>es atjaunošana</w:t>
            </w:r>
            <w:r w:rsidRPr="008E3C46">
              <w:rPr>
                <w:rFonts w:eastAsia="Times New Roman" w:cs="Times New Roman"/>
                <w:szCs w:val="24"/>
                <w:lang w:eastAsia="lv-LV"/>
              </w:rPr>
              <w:t xml:space="preserve">, </w:t>
            </w:r>
            <w:r w:rsidR="009C044F">
              <w:rPr>
                <w:rFonts w:eastAsia="Times New Roman" w:cs="Times New Roman"/>
                <w:szCs w:val="24"/>
                <w:lang w:eastAsia="lv-LV"/>
              </w:rPr>
              <w:t>publisko finanšu ilgtspējas</w:t>
            </w:r>
            <w:r>
              <w:rPr>
                <w:rFonts w:eastAsia="Times New Roman" w:cs="Times New Roman"/>
                <w:szCs w:val="24"/>
                <w:lang w:eastAsia="lv-LV"/>
              </w:rPr>
              <w:t xml:space="preserve"> stiprināšana</w:t>
            </w:r>
            <w:r w:rsidRPr="008E3C46">
              <w:rPr>
                <w:rFonts w:eastAsia="Times New Roman" w:cs="Times New Roman"/>
                <w:szCs w:val="24"/>
                <w:lang w:eastAsia="lv-LV"/>
              </w:rPr>
              <w:t xml:space="preserve"> un strukturālo reformu </w:t>
            </w:r>
            <w:r>
              <w:rPr>
                <w:rFonts w:eastAsia="Times New Roman" w:cs="Times New Roman"/>
                <w:szCs w:val="24"/>
                <w:lang w:eastAsia="lv-LV"/>
              </w:rPr>
              <w:t>veicināšana.</w:t>
            </w:r>
          </w:p>
        </w:tc>
      </w:tr>
      <w:tr w:rsidR="0013137B" w:rsidRPr="00994ECF" w:rsidTr="00715C24">
        <w:trPr>
          <w:jc w:val="center"/>
        </w:trPr>
        <w:tc>
          <w:tcPr>
            <w:tcW w:w="1514" w:type="dxa"/>
          </w:tcPr>
          <w:p w:rsidR="0013137B" w:rsidRPr="004F74A5" w:rsidRDefault="0013137B" w:rsidP="0013137B">
            <w:pPr>
              <w:jc w:val="both"/>
              <w:rPr>
                <w:sz w:val="22"/>
              </w:rPr>
            </w:pPr>
            <w:r w:rsidRPr="004F74A5">
              <w:rPr>
                <w:sz w:val="22"/>
              </w:rPr>
              <w:t>4.maksājums</w:t>
            </w:r>
          </w:p>
        </w:tc>
        <w:tc>
          <w:tcPr>
            <w:tcW w:w="1276" w:type="dxa"/>
          </w:tcPr>
          <w:p w:rsidR="0013137B" w:rsidRPr="004F74A5" w:rsidRDefault="0013137B" w:rsidP="0013137B">
            <w:pPr>
              <w:jc w:val="both"/>
              <w:rPr>
                <w:sz w:val="22"/>
              </w:rPr>
            </w:pPr>
            <w:r w:rsidRPr="004F74A5">
              <w:rPr>
                <w:sz w:val="22"/>
              </w:rPr>
              <w:t>04.04.2014</w:t>
            </w:r>
          </w:p>
        </w:tc>
        <w:tc>
          <w:tcPr>
            <w:tcW w:w="1417" w:type="dxa"/>
          </w:tcPr>
          <w:p w:rsidR="0013137B" w:rsidRPr="004F74A5" w:rsidRDefault="0013137B" w:rsidP="0013137B">
            <w:pPr>
              <w:jc w:val="both"/>
              <w:rPr>
                <w:sz w:val="22"/>
              </w:rPr>
            </w:pPr>
            <w:r w:rsidRPr="004F74A5">
              <w:rPr>
                <w:sz w:val="22"/>
              </w:rPr>
              <w:t>04.04.2030</w:t>
            </w:r>
          </w:p>
        </w:tc>
        <w:tc>
          <w:tcPr>
            <w:tcW w:w="1559" w:type="dxa"/>
          </w:tcPr>
          <w:p w:rsidR="0013137B" w:rsidRPr="004F74A5" w:rsidRDefault="0013137B" w:rsidP="0013137B">
            <w:pPr>
              <w:jc w:val="both"/>
              <w:rPr>
                <w:sz w:val="22"/>
              </w:rPr>
            </w:pPr>
            <w:r w:rsidRPr="004F74A5">
              <w:rPr>
                <w:sz w:val="22"/>
              </w:rPr>
              <w:t>150</w:t>
            </w:r>
          </w:p>
        </w:tc>
        <w:tc>
          <w:tcPr>
            <w:tcW w:w="3871" w:type="dxa"/>
          </w:tcPr>
          <w:p w:rsidR="0013137B" w:rsidRPr="004F74A5" w:rsidRDefault="00715C24" w:rsidP="009C044F">
            <w:pPr>
              <w:jc w:val="both"/>
              <w:rPr>
                <w:sz w:val="22"/>
              </w:rPr>
            </w:pPr>
            <w:r>
              <w:rPr>
                <w:rFonts w:eastAsia="Times New Roman" w:cs="Times New Roman"/>
                <w:szCs w:val="24"/>
                <w:lang w:eastAsia="lv-LV"/>
              </w:rPr>
              <w:t>F</w:t>
            </w:r>
            <w:r w:rsidRPr="008E3C46">
              <w:rPr>
                <w:rFonts w:eastAsia="Times New Roman" w:cs="Times New Roman"/>
                <w:szCs w:val="24"/>
                <w:lang w:eastAsia="lv-LV"/>
              </w:rPr>
              <w:t>inanšu sektora stabilitāt</w:t>
            </w:r>
            <w:r>
              <w:rPr>
                <w:rFonts w:eastAsia="Times New Roman" w:cs="Times New Roman"/>
                <w:szCs w:val="24"/>
                <w:lang w:eastAsia="lv-LV"/>
              </w:rPr>
              <w:t>es atjaunošana</w:t>
            </w:r>
            <w:r w:rsidRPr="008E3C46">
              <w:rPr>
                <w:rFonts w:eastAsia="Times New Roman" w:cs="Times New Roman"/>
                <w:szCs w:val="24"/>
                <w:lang w:eastAsia="lv-LV"/>
              </w:rPr>
              <w:t>, publisko finanšu ilgtspēj</w:t>
            </w:r>
            <w:r w:rsidR="009C044F">
              <w:rPr>
                <w:rFonts w:eastAsia="Times New Roman" w:cs="Times New Roman"/>
                <w:szCs w:val="24"/>
                <w:lang w:eastAsia="lv-LV"/>
              </w:rPr>
              <w:t>as</w:t>
            </w:r>
            <w:r>
              <w:rPr>
                <w:rFonts w:eastAsia="Times New Roman" w:cs="Times New Roman"/>
                <w:szCs w:val="24"/>
                <w:lang w:eastAsia="lv-LV"/>
              </w:rPr>
              <w:t xml:space="preserve"> stiprināšana</w:t>
            </w:r>
            <w:r w:rsidRPr="008E3C46">
              <w:rPr>
                <w:rFonts w:eastAsia="Times New Roman" w:cs="Times New Roman"/>
                <w:szCs w:val="24"/>
                <w:lang w:eastAsia="lv-LV"/>
              </w:rPr>
              <w:t xml:space="preserve"> un strukturālo reformu </w:t>
            </w:r>
            <w:r>
              <w:rPr>
                <w:rFonts w:eastAsia="Times New Roman" w:cs="Times New Roman"/>
                <w:szCs w:val="24"/>
                <w:lang w:eastAsia="lv-LV"/>
              </w:rPr>
              <w:t>veicināšana.</w:t>
            </w:r>
          </w:p>
        </w:tc>
      </w:tr>
      <w:tr w:rsidR="0013137B" w:rsidRPr="00994ECF" w:rsidTr="00715C24">
        <w:trPr>
          <w:trHeight w:val="56"/>
          <w:jc w:val="center"/>
        </w:trPr>
        <w:tc>
          <w:tcPr>
            <w:tcW w:w="1514" w:type="dxa"/>
          </w:tcPr>
          <w:p w:rsidR="0013137B" w:rsidRPr="004F74A5" w:rsidRDefault="0013137B" w:rsidP="0013137B">
            <w:pPr>
              <w:jc w:val="both"/>
              <w:rPr>
                <w:sz w:val="22"/>
              </w:rPr>
            </w:pPr>
            <w:r w:rsidRPr="004F74A5">
              <w:rPr>
                <w:sz w:val="22"/>
              </w:rPr>
              <w:t>5.maksājums</w:t>
            </w:r>
          </w:p>
        </w:tc>
        <w:tc>
          <w:tcPr>
            <w:tcW w:w="1276" w:type="dxa"/>
          </w:tcPr>
          <w:p w:rsidR="0013137B" w:rsidRPr="004F74A5" w:rsidRDefault="0013137B" w:rsidP="0013137B">
            <w:pPr>
              <w:jc w:val="both"/>
              <w:rPr>
                <w:sz w:val="22"/>
              </w:rPr>
            </w:pPr>
            <w:r w:rsidRPr="004F74A5">
              <w:rPr>
                <w:sz w:val="22"/>
              </w:rPr>
              <w:t>09.07.2014</w:t>
            </w:r>
          </w:p>
        </w:tc>
        <w:tc>
          <w:tcPr>
            <w:tcW w:w="1417" w:type="dxa"/>
          </w:tcPr>
          <w:p w:rsidR="0013137B" w:rsidRPr="004F74A5" w:rsidRDefault="0013137B" w:rsidP="0013137B">
            <w:pPr>
              <w:jc w:val="both"/>
              <w:rPr>
                <w:sz w:val="22"/>
              </w:rPr>
            </w:pPr>
            <w:r w:rsidRPr="004F74A5">
              <w:rPr>
                <w:sz w:val="22"/>
              </w:rPr>
              <w:t>09.07.2031</w:t>
            </w:r>
          </w:p>
        </w:tc>
        <w:tc>
          <w:tcPr>
            <w:tcW w:w="1559" w:type="dxa"/>
          </w:tcPr>
          <w:p w:rsidR="0013137B" w:rsidRPr="004F74A5" w:rsidRDefault="0013137B" w:rsidP="0013137B">
            <w:pPr>
              <w:jc w:val="both"/>
              <w:rPr>
                <w:sz w:val="22"/>
              </w:rPr>
            </w:pPr>
            <w:r w:rsidRPr="004F74A5">
              <w:rPr>
                <w:sz w:val="22"/>
              </w:rPr>
              <w:t>600</w:t>
            </w:r>
          </w:p>
        </w:tc>
        <w:tc>
          <w:tcPr>
            <w:tcW w:w="3871" w:type="dxa"/>
          </w:tcPr>
          <w:p w:rsidR="0013137B" w:rsidRPr="004F74A5" w:rsidRDefault="00715C24" w:rsidP="0013137B">
            <w:pPr>
              <w:jc w:val="both"/>
              <w:rPr>
                <w:sz w:val="22"/>
              </w:rPr>
            </w:pPr>
            <w:r>
              <w:rPr>
                <w:rFonts w:eastAsia="Times New Roman" w:cs="Times New Roman"/>
                <w:szCs w:val="24"/>
                <w:lang w:eastAsia="lv-LV"/>
              </w:rPr>
              <w:t>F</w:t>
            </w:r>
            <w:r w:rsidRPr="008E3C46">
              <w:rPr>
                <w:rFonts w:eastAsia="Times New Roman" w:cs="Times New Roman"/>
                <w:szCs w:val="24"/>
                <w:lang w:eastAsia="lv-LV"/>
              </w:rPr>
              <w:t>inanšu sektora stabilitāt</w:t>
            </w:r>
            <w:r>
              <w:rPr>
                <w:rFonts w:eastAsia="Times New Roman" w:cs="Times New Roman"/>
                <w:szCs w:val="24"/>
                <w:lang w:eastAsia="lv-LV"/>
              </w:rPr>
              <w:t>es atjaunošana</w:t>
            </w:r>
            <w:r w:rsidRPr="008E3C46">
              <w:rPr>
                <w:rFonts w:eastAsia="Times New Roman" w:cs="Times New Roman"/>
                <w:szCs w:val="24"/>
                <w:lang w:eastAsia="lv-LV"/>
              </w:rPr>
              <w:t xml:space="preserve">, </w:t>
            </w:r>
            <w:r w:rsidR="009C044F">
              <w:rPr>
                <w:rFonts w:eastAsia="Times New Roman" w:cs="Times New Roman"/>
                <w:szCs w:val="24"/>
                <w:lang w:eastAsia="lv-LV"/>
              </w:rPr>
              <w:t>publisko finanšu ilgtspējas</w:t>
            </w:r>
            <w:r>
              <w:rPr>
                <w:rFonts w:eastAsia="Times New Roman" w:cs="Times New Roman"/>
                <w:szCs w:val="24"/>
                <w:lang w:eastAsia="lv-LV"/>
              </w:rPr>
              <w:t xml:space="preserve"> stiprināšana</w:t>
            </w:r>
            <w:r w:rsidRPr="008E3C46">
              <w:rPr>
                <w:rFonts w:eastAsia="Times New Roman" w:cs="Times New Roman"/>
                <w:szCs w:val="24"/>
                <w:lang w:eastAsia="lv-LV"/>
              </w:rPr>
              <w:t xml:space="preserve"> un strukturālo reformu </w:t>
            </w:r>
            <w:r>
              <w:rPr>
                <w:rFonts w:eastAsia="Times New Roman" w:cs="Times New Roman"/>
                <w:szCs w:val="24"/>
                <w:lang w:eastAsia="lv-LV"/>
              </w:rPr>
              <w:t>veicināšana.</w:t>
            </w:r>
          </w:p>
        </w:tc>
      </w:tr>
      <w:tr w:rsidR="0013137B" w:rsidRPr="00994ECF" w:rsidTr="00715C24">
        <w:trPr>
          <w:trHeight w:val="56"/>
          <w:jc w:val="center"/>
        </w:trPr>
        <w:tc>
          <w:tcPr>
            <w:tcW w:w="1514" w:type="dxa"/>
          </w:tcPr>
          <w:p w:rsidR="0013137B" w:rsidRPr="004F74A5" w:rsidRDefault="0013137B" w:rsidP="0013137B">
            <w:pPr>
              <w:jc w:val="both"/>
              <w:rPr>
                <w:sz w:val="22"/>
              </w:rPr>
            </w:pPr>
            <w:r w:rsidRPr="004F74A5">
              <w:rPr>
                <w:sz w:val="22"/>
              </w:rPr>
              <w:t>6.maksājums</w:t>
            </w:r>
          </w:p>
        </w:tc>
        <w:tc>
          <w:tcPr>
            <w:tcW w:w="1276" w:type="dxa"/>
          </w:tcPr>
          <w:p w:rsidR="0013137B" w:rsidRPr="004F74A5" w:rsidRDefault="0013137B" w:rsidP="0013137B">
            <w:pPr>
              <w:jc w:val="both"/>
              <w:rPr>
                <w:sz w:val="22"/>
              </w:rPr>
            </w:pPr>
            <w:r w:rsidRPr="004F74A5">
              <w:rPr>
                <w:sz w:val="22"/>
              </w:rPr>
              <w:t>15.12.2014</w:t>
            </w:r>
          </w:p>
        </w:tc>
        <w:tc>
          <w:tcPr>
            <w:tcW w:w="1417" w:type="dxa"/>
          </w:tcPr>
          <w:p w:rsidR="0013137B" w:rsidRPr="004F74A5" w:rsidRDefault="0013137B" w:rsidP="0013137B">
            <w:pPr>
              <w:jc w:val="both"/>
              <w:rPr>
                <w:sz w:val="22"/>
              </w:rPr>
            </w:pPr>
            <w:r w:rsidRPr="004F74A5">
              <w:rPr>
                <w:sz w:val="22"/>
              </w:rPr>
              <w:t>15.12.2025</w:t>
            </w:r>
          </w:p>
        </w:tc>
        <w:tc>
          <w:tcPr>
            <w:tcW w:w="1559" w:type="dxa"/>
          </w:tcPr>
          <w:p w:rsidR="0013137B" w:rsidRPr="004F74A5" w:rsidRDefault="0013137B" w:rsidP="0013137B">
            <w:pPr>
              <w:jc w:val="both"/>
              <w:rPr>
                <w:sz w:val="22"/>
              </w:rPr>
            </w:pPr>
            <w:r w:rsidRPr="004F74A5">
              <w:rPr>
                <w:sz w:val="22"/>
              </w:rPr>
              <w:t>350</w:t>
            </w:r>
          </w:p>
        </w:tc>
        <w:tc>
          <w:tcPr>
            <w:tcW w:w="3871" w:type="dxa"/>
          </w:tcPr>
          <w:p w:rsidR="0013137B" w:rsidRPr="004F74A5" w:rsidRDefault="00715C24" w:rsidP="0013137B">
            <w:pPr>
              <w:jc w:val="both"/>
              <w:rPr>
                <w:sz w:val="22"/>
              </w:rPr>
            </w:pPr>
            <w:r>
              <w:rPr>
                <w:rFonts w:eastAsia="Times New Roman" w:cs="Times New Roman"/>
                <w:szCs w:val="24"/>
                <w:lang w:eastAsia="lv-LV"/>
              </w:rPr>
              <w:t>F</w:t>
            </w:r>
            <w:r w:rsidRPr="008E3C46">
              <w:rPr>
                <w:rFonts w:eastAsia="Times New Roman" w:cs="Times New Roman"/>
                <w:szCs w:val="24"/>
                <w:lang w:eastAsia="lv-LV"/>
              </w:rPr>
              <w:t>inanšu sektora stabilitāt</w:t>
            </w:r>
            <w:r>
              <w:rPr>
                <w:rFonts w:eastAsia="Times New Roman" w:cs="Times New Roman"/>
                <w:szCs w:val="24"/>
                <w:lang w:eastAsia="lv-LV"/>
              </w:rPr>
              <w:t>es atjaunošana</w:t>
            </w:r>
            <w:r w:rsidRPr="008E3C46">
              <w:rPr>
                <w:rFonts w:eastAsia="Times New Roman" w:cs="Times New Roman"/>
                <w:szCs w:val="24"/>
                <w:lang w:eastAsia="lv-LV"/>
              </w:rPr>
              <w:t xml:space="preserve">, </w:t>
            </w:r>
            <w:r w:rsidR="009C044F">
              <w:rPr>
                <w:rFonts w:eastAsia="Times New Roman" w:cs="Times New Roman"/>
                <w:szCs w:val="24"/>
                <w:lang w:eastAsia="lv-LV"/>
              </w:rPr>
              <w:t>publisko finanšu ilgtspējas</w:t>
            </w:r>
            <w:r>
              <w:rPr>
                <w:rFonts w:eastAsia="Times New Roman" w:cs="Times New Roman"/>
                <w:szCs w:val="24"/>
                <w:lang w:eastAsia="lv-LV"/>
              </w:rPr>
              <w:t xml:space="preserve"> stiprināšana</w:t>
            </w:r>
            <w:r w:rsidRPr="008E3C46">
              <w:rPr>
                <w:rFonts w:eastAsia="Times New Roman" w:cs="Times New Roman"/>
                <w:szCs w:val="24"/>
                <w:lang w:eastAsia="lv-LV"/>
              </w:rPr>
              <w:t xml:space="preserve"> un strukturālo reformu </w:t>
            </w:r>
            <w:r>
              <w:rPr>
                <w:rFonts w:eastAsia="Times New Roman" w:cs="Times New Roman"/>
                <w:szCs w:val="24"/>
                <w:lang w:eastAsia="lv-LV"/>
              </w:rPr>
              <w:t>veicināšana.</w:t>
            </w:r>
          </w:p>
        </w:tc>
      </w:tr>
    </w:tbl>
    <w:p w:rsidR="002A7ADA" w:rsidRDefault="002A7ADA" w:rsidP="00D43DE7">
      <w:pPr>
        <w:tabs>
          <w:tab w:val="left" w:pos="5008"/>
        </w:tabs>
        <w:jc w:val="both"/>
        <w:rPr>
          <w:b/>
          <w:highlight w:val="yellow"/>
        </w:rPr>
      </w:pPr>
    </w:p>
    <w:p w:rsidR="00204419" w:rsidRPr="00A90717" w:rsidRDefault="00D43DE7" w:rsidP="00D43DE7">
      <w:pPr>
        <w:tabs>
          <w:tab w:val="left" w:pos="5008"/>
        </w:tabs>
        <w:jc w:val="both"/>
        <w:rPr>
          <w:b/>
        </w:rPr>
      </w:pPr>
      <w:r w:rsidRPr="00A90717">
        <w:rPr>
          <w:b/>
        </w:rPr>
        <w:tab/>
      </w:r>
    </w:p>
    <w:p w:rsidR="00D43DE7" w:rsidRPr="00A90717" w:rsidRDefault="00A90717" w:rsidP="00D43DE7">
      <w:pPr>
        <w:jc w:val="center"/>
        <w:rPr>
          <w:rFonts w:eastAsia="Times New Roman" w:cs="Times New Roman"/>
          <w:szCs w:val="24"/>
          <w:lang w:eastAsia="lv-LV"/>
        </w:rPr>
      </w:pPr>
      <w:r>
        <w:rPr>
          <w:rFonts w:eastAsia="Times New Roman" w:cs="Times New Roman"/>
          <w:szCs w:val="24"/>
          <w:lang w:eastAsia="lv-LV"/>
        </w:rPr>
        <w:t>1.3</w:t>
      </w:r>
      <w:r w:rsidR="00D43DE7" w:rsidRPr="00A90717">
        <w:rPr>
          <w:rFonts w:eastAsia="Times New Roman" w:cs="Times New Roman"/>
          <w:szCs w:val="24"/>
          <w:lang w:eastAsia="lv-LV"/>
        </w:rPr>
        <w:t>. Finansiālās palīdzības programma Spānijai</w:t>
      </w:r>
    </w:p>
    <w:p w:rsidR="00593D13" w:rsidRDefault="00593D13" w:rsidP="004901FB">
      <w:pPr>
        <w:ind w:firstLine="720"/>
        <w:jc w:val="both"/>
        <w:rPr>
          <w:highlight w:val="yellow"/>
        </w:rPr>
      </w:pPr>
    </w:p>
    <w:p w:rsidR="008364B0" w:rsidRPr="008364B0" w:rsidRDefault="008364B0" w:rsidP="008364B0">
      <w:pPr>
        <w:ind w:firstLine="720"/>
        <w:jc w:val="both"/>
      </w:pPr>
      <w:r w:rsidRPr="008364B0">
        <w:t>ESM finansiālās palīdzības programma Spānijai tika noslēgta 2013.gada 31.dec</w:t>
      </w:r>
      <w:r w:rsidR="006A1A20">
        <w:t>em</w:t>
      </w:r>
      <w:r w:rsidRPr="008364B0">
        <w:t xml:space="preserve">brī. Programmas ietvaros ar ESM finanšu institūciju rekapitalizācijas instrumenta palīdzību tikai rekapitalizētas un restrukturizētas Spānijas problemātiskās bankas. Spānijas makroekonomikas korekcijas programmas mērķis bija atjaunot </w:t>
      </w:r>
      <w:r w:rsidRPr="008364B0">
        <w:lastRenderedPageBreak/>
        <w:t>banku kapitāla pietiekamību atbilstoši prasībām un izveidot ietvaru problemātisko aktīvu pārvaldībai, kā arī ievērojami uzlabot banku pārraudzību un regulējumu.</w:t>
      </w:r>
    </w:p>
    <w:p w:rsidR="00593D13" w:rsidRDefault="00593D13" w:rsidP="00FE76E2">
      <w:pPr>
        <w:autoSpaceDE w:val="0"/>
        <w:autoSpaceDN w:val="0"/>
        <w:adjustRightInd w:val="0"/>
        <w:ind w:firstLine="709"/>
        <w:jc w:val="both"/>
        <w:rPr>
          <w:rFonts w:cs="Times New Roman"/>
          <w:szCs w:val="24"/>
        </w:rPr>
      </w:pPr>
      <w:r w:rsidRPr="00FE76E2">
        <w:rPr>
          <w:rFonts w:cs="Times New Roman"/>
          <w:szCs w:val="24"/>
        </w:rPr>
        <w:t xml:space="preserve">2014.gadā Spānijas ekonomiskā attīstības pakāpeniski paātrinājās, kā rezultātā ceturtajā ceturksnī tika sasniegta 2,0% IKP izaugsme. Kopumā 2014.gadā iekšzemes pieprasījums uzradīja spēcīgu pieaugumu, kas deva 2,1% ieguldījumu IKP izaugsmē, salīdzinot ar -2,6% 2013.gadā. Vienlaicīgi ārējais pieprasījums uzradīja negatīvu devumu IKP pieaugumā, proti, -0,7%, kas salīdzinot ar 2013.gadā sasniegtajiem 1,5%, ir ievērojams kritums. Turklāt pārskata gadā importa pieaugums apsteidza eksporta palielinājumu (attiecīgi 7,6% un 4,2%), kas saistāms ar </w:t>
      </w:r>
      <w:r w:rsidR="00FE76E2" w:rsidRPr="00FE76E2">
        <w:rPr>
          <w:rFonts w:cs="Times New Roman"/>
          <w:szCs w:val="24"/>
        </w:rPr>
        <w:t>iepriekšminētā</w:t>
      </w:r>
      <w:r w:rsidRPr="00FE76E2">
        <w:rPr>
          <w:rFonts w:cs="Times New Roman"/>
          <w:szCs w:val="24"/>
        </w:rPr>
        <w:t xml:space="preserve"> iekšējā pieprasījuma veselīgo pieaugumu. Neskatoties uz to, tekošā konta bilance uzrādīja </w:t>
      </w:r>
      <w:r w:rsidR="00FE76E2" w:rsidRPr="00FE76E2">
        <w:rPr>
          <w:rFonts w:cs="Times New Roman"/>
          <w:szCs w:val="24"/>
        </w:rPr>
        <w:t xml:space="preserve">pozitīvu rezultātu, 0,6% no IKP, </w:t>
      </w:r>
      <w:r w:rsidR="006562FA">
        <w:rPr>
          <w:rFonts w:cs="Times New Roman"/>
          <w:szCs w:val="24"/>
        </w:rPr>
        <w:t xml:space="preserve">tomēr </w:t>
      </w:r>
      <w:r w:rsidR="00FE76E2" w:rsidRPr="00FE76E2">
        <w:rPr>
          <w:rFonts w:cs="Times New Roman"/>
          <w:szCs w:val="24"/>
        </w:rPr>
        <w:t xml:space="preserve">dotais rādītājs ir </w:t>
      </w:r>
      <w:r w:rsidRPr="00FE76E2">
        <w:rPr>
          <w:rFonts w:cs="Times New Roman"/>
          <w:szCs w:val="24"/>
        </w:rPr>
        <w:t>sliktāk</w:t>
      </w:r>
      <w:r w:rsidR="00FE76E2" w:rsidRPr="00FE76E2">
        <w:rPr>
          <w:rFonts w:cs="Times New Roman"/>
          <w:szCs w:val="24"/>
        </w:rPr>
        <w:t>s</w:t>
      </w:r>
      <w:r w:rsidRPr="00FE76E2">
        <w:rPr>
          <w:rFonts w:cs="Times New Roman"/>
          <w:szCs w:val="24"/>
        </w:rPr>
        <w:t xml:space="preserve"> nekā 2013.gadā, kad </w:t>
      </w:r>
      <w:r w:rsidR="00FE76E2" w:rsidRPr="00FE76E2">
        <w:rPr>
          <w:rFonts w:cs="Times New Roman"/>
          <w:szCs w:val="24"/>
        </w:rPr>
        <w:t>tas sasniedza 1,5% no IKP. Jāatzīmē, ka 2015.gadā ir sagaidāms, ka tekošā konta bilance uzlabosies, atgriežoties tuvu 2013.gada rādītāja līmenim.</w:t>
      </w:r>
    </w:p>
    <w:p w:rsidR="00FE76E2" w:rsidRDefault="00FE76E2" w:rsidP="00FE76E2">
      <w:pPr>
        <w:autoSpaceDE w:val="0"/>
        <w:autoSpaceDN w:val="0"/>
        <w:adjustRightInd w:val="0"/>
        <w:ind w:firstLine="709"/>
        <w:jc w:val="both"/>
        <w:rPr>
          <w:rFonts w:cs="Times New Roman"/>
          <w:szCs w:val="24"/>
        </w:rPr>
      </w:pPr>
      <w:r>
        <w:rPr>
          <w:rFonts w:cs="Times New Roman"/>
          <w:szCs w:val="24"/>
        </w:rPr>
        <w:t xml:space="preserve">2014.gadā Spānija turpināja fiskālos konsolidācijas pasākumus un kopumā vispārējās valdības budžeta bilances deficīts, atskaitot finanšu palīdzības pasākumu radīto ietekmi, uzlabojās no 6,3% 2013.gadā līdz 5,7% 2014.gadā. Dotie rādītāji ir tuvi noteiktajiem fiskālajiem rādītājiem Pārmērīga budžeta deficīta procedūras ietvaros un Stabilitātes programmā. 2015.gada budžetā valdība iekļāva vairākus </w:t>
      </w:r>
      <w:r w:rsidR="007A2B19">
        <w:rPr>
          <w:rFonts w:cs="Times New Roman"/>
          <w:szCs w:val="24"/>
        </w:rPr>
        <w:t>stimulējošus pas</w:t>
      </w:r>
      <w:r w:rsidR="008F0BF6">
        <w:rPr>
          <w:rFonts w:cs="Times New Roman"/>
          <w:szCs w:val="24"/>
        </w:rPr>
        <w:t xml:space="preserve">ākumus </w:t>
      </w:r>
      <w:r w:rsidR="007A2B19">
        <w:rPr>
          <w:rFonts w:cs="Times New Roman"/>
          <w:szCs w:val="24"/>
        </w:rPr>
        <w:t>galvenok</w:t>
      </w:r>
      <w:r w:rsidR="008F0BF6">
        <w:rPr>
          <w:rFonts w:cs="Times New Roman"/>
          <w:szCs w:val="24"/>
        </w:rPr>
        <w:t>ārt</w:t>
      </w:r>
      <w:r w:rsidR="007A2B19">
        <w:rPr>
          <w:rFonts w:cs="Times New Roman"/>
          <w:szCs w:val="24"/>
        </w:rPr>
        <w:t xml:space="preserve"> iedzīvotāju un uzņēmumu ienākuma nodokļa jomā. Zemākas nodokļu likmes var negatīvi ietekmēt fiskālo sniegumu, tomēr tautsaimniecības spēcīgā izaugsme lielā mērā varētu </w:t>
      </w:r>
      <w:r w:rsidR="00B92CCD">
        <w:rPr>
          <w:rFonts w:cs="Times New Roman"/>
          <w:szCs w:val="24"/>
        </w:rPr>
        <w:t>kompensēt</w:t>
      </w:r>
      <w:r w:rsidR="007A2B19">
        <w:rPr>
          <w:rFonts w:cs="Times New Roman"/>
          <w:szCs w:val="24"/>
        </w:rPr>
        <w:t xml:space="preserve"> minēto pasākumu fiskālo ietekmi.</w:t>
      </w:r>
    </w:p>
    <w:p w:rsidR="007A2B19" w:rsidRDefault="008F0BF6" w:rsidP="00FE76E2">
      <w:pPr>
        <w:autoSpaceDE w:val="0"/>
        <w:autoSpaceDN w:val="0"/>
        <w:adjustRightInd w:val="0"/>
        <w:ind w:firstLine="709"/>
        <w:jc w:val="both"/>
        <w:rPr>
          <w:rFonts w:cs="Times New Roman"/>
          <w:szCs w:val="24"/>
        </w:rPr>
      </w:pPr>
      <w:r>
        <w:rPr>
          <w:rFonts w:cs="Times New Roman"/>
          <w:szCs w:val="24"/>
        </w:rPr>
        <w:t xml:space="preserve">Spānijas banku sektors 2014.gadā turpināja uzlabot pelnītspēju, neskatoties uz operatīvo ieņēmumu nelielu kritumu, pateicoties uzlabojumiem kredītu kvalitātē un izmaksu samazināšanai. Lai gan aktīvu kvalitāte vēl joprojām ir </w:t>
      </w:r>
      <w:r w:rsidR="006562FA">
        <w:rPr>
          <w:rFonts w:cs="Times New Roman"/>
          <w:szCs w:val="24"/>
        </w:rPr>
        <w:t>vāja</w:t>
      </w:r>
      <w:r>
        <w:rPr>
          <w:rFonts w:cs="Times New Roman"/>
          <w:szCs w:val="24"/>
        </w:rPr>
        <w:t>, problemātisko aizdevumu kopējais apmērs banku sektorā turpināja pārliecinošu lejupvērstu tendenci, samazinoties par 12,5% gada laikā, kas gan deva salīdzinoši mazu devumu problemātisko aizdevumu īpats</w:t>
      </w:r>
      <w:r w:rsidR="004502A9">
        <w:rPr>
          <w:rFonts w:cs="Times New Roman"/>
          <w:szCs w:val="24"/>
        </w:rPr>
        <w:t>vara banku bilancēs samazinājumā</w:t>
      </w:r>
      <w:r>
        <w:rPr>
          <w:rFonts w:cs="Times New Roman"/>
          <w:szCs w:val="24"/>
        </w:rPr>
        <w:t xml:space="preserve">, proti, tas gada laikā </w:t>
      </w:r>
      <w:r w:rsidR="004502A9">
        <w:rPr>
          <w:rFonts w:cs="Times New Roman"/>
          <w:szCs w:val="24"/>
        </w:rPr>
        <w:t>saruka</w:t>
      </w:r>
      <w:r>
        <w:rPr>
          <w:rFonts w:cs="Times New Roman"/>
          <w:szCs w:val="24"/>
        </w:rPr>
        <w:t xml:space="preserve"> no 13,6% līdz 12,%, kas galvenokārt </w:t>
      </w:r>
      <w:r w:rsidR="004502A9">
        <w:rPr>
          <w:rFonts w:cs="Times New Roman"/>
          <w:szCs w:val="24"/>
        </w:rPr>
        <w:t>skaidrojams</w:t>
      </w:r>
      <w:r>
        <w:rPr>
          <w:rFonts w:cs="Times New Roman"/>
          <w:szCs w:val="24"/>
        </w:rPr>
        <w:t xml:space="preserve"> ar banku kredītportfeļa </w:t>
      </w:r>
      <w:r w:rsidR="004502A9">
        <w:rPr>
          <w:rFonts w:cs="Times New Roman"/>
          <w:szCs w:val="24"/>
        </w:rPr>
        <w:t>samazinājumu</w:t>
      </w:r>
      <w:r>
        <w:rPr>
          <w:rFonts w:cs="Times New Roman"/>
          <w:szCs w:val="24"/>
        </w:rPr>
        <w:t>. 2015.gada laikā sagaidāms, ka ekonomiskā izaugsme nodrošinās turpmāku situācijas uzlabošanos. Vienlaicīgi atzīmēj</w:t>
      </w:r>
      <w:r w:rsidR="00977742">
        <w:rPr>
          <w:rFonts w:cs="Times New Roman"/>
          <w:szCs w:val="24"/>
        </w:rPr>
        <w:t>am</w:t>
      </w:r>
      <w:r>
        <w:rPr>
          <w:rFonts w:cs="Times New Roman"/>
          <w:szCs w:val="24"/>
        </w:rPr>
        <w:t>s, ka banku likviditātes rādītāji saglabājas komfortablā līmen</w:t>
      </w:r>
      <w:r w:rsidR="00977742">
        <w:rPr>
          <w:rFonts w:cs="Times New Roman"/>
          <w:szCs w:val="24"/>
        </w:rPr>
        <w:t>ī. Lai gan banku atkarība no Eiropas Centrālās bankas finanšu resursiem ir ievērojami kritusies, t</w:t>
      </w:r>
      <w:r w:rsidR="000357AB">
        <w:rPr>
          <w:rFonts w:cs="Times New Roman"/>
          <w:szCs w:val="24"/>
        </w:rPr>
        <w:t>ā saglabājas</w:t>
      </w:r>
      <w:r w:rsidR="00977742">
        <w:rPr>
          <w:rFonts w:cs="Times New Roman"/>
          <w:szCs w:val="24"/>
        </w:rPr>
        <w:t xml:space="preserve"> relatīvi augstā līmenī atsevišķās rekapitalizētajās bankās. </w:t>
      </w:r>
    </w:p>
    <w:p w:rsidR="000357AB" w:rsidRPr="00FE76E2" w:rsidRDefault="00122D35" w:rsidP="00FE76E2">
      <w:pPr>
        <w:autoSpaceDE w:val="0"/>
        <w:autoSpaceDN w:val="0"/>
        <w:adjustRightInd w:val="0"/>
        <w:ind w:firstLine="709"/>
        <w:jc w:val="both"/>
        <w:rPr>
          <w:rFonts w:cs="Times New Roman"/>
          <w:szCs w:val="24"/>
        </w:rPr>
      </w:pPr>
      <w:r>
        <w:rPr>
          <w:rFonts w:cs="Times New Roman"/>
          <w:szCs w:val="24"/>
        </w:rPr>
        <w:t>Spānija ir vienmēr saglabājusi pieeju kapitāla tirgiem. Kopš 2012.gada beigām finanšu resursu piesaistes izmaksas ir ievērojami kritušās. Tā, piemēram, 2014.gadā riska prēmija, ko investori piemēro Spānijas 10 gadu obligācijām, samazinājās par 100 bāzes punktiem</w:t>
      </w:r>
      <w:r>
        <w:rPr>
          <w:rStyle w:val="FootnoteReference"/>
          <w:rFonts w:cs="Times New Roman"/>
          <w:szCs w:val="24"/>
        </w:rPr>
        <w:footnoteReference w:id="2"/>
      </w:r>
      <w:r>
        <w:rPr>
          <w:rFonts w:cs="Times New Roman"/>
          <w:szCs w:val="24"/>
        </w:rPr>
        <w:t>, bet prasītais ienesīgums samazinājies par vairāk kā 250 bāzes punktiem, ko nodrošināja labāka makroekonomiskā attīstība un prognozes, izejvielu cenu kritums kā arī Eiropas Centrālās bankas intervences finanšu tirgos. Rezultātā Spānija pārskata per</w:t>
      </w:r>
      <w:r w:rsidR="0069433F">
        <w:rPr>
          <w:rFonts w:cs="Times New Roman"/>
          <w:szCs w:val="24"/>
        </w:rPr>
        <w:t>iodā sasniedza rekordzemu</w:t>
      </w:r>
      <w:r>
        <w:rPr>
          <w:rFonts w:cs="Times New Roman"/>
          <w:szCs w:val="24"/>
        </w:rPr>
        <w:t xml:space="preserve"> aizņemto resursu izmaksu līmeni, kas arī turpmāk vidējā termiņā un ilgtermiņā nodrošinās zemas parāda apkalpošanas izmaksas. </w:t>
      </w:r>
    </w:p>
    <w:p w:rsidR="008364B0" w:rsidRPr="008364B0" w:rsidRDefault="008364B0" w:rsidP="008364B0">
      <w:pPr>
        <w:ind w:firstLine="720"/>
        <w:jc w:val="both"/>
      </w:pPr>
      <w:r w:rsidRPr="008364B0">
        <w:t>Kopš 2013.gada 31.decembra Spānijas makroekonomikas korekcijas programma ir noslēgta</w:t>
      </w:r>
      <w:r w:rsidR="008A246F">
        <w:t>,</w:t>
      </w:r>
      <w:r w:rsidRPr="008364B0">
        <w:t xml:space="preserve"> un  ir uzsākts pēcprogrammas uzraudzības posms. Sadarbībā ar Eiropas Komisiju ESM turpinās uzraudzīt Spānijas attīstības tendences agrās brīdināšanas mehānisma (</w:t>
      </w:r>
      <w:r w:rsidRPr="008364B0">
        <w:rPr>
          <w:i/>
        </w:rPr>
        <w:t>Early Warning System</w:t>
      </w:r>
      <w:r w:rsidRPr="008364B0">
        <w:t xml:space="preserve">) ietvaros, lai vērtētu valsts iespējas veikt atmaksas ESM. </w:t>
      </w:r>
    </w:p>
    <w:p w:rsidR="00B132BC" w:rsidRPr="00A90717" w:rsidRDefault="00A90717" w:rsidP="00B132BC">
      <w:pPr>
        <w:jc w:val="center"/>
      </w:pPr>
      <w:r w:rsidRPr="00A90717">
        <w:lastRenderedPageBreak/>
        <w:t>1</w:t>
      </w:r>
      <w:r w:rsidR="009A545C" w:rsidRPr="00A90717">
        <w:t>.4</w:t>
      </w:r>
      <w:r w:rsidR="00B132BC" w:rsidRPr="00A90717">
        <w:t xml:space="preserve">. ESM veiktie maksājumi </w:t>
      </w:r>
      <w:r w:rsidRPr="00A90717">
        <w:t>Spānijai</w:t>
      </w:r>
    </w:p>
    <w:p w:rsidR="004901FB" w:rsidRPr="00994ECF" w:rsidRDefault="004901FB" w:rsidP="009F0FDA">
      <w:pPr>
        <w:jc w:val="both"/>
        <w:rPr>
          <w:highlight w:val="yellow"/>
        </w:rPr>
      </w:pPr>
    </w:p>
    <w:p w:rsidR="007065B4" w:rsidRPr="00DE3F13" w:rsidRDefault="009915AA" w:rsidP="004901FB">
      <w:pPr>
        <w:ind w:firstLine="720"/>
        <w:jc w:val="both"/>
      </w:pPr>
      <w:r w:rsidRPr="00DE3F13">
        <w:t xml:space="preserve">ESM un Spānija finansiālās palīdzības līgums tika parakstīts 2012.gada 29.novembrī. Kopējais palīdzības apjoms </w:t>
      </w:r>
      <w:r w:rsidR="00BA38A9" w:rsidRPr="00DE3F13">
        <w:t xml:space="preserve">bija </w:t>
      </w:r>
      <w:r w:rsidRPr="00DE3F13">
        <w:t xml:space="preserve">paredzēts 100 miljardu </w:t>
      </w:r>
      <w:r w:rsidR="007065B4" w:rsidRPr="00DE3F13">
        <w:rPr>
          <w:i/>
        </w:rPr>
        <w:t>euro</w:t>
      </w:r>
      <w:r w:rsidRPr="00DE3F13">
        <w:t xml:space="preserve"> apmērā ar maksimāl</w:t>
      </w:r>
      <w:r w:rsidR="00BA38A9" w:rsidRPr="00DE3F13">
        <w:t>o aizdošanas</w:t>
      </w:r>
      <w:r w:rsidRPr="00DE3F13">
        <w:t xml:space="preserve"> termiņu 15 gadi, bet vidējo termiņu – 12,5 gadi. </w:t>
      </w:r>
      <w:r w:rsidR="007065B4" w:rsidRPr="00DE3F13">
        <w:t>2014.gada beigās vidējais svērtais termiņš veidoja 12,49 gadus.</w:t>
      </w:r>
    </w:p>
    <w:p w:rsidR="00DE3F13" w:rsidRPr="00DE3F13" w:rsidRDefault="00BA38A9" w:rsidP="004901FB">
      <w:pPr>
        <w:ind w:firstLine="720"/>
        <w:jc w:val="both"/>
      </w:pPr>
      <w:r w:rsidRPr="00DE3F13">
        <w:t>Pirmais maksājums</w:t>
      </w:r>
      <w:r w:rsidR="001E7658" w:rsidRPr="00DE3F13">
        <w:t xml:space="preserve"> palīdzības </w:t>
      </w:r>
      <w:r w:rsidRPr="00DE3F13">
        <w:t xml:space="preserve">programmas </w:t>
      </w:r>
      <w:r w:rsidR="001E7658" w:rsidRPr="00DE3F13">
        <w:t xml:space="preserve">pirmās daļas ietvaros tika veikts 2012.gada decembrī, kad kopumā tika izmaksāti 39,5 miljardi </w:t>
      </w:r>
      <w:r w:rsidR="007065B4" w:rsidRPr="00DE3F13">
        <w:rPr>
          <w:i/>
        </w:rPr>
        <w:t>euro</w:t>
      </w:r>
      <w:r w:rsidR="001E7658" w:rsidRPr="00DE3F13">
        <w:t>. Izmaksa tika veikta Spānijas rīcībā nod</w:t>
      </w:r>
      <w:r w:rsidRPr="00DE3F13">
        <w:t xml:space="preserve">odot ESM emitētus vērtspapīrus, kas </w:t>
      </w:r>
      <w:r w:rsidR="001E7658" w:rsidRPr="00DE3F13">
        <w:t xml:space="preserve">tika </w:t>
      </w:r>
      <w:r w:rsidR="007065B4" w:rsidRPr="00DE3F13">
        <w:t>tālāk nodoti</w:t>
      </w:r>
      <w:r w:rsidR="001E7658" w:rsidRPr="00DE3F13">
        <w:t xml:space="preserve"> Spānijas Nacionālās bankas </w:t>
      </w:r>
      <w:r w:rsidR="00731D50" w:rsidRPr="00DE3F13">
        <w:t>rīcībā</w:t>
      </w:r>
      <w:r w:rsidR="007065B4" w:rsidRPr="00DE3F13">
        <w:t xml:space="preserve">, kura tos pārskaitīja </w:t>
      </w:r>
      <w:r w:rsidR="00DE3F13" w:rsidRPr="00DE3F13">
        <w:t xml:space="preserve">Banku restrukturizācijas fondam. Šis fonds savukārt izmantoja dotos  finanšu līdzekļus 4 finanšu institūciju rekapitalizācijai, kā arī Spānijas aktīvu pārvaldības sabiedrības “Sareb” vajadzībām. </w:t>
      </w:r>
    </w:p>
    <w:p w:rsidR="00BA38A9" w:rsidRPr="00DE3F13" w:rsidRDefault="00BA38A9" w:rsidP="004901FB">
      <w:pPr>
        <w:ind w:firstLine="720"/>
        <w:jc w:val="both"/>
      </w:pPr>
    </w:p>
    <w:p w:rsidR="00CF588A" w:rsidRPr="00A90717" w:rsidRDefault="005A10A1" w:rsidP="005A10A1">
      <w:pPr>
        <w:jc w:val="center"/>
      </w:pPr>
      <w:r w:rsidRPr="00A90717">
        <w:t xml:space="preserve">2.tabula </w:t>
      </w:r>
      <w:r w:rsidR="00DE3F13" w:rsidRPr="00A90717">
        <w:t>Spānijas makroekonomikas korekcijas</w:t>
      </w:r>
      <w:r w:rsidRPr="00A90717">
        <w:t xml:space="preserve"> programmas ietvaros veiktie </w:t>
      </w:r>
      <w:r w:rsidR="00DE3F13" w:rsidRPr="00A90717">
        <w:t xml:space="preserve">ESM </w:t>
      </w:r>
      <w:r w:rsidRPr="00A90717">
        <w:t>maksājumi</w:t>
      </w:r>
    </w:p>
    <w:tbl>
      <w:tblPr>
        <w:tblStyle w:val="TableGrid"/>
        <w:tblW w:w="0" w:type="auto"/>
        <w:tblInd w:w="436" w:type="dxa"/>
        <w:tblLook w:val="04A0" w:firstRow="1" w:lastRow="0" w:firstColumn="1" w:lastColumn="0" w:noHBand="0" w:noVBand="1"/>
      </w:tblPr>
      <w:tblGrid>
        <w:gridCol w:w="1476"/>
        <w:gridCol w:w="1359"/>
        <w:gridCol w:w="1296"/>
        <w:gridCol w:w="1759"/>
        <w:gridCol w:w="1560"/>
      </w:tblGrid>
      <w:tr w:rsidR="00DE3F13" w:rsidRPr="00994ECF" w:rsidTr="00DE3F13">
        <w:tc>
          <w:tcPr>
            <w:tcW w:w="1476" w:type="dxa"/>
            <w:shd w:val="clear" w:color="auto" w:fill="F2F2F2" w:themeFill="background1" w:themeFillShade="F2"/>
            <w:vAlign w:val="center"/>
          </w:tcPr>
          <w:p w:rsidR="00DE3F13" w:rsidRPr="004C1197" w:rsidRDefault="00DE3F13" w:rsidP="00CF588A">
            <w:pPr>
              <w:jc w:val="center"/>
              <w:rPr>
                <w:b/>
                <w:sz w:val="22"/>
              </w:rPr>
            </w:pPr>
            <w:r w:rsidRPr="004C1197">
              <w:rPr>
                <w:b/>
                <w:sz w:val="22"/>
              </w:rPr>
              <w:t>Maksājums</w:t>
            </w:r>
          </w:p>
        </w:tc>
        <w:tc>
          <w:tcPr>
            <w:tcW w:w="1359" w:type="dxa"/>
            <w:shd w:val="clear" w:color="auto" w:fill="F2F2F2" w:themeFill="background1" w:themeFillShade="F2"/>
            <w:vAlign w:val="center"/>
          </w:tcPr>
          <w:p w:rsidR="00DE3F13" w:rsidRPr="004C1197" w:rsidRDefault="00DE3F13" w:rsidP="00CF588A">
            <w:pPr>
              <w:jc w:val="center"/>
              <w:rPr>
                <w:b/>
                <w:sz w:val="22"/>
              </w:rPr>
            </w:pPr>
            <w:r w:rsidRPr="004C1197">
              <w:rPr>
                <w:b/>
                <w:sz w:val="22"/>
              </w:rPr>
              <w:t>Izmaksas datums</w:t>
            </w:r>
          </w:p>
        </w:tc>
        <w:tc>
          <w:tcPr>
            <w:tcW w:w="1296" w:type="dxa"/>
            <w:shd w:val="clear" w:color="auto" w:fill="F2F2F2" w:themeFill="background1" w:themeFillShade="F2"/>
            <w:vAlign w:val="center"/>
          </w:tcPr>
          <w:p w:rsidR="00DE3F13" w:rsidRPr="004C1197" w:rsidRDefault="00DE3F13" w:rsidP="00CF588A">
            <w:pPr>
              <w:jc w:val="center"/>
              <w:rPr>
                <w:b/>
                <w:sz w:val="22"/>
              </w:rPr>
            </w:pPr>
            <w:r w:rsidRPr="004C1197">
              <w:rPr>
                <w:b/>
                <w:sz w:val="22"/>
              </w:rPr>
              <w:t>Termiņš</w:t>
            </w:r>
          </w:p>
        </w:tc>
        <w:tc>
          <w:tcPr>
            <w:tcW w:w="1759" w:type="dxa"/>
            <w:shd w:val="clear" w:color="auto" w:fill="F2F2F2" w:themeFill="background1" w:themeFillShade="F2"/>
            <w:vAlign w:val="center"/>
          </w:tcPr>
          <w:p w:rsidR="00DE3F13" w:rsidRPr="004C1197" w:rsidRDefault="00DE3F13" w:rsidP="00DE3F13">
            <w:pPr>
              <w:jc w:val="center"/>
              <w:rPr>
                <w:b/>
                <w:sz w:val="22"/>
              </w:rPr>
            </w:pPr>
            <w:r w:rsidRPr="004C1197">
              <w:rPr>
                <w:b/>
                <w:sz w:val="22"/>
              </w:rPr>
              <w:t xml:space="preserve">Apmērs (miljoni </w:t>
            </w:r>
            <w:r w:rsidRPr="004C1197">
              <w:rPr>
                <w:b/>
                <w:i/>
                <w:sz w:val="22"/>
              </w:rPr>
              <w:t>euro</w:t>
            </w:r>
            <w:r w:rsidRPr="004C1197">
              <w:rPr>
                <w:b/>
                <w:sz w:val="22"/>
              </w:rPr>
              <w:t>)</w:t>
            </w:r>
          </w:p>
        </w:tc>
        <w:tc>
          <w:tcPr>
            <w:tcW w:w="1560" w:type="dxa"/>
            <w:shd w:val="clear" w:color="auto" w:fill="F2F2F2" w:themeFill="background1" w:themeFillShade="F2"/>
            <w:vAlign w:val="center"/>
          </w:tcPr>
          <w:p w:rsidR="00DE3F13" w:rsidRPr="004C1197" w:rsidRDefault="00DE3F13" w:rsidP="00CF588A">
            <w:pPr>
              <w:jc w:val="center"/>
              <w:rPr>
                <w:b/>
                <w:sz w:val="22"/>
              </w:rPr>
            </w:pPr>
            <w:r w:rsidRPr="004C1197">
              <w:rPr>
                <w:b/>
                <w:sz w:val="22"/>
              </w:rPr>
              <w:t>Mērķis</w:t>
            </w:r>
          </w:p>
        </w:tc>
      </w:tr>
      <w:tr w:rsidR="00DE3F13" w:rsidRPr="00994ECF" w:rsidTr="00DE3F13">
        <w:tc>
          <w:tcPr>
            <w:tcW w:w="1476" w:type="dxa"/>
          </w:tcPr>
          <w:p w:rsidR="00DE3F13" w:rsidRPr="004C1197" w:rsidRDefault="00DE3F13" w:rsidP="00222243">
            <w:pPr>
              <w:jc w:val="both"/>
              <w:rPr>
                <w:sz w:val="22"/>
              </w:rPr>
            </w:pPr>
            <w:r w:rsidRPr="004C1197">
              <w:rPr>
                <w:sz w:val="22"/>
              </w:rPr>
              <w:t>1.maksājums</w:t>
            </w:r>
          </w:p>
        </w:tc>
        <w:tc>
          <w:tcPr>
            <w:tcW w:w="1359" w:type="dxa"/>
          </w:tcPr>
          <w:p w:rsidR="00DE3F13" w:rsidRPr="004C1197" w:rsidRDefault="00DE3F13" w:rsidP="00222243">
            <w:pPr>
              <w:jc w:val="both"/>
            </w:pPr>
            <w:r w:rsidRPr="004C1197">
              <w:t>11.12.2012</w:t>
            </w:r>
          </w:p>
        </w:tc>
        <w:tc>
          <w:tcPr>
            <w:tcW w:w="1296" w:type="dxa"/>
          </w:tcPr>
          <w:p w:rsidR="00DE3F13" w:rsidRPr="004C1197" w:rsidRDefault="00DE3F13" w:rsidP="00222243">
            <w:pPr>
              <w:jc w:val="both"/>
            </w:pPr>
            <w:r w:rsidRPr="004C1197">
              <w:t>11.12.2022</w:t>
            </w:r>
          </w:p>
        </w:tc>
        <w:tc>
          <w:tcPr>
            <w:tcW w:w="1759" w:type="dxa"/>
          </w:tcPr>
          <w:p w:rsidR="00DE3F13" w:rsidRPr="004C1197" w:rsidRDefault="00DE3F13" w:rsidP="00222243">
            <w:pPr>
              <w:jc w:val="both"/>
            </w:pPr>
            <w:r w:rsidRPr="004C1197">
              <w:t>6578,0</w:t>
            </w:r>
          </w:p>
        </w:tc>
        <w:tc>
          <w:tcPr>
            <w:tcW w:w="1560" w:type="dxa"/>
          </w:tcPr>
          <w:p w:rsidR="00DE3F13" w:rsidRPr="004C1197" w:rsidRDefault="00DE3F13" w:rsidP="00222243">
            <w:pPr>
              <w:jc w:val="both"/>
              <w:rPr>
                <w:sz w:val="22"/>
              </w:rPr>
            </w:pPr>
            <w:r w:rsidRPr="004C1197">
              <w:rPr>
                <w:sz w:val="22"/>
              </w:rPr>
              <w:t>Banku rekapitalizācija</w:t>
            </w:r>
          </w:p>
        </w:tc>
      </w:tr>
      <w:tr w:rsidR="00DE3F13" w:rsidRPr="00994ECF" w:rsidTr="00DE3F13">
        <w:tc>
          <w:tcPr>
            <w:tcW w:w="1476" w:type="dxa"/>
          </w:tcPr>
          <w:p w:rsidR="00DE3F13" w:rsidRPr="004C1197" w:rsidRDefault="00DE3F13" w:rsidP="00222243">
            <w:pPr>
              <w:jc w:val="both"/>
            </w:pPr>
          </w:p>
        </w:tc>
        <w:tc>
          <w:tcPr>
            <w:tcW w:w="1359" w:type="dxa"/>
          </w:tcPr>
          <w:p w:rsidR="00DE3F13" w:rsidRPr="004C1197" w:rsidRDefault="00DE3F13" w:rsidP="00222243">
            <w:pPr>
              <w:jc w:val="both"/>
            </w:pPr>
            <w:r w:rsidRPr="004C1197">
              <w:t>11.12.2012</w:t>
            </w:r>
          </w:p>
        </w:tc>
        <w:tc>
          <w:tcPr>
            <w:tcW w:w="1296" w:type="dxa"/>
          </w:tcPr>
          <w:p w:rsidR="00DE3F13" w:rsidRPr="004C1197" w:rsidRDefault="00DE3F13" w:rsidP="00222243">
            <w:pPr>
              <w:jc w:val="both"/>
            </w:pPr>
            <w:r w:rsidRPr="004C1197">
              <w:t>11.12.2023</w:t>
            </w:r>
          </w:p>
        </w:tc>
        <w:tc>
          <w:tcPr>
            <w:tcW w:w="1759" w:type="dxa"/>
          </w:tcPr>
          <w:p w:rsidR="00DE3F13" w:rsidRPr="004C1197" w:rsidRDefault="00DE3F13" w:rsidP="00222243">
            <w:pPr>
              <w:jc w:val="both"/>
            </w:pPr>
            <w:r w:rsidRPr="004C1197">
              <w:t>6578,0</w:t>
            </w:r>
          </w:p>
        </w:tc>
        <w:tc>
          <w:tcPr>
            <w:tcW w:w="1560" w:type="dxa"/>
          </w:tcPr>
          <w:p w:rsidR="00DE3F13" w:rsidRPr="004C1197" w:rsidRDefault="00DE3F13" w:rsidP="00222243">
            <w:pPr>
              <w:jc w:val="both"/>
              <w:rPr>
                <w:sz w:val="22"/>
              </w:rPr>
            </w:pPr>
            <w:r w:rsidRPr="004C1197">
              <w:rPr>
                <w:sz w:val="22"/>
              </w:rPr>
              <w:t>Banku rekapitalizācija</w:t>
            </w:r>
          </w:p>
        </w:tc>
      </w:tr>
      <w:tr w:rsidR="00DE3F13" w:rsidRPr="00994ECF" w:rsidTr="00DE3F13">
        <w:tc>
          <w:tcPr>
            <w:tcW w:w="1476" w:type="dxa"/>
          </w:tcPr>
          <w:p w:rsidR="00DE3F13" w:rsidRPr="004C1197" w:rsidRDefault="00DE3F13" w:rsidP="00222243">
            <w:pPr>
              <w:jc w:val="both"/>
            </w:pPr>
          </w:p>
        </w:tc>
        <w:tc>
          <w:tcPr>
            <w:tcW w:w="1359" w:type="dxa"/>
          </w:tcPr>
          <w:p w:rsidR="00DE3F13" w:rsidRPr="004C1197" w:rsidRDefault="00DE3F13" w:rsidP="00222243">
            <w:pPr>
              <w:jc w:val="both"/>
            </w:pPr>
            <w:r w:rsidRPr="004C1197">
              <w:t>11.12.2012</w:t>
            </w:r>
          </w:p>
        </w:tc>
        <w:tc>
          <w:tcPr>
            <w:tcW w:w="1296" w:type="dxa"/>
          </w:tcPr>
          <w:p w:rsidR="00DE3F13" w:rsidRPr="004C1197" w:rsidRDefault="00DE3F13" w:rsidP="00222243">
            <w:pPr>
              <w:jc w:val="both"/>
            </w:pPr>
            <w:r w:rsidRPr="004C1197">
              <w:t>11.12.2024</w:t>
            </w:r>
          </w:p>
        </w:tc>
        <w:tc>
          <w:tcPr>
            <w:tcW w:w="1759" w:type="dxa"/>
          </w:tcPr>
          <w:p w:rsidR="00DE3F13" w:rsidRPr="004C1197" w:rsidRDefault="00DE3F13" w:rsidP="00222243">
            <w:pPr>
              <w:jc w:val="both"/>
            </w:pPr>
            <w:r w:rsidRPr="004C1197">
              <w:t>6578,0</w:t>
            </w:r>
          </w:p>
        </w:tc>
        <w:tc>
          <w:tcPr>
            <w:tcW w:w="1560" w:type="dxa"/>
          </w:tcPr>
          <w:p w:rsidR="00DE3F13" w:rsidRPr="004C1197" w:rsidRDefault="00DE3F13" w:rsidP="00222243">
            <w:pPr>
              <w:jc w:val="both"/>
              <w:rPr>
                <w:sz w:val="22"/>
              </w:rPr>
            </w:pPr>
            <w:r w:rsidRPr="004C1197">
              <w:rPr>
                <w:sz w:val="22"/>
              </w:rPr>
              <w:t>Banku rekapitalizācija</w:t>
            </w:r>
          </w:p>
        </w:tc>
      </w:tr>
      <w:tr w:rsidR="00DE3F13" w:rsidRPr="00994ECF" w:rsidTr="00DE3F13">
        <w:tc>
          <w:tcPr>
            <w:tcW w:w="1476" w:type="dxa"/>
          </w:tcPr>
          <w:p w:rsidR="00DE3F13" w:rsidRPr="004C1197" w:rsidRDefault="00DE3F13" w:rsidP="00222243">
            <w:pPr>
              <w:jc w:val="both"/>
            </w:pPr>
          </w:p>
        </w:tc>
        <w:tc>
          <w:tcPr>
            <w:tcW w:w="1359" w:type="dxa"/>
          </w:tcPr>
          <w:p w:rsidR="00DE3F13" w:rsidRPr="004C1197" w:rsidRDefault="00DE3F13" w:rsidP="00222243">
            <w:pPr>
              <w:jc w:val="both"/>
            </w:pPr>
            <w:r w:rsidRPr="004C1197">
              <w:t>11.12.2012</w:t>
            </w:r>
          </w:p>
        </w:tc>
        <w:tc>
          <w:tcPr>
            <w:tcW w:w="1296" w:type="dxa"/>
          </w:tcPr>
          <w:p w:rsidR="00DE3F13" w:rsidRPr="004C1197" w:rsidRDefault="00DE3F13" w:rsidP="00222243">
            <w:pPr>
              <w:jc w:val="both"/>
            </w:pPr>
            <w:r w:rsidRPr="004C1197">
              <w:t>11.12.2025</w:t>
            </w:r>
          </w:p>
        </w:tc>
        <w:tc>
          <w:tcPr>
            <w:tcW w:w="1759" w:type="dxa"/>
          </w:tcPr>
          <w:p w:rsidR="00DE3F13" w:rsidRPr="004C1197" w:rsidRDefault="00DE3F13" w:rsidP="00222243">
            <w:pPr>
              <w:jc w:val="both"/>
            </w:pPr>
            <w:r w:rsidRPr="004C1197">
              <w:t>6578,0</w:t>
            </w:r>
          </w:p>
        </w:tc>
        <w:tc>
          <w:tcPr>
            <w:tcW w:w="1560" w:type="dxa"/>
          </w:tcPr>
          <w:p w:rsidR="00DE3F13" w:rsidRPr="004C1197" w:rsidRDefault="00DE3F13" w:rsidP="00222243">
            <w:pPr>
              <w:jc w:val="both"/>
              <w:rPr>
                <w:sz w:val="22"/>
              </w:rPr>
            </w:pPr>
            <w:r w:rsidRPr="004C1197">
              <w:rPr>
                <w:sz w:val="22"/>
              </w:rPr>
              <w:t>Banku rekapitalizācija</w:t>
            </w:r>
          </w:p>
        </w:tc>
      </w:tr>
      <w:tr w:rsidR="00DE3F13" w:rsidRPr="00994ECF" w:rsidTr="00DE3F13">
        <w:tc>
          <w:tcPr>
            <w:tcW w:w="1476" w:type="dxa"/>
          </w:tcPr>
          <w:p w:rsidR="00DE3F13" w:rsidRPr="004C1197" w:rsidRDefault="00DE3F13" w:rsidP="00222243">
            <w:pPr>
              <w:jc w:val="both"/>
            </w:pPr>
          </w:p>
        </w:tc>
        <w:tc>
          <w:tcPr>
            <w:tcW w:w="1359" w:type="dxa"/>
          </w:tcPr>
          <w:p w:rsidR="00DE3F13" w:rsidRPr="004C1197" w:rsidRDefault="00DE3F13" w:rsidP="00222243">
            <w:pPr>
              <w:jc w:val="both"/>
            </w:pPr>
            <w:r w:rsidRPr="004C1197">
              <w:t>11.12.2012</w:t>
            </w:r>
          </w:p>
        </w:tc>
        <w:tc>
          <w:tcPr>
            <w:tcW w:w="1296" w:type="dxa"/>
          </w:tcPr>
          <w:p w:rsidR="00DE3F13" w:rsidRPr="004C1197" w:rsidRDefault="00DE3F13" w:rsidP="00222243">
            <w:pPr>
              <w:jc w:val="both"/>
            </w:pPr>
            <w:r w:rsidRPr="004C1197">
              <w:t>11.12.2026</w:t>
            </w:r>
          </w:p>
        </w:tc>
        <w:tc>
          <w:tcPr>
            <w:tcW w:w="1759" w:type="dxa"/>
          </w:tcPr>
          <w:p w:rsidR="00DE3F13" w:rsidRPr="004C1197" w:rsidRDefault="00DE3F13" w:rsidP="00222243">
            <w:pPr>
              <w:jc w:val="both"/>
            </w:pPr>
            <w:r w:rsidRPr="004C1197">
              <w:t>6578,0</w:t>
            </w:r>
          </w:p>
        </w:tc>
        <w:tc>
          <w:tcPr>
            <w:tcW w:w="1560" w:type="dxa"/>
          </w:tcPr>
          <w:p w:rsidR="00DE3F13" w:rsidRPr="004C1197" w:rsidRDefault="00DE3F13" w:rsidP="00222243">
            <w:pPr>
              <w:jc w:val="both"/>
              <w:rPr>
                <w:sz w:val="22"/>
              </w:rPr>
            </w:pPr>
            <w:r w:rsidRPr="004C1197">
              <w:rPr>
                <w:sz w:val="22"/>
              </w:rPr>
              <w:t>Banku rekapitalizācija</w:t>
            </w:r>
          </w:p>
        </w:tc>
      </w:tr>
      <w:tr w:rsidR="00DE3F13" w:rsidRPr="00994ECF" w:rsidTr="00DE3F13">
        <w:tc>
          <w:tcPr>
            <w:tcW w:w="1476" w:type="dxa"/>
          </w:tcPr>
          <w:p w:rsidR="00DE3F13" w:rsidRPr="004C1197" w:rsidRDefault="00DE3F13" w:rsidP="00222243">
            <w:pPr>
              <w:jc w:val="both"/>
            </w:pPr>
          </w:p>
        </w:tc>
        <w:tc>
          <w:tcPr>
            <w:tcW w:w="1359" w:type="dxa"/>
          </w:tcPr>
          <w:p w:rsidR="00DE3F13" w:rsidRPr="004C1197" w:rsidRDefault="00DE3F13" w:rsidP="00222243">
            <w:pPr>
              <w:jc w:val="both"/>
            </w:pPr>
            <w:r w:rsidRPr="004C1197">
              <w:t>11.12.2012</w:t>
            </w:r>
          </w:p>
        </w:tc>
        <w:tc>
          <w:tcPr>
            <w:tcW w:w="1296" w:type="dxa"/>
          </w:tcPr>
          <w:p w:rsidR="00DE3F13" w:rsidRPr="004C1197" w:rsidRDefault="00DE3F13" w:rsidP="00222243">
            <w:pPr>
              <w:jc w:val="both"/>
            </w:pPr>
            <w:r w:rsidRPr="004C1197">
              <w:t>11.12.2027</w:t>
            </w:r>
          </w:p>
        </w:tc>
        <w:tc>
          <w:tcPr>
            <w:tcW w:w="1759" w:type="dxa"/>
          </w:tcPr>
          <w:p w:rsidR="00DE3F13" w:rsidRPr="004C1197" w:rsidRDefault="00DE3F13" w:rsidP="00222243">
            <w:pPr>
              <w:jc w:val="both"/>
            </w:pPr>
            <w:r w:rsidRPr="004C1197">
              <w:t>6578,0</w:t>
            </w:r>
          </w:p>
        </w:tc>
        <w:tc>
          <w:tcPr>
            <w:tcW w:w="1560" w:type="dxa"/>
          </w:tcPr>
          <w:p w:rsidR="00DE3F13" w:rsidRPr="004C1197" w:rsidRDefault="00DE3F13" w:rsidP="00222243">
            <w:pPr>
              <w:jc w:val="both"/>
              <w:rPr>
                <w:sz w:val="22"/>
              </w:rPr>
            </w:pPr>
            <w:r w:rsidRPr="004C1197">
              <w:rPr>
                <w:sz w:val="22"/>
              </w:rPr>
              <w:t>Banku rekapitalizācija</w:t>
            </w:r>
          </w:p>
        </w:tc>
      </w:tr>
      <w:tr w:rsidR="00DE3F13" w:rsidRPr="00994ECF" w:rsidTr="00DE3F13">
        <w:tc>
          <w:tcPr>
            <w:tcW w:w="1476" w:type="dxa"/>
          </w:tcPr>
          <w:p w:rsidR="00DE3F13" w:rsidRPr="00752648" w:rsidRDefault="004C1197" w:rsidP="00325E12">
            <w:pPr>
              <w:jc w:val="both"/>
            </w:pPr>
            <w:r w:rsidRPr="00752648">
              <w:t>2</w:t>
            </w:r>
            <w:r w:rsidR="00DE3F13" w:rsidRPr="00752648">
              <w:t>.maksājums</w:t>
            </w:r>
          </w:p>
        </w:tc>
        <w:tc>
          <w:tcPr>
            <w:tcW w:w="1359" w:type="dxa"/>
          </w:tcPr>
          <w:p w:rsidR="00DE3F13" w:rsidRPr="00752648" w:rsidRDefault="00DE3F13" w:rsidP="00325E12">
            <w:pPr>
              <w:jc w:val="both"/>
            </w:pPr>
            <w:r w:rsidRPr="00752648">
              <w:t>05.02.2013</w:t>
            </w:r>
          </w:p>
        </w:tc>
        <w:tc>
          <w:tcPr>
            <w:tcW w:w="1296" w:type="dxa"/>
          </w:tcPr>
          <w:p w:rsidR="00DE3F13" w:rsidRPr="00752648" w:rsidRDefault="00DE3F13" w:rsidP="00325E12">
            <w:pPr>
              <w:jc w:val="both"/>
            </w:pPr>
            <w:r w:rsidRPr="00752648">
              <w:t>11.02.2024</w:t>
            </w:r>
          </w:p>
        </w:tc>
        <w:tc>
          <w:tcPr>
            <w:tcW w:w="1759" w:type="dxa"/>
          </w:tcPr>
          <w:p w:rsidR="00DE3F13" w:rsidRPr="00752648" w:rsidRDefault="00DE3F13" w:rsidP="00325E12">
            <w:pPr>
              <w:jc w:val="both"/>
            </w:pPr>
            <w:r w:rsidRPr="00752648">
              <w:t>932,5</w:t>
            </w:r>
          </w:p>
        </w:tc>
        <w:tc>
          <w:tcPr>
            <w:tcW w:w="1560" w:type="dxa"/>
          </w:tcPr>
          <w:p w:rsidR="00DE3F13" w:rsidRPr="00752648" w:rsidRDefault="00DE3F13" w:rsidP="00325E12">
            <w:pPr>
              <w:jc w:val="both"/>
              <w:rPr>
                <w:sz w:val="22"/>
              </w:rPr>
            </w:pPr>
            <w:r w:rsidRPr="00752648">
              <w:rPr>
                <w:sz w:val="22"/>
              </w:rPr>
              <w:t>Banku rekapitalizācija</w:t>
            </w:r>
          </w:p>
        </w:tc>
      </w:tr>
      <w:tr w:rsidR="00DE3F13" w:rsidRPr="00994ECF" w:rsidTr="00DE3F13">
        <w:tc>
          <w:tcPr>
            <w:tcW w:w="1476" w:type="dxa"/>
          </w:tcPr>
          <w:p w:rsidR="00DE3F13" w:rsidRPr="00752648" w:rsidRDefault="00DE3F13" w:rsidP="00325E12">
            <w:pPr>
              <w:jc w:val="both"/>
            </w:pPr>
          </w:p>
        </w:tc>
        <w:tc>
          <w:tcPr>
            <w:tcW w:w="1359" w:type="dxa"/>
          </w:tcPr>
          <w:p w:rsidR="00DE3F13" w:rsidRPr="00752648" w:rsidRDefault="00DE3F13" w:rsidP="00325E12">
            <w:pPr>
              <w:jc w:val="both"/>
            </w:pPr>
            <w:r w:rsidRPr="00752648">
              <w:t>05.02.2013</w:t>
            </w:r>
          </w:p>
        </w:tc>
        <w:tc>
          <w:tcPr>
            <w:tcW w:w="1296" w:type="dxa"/>
          </w:tcPr>
          <w:p w:rsidR="00DE3F13" w:rsidRPr="00752648" w:rsidRDefault="00DE3F13" w:rsidP="00325E12">
            <w:pPr>
              <w:jc w:val="both"/>
            </w:pPr>
            <w:r w:rsidRPr="00752648">
              <w:t>11.02.2024</w:t>
            </w:r>
          </w:p>
        </w:tc>
        <w:tc>
          <w:tcPr>
            <w:tcW w:w="1759" w:type="dxa"/>
          </w:tcPr>
          <w:p w:rsidR="00DE3F13" w:rsidRPr="00752648" w:rsidRDefault="00DE3F13" w:rsidP="00325E12">
            <w:pPr>
              <w:jc w:val="both"/>
            </w:pPr>
            <w:r w:rsidRPr="00752648">
              <w:t>932,5</w:t>
            </w:r>
          </w:p>
        </w:tc>
        <w:tc>
          <w:tcPr>
            <w:tcW w:w="1560" w:type="dxa"/>
          </w:tcPr>
          <w:p w:rsidR="00DE3F13" w:rsidRPr="00752648" w:rsidRDefault="00DE3F13" w:rsidP="00325E12">
            <w:pPr>
              <w:jc w:val="both"/>
              <w:rPr>
                <w:sz w:val="22"/>
              </w:rPr>
            </w:pPr>
            <w:r w:rsidRPr="00752648">
              <w:rPr>
                <w:sz w:val="22"/>
              </w:rPr>
              <w:t>Banku rekapitalizācija</w:t>
            </w:r>
          </w:p>
        </w:tc>
      </w:tr>
    </w:tbl>
    <w:p w:rsidR="00651B86" w:rsidRPr="00994ECF" w:rsidRDefault="00651B86" w:rsidP="00085635">
      <w:pPr>
        <w:jc w:val="both"/>
        <w:rPr>
          <w:highlight w:val="yellow"/>
        </w:rPr>
      </w:pPr>
    </w:p>
    <w:p w:rsidR="00D5502A" w:rsidRPr="00996800" w:rsidRDefault="00321309" w:rsidP="003F0F01">
      <w:pPr>
        <w:ind w:firstLine="720"/>
        <w:jc w:val="both"/>
      </w:pPr>
      <w:r w:rsidRPr="00996800">
        <w:t xml:space="preserve">Ņemot vērā veiksmīgo </w:t>
      </w:r>
      <w:r w:rsidRPr="00996800">
        <w:rPr>
          <w:i/>
        </w:rPr>
        <w:t xml:space="preserve">Bankia </w:t>
      </w:r>
      <w:r w:rsidR="000F00DF" w:rsidRPr="00996800">
        <w:t xml:space="preserve">akciju pārdošanu, Spānija 2014.gada jūnijā izteica piedāvājumu samazināt </w:t>
      </w:r>
      <w:r w:rsidR="003F0F01" w:rsidRPr="00996800">
        <w:t xml:space="preserve">tās neizlietoto ESM aizdevuma finanšu līdzekļus 1,3 mljrd. </w:t>
      </w:r>
      <w:r w:rsidR="003F0F01" w:rsidRPr="00996800">
        <w:rPr>
          <w:i/>
        </w:rPr>
        <w:t xml:space="preserve">euro </w:t>
      </w:r>
      <w:r w:rsidR="003F0F01" w:rsidRPr="00996800">
        <w:t xml:space="preserve">apmērā. </w:t>
      </w:r>
      <w:r w:rsidR="009B7ED1">
        <w:t>Šajā sakarā</w:t>
      </w:r>
      <w:r w:rsidR="003F0F01" w:rsidRPr="00996800">
        <w:t xml:space="preserve"> 7.jūnijā ESM Direktoru padome apstiprināja Spānijas priekšlikumu, kā rezultātā pirmo reizi ESM programmas valsts veica priekšlaicīgu aizdevuma daļas atmaksu, dodot finanšu tirgos pozitīvu signālu par Spānijas makroekonomikas korekcijas programmas veiksmīgo īstenošanu. </w:t>
      </w:r>
    </w:p>
    <w:p w:rsidR="003F0F01" w:rsidRPr="00996800" w:rsidRDefault="003F0F01" w:rsidP="003F0F01">
      <w:pPr>
        <w:ind w:firstLine="720"/>
        <w:jc w:val="both"/>
      </w:pPr>
      <w:r w:rsidRPr="00996800">
        <w:t xml:space="preserve">2014.gada 23.jūlijā Spānija veica vēl vienu priekšlaicīgo aizdevuma daļas atmaksu 307,4 mlj. </w:t>
      </w:r>
      <w:r w:rsidRPr="00996800">
        <w:rPr>
          <w:i/>
        </w:rPr>
        <w:t>euro</w:t>
      </w:r>
      <w:r w:rsidRPr="00996800">
        <w:t xml:space="preserve"> vērtībā. Līdzekļi tika atmaksāti no neizmantotajiem finanšu resursiem, kas bija paredzēti banku rekapitalizācijas vajadzībām. </w:t>
      </w:r>
    </w:p>
    <w:p w:rsidR="003F0F01" w:rsidRPr="009B7ED1" w:rsidRDefault="009B7ED1" w:rsidP="003F0F01">
      <w:pPr>
        <w:ind w:firstLine="720"/>
        <w:jc w:val="both"/>
        <w:rPr>
          <w:u w:val="single"/>
        </w:rPr>
      </w:pPr>
      <w:r>
        <w:t>Savukārt</w:t>
      </w:r>
      <w:r w:rsidR="003F0F01" w:rsidRPr="00996800">
        <w:t xml:space="preserve"> šā gada martā Spānija brīvprātīgi priekšlaicīgi atmaksāja 1,5 mljrd. </w:t>
      </w:r>
      <w:r w:rsidR="008A246F" w:rsidRPr="008A246F">
        <w:rPr>
          <w:i/>
        </w:rPr>
        <w:t>euro</w:t>
      </w:r>
      <w:r w:rsidR="008A246F">
        <w:rPr>
          <w:i/>
        </w:rPr>
        <w:t xml:space="preserve"> </w:t>
      </w:r>
      <w:r w:rsidR="008A246F">
        <w:t>un</w:t>
      </w:r>
      <w:r w:rsidR="008F0E26">
        <w:t xml:space="preserve"> šā gada jūnijā</w:t>
      </w:r>
      <w:r>
        <w:t xml:space="preserve"> </w:t>
      </w:r>
      <w:r w:rsidR="008A246F">
        <w:t xml:space="preserve">vēl </w:t>
      </w:r>
      <w:r>
        <w:t xml:space="preserve">2,5 mljrd. </w:t>
      </w:r>
      <w:r w:rsidR="008F0E26">
        <w:rPr>
          <w:i/>
        </w:rPr>
        <w:t>euro</w:t>
      </w:r>
      <w:r>
        <w:t xml:space="preserve">. </w:t>
      </w:r>
    </w:p>
    <w:p w:rsidR="004248FE" w:rsidRDefault="004248FE" w:rsidP="00085635">
      <w:pPr>
        <w:jc w:val="both"/>
        <w:rPr>
          <w:highlight w:val="yellow"/>
        </w:rPr>
      </w:pPr>
    </w:p>
    <w:p w:rsidR="00A90717" w:rsidRPr="00994ECF" w:rsidRDefault="00A90717" w:rsidP="00085635">
      <w:pPr>
        <w:jc w:val="both"/>
        <w:rPr>
          <w:highlight w:val="yellow"/>
        </w:rPr>
      </w:pPr>
    </w:p>
    <w:p w:rsidR="00D5502A" w:rsidRPr="00A90717" w:rsidRDefault="00A90717" w:rsidP="007A2B6B">
      <w:pPr>
        <w:jc w:val="center"/>
        <w:rPr>
          <w:b/>
          <w:color w:val="000000" w:themeColor="text1"/>
        </w:rPr>
      </w:pPr>
      <w:r w:rsidRPr="00A90717">
        <w:rPr>
          <w:b/>
          <w:color w:val="000000" w:themeColor="text1"/>
        </w:rPr>
        <w:t>2</w:t>
      </w:r>
      <w:r w:rsidR="000C076D" w:rsidRPr="00A90717">
        <w:rPr>
          <w:b/>
          <w:color w:val="000000" w:themeColor="text1"/>
        </w:rPr>
        <w:t xml:space="preserve">. </w:t>
      </w:r>
      <w:r w:rsidR="00D5502A" w:rsidRPr="00A90717">
        <w:rPr>
          <w:b/>
          <w:color w:val="000000" w:themeColor="text1"/>
        </w:rPr>
        <w:t>ESM finanšu līdzekļu piesaiste</w:t>
      </w:r>
      <w:r w:rsidR="000C076D" w:rsidRPr="00A90717">
        <w:rPr>
          <w:b/>
          <w:color w:val="000000" w:themeColor="text1"/>
        </w:rPr>
        <w:t xml:space="preserve"> finanšu tirgos</w:t>
      </w:r>
    </w:p>
    <w:p w:rsidR="00D5502A" w:rsidRPr="00994ECF" w:rsidRDefault="00D5502A" w:rsidP="00085635">
      <w:pPr>
        <w:jc w:val="both"/>
        <w:rPr>
          <w:b/>
          <w:highlight w:val="yellow"/>
        </w:rPr>
      </w:pPr>
    </w:p>
    <w:p w:rsidR="00A90717" w:rsidRPr="00AC3BDB" w:rsidRDefault="00A90717" w:rsidP="005900EA">
      <w:pPr>
        <w:ind w:firstLine="720"/>
        <w:jc w:val="both"/>
      </w:pPr>
      <w:r w:rsidRPr="00AC3BDB">
        <w:t>2014</w:t>
      </w:r>
      <w:r w:rsidR="00D5502A" w:rsidRPr="00AC3BDB">
        <w:t xml:space="preserve">.gadā ESM </w:t>
      </w:r>
      <w:r w:rsidRPr="00AC3BDB">
        <w:t>turpināja</w:t>
      </w:r>
      <w:r w:rsidR="00D5502A" w:rsidRPr="00AC3BDB">
        <w:t xml:space="preserve"> </w:t>
      </w:r>
      <w:r w:rsidR="005900EA" w:rsidRPr="00AC3BDB">
        <w:t>finansējuma</w:t>
      </w:r>
      <w:r w:rsidR="00D5502A" w:rsidRPr="00AC3BDB">
        <w:t xml:space="preserve"> piesaistes operācijas finanšu tirgos. </w:t>
      </w:r>
      <w:r w:rsidRPr="00AC3BDB">
        <w:t>Piesaistītie resursi tiek apvienoti un aizdoti attiecīgajai saņēmējvalstij.</w:t>
      </w:r>
      <w:r w:rsidR="00AC3BDB" w:rsidRPr="00AC3BDB">
        <w:t xml:space="preserve"> ESM veic </w:t>
      </w:r>
      <w:r w:rsidR="00AC3BDB" w:rsidRPr="00AC3BDB">
        <w:lastRenderedPageBreak/>
        <w:t>resursu piesaisti gan ilgtermiņa tirgos ar obligāciju emisiju, gan īstermiņa tirgos ar parādzīmju emisiju. ESM uzdevums dotajā gadījumā ir piesaistīt resursus par iespējami zemākajām procentu likmēm.</w:t>
      </w:r>
    </w:p>
    <w:p w:rsidR="00A90717" w:rsidRDefault="00A90717" w:rsidP="005900EA">
      <w:pPr>
        <w:ind w:firstLine="720"/>
        <w:jc w:val="both"/>
        <w:rPr>
          <w:highlight w:val="yellow"/>
        </w:rPr>
      </w:pPr>
    </w:p>
    <w:p w:rsidR="00AC3BDB" w:rsidRDefault="00AC3BDB" w:rsidP="005900EA">
      <w:pPr>
        <w:ind w:firstLine="720"/>
        <w:jc w:val="both"/>
        <w:rPr>
          <w:highlight w:val="yellow"/>
        </w:rPr>
      </w:pPr>
    </w:p>
    <w:p w:rsidR="00AC3BDB" w:rsidRPr="003A0482" w:rsidRDefault="00AC3BDB" w:rsidP="00AC3BDB">
      <w:pPr>
        <w:jc w:val="center"/>
      </w:pPr>
      <w:r w:rsidRPr="003A0482">
        <w:t>2.1. Ilgtermiņa finansējuma piesaiste 2014.gadā</w:t>
      </w:r>
    </w:p>
    <w:p w:rsidR="00AC3BDB" w:rsidRPr="007E2ADD" w:rsidRDefault="00AC3BDB" w:rsidP="00AC3BDB">
      <w:pPr>
        <w:jc w:val="both"/>
        <w:rPr>
          <w:highlight w:val="yellow"/>
          <w:lang w:val="en-US"/>
        </w:rPr>
      </w:pPr>
    </w:p>
    <w:p w:rsidR="003A0482" w:rsidRDefault="00AD123E" w:rsidP="00AC3BDB">
      <w:pPr>
        <w:ind w:firstLine="720"/>
        <w:jc w:val="both"/>
      </w:pPr>
      <w:r w:rsidRPr="00AD123E">
        <w:t>ESM</w:t>
      </w:r>
      <w:r w:rsidR="00B260D4">
        <w:t xml:space="preserve"> uzsāka finanšu resursu piesaisti ilgtermiņa tirgos 2013.gada oktobrī līdz ar 5 gadu obligācijas emisiju. 2014.gadam </w:t>
      </w:r>
      <w:r w:rsidR="00BD147B">
        <w:t>ilgtermiņa resursu piesaistes mērķis tika noteikts 15 mljrd. apmērā. Mērķis tika veiksmīgi sasniegts, emitējot dažādu termiņu obligācijas. Turklāt 2014.gadā ESM izlaida trīs jaunas obligācijas:</w:t>
      </w:r>
    </w:p>
    <w:p w:rsidR="00BD147B" w:rsidRPr="00BD147B" w:rsidRDefault="00BD147B" w:rsidP="00BD147B">
      <w:pPr>
        <w:pStyle w:val="ListParagraph"/>
        <w:numPr>
          <w:ilvl w:val="0"/>
          <w:numId w:val="1"/>
        </w:numPr>
        <w:jc w:val="both"/>
      </w:pPr>
      <w:r>
        <w:t xml:space="preserve">7 gadu obligāciju ar 1,375% kuponu, kas emitēta 2014.gada 4.martā un piesaistīja 6 mljrd. </w:t>
      </w:r>
      <w:r>
        <w:rPr>
          <w:i/>
        </w:rPr>
        <w:t>euro</w:t>
      </w:r>
      <w:r>
        <w:t>;</w:t>
      </w:r>
    </w:p>
    <w:p w:rsidR="00BD147B" w:rsidRDefault="00BD147B" w:rsidP="00BD147B">
      <w:pPr>
        <w:pStyle w:val="ListParagraph"/>
        <w:numPr>
          <w:ilvl w:val="0"/>
          <w:numId w:val="1"/>
        </w:numPr>
        <w:jc w:val="both"/>
      </w:pPr>
      <w:r>
        <w:t xml:space="preserve">5 gadu obligāciju ar 0,875% kuponu, kas emitēta 2014.gada 7.maijā un piesaistīja 3 mljrd. </w:t>
      </w:r>
      <w:r>
        <w:rPr>
          <w:i/>
        </w:rPr>
        <w:t>euro</w:t>
      </w:r>
      <w:r>
        <w:t>;</w:t>
      </w:r>
    </w:p>
    <w:p w:rsidR="00BD147B" w:rsidRDefault="00BD147B" w:rsidP="00BD147B">
      <w:pPr>
        <w:pStyle w:val="ListParagraph"/>
        <w:numPr>
          <w:ilvl w:val="0"/>
          <w:numId w:val="1"/>
        </w:numPr>
        <w:jc w:val="both"/>
      </w:pPr>
      <w:r>
        <w:t xml:space="preserve">2 gadu obligāciju ar 0% kuponu, kas emitēta 2014.gada 28.oktobrī un piesaistīja 4 mljrd. </w:t>
      </w:r>
      <w:r>
        <w:rPr>
          <w:i/>
        </w:rPr>
        <w:t>euro</w:t>
      </w:r>
      <w:r>
        <w:t>.</w:t>
      </w:r>
    </w:p>
    <w:p w:rsidR="006F6E9E" w:rsidRDefault="006F6E9E" w:rsidP="006F6E9E">
      <w:pPr>
        <w:ind w:left="720"/>
        <w:jc w:val="both"/>
      </w:pPr>
    </w:p>
    <w:p w:rsidR="006F6E9E" w:rsidRDefault="00C22648" w:rsidP="00C22648">
      <w:pPr>
        <w:ind w:firstLine="720"/>
        <w:jc w:val="both"/>
      </w:pPr>
      <w:r>
        <w:t>Atlikušos 2</w:t>
      </w:r>
      <w:r w:rsidR="00D15E1F">
        <w:t xml:space="preserve"> </w:t>
      </w:r>
      <w:r>
        <w:t xml:space="preserve">mljrd. </w:t>
      </w:r>
      <w:r>
        <w:rPr>
          <w:i/>
        </w:rPr>
        <w:t xml:space="preserve">euro </w:t>
      </w:r>
      <w:r>
        <w:t xml:space="preserve">ESM piesaistīja, īstenojot jau eksistējošo obligāciju pārdošanu, proti, pārdodot parāda vērtspapīrus par esošajām tirgus cenām, bet saglabājot sākotnējo nominālo vērtību, termiņu un kupona likmi. Šis process pirmo reizi tika īstenots ar </w:t>
      </w:r>
      <w:r w:rsidR="00D15E1F">
        <w:t>izsoles sistēmas palīdzību.</w:t>
      </w:r>
    </w:p>
    <w:p w:rsidR="003A0482" w:rsidRDefault="003A0482" w:rsidP="00AC3BDB">
      <w:pPr>
        <w:ind w:firstLine="720"/>
        <w:jc w:val="both"/>
        <w:rPr>
          <w:highlight w:val="yellow"/>
        </w:rPr>
      </w:pPr>
    </w:p>
    <w:p w:rsidR="00AC3BDB" w:rsidRDefault="00AC3BDB" w:rsidP="005900EA">
      <w:pPr>
        <w:ind w:firstLine="720"/>
        <w:jc w:val="both"/>
        <w:rPr>
          <w:highlight w:val="yellow"/>
        </w:rPr>
      </w:pPr>
    </w:p>
    <w:p w:rsidR="00D5502A" w:rsidRPr="009B706A" w:rsidRDefault="00AC3BDB" w:rsidP="00D43DE7">
      <w:pPr>
        <w:jc w:val="center"/>
      </w:pPr>
      <w:r w:rsidRPr="009B706A">
        <w:t>2.2</w:t>
      </w:r>
      <w:r w:rsidR="00D43DE7" w:rsidRPr="009B706A">
        <w:t xml:space="preserve">. </w:t>
      </w:r>
      <w:r w:rsidR="00D5502A" w:rsidRPr="009B706A">
        <w:t xml:space="preserve">Īstermiņa finansējuma </w:t>
      </w:r>
      <w:r w:rsidRPr="009B706A">
        <w:t>piesaiste 2014</w:t>
      </w:r>
      <w:r w:rsidR="005900EA" w:rsidRPr="009B706A">
        <w:t>.gadā</w:t>
      </w:r>
    </w:p>
    <w:p w:rsidR="005900EA" w:rsidRPr="00994ECF" w:rsidRDefault="005900EA" w:rsidP="00085635">
      <w:pPr>
        <w:jc w:val="both"/>
        <w:rPr>
          <w:highlight w:val="yellow"/>
        </w:rPr>
      </w:pPr>
    </w:p>
    <w:p w:rsidR="009B706A" w:rsidRPr="00735274" w:rsidRDefault="00CF5ED7" w:rsidP="005900EA">
      <w:pPr>
        <w:ind w:firstLine="720"/>
        <w:jc w:val="both"/>
      </w:pPr>
      <w:r w:rsidRPr="00735274">
        <w:t>2014.gadā ESM aktīvi turpināja īstermiņa finansējuma piesaisti, regulāri īstenojot 3 mēnešu un 6 mēnešu parādzīmju izsoles, kur katrā izsolē tika piesaistīti no 1 līdz 3 mljrd</w:t>
      </w:r>
      <w:r w:rsidR="00735274" w:rsidRPr="00735274">
        <w:t xml:space="preserve">. </w:t>
      </w:r>
      <w:r w:rsidR="00735274" w:rsidRPr="00735274">
        <w:rPr>
          <w:i/>
        </w:rPr>
        <w:t>euro</w:t>
      </w:r>
      <w:r w:rsidRPr="00735274">
        <w:t xml:space="preserve">. Kopumā institūcija </w:t>
      </w:r>
      <w:r w:rsidR="00F179D2" w:rsidRPr="00735274">
        <w:t>piesaistīja</w:t>
      </w:r>
      <w:r w:rsidRPr="00735274">
        <w:t xml:space="preserve"> parādzīmes 38,5 mljrd. </w:t>
      </w:r>
      <w:r w:rsidRPr="00735274">
        <w:rPr>
          <w:i/>
        </w:rPr>
        <w:t>euro</w:t>
      </w:r>
      <w:r w:rsidRPr="00735274">
        <w:t xml:space="preserve"> apmērā.</w:t>
      </w:r>
      <w:r w:rsidR="00735274">
        <w:t xml:space="preserve"> </w:t>
      </w:r>
    </w:p>
    <w:p w:rsidR="00684983" w:rsidRPr="00994ECF" w:rsidRDefault="00684983" w:rsidP="00085635">
      <w:pPr>
        <w:jc w:val="both"/>
        <w:rPr>
          <w:highlight w:val="yellow"/>
        </w:rPr>
      </w:pPr>
    </w:p>
    <w:p w:rsidR="00FE21CC" w:rsidRPr="00994ECF" w:rsidRDefault="00FE21CC" w:rsidP="00D43DE7">
      <w:pPr>
        <w:jc w:val="center"/>
        <w:rPr>
          <w:highlight w:val="yellow"/>
        </w:rPr>
      </w:pPr>
    </w:p>
    <w:p w:rsidR="00723595" w:rsidRPr="00735274" w:rsidRDefault="00735274" w:rsidP="00D43DE7">
      <w:pPr>
        <w:jc w:val="center"/>
      </w:pPr>
      <w:r w:rsidRPr="00735274">
        <w:t>2</w:t>
      </w:r>
      <w:r w:rsidR="00D43DE7" w:rsidRPr="00735274">
        <w:t xml:space="preserve">.3. </w:t>
      </w:r>
      <w:r>
        <w:t>Prognozes 2015</w:t>
      </w:r>
      <w:r w:rsidR="00723595" w:rsidRPr="00735274">
        <w:t>.gadam</w:t>
      </w:r>
    </w:p>
    <w:p w:rsidR="00723595" w:rsidRPr="00994ECF" w:rsidRDefault="00723595" w:rsidP="00085635">
      <w:pPr>
        <w:jc w:val="both"/>
        <w:rPr>
          <w:highlight w:val="yellow"/>
        </w:rPr>
      </w:pPr>
    </w:p>
    <w:p w:rsidR="00956CB7" w:rsidRPr="000E3AB8" w:rsidRDefault="000E3AB8" w:rsidP="00D226CF">
      <w:pPr>
        <w:ind w:firstLine="720"/>
        <w:jc w:val="both"/>
        <w:rPr>
          <w:i/>
        </w:rPr>
      </w:pPr>
      <w:r w:rsidRPr="000E3AB8">
        <w:t>2014.gada decembra nogalē ESM paziņoja, ka ilgtermiņa piesaistīto resursu</w:t>
      </w:r>
      <w:r w:rsidR="00813AE6">
        <w:t xml:space="preserve"> apjoma mērķis 2015.gadam būs 14</w:t>
      </w:r>
      <w:r w:rsidRPr="000E3AB8">
        <w:t xml:space="preserve"> mljrd. </w:t>
      </w:r>
      <w:r w:rsidRPr="000E3AB8">
        <w:rPr>
          <w:i/>
        </w:rPr>
        <w:t xml:space="preserve">euro. </w:t>
      </w:r>
      <w:r w:rsidRPr="000E3AB8">
        <w:t xml:space="preserve">Ņemot vērā Spānijas priekšlaicīgi veikto aizdevuma daļas atmaksu 1,5 mljrd. </w:t>
      </w:r>
      <w:r w:rsidRPr="000E3AB8">
        <w:rPr>
          <w:i/>
        </w:rPr>
        <w:t>euro</w:t>
      </w:r>
      <w:r w:rsidRPr="000E3AB8">
        <w:t xml:space="preserve"> apmērā, kuru ESM Direktoru padome apstiprināja šā gada 9.martā, ilgtermiņa piesaistīto resursu mērķis tika samazināts par priekšlaicīgi atmaksājamo finanšu resursu apjomu, un kopējais mērķis sekojoši tika noteikts 12,5 mljrd. </w:t>
      </w:r>
      <w:r w:rsidRPr="000E3AB8">
        <w:rPr>
          <w:i/>
        </w:rPr>
        <w:t xml:space="preserve">euro </w:t>
      </w:r>
      <w:r w:rsidRPr="000E3AB8">
        <w:t>līmenī</w:t>
      </w:r>
      <w:r w:rsidRPr="000E3AB8">
        <w:rPr>
          <w:i/>
        </w:rPr>
        <w:t>.</w:t>
      </w:r>
    </w:p>
    <w:p w:rsidR="000E3AB8" w:rsidRPr="000E3AB8" w:rsidRDefault="000E3AB8" w:rsidP="00D226CF">
      <w:pPr>
        <w:ind w:firstLine="720"/>
        <w:jc w:val="both"/>
      </w:pPr>
      <w:r w:rsidRPr="000E3AB8">
        <w:t xml:space="preserve">2015.gada pirmajā ceturksni ESM ir piesaistījis 3 mljrd. </w:t>
      </w:r>
      <w:r w:rsidRPr="000E3AB8">
        <w:rPr>
          <w:i/>
        </w:rPr>
        <w:t>euro</w:t>
      </w:r>
      <w:r w:rsidRPr="000E3AB8">
        <w:t xml:space="preserve">, emitējot 2,5 gadu obligācijas. Emisija izraisīja ārkārtīgi lielu pieprasījumu, kā rezultātā ienesīgums </w:t>
      </w:r>
      <w:r w:rsidR="00B60B00">
        <w:t>sasniedza</w:t>
      </w:r>
      <w:r w:rsidRPr="000E3AB8">
        <w:t xml:space="preserve"> -0,07%. </w:t>
      </w:r>
    </w:p>
    <w:p w:rsidR="00956CB7" w:rsidRDefault="00956CB7" w:rsidP="00D226CF">
      <w:pPr>
        <w:ind w:firstLine="720"/>
        <w:jc w:val="both"/>
        <w:rPr>
          <w:highlight w:val="yellow"/>
        </w:rPr>
      </w:pPr>
    </w:p>
    <w:p w:rsidR="00102197" w:rsidRPr="00994ECF" w:rsidRDefault="00102197" w:rsidP="00102197">
      <w:pPr>
        <w:pStyle w:val="ListParagraph"/>
        <w:ind w:left="0"/>
        <w:jc w:val="center"/>
        <w:rPr>
          <w:b/>
          <w:highlight w:val="yellow"/>
        </w:rPr>
      </w:pPr>
    </w:p>
    <w:p w:rsidR="00102197" w:rsidRPr="005266B8" w:rsidRDefault="005266B8" w:rsidP="00102197">
      <w:pPr>
        <w:pStyle w:val="ListParagraph"/>
        <w:ind w:left="0"/>
        <w:jc w:val="center"/>
        <w:rPr>
          <w:b/>
          <w:color w:val="000000" w:themeColor="text1"/>
        </w:rPr>
      </w:pPr>
      <w:r w:rsidRPr="005266B8">
        <w:rPr>
          <w:b/>
          <w:color w:val="000000" w:themeColor="text1"/>
        </w:rPr>
        <w:t>3</w:t>
      </w:r>
      <w:r w:rsidR="00D226CF" w:rsidRPr="005266B8">
        <w:rPr>
          <w:b/>
          <w:color w:val="000000" w:themeColor="text1"/>
        </w:rPr>
        <w:t xml:space="preserve">. </w:t>
      </w:r>
      <w:r w:rsidRPr="005266B8">
        <w:rPr>
          <w:b/>
          <w:color w:val="000000" w:themeColor="text1"/>
        </w:rPr>
        <w:t>ESM 2014</w:t>
      </w:r>
      <w:r w:rsidR="00102197" w:rsidRPr="005266B8">
        <w:rPr>
          <w:b/>
          <w:color w:val="000000" w:themeColor="text1"/>
        </w:rPr>
        <w:t>.gada finanšu darbības rezultāti</w:t>
      </w:r>
    </w:p>
    <w:p w:rsidR="005266B8" w:rsidRDefault="005266B8" w:rsidP="00102197">
      <w:pPr>
        <w:ind w:firstLine="720"/>
        <w:jc w:val="both"/>
        <w:rPr>
          <w:highlight w:val="yellow"/>
        </w:rPr>
      </w:pPr>
    </w:p>
    <w:p w:rsidR="004F31B4" w:rsidRPr="00DB2CBD" w:rsidRDefault="004F31B4" w:rsidP="00102197">
      <w:pPr>
        <w:ind w:firstLine="720"/>
        <w:jc w:val="both"/>
      </w:pPr>
      <w:r w:rsidRPr="00DB2CBD">
        <w:t>Saskaņā ar ESM 2014</w:t>
      </w:r>
      <w:r w:rsidR="00102197" w:rsidRPr="00DB2CBD">
        <w:t xml:space="preserve">.gada </w:t>
      </w:r>
      <w:r w:rsidRPr="00DB2CBD">
        <w:t>finanšu</w:t>
      </w:r>
      <w:r w:rsidR="00102197" w:rsidRPr="00DB2CBD">
        <w:t xml:space="preserve"> pārska</w:t>
      </w:r>
      <w:r w:rsidRPr="00DB2CBD">
        <w:t xml:space="preserve">tu, ESM bilances aktīvu vērtība bija 752,6 mljrd. </w:t>
      </w:r>
      <w:r w:rsidRPr="00DB2CBD">
        <w:rPr>
          <w:i/>
        </w:rPr>
        <w:t xml:space="preserve">euro, </w:t>
      </w:r>
      <w:r w:rsidRPr="00DB2CBD">
        <w:t xml:space="preserve">kas ir samazinājums par 7,8 mljrd. </w:t>
      </w:r>
      <w:r w:rsidRPr="00DB2CBD">
        <w:rPr>
          <w:i/>
        </w:rPr>
        <w:t>euro</w:t>
      </w:r>
      <w:r w:rsidRPr="00DB2CBD">
        <w:t xml:space="preserve">, salīdzinot ar iepriekšējo </w:t>
      </w:r>
      <w:r w:rsidRPr="00DB2CBD">
        <w:lastRenderedPageBreak/>
        <w:t xml:space="preserve">pārskata gadu. Galvenais samazinājuma iemesls saistāms ar </w:t>
      </w:r>
      <w:r w:rsidR="00FF0F56" w:rsidRPr="00DB2CBD">
        <w:t>Pagaidu</w:t>
      </w:r>
      <w:r w:rsidRPr="00DB2CBD">
        <w:t xml:space="preserve"> investīciju portfeļa (</w:t>
      </w:r>
      <w:r w:rsidRPr="00DB2CBD">
        <w:rPr>
          <w:i/>
        </w:rPr>
        <w:t xml:space="preserve">Transitional Investment Portfolio) </w:t>
      </w:r>
      <w:r w:rsidRPr="00DB2CBD">
        <w:t xml:space="preserve">termiņa izbeigšanos 2014.gada nogalē. </w:t>
      </w:r>
    </w:p>
    <w:p w:rsidR="004F31B4" w:rsidRPr="00DB2CBD" w:rsidRDefault="004F31B4" w:rsidP="00102197">
      <w:pPr>
        <w:ind w:firstLine="720"/>
        <w:jc w:val="both"/>
      </w:pPr>
      <w:r w:rsidRPr="00DB2CBD">
        <w:t xml:space="preserve">Aizdevumi un avansi </w:t>
      </w:r>
      <w:r w:rsidRPr="00DB2CBD">
        <w:rPr>
          <w:i/>
        </w:rPr>
        <w:t xml:space="preserve">euro </w:t>
      </w:r>
      <w:r w:rsidRPr="00DB2CBD">
        <w:t xml:space="preserve">zonas dalībvalstīm samazinājās par 0,5 mljrd. </w:t>
      </w:r>
      <w:r w:rsidRPr="00DB2CBD">
        <w:rPr>
          <w:i/>
        </w:rPr>
        <w:t>euro,</w:t>
      </w:r>
      <w:r w:rsidRPr="00DB2CBD">
        <w:t xml:space="preserve"> ko galvenokārt ietekmēja salīdzinoši lielā Spānijas aizdevuma daļas priekšlaicīgā atmaksa un relatīvi mazāks aizdevuma daļas maksājums Kiprai. Gada beigās aizdevumu apmērs bilancē sasniedza 45,4 mljrd. </w:t>
      </w:r>
      <w:r w:rsidRPr="00DB2CBD">
        <w:rPr>
          <w:i/>
        </w:rPr>
        <w:t>euro.</w:t>
      </w:r>
    </w:p>
    <w:p w:rsidR="00911591" w:rsidRPr="00DB2CBD" w:rsidRDefault="00102197" w:rsidP="00102197">
      <w:pPr>
        <w:ind w:firstLine="720"/>
        <w:jc w:val="both"/>
      </w:pPr>
      <w:r w:rsidRPr="00DB2CBD">
        <w:t>Lai nodrošinātu finansējumu finansiālās palīdzības programmām, ESM piesaista līdzekļus finanšu tirgos. Informācija par ESM emitētajiem parād</w:t>
      </w:r>
      <w:r w:rsidR="00FF0F56" w:rsidRPr="00DB2CBD">
        <w:t>a vērtspapīriem liecina, ka 2014</w:t>
      </w:r>
      <w:r w:rsidRPr="00DB2CBD">
        <w:t xml:space="preserve">. gadā tā saistības </w:t>
      </w:r>
      <w:r w:rsidR="00FF0F56" w:rsidRPr="00DB2CBD">
        <w:t>samazinājās par 18%</w:t>
      </w:r>
      <w:r w:rsidRPr="00DB2CBD">
        <w:t xml:space="preserve">, sasniedzot </w:t>
      </w:r>
      <w:r w:rsidR="00FF0F56" w:rsidRPr="00DB2CBD">
        <w:t xml:space="preserve">49,2 mljrd. </w:t>
      </w:r>
      <w:r w:rsidR="00FF0F56" w:rsidRPr="00DB2CBD">
        <w:rPr>
          <w:i/>
        </w:rPr>
        <w:t>euro</w:t>
      </w:r>
      <w:r w:rsidRPr="00DB2CBD">
        <w:t xml:space="preserve">. </w:t>
      </w:r>
      <w:r w:rsidR="00911591" w:rsidRPr="00DB2CBD">
        <w:t>Samazinājums galvenokārt saistāms ar Pagaidu investīciju portfeļa termiņa izbeigšanos.</w:t>
      </w:r>
    </w:p>
    <w:p w:rsidR="00911591" w:rsidRPr="00DB2CBD" w:rsidRDefault="00911591" w:rsidP="00102197">
      <w:pPr>
        <w:ind w:firstLine="720"/>
        <w:jc w:val="both"/>
      </w:pPr>
      <w:r w:rsidRPr="00DB2CBD">
        <w:t xml:space="preserve">2014.gada 30.aprīlī 17 </w:t>
      </w:r>
      <w:r w:rsidRPr="00DB2CBD">
        <w:rPr>
          <w:i/>
        </w:rPr>
        <w:t xml:space="preserve">euro </w:t>
      </w:r>
      <w:r w:rsidRPr="00DB2CBD">
        <w:t xml:space="preserve">zonas dalībvalstis, kas dibināja ESM, pabeidza plānotos maksājumus apmaksātajā kapitālā, veicot piekto un pēdējo maksājumu 15,7 mljrd. </w:t>
      </w:r>
      <w:r w:rsidRPr="00DB2CBD">
        <w:rPr>
          <w:i/>
        </w:rPr>
        <w:t>euro</w:t>
      </w:r>
      <w:r w:rsidRPr="00DB2CBD">
        <w:t xml:space="preserve"> apmērā. Tādēj</w:t>
      </w:r>
      <w:r w:rsidR="0018674C" w:rsidRPr="00DB2CBD">
        <w:t>ādi ESM</w:t>
      </w:r>
      <w:r w:rsidRPr="00DB2CBD">
        <w:t xml:space="preserve"> ir sasniedzis savu kapitāla mērķa lielumu – 80 mljrd. </w:t>
      </w:r>
      <w:r w:rsidRPr="00DB2CBD">
        <w:rPr>
          <w:i/>
        </w:rPr>
        <w:t xml:space="preserve">euro. </w:t>
      </w:r>
      <w:r w:rsidR="0044061A" w:rsidRPr="00FA0E28">
        <w:t>Jāatzīmē</w:t>
      </w:r>
      <w:r w:rsidR="00FA0E28" w:rsidRPr="00FA0E28">
        <w:t>, ka</w:t>
      </w:r>
      <w:r w:rsidR="00FA0E28">
        <w:rPr>
          <w:i/>
        </w:rPr>
        <w:t xml:space="preserve"> </w:t>
      </w:r>
      <w:r w:rsidRPr="00DB2CBD">
        <w:t xml:space="preserve">2014.gada 13.martā Latvija kļuva par ESM 18.dalībnieci un veica pirmo maksājumu apmaksātajā kapitālā 44,2 mlj. </w:t>
      </w:r>
      <w:r w:rsidRPr="00DB2CBD">
        <w:rPr>
          <w:i/>
        </w:rPr>
        <w:t xml:space="preserve">euro </w:t>
      </w:r>
      <w:r w:rsidRPr="00DB2CBD">
        <w:t>apmērā. Gada nogalē apmaksātais kapitāls tika invest</w:t>
      </w:r>
      <w:r w:rsidR="0018674C" w:rsidRPr="00DB2CBD">
        <w:t>ēts ESM aktīvos, proti, naudas un to ekvivalentu, centrālo banku depozītu un parāda vērtspapīru veidā.</w:t>
      </w:r>
    </w:p>
    <w:p w:rsidR="0018674C" w:rsidRDefault="00DB2CBD" w:rsidP="00102197">
      <w:pPr>
        <w:ind w:firstLine="720"/>
        <w:jc w:val="both"/>
      </w:pPr>
      <w:r w:rsidRPr="00C72A08">
        <w:t>2014.gads bija otrais pilnais operāciju</w:t>
      </w:r>
      <w:r w:rsidR="005A77B8">
        <w:t xml:space="preserve"> gads, kuru ESM</w:t>
      </w:r>
      <w:r w:rsidRPr="00C72A08">
        <w:t xml:space="preserve"> noslēdz ar pozitīvu finanšu rezultātu 443,9 mlj. </w:t>
      </w:r>
      <w:r w:rsidRPr="00C72A08">
        <w:rPr>
          <w:i/>
        </w:rPr>
        <w:t xml:space="preserve">euro </w:t>
      </w:r>
      <w:r w:rsidRPr="00C72A08">
        <w:t xml:space="preserve">apmērā. Salīdzinot ar 2013.gadu, pārskata gada peļņa pieauga par 190 mlj. </w:t>
      </w:r>
      <w:r w:rsidRPr="00C72A08">
        <w:rPr>
          <w:i/>
        </w:rPr>
        <w:t>euro.</w:t>
      </w:r>
      <w:r w:rsidRPr="00C72A08">
        <w:t xml:space="preserve"> </w:t>
      </w:r>
    </w:p>
    <w:p w:rsidR="00C72A08" w:rsidRDefault="00C72A08" w:rsidP="00102197">
      <w:pPr>
        <w:ind w:firstLine="720"/>
        <w:jc w:val="both"/>
      </w:pPr>
      <w:r>
        <w:t xml:space="preserve">ESM </w:t>
      </w:r>
      <w:r w:rsidR="005A77B8">
        <w:t xml:space="preserve">procentu ieņēmumi 2014.gadā veidoja 710,1 mlj. </w:t>
      </w:r>
      <w:r w:rsidR="005A77B8">
        <w:rPr>
          <w:i/>
        </w:rPr>
        <w:t xml:space="preserve">euro, </w:t>
      </w:r>
      <w:r w:rsidR="005A77B8">
        <w:t xml:space="preserve">savukārt procentu izdevumi finansēšanas aktivitātēm sastādīja 348,7 mlj. </w:t>
      </w:r>
      <w:r w:rsidR="005A77B8" w:rsidRPr="005A77B8">
        <w:rPr>
          <w:i/>
        </w:rPr>
        <w:t>euro</w:t>
      </w:r>
      <w:r w:rsidR="005A77B8">
        <w:rPr>
          <w:i/>
        </w:rPr>
        <w:t>.</w:t>
      </w:r>
      <w:r w:rsidR="005A77B8">
        <w:t xml:space="preserve"> </w:t>
      </w:r>
    </w:p>
    <w:p w:rsidR="005A77B8" w:rsidRPr="005A77B8" w:rsidRDefault="005A77B8" w:rsidP="00102197">
      <w:pPr>
        <w:ind w:firstLine="720"/>
        <w:jc w:val="both"/>
      </w:pPr>
      <w:r>
        <w:t xml:space="preserve">Aizdevumu procentu ienākumi un investīcijas, kas finansētas no apmaksātā kapitāla, deva ievērojamu ieguldījumu ESM darbības rezultātā. 2014.gadā procentu ienākumi no apmaksātā kapitāla investēšanas sastādīja 197,9 mlj. </w:t>
      </w:r>
      <w:r w:rsidRPr="005A77B8">
        <w:rPr>
          <w:i/>
        </w:rPr>
        <w:t>euro</w:t>
      </w:r>
      <w:r>
        <w:rPr>
          <w:i/>
        </w:rPr>
        <w:t xml:space="preserve">, </w:t>
      </w:r>
      <w:r>
        <w:t xml:space="preserve">salīdzinot ar 81,6 mlj. </w:t>
      </w:r>
      <w:r w:rsidRPr="005A77B8">
        <w:rPr>
          <w:i/>
        </w:rPr>
        <w:t>euro</w:t>
      </w:r>
      <w:r>
        <w:t xml:space="preserve"> 2013.gadā. Turklāt parāda vērtspapīru pārdošanas ienākumi</w:t>
      </w:r>
      <w:r w:rsidR="003540A8">
        <w:t xml:space="preserve"> no iemaksātā kapitāla portfeļa resursiem sasniedza 102,9 mlj. </w:t>
      </w:r>
      <w:r w:rsidR="003540A8" w:rsidRPr="003540A8">
        <w:rPr>
          <w:i/>
        </w:rPr>
        <w:t>euro</w:t>
      </w:r>
      <w:r w:rsidR="003540A8">
        <w:t xml:space="preserve">, pretstatā 26,1 mlj. </w:t>
      </w:r>
      <w:r w:rsidR="003540A8" w:rsidRPr="003540A8">
        <w:rPr>
          <w:i/>
        </w:rPr>
        <w:t>euro</w:t>
      </w:r>
      <w:r w:rsidR="003540A8">
        <w:t xml:space="preserve"> 2013.gadā. </w:t>
      </w:r>
    </w:p>
    <w:p w:rsidR="0018674C" w:rsidRPr="003540A8" w:rsidRDefault="003540A8" w:rsidP="00D226CF">
      <w:pPr>
        <w:ind w:firstLine="720"/>
        <w:jc w:val="both"/>
      </w:pPr>
      <w:r w:rsidRPr="003540A8">
        <w:t xml:space="preserve">Operatīvās izmaksas, kas ietver administratīvos izdevumus un pamatlīdzekļu nolietojumu, palielinājās par 10,3 mlj. </w:t>
      </w:r>
      <w:r w:rsidRPr="003540A8">
        <w:rPr>
          <w:i/>
        </w:rPr>
        <w:t xml:space="preserve">euro, </w:t>
      </w:r>
      <w:r w:rsidRPr="003540A8">
        <w:t xml:space="preserve">kas galvenokārt saistāms ar darbinieku skaita pieaugumu. Jāatzīmē, ka ESM nodrošina administratīvos pakalpojumus Eiropas Finanšu stabilitātes instrumentam, kā rezultātā 21,3 mlj. </w:t>
      </w:r>
      <w:r w:rsidRPr="003540A8">
        <w:rPr>
          <w:i/>
        </w:rPr>
        <w:t xml:space="preserve">euro </w:t>
      </w:r>
      <w:r w:rsidRPr="003540A8">
        <w:t xml:space="preserve">operatīvo ieņēmumu veidoja dotā pozīcija. </w:t>
      </w:r>
    </w:p>
    <w:p w:rsidR="0018674C" w:rsidRDefault="0018674C" w:rsidP="00D226CF">
      <w:pPr>
        <w:ind w:firstLine="720"/>
        <w:jc w:val="both"/>
        <w:rPr>
          <w:highlight w:val="yellow"/>
        </w:rPr>
      </w:pPr>
    </w:p>
    <w:p w:rsidR="00E771C3" w:rsidRDefault="00E771C3" w:rsidP="00D226CF">
      <w:pPr>
        <w:ind w:firstLine="720"/>
        <w:jc w:val="both"/>
        <w:rPr>
          <w:highlight w:val="yellow"/>
        </w:rPr>
      </w:pPr>
    </w:p>
    <w:p w:rsidR="00E771C3" w:rsidRDefault="00E771C3" w:rsidP="00D226CF">
      <w:pPr>
        <w:ind w:firstLine="720"/>
        <w:jc w:val="both"/>
        <w:rPr>
          <w:highlight w:val="yellow"/>
        </w:rPr>
      </w:pPr>
    </w:p>
    <w:p w:rsidR="00C151F9" w:rsidRDefault="00C151F9" w:rsidP="00C151F9">
      <w:pPr>
        <w:tabs>
          <w:tab w:val="left" w:pos="5387"/>
        </w:tabs>
        <w:adjustRightInd w:val="0"/>
        <w:jc w:val="both"/>
        <w:textAlignment w:val="baseline"/>
        <w:rPr>
          <w:rFonts w:eastAsia="Times New Roman"/>
          <w:lang w:eastAsia="lv-LV"/>
        </w:rPr>
      </w:pPr>
      <w:r>
        <w:rPr>
          <w:rFonts w:eastAsia="Times New Roman"/>
          <w:lang w:eastAsia="lv-LV"/>
        </w:rPr>
        <w:t>Finanšu ministrs</w:t>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t xml:space="preserve">       J.Reirs</w:t>
      </w:r>
    </w:p>
    <w:p w:rsidR="003540A8" w:rsidRPr="00813AE6" w:rsidRDefault="00813AE6" w:rsidP="00813AE6">
      <w:pPr>
        <w:tabs>
          <w:tab w:val="left" w:pos="5387"/>
        </w:tabs>
        <w:adjustRightInd w:val="0"/>
        <w:jc w:val="both"/>
        <w:textAlignment w:val="baseline"/>
        <w:rPr>
          <w:rFonts w:eastAsia="Times New Roman"/>
          <w:lang w:eastAsia="lv-LV"/>
        </w:rPr>
      </w:pPr>
      <w:r>
        <w:rPr>
          <w:rFonts w:eastAsia="Times New Roman"/>
          <w:lang w:eastAsia="lv-LV"/>
        </w:rPr>
        <w:tab/>
      </w:r>
      <w:r>
        <w:rPr>
          <w:rFonts w:eastAsia="Times New Roman"/>
          <w:lang w:eastAsia="lv-LV"/>
        </w:rPr>
        <w:tab/>
      </w:r>
      <w:r>
        <w:rPr>
          <w:rFonts w:eastAsia="Times New Roman"/>
          <w:lang w:eastAsia="lv-LV"/>
        </w:rPr>
        <w:tab/>
      </w:r>
    </w:p>
    <w:p w:rsidR="003540A8" w:rsidRDefault="003540A8" w:rsidP="00D226CF">
      <w:pPr>
        <w:ind w:firstLine="720"/>
        <w:jc w:val="both"/>
        <w:rPr>
          <w:highlight w:val="yellow"/>
        </w:rPr>
      </w:pPr>
    </w:p>
    <w:p w:rsidR="003540A8" w:rsidRDefault="003540A8" w:rsidP="00D226CF">
      <w:pPr>
        <w:ind w:firstLine="720"/>
        <w:jc w:val="both"/>
        <w:rPr>
          <w:highlight w:val="yellow"/>
        </w:rPr>
      </w:pPr>
    </w:p>
    <w:p w:rsidR="003540A8" w:rsidRDefault="003540A8" w:rsidP="00D226CF">
      <w:pPr>
        <w:ind w:firstLine="720"/>
        <w:jc w:val="both"/>
        <w:rPr>
          <w:highlight w:val="yellow"/>
        </w:rPr>
      </w:pPr>
    </w:p>
    <w:p w:rsidR="003540A8" w:rsidRPr="00994ECF" w:rsidRDefault="003540A8" w:rsidP="00D226CF">
      <w:pPr>
        <w:ind w:firstLine="720"/>
        <w:jc w:val="both"/>
        <w:rPr>
          <w:highlight w:val="yellow"/>
        </w:rPr>
      </w:pPr>
    </w:p>
    <w:p w:rsidR="00F13A6C" w:rsidRPr="00FA0E28" w:rsidRDefault="005220CE" w:rsidP="00F13A6C">
      <w:pPr>
        <w:rPr>
          <w:noProof/>
          <w:sz w:val="20"/>
          <w:szCs w:val="20"/>
        </w:rPr>
      </w:pPr>
      <w:r>
        <w:rPr>
          <w:noProof/>
          <w:sz w:val="20"/>
          <w:szCs w:val="20"/>
        </w:rPr>
        <w:t>11</w:t>
      </w:r>
      <w:r w:rsidR="0000616B">
        <w:rPr>
          <w:noProof/>
          <w:sz w:val="20"/>
          <w:szCs w:val="20"/>
        </w:rPr>
        <w:t xml:space="preserve">.09.201 </w:t>
      </w:r>
      <w:r>
        <w:rPr>
          <w:noProof/>
          <w:sz w:val="20"/>
          <w:szCs w:val="20"/>
        </w:rPr>
        <w:t>09:59</w:t>
      </w:r>
    </w:p>
    <w:p w:rsidR="00F13A6C" w:rsidRPr="00FA0E28" w:rsidRDefault="00FE21CC" w:rsidP="00F13A6C">
      <w:pPr>
        <w:rPr>
          <w:noProof/>
          <w:sz w:val="20"/>
          <w:szCs w:val="20"/>
        </w:rPr>
      </w:pPr>
      <w:r w:rsidRPr="00FA0E28">
        <w:rPr>
          <w:noProof/>
          <w:sz w:val="20"/>
          <w:szCs w:val="20"/>
        </w:rPr>
        <w:t>2</w:t>
      </w:r>
      <w:r w:rsidR="00C151F9">
        <w:rPr>
          <w:noProof/>
          <w:sz w:val="20"/>
          <w:szCs w:val="20"/>
        </w:rPr>
        <w:t>386</w:t>
      </w:r>
    </w:p>
    <w:p w:rsidR="005220CE" w:rsidRDefault="005220CE" w:rsidP="005220CE">
      <w:pPr>
        <w:jc w:val="both"/>
        <w:rPr>
          <w:rFonts w:eastAsia="Times New Roman"/>
          <w:sz w:val="20"/>
          <w:szCs w:val="20"/>
        </w:rPr>
      </w:pPr>
      <w:r>
        <w:rPr>
          <w:rFonts w:eastAsia="Times New Roman"/>
          <w:sz w:val="20"/>
          <w:szCs w:val="20"/>
        </w:rPr>
        <w:t>M.Trautmanis</w:t>
      </w:r>
    </w:p>
    <w:p w:rsidR="005220CE" w:rsidRDefault="005220CE" w:rsidP="005220CE">
      <w:pPr>
        <w:jc w:val="both"/>
        <w:rPr>
          <w:rFonts w:eastAsia="Times New Roman"/>
          <w:color w:val="000000" w:themeColor="text1"/>
          <w:sz w:val="20"/>
          <w:szCs w:val="20"/>
        </w:rPr>
      </w:pPr>
      <w:r>
        <w:rPr>
          <w:rFonts w:eastAsia="Times New Roman"/>
          <w:color w:val="000000" w:themeColor="text1"/>
          <w:sz w:val="20"/>
          <w:szCs w:val="20"/>
        </w:rPr>
        <w:t>67095409, Martins.Trautmanis@fm.gov.lv</w:t>
      </w:r>
    </w:p>
    <w:p w:rsidR="00F13A6C" w:rsidRDefault="00FA0E28" w:rsidP="00F13A6C">
      <w:pPr>
        <w:jc w:val="both"/>
      </w:pPr>
      <w:r>
        <w:rPr>
          <w:rFonts w:ascii="Segoe UI" w:hAnsi="Segoe UI" w:cs="Segoe UI"/>
          <w:sz w:val="16"/>
          <w:szCs w:val="16"/>
          <w:bdr w:val="single" w:sz="8" w:space="1" w:color="ABABAB" w:frame="1"/>
          <w:shd w:val="clear" w:color="auto" w:fill="FFFFFF"/>
        </w:rPr>
        <w:br/>
      </w:r>
    </w:p>
    <w:sectPr w:rsidR="00F13A6C" w:rsidSect="00670A46">
      <w:headerReference w:type="default" r:id="rId8"/>
      <w:footerReference w:type="default" r:id="rId9"/>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BD" w:rsidRDefault="006342BD" w:rsidP="001907A7">
      <w:r>
        <w:separator/>
      </w:r>
    </w:p>
  </w:endnote>
  <w:endnote w:type="continuationSeparator" w:id="0">
    <w:p w:rsidR="006342BD" w:rsidRDefault="006342BD" w:rsidP="0019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B4" w:rsidRPr="002E422A" w:rsidRDefault="00C151F9" w:rsidP="002E422A">
    <w:pPr>
      <w:jc w:val="both"/>
      <w:rPr>
        <w:sz w:val="20"/>
        <w:szCs w:val="20"/>
      </w:rPr>
    </w:pPr>
    <w:r>
      <w:rPr>
        <w:sz w:val="20"/>
        <w:szCs w:val="20"/>
      </w:rPr>
      <w:t>FMZino_11</w:t>
    </w:r>
    <w:r w:rsidR="004F31B4">
      <w:rPr>
        <w:sz w:val="20"/>
        <w:szCs w:val="20"/>
      </w:rPr>
      <w:t xml:space="preserve">0915_ESM_darbiba_2014; </w:t>
    </w:r>
    <w:r w:rsidR="004F31B4" w:rsidRPr="0042629E">
      <w:rPr>
        <w:sz w:val="20"/>
        <w:szCs w:val="20"/>
      </w:rPr>
      <w:t>Informatīvais ziņojums</w:t>
    </w:r>
    <w:r w:rsidR="004F31B4">
      <w:rPr>
        <w:sz w:val="20"/>
        <w:szCs w:val="20"/>
      </w:rPr>
      <w:t xml:space="preserve"> </w:t>
    </w:r>
    <w:r w:rsidR="004F31B4" w:rsidRPr="002E422A">
      <w:rPr>
        <w:sz w:val="20"/>
        <w:szCs w:val="20"/>
      </w:rPr>
      <w:t>„Par Eiropas Stabili</w:t>
    </w:r>
    <w:r w:rsidR="004F31B4">
      <w:rPr>
        <w:sz w:val="20"/>
        <w:szCs w:val="20"/>
      </w:rPr>
      <w:t>tātes</w:t>
    </w:r>
    <w:r w:rsidR="004F31B4" w:rsidRPr="002E422A">
      <w:rPr>
        <w:sz w:val="20"/>
        <w:szCs w:val="20"/>
      </w:rPr>
      <w:t xml:space="preserve"> mehānisma darbību 201</w:t>
    </w:r>
    <w:r w:rsidR="004F31B4">
      <w:rPr>
        <w:sz w:val="20"/>
        <w:szCs w:val="20"/>
      </w:rPr>
      <w:t>4</w:t>
    </w:r>
    <w:r w:rsidR="004F31B4" w:rsidRPr="002E422A">
      <w:rPr>
        <w:sz w:val="20"/>
        <w:szCs w:val="20"/>
      </w:rPr>
      <w:t>.gadā”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BD" w:rsidRDefault="006342BD" w:rsidP="001907A7">
      <w:r>
        <w:separator/>
      </w:r>
    </w:p>
  </w:footnote>
  <w:footnote w:type="continuationSeparator" w:id="0">
    <w:p w:rsidR="006342BD" w:rsidRDefault="006342BD" w:rsidP="001907A7">
      <w:r>
        <w:continuationSeparator/>
      </w:r>
    </w:p>
  </w:footnote>
  <w:footnote w:id="1">
    <w:p w:rsidR="004F31B4" w:rsidRPr="00B77CB8" w:rsidRDefault="004F31B4" w:rsidP="00B77CB8">
      <w:pPr>
        <w:pStyle w:val="FootnoteText"/>
        <w:jc w:val="both"/>
      </w:pPr>
      <w:r>
        <w:rPr>
          <w:rStyle w:val="FootnoteReference"/>
        </w:rPr>
        <w:footnoteRef/>
      </w:r>
      <w:r>
        <w:t xml:space="preserve"> Eiropas Centrālās bankas sadarbībā ar Kipras banku sektora uzraugošo institūciju veiktais visaptverošais Kipras sistēmiski svarīgo banku novērtējums (angl. </w:t>
      </w:r>
      <w:r w:rsidRPr="00B77CB8">
        <w:rPr>
          <w:i/>
        </w:rPr>
        <w:t>Comprehensive</w:t>
      </w:r>
      <w:r>
        <w:t xml:space="preserve"> </w:t>
      </w:r>
      <w:r w:rsidRPr="00B77CB8">
        <w:rPr>
          <w:i/>
        </w:rPr>
        <w:t>Assessment</w:t>
      </w:r>
      <w:r>
        <w:t xml:space="preserve">) uzrādīja nelielu kapitāla nepietiekamību </w:t>
      </w:r>
      <w:r w:rsidRPr="00B77CB8">
        <w:rPr>
          <w:i/>
        </w:rPr>
        <w:t>Hellenic</w:t>
      </w:r>
      <w:r>
        <w:t xml:space="preserve"> </w:t>
      </w:r>
      <w:r w:rsidRPr="00B77CB8">
        <w:rPr>
          <w:i/>
        </w:rPr>
        <w:t>Bank</w:t>
      </w:r>
      <w:r>
        <w:rPr>
          <w:i/>
        </w:rPr>
        <w:t xml:space="preserve">. </w:t>
      </w:r>
      <w:r>
        <w:t xml:space="preserve">Pašlaik jau banka ir novērsusi to, piesaistot papildu kapitālu no esošajiem akcionāriem. </w:t>
      </w:r>
    </w:p>
  </w:footnote>
  <w:footnote w:id="2">
    <w:p w:rsidR="004F31B4" w:rsidRDefault="004F31B4">
      <w:pPr>
        <w:pStyle w:val="FootnoteText"/>
      </w:pPr>
      <w:r>
        <w:rPr>
          <w:rStyle w:val="FootnoteReference"/>
        </w:rPr>
        <w:footnoteRef/>
      </w:r>
      <w:r>
        <w:t xml:space="preserve"> V</w:t>
      </w:r>
      <w:r>
        <w:rPr>
          <w:rFonts w:cs="Times New Roman"/>
          <w:szCs w:val="24"/>
        </w:rPr>
        <w:t>iens bāzes punkts ir viena simtā daļa no procenta.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620065"/>
      <w:docPartObj>
        <w:docPartGallery w:val="Page Numbers (Top of Page)"/>
        <w:docPartUnique/>
      </w:docPartObj>
    </w:sdtPr>
    <w:sdtEndPr>
      <w:rPr>
        <w:noProof/>
      </w:rPr>
    </w:sdtEndPr>
    <w:sdtContent>
      <w:p w:rsidR="004F31B4" w:rsidRDefault="004F31B4">
        <w:pPr>
          <w:pStyle w:val="Header"/>
          <w:jc w:val="center"/>
        </w:pPr>
        <w:r>
          <w:fldChar w:fldCharType="begin"/>
        </w:r>
        <w:r>
          <w:instrText xml:space="preserve"> PAGE   \* MERGEFORMAT </w:instrText>
        </w:r>
        <w:r>
          <w:fldChar w:fldCharType="separate"/>
        </w:r>
        <w:r w:rsidR="00E3048A">
          <w:rPr>
            <w:noProof/>
          </w:rPr>
          <w:t>2</w:t>
        </w:r>
        <w:r>
          <w:rPr>
            <w:noProof/>
          </w:rPr>
          <w:fldChar w:fldCharType="end"/>
        </w:r>
      </w:p>
    </w:sdtContent>
  </w:sdt>
  <w:p w:rsidR="004F31B4" w:rsidRDefault="004F3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7742A"/>
    <w:multiLevelType w:val="hybridMultilevel"/>
    <w:tmpl w:val="93A47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9F"/>
    <w:rsid w:val="00000D0D"/>
    <w:rsid w:val="0000616B"/>
    <w:rsid w:val="00014BC7"/>
    <w:rsid w:val="00032C70"/>
    <w:rsid w:val="000357AB"/>
    <w:rsid w:val="00041182"/>
    <w:rsid w:val="00042155"/>
    <w:rsid w:val="0008170F"/>
    <w:rsid w:val="00085635"/>
    <w:rsid w:val="000B13AC"/>
    <w:rsid w:val="000B4FF2"/>
    <w:rsid w:val="000B540C"/>
    <w:rsid w:val="000C076D"/>
    <w:rsid w:val="000C5365"/>
    <w:rsid w:val="000C7419"/>
    <w:rsid w:val="000E3AB8"/>
    <w:rsid w:val="000E7D90"/>
    <w:rsid w:val="000F00DF"/>
    <w:rsid w:val="000F237C"/>
    <w:rsid w:val="000F48EA"/>
    <w:rsid w:val="00102197"/>
    <w:rsid w:val="001113BF"/>
    <w:rsid w:val="001145D4"/>
    <w:rsid w:val="00122D35"/>
    <w:rsid w:val="00124DEE"/>
    <w:rsid w:val="0013137B"/>
    <w:rsid w:val="00141D76"/>
    <w:rsid w:val="00171BE2"/>
    <w:rsid w:val="0018674C"/>
    <w:rsid w:val="001907A7"/>
    <w:rsid w:val="001A7C49"/>
    <w:rsid w:val="001B5973"/>
    <w:rsid w:val="001C4618"/>
    <w:rsid w:val="001D63F2"/>
    <w:rsid w:val="001E7658"/>
    <w:rsid w:val="001E79A9"/>
    <w:rsid w:val="001F5245"/>
    <w:rsid w:val="00204419"/>
    <w:rsid w:val="00222243"/>
    <w:rsid w:val="002307F3"/>
    <w:rsid w:val="00277AC8"/>
    <w:rsid w:val="00277D76"/>
    <w:rsid w:val="00280255"/>
    <w:rsid w:val="00293A15"/>
    <w:rsid w:val="002A2D30"/>
    <w:rsid w:val="002A7ADA"/>
    <w:rsid w:val="002B46EA"/>
    <w:rsid w:val="002E422A"/>
    <w:rsid w:val="002F7DC9"/>
    <w:rsid w:val="002F7FB5"/>
    <w:rsid w:val="00321309"/>
    <w:rsid w:val="00325000"/>
    <w:rsid w:val="00325E12"/>
    <w:rsid w:val="00331EFA"/>
    <w:rsid w:val="003540A8"/>
    <w:rsid w:val="003604A0"/>
    <w:rsid w:val="00381906"/>
    <w:rsid w:val="00385E18"/>
    <w:rsid w:val="003869A2"/>
    <w:rsid w:val="003A0482"/>
    <w:rsid w:val="003A1421"/>
    <w:rsid w:val="003A2703"/>
    <w:rsid w:val="003D486A"/>
    <w:rsid w:val="003E67F9"/>
    <w:rsid w:val="003F0F01"/>
    <w:rsid w:val="004248FE"/>
    <w:rsid w:val="004370EC"/>
    <w:rsid w:val="0044061A"/>
    <w:rsid w:val="00441B6B"/>
    <w:rsid w:val="004502A9"/>
    <w:rsid w:val="00452349"/>
    <w:rsid w:val="00463C73"/>
    <w:rsid w:val="00467C93"/>
    <w:rsid w:val="00483B38"/>
    <w:rsid w:val="004901FB"/>
    <w:rsid w:val="004A12D9"/>
    <w:rsid w:val="004A5280"/>
    <w:rsid w:val="004C1197"/>
    <w:rsid w:val="004C2792"/>
    <w:rsid w:val="004C2FFF"/>
    <w:rsid w:val="004D18B9"/>
    <w:rsid w:val="004D2877"/>
    <w:rsid w:val="004E2EE9"/>
    <w:rsid w:val="004E5B2C"/>
    <w:rsid w:val="004F31B4"/>
    <w:rsid w:val="004F3AD4"/>
    <w:rsid w:val="004F74A5"/>
    <w:rsid w:val="00520B86"/>
    <w:rsid w:val="005220CE"/>
    <w:rsid w:val="00522FBC"/>
    <w:rsid w:val="00523B26"/>
    <w:rsid w:val="005266B8"/>
    <w:rsid w:val="00534A3A"/>
    <w:rsid w:val="005438CE"/>
    <w:rsid w:val="00546390"/>
    <w:rsid w:val="00570769"/>
    <w:rsid w:val="005835CE"/>
    <w:rsid w:val="005900EA"/>
    <w:rsid w:val="00593D13"/>
    <w:rsid w:val="005A10A1"/>
    <w:rsid w:val="005A77B8"/>
    <w:rsid w:val="005C2CDE"/>
    <w:rsid w:val="005E6CED"/>
    <w:rsid w:val="00601021"/>
    <w:rsid w:val="00610586"/>
    <w:rsid w:val="006342BD"/>
    <w:rsid w:val="00651B86"/>
    <w:rsid w:val="006562FA"/>
    <w:rsid w:val="00662DC9"/>
    <w:rsid w:val="00670A46"/>
    <w:rsid w:val="0067361D"/>
    <w:rsid w:val="00684983"/>
    <w:rsid w:val="0069433F"/>
    <w:rsid w:val="006A1A20"/>
    <w:rsid w:val="006F6E9E"/>
    <w:rsid w:val="007065B4"/>
    <w:rsid w:val="00715C24"/>
    <w:rsid w:val="00723595"/>
    <w:rsid w:val="00731D50"/>
    <w:rsid w:val="0073395D"/>
    <w:rsid w:val="00735274"/>
    <w:rsid w:val="00735876"/>
    <w:rsid w:val="007444C1"/>
    <w:rsid w:val="00752648"/>
    <w:rsid w:val="00772672"/>
    <w:rsid w:val="00783688"/>
    <w:rsid w:val="007A0768"/>
    <w:rsid w:val="007A2B19"/>
    <w:rsid w:val="007A2B6B"/>
    <w:rsid w:val="007C7942"/>
    <w:rsid w:val="007E2ADD"/>
    <w:rsid w:val="008015BB"/>
    <w:rsid w:val="008114CC"/>
    <w:rsid w:val="00813AE6"/>
    <w:rsid w:val="00821ABE"/>
    <w:rsid w:val="00827A65"/>
    <w:rsid w:val="008364B0"/>
    <w:rsid w:val="00852268"/>
    <w:rsid w:val="0088149C"/>
    <w:rsid w:val="008A246F"/>
    <w:rsid w:val="008C5F43"/>
    <w:rsid w:val="008E1F8B"/>
    <w:rsid w:val="008E3C46"/>
    <w:rsid w:val="008F0BF6"/>
    <w:rsid w:val="008F0E26"/>
    <w:rsid w:val="00911591"/>
    <w:rsid w:val="00923E49"/>
    <w:rsid w:val="00937054"/>
    <w:rsid w:val="009539D4"/>
    <w:rsid w:val="00956CB7"/>
    <w:rsid w:val="00977742"/>
    <w:rsid w:val="009915AA"/>
    <w:rsid w:val="00992342"/>
    <w:rsid w:val="00994ECF"/>
    <w:rsid w:val="00996800"/>
    <w:rsid w:val="009A545C"/>
    <w:rsid w:val="009B313B"/>
    <w:rsid w:val="009B706A"/>
    <w:rsid w:val="009B7ED1"/>
    <w:rsid w:val="009C044F"/>
    <w:rsid w:val="009C438F"/>
    <w:rsid w:val="009D759F"/>
    <w:rsid w:val="009F0FDA"/>
    <w:rsid w:val="00A051DF"/>
    <w:rsid w:val="00A12D0B"/>
    <w:rsid w:val="00A13238"/>
    <w:rsid w:val="00A30852"/>
    <w:rsid w:val="00A4502C"/>
    <w:rsid w:val="00A65B21"/>
    <w:rsid w:val="00A83D94"/>
    <w:rsid w:val="00A90717"/>
    <w:rsid w:val="00AA3215"/>
    <w:rsid w:val="00AB015A"/>
    <w:rsid w:val="00AC3BDB"/>
    <w:rsid w:val="00AD123E"/>
    <w:rsid w:val="00AD5681"/>
    <w:rsid w:val="00AF4636"/>
    <w:rsid w:val="00AF6E01"/>
    <w:rsid w:val="00B10B2B"/>
    <w:rsid w:val="00B132BC"/>
    <w:rsid w:val="00B260D4"/>
    <w:rsid w:val="00B477C9"/>
    <w:rsid w:val="00B51911"/>
    <w:rsid w:val="00B60B00"/>
    <w:rsid w:val="00B77CB8"/>
    <w:rsid w:val="00B92CCD"/>
    <w:rsid w:val="00BA38A9"/>
    <w:rsid w:val="00BB00E1"/>
    <w:rsid w:val="00BC5D26"/>
    <w:rsid w:val="00BD06C7"/>
    <w:rsid w:val="00BD147B"/>
    <w:rsid w:val="00BD39F9"/>
    <w:rsid w:val="00C06BAF"/>
    <w:rsid w:val="00C151F9"/>
    <w:rsid w:val="00C159A6"/>
    <w:rsid w:val="00C16DE9"/>
    <w:rsid w:val="00C22648"/>
    <w:rsid w:val="00C31C33"/>
    <w:rsid w:val="00C53635"/>
    <w:rsid w:val="00C572DE"/>
    <w:rsid w:val="00C72A08"/>
    <w:rsid w:val="00C752F0"/>
    <w:rsid w:val="00CA032C"/>
    <w:rsid w:val="00CA1E4B"/>
    <w:rsid w:val="00CA3EAC"/>
    <w:rsid w:val="00CC3D86"/>
    <w:rsid w:val="00CD5AA8"/>
    <w:rsid w:val="00CF588A"/>
    <w:rsid w:val="00CF5ED7"/>
    <w:rsid w:val="00D11F24"/>
    <w:rsid w:val="00D13CF5"/>
    <w:rsid w:val="00D15E1F"/>
    <w:rsid w:val="00D2071E"/>
    <w:rsid w:val="00D226CF"/>
    <w:rsid w:val="00D27689"/>
    <w:rsid w:val="00D40EE7"/>
    <w:rsid w:val="00D43DE7"/>
    <w:rsid w:val="00D46569"/>
    <w:rsid w:val="00D542D4"/>
    <w:rsid w:val="00D5502A"/>
    <w:rsid w:val="00D56514"/>
    <w:rsid w:val="00D7725F"/>
    <w:rsid w:val="00D818A4"/>
    <w:rsid w:val="00D81DD9"/>
    <w:rsid w:val="00DB2CBD"/>
    <w:rsid w:val="00DB33FB"/>
    <w:rsid w:val="00DE3F13"/>
    <w:rsid w:val="00E01935"/>
    <w:rsid w:val="00E07C1A"/>
    <w:rsid w:val="00E205D1"/>
    <w:rsid w:val="00E3048A"/>
    <w:rsid w:val="00E40513"/>
    <w:rsid w:val="00E55F56"/>
    <w:rsid w:val="00E56244"/>
    <w:rsid w:val="00E771C3"/>
    <w:rsid w:val="00E87F35"/>
    <w:rsid w:val="00EA30D3"/>
    <w:rsid w:val="00ED2E60"/>
    <w:rsid w:val="00ED6E04"/>
    <w:rsid w:val="00EE491D"/>
    <w:rsid w:val="00F0479B"/>
    <w:rsid w:val="00F13A6C"/>
    <w:rsid w:val="00F179D2"/>
    <w:rsid w:val="00F27403"/>
    <w:rsid w:val="00F31466"/>
    <w:rsid w:val="00F43821"/>
    <w:rsid w:val="00FA0E28"/>
    <w:rsid w:val="00FE21CC"/>
    <w:rsid w:val="00FE76E2"/>
    <w:rsid w:val="00FF0F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B9164B9-3A20-4358-9960-8F7BA366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438F"/>
    <w:pPr>
      <w:spacing w:before="100" w:beforeAutospacing="1" w:after="100" w:afterAutospacing="1"/>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E01"/>
    <w:rPr>
      <w:color w:val="0563C1" w:themeColor="hyperlink"/>
      <w:u w:val="single"/>
    </w:rPr>
  </w:style>
  <w:style w:type="paragraph" w:styleId="ListParagraph">
    <w:name w:val="List Paragraph"/>
    <w:basedOn w:val="Normal"/>
    <w:uiPriority w:val="34"/>
    <w:qFormat/>
    <w:rsid w:val="00102197"/>
    <w:pPr>
      <w:ind w:left="720"/>
      <w:contextualSpacing/>
    </w:pPr>
  </w:style>
  <w:style w:type="character" w:customStyle="1" w:styleId="hps">
    <w:name w:val="hps"/>
    <w:basedOn w:val="DefaultParagraphFont"/>
    <w:rsid w:val="00D40EE7"/>
  </w:style>
  <w:style w:type="character" w:customStyle="1" w:styleId="atn">
    <w:name w:val="atn"/>
    <w:basedOn w:val="DefaultParagraphFont"/>
    <w:rsid w:val="00D40EE7"/>
  </w:style>
  <w:style w:type="paragraph" w:styleId="Header">
    <w:name w:val="header"/>
    <w:basedOn w:val="Normal"/>
    <w:link w:val="HeaderChar"/>
    <w:uiPriority w:val="99"/>
    <w:unhideWhenUsed/>
    <w:rsid w:val="001907A7"/>
    <w:pPr>
      <w:tabs>
        <w:tab w:val="center" w:pos="4153"/>
        <w:tab w:val="right" w:pos="8306"/>
      </w:tabs>
    </w:pPr>
  </w:style>
  <w:style w:type="character" w:customStyle="1" w:styleId="HeaderChar">
    <w:name w:val="Header Char"/>
    <w:basedOn w:val="DefaultParagraphFont"/>
    <w:link w:val="Header"/>
    <w:uiPriority w:val="99"/>
    <w:rsid w:val="001907A7"/>
  </w:style>
  <w:style w:type="paragraph" w:styleId="Footer">
    <w:name w:val="footer"/>
    <w:basedOn w:val="Normal"/>
    <w:link w:val="FooterChar"/>
    <w:uiPriority w:val="99"/>
    <w:unhideWhenUsed/>
    <w:rsid w:val="001907A7"/>
    <w:pPr>
      <w:tabs>
        <w:tab w:val="center" w:pos="4153"/>
        <w:tab w:val="right" w:pos="8306"/>
      </w:tabs>
    </w:pPr>
  </w:style>
  <w:style w:type="character" w:customStyle="1" w:styleId="FooterChar">
    <w:name w:val="Footer Char"/>
    <w:basedOn w:val="DefaultParagraphFont"/>
    <w:link w:val="Footer"/>
    <w:uiPriority w:val="99"/>
    <w:rsid w:val="001907A7"/>
  </w:style>
  <w:style w:type="table" w:styleId="TableGrid">
    <w:name w:val="Table Grid"/>
    <w:basedOn w:val="TableNormal"/>
    <w:uiPriority w:val="39"/>
    <w:rsid w:val="001C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7CB8"/>
    <w:rPr>
      <w:sz w:val="20"/>
      <w:szCs w:val="20"/>
    </w:rPr>
  </w:style>
  <w:style w:type="character" w:customStyle="1" w:styleId="FootnoteTextChar">
    <w:name w:val="Footnote Text Char"/>
    <w:basedOn w:val="DefaultParagraphFont"/>
    <w:link w:val="FootnoteText"/>
    <w:uiPriority w:val="99"/>
    <w:semiHidden/>
    <w:rsid w:val="00B77CB8"/>
    <w:rPr>
      <w:sz w:val="20"/>
      <w:szCs w:val="20"/>
    </w:rPr>
  </w:style>
  <w:style w:type="character" w:styleId="FootnoteReference">
    <w:name w:val="footnote reference"/>
    <w:basedOn w:val="DefaultParagraphFont"/>
    <w:uiPriority w:val="99"/>
    <w:semiHidden/>
    <w:unhideWhenUsed/>
    <w:rsid w:val="00B77CB8"/>
    <w:rPr>
      <w:vertAlign w:val="superscript"/>
    </w:rPr>
  </w:style>
  <w:style w:type="character" w:customStyle="1" w:styleId="Heading3Char">
    <w:name w:val="Heading 3 Char"/>
    <w:basedOn w:val="DefaultParagraphFont"/>
    <w:link w:val="Heading3"/>
    <w:uiPriority w:val="9"/>
    <w:rsid w:val="009C438F"/>
    <w:rPr>
      <w:rFonts w:eastAsia="Times New Roman" w:cs="Times New Roman"/>
      <w:b/>
      <w:bCs/>
      <w:sz w:val="27"/>
      <w:szCs w:val="27"/>
      <w:lang w:val="en-US"/>
    </w:rPr>
  </w:style>
  <w:style w:type="paragraph" w:styleId="BalloonText">
    <w:name w:val="Balloon Text"/>
    <w:basedOn w:val="Normal"/>
    <w:link w:val="BalloonTextChar"/>
    <w:uiPriority w:val="99"/>
    <w:semiHidden/>
    <w:unhideWhenUsed/>
    <w:rsid w:val="006A1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20"/>
    <w:rPr>
      <w:rFonts w:ascii="Segoe UI" w:hAnsi="Segoe UI" w:cs="Segoe UI"/>
      <w:sz w:val="18"/>
      <w:szCs w:val="18"/>
    </w:rPr>
  </w:style>
  <w:style w:type="character" w:customStyle="1" w:styleId="xdtextbox1">
    <w:name w:val="xdtextbox1"/>
    <w:basedOn w:val="DefaultParagraphFont"/>
    <w:rsid w:val="00FA0E28"/>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5737">
      <w:bodyDiv w:val="1"/>
      <w:marLeft w:val="0"/>
      <w:marRight w:val="0"/>
      <w:marTop w:val="0"/>
      <w:marBottom w:val="0"/>
      <w:divBdr>
        <w:top w:val="none" w:sz="0" w:space="0" w:color="auto"/>
        <w:left w:val="none" w:sz="0" w:space="0" w:color="auto"/>
        <w:bottom w:val="none" w:sz="0" w:space="0" w:color="auto"/>
        <w:right w:val="none" w:sz="0" w:space="0" w:color="auto"/>
      </w:divBdr>
      <w:divsChild>
        <w:div w:id="1500734471">
          <w:marLeft w:val="0"/>
          <w:marRight w:val="0"/>
          <w:marTop w:val="0"/>
          <w:marBottom w:val="0"/>
          <w:divBdr>
            <w:top w:val="none" w:sz="0" w:space="0" w:color="auto"/>
            <w:left w:val="none" w:sz="0" w:space="0" w:color="auto"/>
            <w:bottom w:val="none" w:sz="0" w:space="0" w:color="auto"/>
            <w:right w:val="none" w:sz="0" w:space="0" w:color="auto"/>
          </w:divBdr>
          <w:divsChild>
            <w:div w:id="9591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2123">
      <w:bodyDiv w:val="1"/>
      <w:marLeft w:val="0"/>
      <w:marRight w:val="0"/>
      <w:marTop w:val="0"/>
      <w:marBottom w:val="0"/>
      <w:divBdr>
        <w:top w:val="none" w:sz="0" w:space="0" w:color="auto"/>
        <w:left w:val="none" w:sz="0" w:space="0" w:color="auto"/>
        <w:bottom w:val="none" w:sz="0" w:space="0" w:color="auto"/>
        <w:right w:val="none" w:sz="0" w:space="0" w:color="auto"/>
      </w:divBdr>
    </w:div>
    <w:div w:id="16803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C54A759-710E-4401-B78B-9350B2C4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2649</TotalTime>
  <Pages>8</Pages>
  <Words>12107</Words>
  <Characters>6902</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Informatīvais ziņojums„Par Eiropas Stabilitātes mehānisma darbību 2014.gadā”</vt:lpstr>
    </vt:vector>
  </TitlesOfParts>
  <Company/>
  <LinksUpToDate>false</LinksUpToDate>
  <CharactersWithSpaces>18972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ziņojums„Par Eiropas Stabilitātes mehānisma darbību 2014.gadā”</dc:title>
  <dc:subject>Informatīvais ziņojums</dc:subject>
  <dc:creator>Mārtiņš Trautmanis</dc:creator>
  <cp:keywords/>
  <dc:description>67095409, Martins.Trautmanis@fm.gov.lv</dc:description>
  <cp:lastModifiedBy>Mārtiņš Trautmanis</cp:lastModifiedBy>
  <cp:revision>118</cp:revision>
  <cp:lastPrinted>2015-09-08T06:12:00Z</cp:lastPrinted>
  <dcterms:created xsi:type="dcterms:W3CDTF">2014-08-01T08:05:00Z</dcterms:created>
  <dcterms:modified xsi:type="dcterms:W3CDTF">2015-09-14T11:22:00Z</dcterms:modified>
</cp:coreProperties>
</file>