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DC55D" w14:textId="77777777" w:rsidR="00EC322A" w:rsidRPr="002A5E94" w:rsidRDefault="00EC322A" w:rsidP="00EC322A">
      <w:pPr>
        <w:shd w:val="clear" w:color="auto" w:fill="FFFFFF"/>
        <w:jc w:val="center"/>
        <w:rPr>
          <w:rFonts w:cs="Times New Roman"/>
          <w:b/>
          <w:bCs/>
          <w:sz w:val="24"/>
          <w:szCs w:val="24"/>
          <w:lang w:val="lv-LV" w:eastAsia="lv-LV" w:bidi="ar-SA"/>
        </w:rPr>
      </w:pPr>
      <w:r w:rsidRPr="002A5E94">
        <w:rPr>
          <w:rFonts w:cs="Times New Roman"/>
          <w:b/>
          <w:bCs/>
          <w:sz w:val="24"/>
          <w:szCs w:val="24"/>
          <w:lang w:val="lv-LV" w:eastAsia="lv-LV" w:bidi="ar-SA"/>
        </w:rPr>
        <w:t>Likumprojekta „Grozījumi</w:t>
      </w:r>
      <w:r w:rsidRPr="002A5E94">
        <w:rPr>
          <w:rFonts w:cs="Times New Roman"/>
          <w:sz w:val="24"/>
          <w:szCs w:val="24"/>
          <w:lang w:val="lv-LV"/>
        </w:rPr>
        <w:t xml:space="preserve"> </w:t>
      </w:r>
      <w:r w:rsidRPr="002A5E94">
        <w:rPr>
          <w:rFonts w:cs="Times New Roman"/>
          <w:b/>
          <w:bCs/>
          <w:sz w:val="24"/>
          <w:szCs w:val="24"/>
          <w:lang w:val="lv-LV" w:eastAsia="lv-LV" w:bidi="ar-SA"/>
        </w:rPr>
        <w:t>Valsts un pašvaldību institūciju amatpersonu un darbinieku atlīdzības likumā” sākotnējās ietekmes novērtējuma ziņojums (anotācija)</w:t>
      </w:r>
    </w:p>
    <w:p w14:paraId="3FB97154" w14:textId="77777777" w:rsidR="00EC322A" w:rsidRPr="002A5E94" w:rsidRDefault="00EC322A" w:rsidP="00EC322A">
      <w:pPr>
        <w:rPr>
          <w:rFonts w:cs="Times New Roman"/>
          <w:i/>
          <w:iCs/>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5"/>
        <w:gridCol w:w="5278"/>
      </w:tblGrid>
      <w:tr w:rsidR="00EC322A" w:rsidRPr="002A5E94" w14:paraId="78FC295E" w14:textId="77777777" w:rsidTr="00311D9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D769C" w14:textId="77777777" w:rsidR="00EC322A" w:rsidRPr="002A5E94" w:rsidRDefault="00EC322A" w:rsidP="00EC322A">
            <w:pPr>
              <w:jc w:val="center"/>
              <w:rPr>
                <w:rFonts w:cs="Times New Roman"/>
                <w:b/>
                <w:bCs/>
                <w:sz w:val="24"/>
                <w:szCs w:val="24"/>
                <w:lang w:val="lv-LV"/>
              </w:rPr>
            </w:pPr>
            <w:r w:rsidRPr="002A5E94">
              <w:rPr>
                <w:rFonts w:cs="Times New Roman"/>
                <w:b/>
                <w:bCs/>
                <w:sz w:val="24"/>
                <w:szCs w:val="24"/>
                <w:lang w:val="lv-LV"/>
              </w:rPr>
              <w:t>I. Tiesību akta projekta izstrādes nepieciešamība</w:t>
            </w:r>
          </w:p>
        </w:tc>
      </w:tr>
      <w:tr w:rsidR="00EC322A" w:rsidRPr="00F74FA8" w14:paraId="48F0C0C5" w14:textId="77777777" w:rsidTr="00311D93">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CCBEE29" w14:textId="77777777" w:rsidR="00EC322A" w:rsidRPr="002A5E94" w:rsidRDefault="00EC322A" w:rsidP="00EC322A">
            <w:pPr>
              <w:rPr>
                <w:rFonts w:cs="Times New Roman"/>
                <w:sz w:val="24"/>
                <w:szCs w:val="24"/>
                <w:lang w:val="lv-LV"/>
              </w:rPr>
            </w:pPr>
            <w:r w:rsidRPr="002A5E94">
              <w:rPr>
                <w:rFonts w:cs="Times New Roman"/>
                <w:sz w:val="24"/>
                <w:szCs w:val="24"/>
                <w:lang w:val="lv-LV"/>
              </w:rPr>
              <w:t>1.</w:t>
            </w:r>
          </w:p>
        </w:tc>
        <w:tc>
          <w:tcPr>
            <w:tcW w:w="1550" w:type="pct"/>
            <w:tcBorders>
              <w:top w:val="outset" w:sz="6" w:space="0" w:color="auto"/>
              <w:left w:val="outset" w:sz="6" w:space="0" w:color="auto"/>
              <w:bottom w:val="outset" w:sz="6" w:space="0" w:color="auto"/>
              <w:right w:val="outset" w:sz="6" w:space="0" w:color="auto"/>
            </w:tcBorders>
            <w:hideMark/>
          </w:tcPr>
          <w:p w14:paraId="367C9434" w14:textId="77777777" w:rsidR="00EC322A" w:rsidRPr="002A5E94" w:rsidRDefault="00EC322A" w:rsidP="00EC322A">
            <w:pPr>
              <w:rPr>
                <w:rFonts w:cs="Times New Roman"/>
                <w:sz w:val="24"/>
                <w:szCs w:val="24"/>
                <w:lang w:val="lv-LV"/>
              </w:rPr>
            </w:pPr>
            <w:r w:rsidRPr="002A5E94">
              <w:rPr>
                <w:rFonts w:cs="Times New Roman"/>
                <w:sz w:val="24"/>
                <w:szCs w:val="24"/>
                <w:lang w:val="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644E6BBA" w14:textId="77777777" w:rsidR="00CD3B94" w:rsidRDefault="00CD3B94" w:rsidP="00EC322A">
            <w:pPr>
              <w:jc w:val="both"/>
              <w:rPr>
                <w:rFonts w:cs="Times New Roman"/>
                <w:sz w:val="24"/>
                <w:szCs w:val="24"/>
                <w:lang w:val="lv-LV"/>
              </w:rPr>
            </w:pPr>
            <w:r w:rsidRPr="002A5E94">
              <w:rPr>
                <w:rFonts w:cs="Times New Roman"/>
                <w:sz w:val="24"/>
                <w:szCs w:val="24"/>
                <w:lang w:val="lv-LV"/>
              </w:rPr>
              <w:t>Grozījumi Valsts un pašvaldību institūciju amatpersonu un darbinieku atlīdzības likumā</w:t>
            </w:r>
            <w:r w:rsidR="00225C5D">
              <w:rPr>
                <w:rFonts w:cs="Times New Roman"/>
                <w:sz w:val="24"/>
                <w:szCs w:val="24"/>
                <w:lang w:val="lv-LV"/>
              </w:rPr>
              <w:t xml:space="preserve"> (turpmāk- atlīdzības likums)</w:t>
            </w:r>
            <w:r>
              <w:rPr>
                <w:rFonts w:cs="Times New Roman"/>
                <w:sz w:val="24"/>
                <w:szCs w:val="24"/>
                <w:lang w:val="lv-LV"/>
              </w:rPr>
              <w:t xml:space="preserve"> izstrādāti:</w:t>
            </w:r>
          </w:p>
          <w:p w14:paraId="2F879A6F" w14:textId="59C9450C" w:rsidR="00F65C79" w:rsidRPr="005D76AF" w:rsidRDefault="00CD3B94" w:rsidP="00EC322A">
            <w:pPr>
              <w:jc w:val="both"/>
              <w:rPr>
                <w:rFonts w:cs="Times New Roman"/>
                <w:sz w:val="24"/>
                <w:szCs w:val="24"/>
                <w:lang w:val="lv-LV"/>
              </w:rPr>
            </w:pPr>
            <w:r>
              <w:rPr>
                <w:rFonts w:cs="Times New Roman"/>
                <w:sz w:val="24"/>
                <w:szCs w:val="24"/>
                <w:lang w:val="lv-LV"/>
              </w:rPr>
              <w:t xml:space="preserve">1. </w:t>
            </w:r>
            <w:r w:rsidRPr="005D76AF">
              <w:rPr>
                <w:rFonts w:cs="Times New Roman"/>
                <w:sz w:val="24"/>
                <w:szCs w:val="24"/>
                <w:lang w:val="lv-LV"/>
              </w:rPr>
              <w:t xml:space="preserve">izpildot Ministru kabineta 2015.gada </w:t>
            </w:r>
            <w:r w:rsidR="00B50872" w:rsidRPr="005D76AF">
              <w:rPr>
                <w:rFonts w:cs="Times New Roman"/>
                <w:sz w:val="24"/>
                <w:szCs w:val="24"/>
                <w:lang w:val="lv-LV"/>
              </w:rPr>
              <w:t xml:space="preserve">31.augusta </w:t>
            </w:r>
            <w:r w:rsidRPr="005D76AF">
              <w:rPr>
                <w:rFonts w:cs="Times New Roman"/>
                <w:sz w:val="24"/>
                <w:szCs w:val="24"/>
                <w:lang w:val="lv-LV"/>
              </w:rPr>
              <w:t xml:space="preserve"> sēdē nolemto (protokols Nr</w:t>
            </w:r>
            <w:r w:rsidR="009972BB" w:rsidRPr="005D76AF">
              <w:rPr>
                <w:rFonts w:cs="Times New Roman"/>
                <w:sz w:val="24"/>
                <w:szCs w:val="24"/>
                <w:lang w:val="lv-LV"/>
              </w:rPr>
              <w:t>.</w:t>
            </w:r>
            <w:r w:rsidR="00B50872" w:rsidRPr="005D76AF">
              <w:rPr>
                <w:rFonts w:cs="Times New Roman"/>
                <w:sz w:val="24"/>
                <w:szCs w:val="24"/>
                <w:lang w:val="lv-LV"/>
              </w:rPr>
              <w:t xml:space="preserve"> 43 </w:t>
            </w:r>
            <w:r w:rsidR="009972BB" w:rsidRPr="005D76AF">
              <w:rPr>
                <w:rFonts w:cs="Times New Roman"/>
                <w:sz w:val="24"/>
                <w:szCs w:val="24"/>
                <w:lang w:val="lv-LV"/>
              </w:rPr>
              <w:t>4</w:t>
            </w:r>
            <w:r w:rsidRPr="005D76AF">
              <w:rPr>
                <w:rFonts w:cs="Times New Roman"/>
                <w:sz w:val="24"/>
                <w:szCs w:val="24"/>
                <w:lang w:val="lv-LV"/>
              </w:rPr>
              <w:t>.§</w:t>
            </w:r>
            <w:r w:rsidR="00B50872" w:rsidRPr="005D76AF">
              <w:rPr>
                <w:rFonts w:cs="Times New Roman"/>
                <w:sz w:val="24"/>
                <w:szCs w:val="24"/>
                <w:lang w:val="lv-LV"/>
              </w:rPr>
              <w:t xml:space="preserve">  </w:t>
            </w:r>
            <w:r w:rsidR="009972BB" w:rsidRPr="005D76AF">
              <w:rPr>
                <w:rFonts w:cs="Times New Roman"/>
                <w:sz w:val="24"/>
                <w:szCs w:val="24"/>
                <w:lang w:val="lv-LV"/>
              </w:rPr>
              <w:t>8</w:t>
            </w:r>
            <w:r w:rsidR="00B50872" w:rsidRPr="005D76AF">
              <w:rPr>
                <w:rFonts w:cs="Times New Roman"/>
                <w:sz w:val="24"/>
                <w:szCs w:val="24"/>
                <w:lang w:val="lv-LV"/>
              </w:rPr>
              <w:t>.punkts</w:t>
            </w:r>
            <w:r w:rsidRPr="005D76AF">
              <w:rPr>
                <w:rFonts w:cs="Times New Roman"/>
                <w:sz w:val="24"/>
                <w:szCs w:val="24"/>
                <w:lang w:val="lv-LV"/>
              </w:rPr>
              <w:t xml:space="preserve">), saistībā ar minimālās mēneša darba algas paaugstināšanu ar 2016.gada 1.janvāri no 360 </w:t>
            </w:r>
            <w:r w:rsidR="005D76AF">
              <w:rPr>
                <w:rFonts w:cs="Times New Roman"/>
                <w:sz w:val="24"/>
                <w:szCs w:val="24"/>
                <w:lang w:val="lv-LV"/>
              </w:rPr>
              <w:t xml:space="preserve">euro </w:t>
            </w:r>
            <w:r w:rsidRPr="005D76AF">
              <w:rPr>
                <w:rFonts w:cs="Times New Roman"/>
                <w:sz w:val="24"/>
                <w:szCs w:val="24"/>
                <w:lang w:val="lv-LV"/>
              </w:rPr>
              <w:t xml:space="preserve">uz </w:t>
            </w:r>
            <w:r w:rsidR="00B50872" w:rsidRPr="005D76AF">
              <w:rPr>
                <w:rFonts w:cs="Times New Roman"/>
                <w:sz w:val="24"/>
                <w:szCs w:val="24"/>
                <w:lang w:val="lv-LV"/>
              </w:rPr>
              <w:t>370</w:t>
            </w:r>
            <w:r w:rsidRPr="005D76AF">
              <w:rPr>
                <w:rFonts w:cs="Times New Roman"/>
                <w:sz w:val="24"/>
                <w:szCs w:val="24"/>
                <w:lang w:val="lv-LV"/>
              </w:rPr>
              <w:t xml:space="preserve"> euro.</w:t>
            </w:r>
          </w:p>
          <w:p w14:paraId="003C6254" w14:textId="77777777" w:rsidR="00225C5D" w:rsidRDefault="00CD3B94" w:rsidP="00EC322A">
            <w:pPr>
              <w:jc w:val="both"/>
              <w:rPr>
                <w:rFonts w:cs="Times New Roman"/>
                <w:sz w:val="24"/>
                <w:szCs w:val="24"/>
                <w:lang w:val="lv-LV"/>
              </w:rPr>
            </w:pPr>
            <w:r>
              <w:rPr>
                <w:rFonts w:cs="Times New Roman"/>
                <w:sz w:val="24"/>
                <w:szCs w:val="24"/>
                <w:lang w:val="lv-LV"/>
              </w:rPr>
              <w:t xml:space="preserve">2. </w:t>
            </w:r>
            <w:r w:rsidR="00225C5D">
              <w:rPr>
                <w:rFonts w:cs="Times New Roman"/>
                <w:sz w:val="24"/>
                <w:szCs w:val="24"/>
                <w:lang w:val="lv-LV"/>
              </w:rPr>
              <w:t>izpildot Ministru kabineta 2015.gada 6.janvāra  sēdē nolemto (protokols Nr.1 2.§ 2.punkts)</w:t>
            </w:r>
          </w:p>
          <w:p w14:paraId="2794E75D" w14:textId="77777777" w:rsidR="00CD3B94" w:rsidRDefault="00225C5D" w:rsidP="00EC322A">
            <w:pPr>
              <w:jc w:val="both"/>
              <w:rPr>
                <w:rFonts w:cs="Times New Roman"/>
                <w:sz w:val="24"/>
                <w:szCs w:val="24"/>
                <w:lang w:val="lv-LV"/>
              </w:rPr>
            </w:pPr>
            <w:r>
              <w:rPr>
                <w:rFonts w:cs="Times New Roman"/>
                <w:sz w:val="24"/>
                <w:szCs w:val="24"/>
                <w:lang w:val="lv-LV"/>
              </w:rPr>
              <w:t xml:space="preserve">3. </w:t>
            </w:r>
            <w:r w:rsidR="00CD3B94">
              <w:rPr>
                <w:rFonts w:cs="Times New Roman"/>
                <w:sz w:val="24"/>
                <w:szCs w:val="24"/>
                <w:lang w:val="lv-LV"/>
              </w:rPr>
              <w:t>izpildot Ministru kabineta 2015.gada10.februāra sēdē nolemto (protokols Nr.7 7.§ 2.punkts);</w:t>
            </w:r>
          </w:p>
          <w:p w14:paraId="167CB321" w14:textId="77777777" w:rsidR="00EC322A" w:rsidRPr="002A5E94" w:rsidRDefault="00225C5D" w:rsidP="00225C5D">
            <w:pPr>
              <w:jc w:val="both"/>
              <w:rPr>
                <w:rFonts w:cs="Times New Roman"/>
                <w:sz w:val="24"/>
                <w:szCs w:val="24"/>
                <w:lang w:val="lv-LV"/>
              </w:rPr>
            </w:pPr>
            <w:r>
              <w:rPr>
                <w:rFonts w:cs="Times New Roman"/>
                <w:sz w:val="24"/>
                <w:szCs w:val="24"/>
                <w:lang w:val="lv-LV"/>
              </w:rPr>
              <w:t>4</w:t>
            </w:r>
            <w:r w:rsidR="00CD3B94">
              <w:rPr>
                <w:rFonts w:cs="Times New Roman"/>
                <w:sz w:val="24"/>
                <w:szCs w:val="24"/>
                <w:lang w:val="lv-LV"/>
              </w:rPr>
              <w:t xml:space="preserve">. </w:t>
            </w:r>
            <w:r w:rsidR="00EC322A" w:rsidRPr="002A5E94">
              <w:rPr>
                <w:rFonts w:cs="Times New Roman"/>
                <w:sz w:val="24"/>
                <w:szCs w:val="24"/>
                <w:lang w:val="lv-LV"/>
              </w:rPr>
              <w:t xml:space="preserve">lai sakārtotu jautājumu par neizmantotā atvaļinājuma kompensēšanu karavīriem, kas atvaļinās no profesionālā dienesta.  </w:t>
            </w:r>
          </w:p>
        </w:tc>
      </w:tr>
      <w:tr w:rsidR="00EC322A" w:rsidRPr="00C14373" w14:paraId="7532C0EB" w14:textId="77777777" w:rsidTr="00311D9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7201FDB" w14:textId="77777777" w:rsidR="00EC322A" w:rsidRPr="002A5E94" w:rsidRDefault="00EC322A" w:rsidP="00EC322A">
            <w:pPr>
              <w:rPr>
                <w:rFonts w:cs="Times New Roman"/>
                <w:sz w:val="24"/>
                <w:szCs w:val="24"/>
                <w:lang w:val="lv-LV"/>
              </w:rPr>
            </w:pPr>
            <w:r w:rsidRPr="002A5E94">
              <w:rPr>
                <w:rFonts w:cs="Times New Roman"/>
                <w:sz w:val="24"/>
                <w:szCs w:val="24"/>
                <w:lang w:val="lv-LV"/>
              </w:rPr>
              <w:t>2.</w:t>
            </w:r>
          </w:p>
        </w:tc>
        <w:tc>
          <w:tcPr>
            <w:tcW w:w="1550" w:type="pct"/>
            <w:tcBorders>
              <w:top w:val="outset" w:sz="6" w:space="0" w:color="auto"/>
              <w:left w:val="outset" w:sz="6" w:space="0" w:color="auto"/>
              <w:bottom w:val="outset" w:sz="6" w:space="0" w:color="auto"/>
              <w:right w:val="outset" w:sz="6" w:space="0" w:color="auto"/>
            </w:tcBorders>
            <w:hideMark/>
          </w:tcPr>
          <w:p w14:paraId="0672E9AE" w14:textId="77777777" w:rsidR="00EC322A" w:rsidRPr="002A5E94" w:rsidRDefault="00EC322A" w:rsidP="00EC322A">
            <w:pPr>
              <w:rPr>
                <w:rFonts w:cs="Times New Roman"/>
                <w:sz w:val="24"/>
                <w:szCs w:val="24"/>
                <w:lang w:val="lv-LV"/>
              </w:rPr>
            </w:pPr>
            <w:r w:rsidRPr="002A5E94">
              <w:rPr>
                <w:rFonts w:cs="Times New Roman"/>
                <w:sz w:val="24"/>
                <w:szCs w:val="24"/>
                <w:lang w:val="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017B78E1" w14:textId="19E68E29" w:rsidR="007E1155" w:rsidRPr="00B95881" w:rsidRDefault="00F65C79" w:rsidP="00F65C79">
            <w:pPr>
              <w:jc w:val="both"/>
              <w:rPr>
                <w:rFonts w:cs="Times New Roman"/>
                <w:sz w:val="24"/>
                <w:szCs w:val="24"/>
                <w:lang w:val="lv-LV" w:eastAsia="lv-LV" w:bidi="ar-SA"/>
              </w:rPr>
            </w:pPr>
            <w:r w:rsidRPr="00F65C79">
              <w:rPr>
                <w:rFonts w:cs="Times New Roman"/>
                <w:sz w:val="24"/>
                <w:szCs w:val="24"/>
                <w:lang w:val="lv-LV" w:eastAsia="lv-LV" w:bidi="ar-SA"/>
              </w:rPr>
              <w:t>1</w:t>
            </w:r>
            <w:r w:rsidRPr="00055399">
              <w:rPr>
                <w:rFonts w:cs="Times New Roman"/>
                <w:sz w:val="24"/>
                <w:szCs w:val="24"/>
                <w:lang w:val="lv-LV" w:eastAsia="lv-LV" w:bidi="ar-SA"/>
              </w:rPr>
              <w:t>.</w:t>
            </w:r>
            <w:r w:rsidR="007E1155" w:rsidRPr="00055399">
              <w:rPr>
                <w:rFonts w:cs="Times New Roman"/>
                <w:sz w:val="24"/>
                <w:szCs w:val="24"/>
                <w:lang w:val="lv-LV" w:eastAsia="lv-LV" w:bidi="ar-SA"/>
              </w:rPr>
              <w:t xml:space="preserve">       Ņemot vērā, ka Ministru kabinetā tika pieņemts lēmums paaugstināt minimālo mēneša darba algu ar 2016.gada 1.janvāri, nepieciešams veikt </w:t>
            </w:r>
            <w:r w:rsidR="00F27609" w:rsidRPr="00055399">
              <w:rPr>
                <w:rFonts w:cs="Times New Roman"/>
                <w:sz w:val="24"/>
                <w:szCs w:val="24"/>
                <w:lang w:val="lv-LV" w:eastAsia="lv-LV" w:bidi="ar-SA"/>
              </w:rPr>
              <w:t xml:space="preserve">atbilstīgus </w:t>
            </w:r>
            <w:r w:rsidR="007E1155" w:rsidRPr="00055399">
              <w:rPr>
                <w:rFonts w:cs="Times New Roman"/>
                <w:sz w:val="24"/>
                <w:szCs w:val="24"/>
                <w:lang w:val="lv-LV" w:eastAsia="lv-LV" w:bidi="ar-SA"/>
              </w:rPr>
              <w:t xml:space="preserve">grozījumus atlīdzības likuma 3.pielikumā. </w:t>
            </w:r>
            <w:r w:rsidR="00F27609" w:rsidRPr="00055399">
              <w:rPr>
                <w:rFonts w:cs="Times New Roman"/>
                <w:sz w:val="24"/>
                <w:szCs w:val="24"/>
                <w:lang w:val="lv-LV" w:eastAsia="lv-LV" w:bidi="ar-SA"/>
              </w:rPr>
              <w:t>Savukārt, ar Ministru kabineta 30.12.2014 rīkojumu Nr.827</w:t>
            </w:r>
            <w:r w:rsidR="00F27609" w:rsidRPr="00055399">
              <w:rPr>
                <w:rFonts w:cs="Times New Roman"/>
                <w:sz w:val="24"/>
                <w:szCs w:val="24"/>
                <w:lang w:val="lv-LV"/>
              </w:rPr>
              <w:t xml:space="preserve"> apstiprinātajās pamatnostādnēs “Valsts pārvaldes politikas attīstības pamatnostādnēm 2014.-2020.gadam” dots uzdevums </w:t>
            </w:r>
            <w:r w:rsidR="00F27609" w:rsidRPr="00055399">
              <w:rPr>
                <w:rFonts w:cs="Times New Roman"/>
                <w:sz w:val="24"/>
                <w:szCs w:val="24"/>
                <w:lang w:val="lv-LV" w:eastAsia="lv-LV" w:bidi="ar-SA"/>
              </w:rPr>
              <w:t>t</w:t>
            </w:r>
            <w:r w:rsidR="00F27609" w:rsidRPr="00055399">
              <w:rPr>
                <w:rFonts w:cs="Times New Roman"/>
                <w:sz w:val="24"/>
                <w:szCs w:val="24"/>
                <w:lang w:val="lv-LV"/>
              </w:rPr>
              <w:t>urpināt darbu pie valsts pārvaldes atlīdzības sistēmas pilnveides, padarot to konkurētspējīgu un motivējošu.</w:t>
            </w:r>
            <w:r w:rsidR="00E23F72" w:rsidRPr="00055399">
              <w:rPr>
                <w:rFonts w:cs="Times New Roman"/>
                <w:sz w:val="24"/>
                <w:szCs w:val="24"/>
                <w:lang w:val="lv-LV"/>
              </w:rPr>
              <w:t xml:space="preserve"> Tādējādi, lai valsts un pašvaldību iestādes varētu nodrošināt uz kompetenču pieejas balstītas cilvēkresursu vadības sistēmu, un būtu iespējams</w:t>
            </w:r>
            <w:r w:rsidR="00E23F72" w:rsidRPr="00D9598F">
              <w:rPr>
                <w:lang w:val="lv-LV"/>
              </w:rPr>
              <w:t xml:space="preserve"> </w:t>
            </w:r>
            <w:r w:rsidR="00E23F72" w:rsidRPr="00055399">
              <w:rPr>
                <w:sz w:val="24"/>
                <w:szCs w:val="24"/>
                <w:lang w:val="lv-LV"/>
              </w:rPr>
              <w:t xml:space="preserve">darbiniekiem atbilstoši pienākumu apjomam, sarežģītībai, kompetenču apjomam maksāt augstākas mēnešalgas, tos motivējot, </w:t>
            </w:r>
            <w:r w:rsidR="00E23F72" w:rsidRPr="00055399">
              <w:rPr>
                <w:rFonts w:cs="Times New Roman"/>
                <w:sz w:val="24"/>
                <w:szCs w:val="24"/>
                <w:lang w:val="lv-LV" w:eastAsia="lv-LV" w:bidi="ar-SA"/>
              </w:rPr>
              <w:t>l</w:t>
            </w:r>
            <w:r w:rsidR="007E1155" w:rsidRPr="00055399">
              <w:rPr>
                <w:rFonts w:cs="Times New Roman"/>
                <w:sz w:val="24"/>
                <w:szCs w:val="24"/>
                <w:lang w:val="lv-LV" w:eastAsia="lv-LV" w:bidi="ar-SA"/>
              </w:rPr>
              <w:t xml:space="preserve">ikumprojekts paredz </w:t>
            </w:r>
            <w:r w:rsidR="00E23F72" w:rsidRPr="00055399">
              <w:rPr>
                <w:sz w:val="24"/>
                <w:szCs w:val="24"/>
                <w:lang w:val="lv-LV"/>
              </w:rPr>
              <w:t xml:space="preserve">no 1. līdz 10.menešalgu </w:t>
            </w:r>
            <w:r w:rsidR="00E23F72" w:rsidRPr="00B95881">
              <w:rPr>
                <w:sz w:val="24"/>
                <w:szCs w:val="24"/>
                <w:lang w:val="lv-LV"/>
              </w:rPr>
              <w:t>grupai mēnešalgas maksimālā apmēra (</w:t>
            </w:r>
            <w:proofErr w:type="spellStart"/>
            <w:r w:rsidR="00E23F72" w:rsidRPr="00B95881">
              <w:rPr>
                <w:i/>
                <w:iCs/>
                <w:sz w:val="24"/>
                <w:szCs w:val="24"/>
                <w:lang w:val="lv-LV"/>
              </w:rPr>
              <w:t>euro</w:t>
            </w:r>
            <w:proofErr w:type="spellEnd"/>
            <w:r w:rsidR="00E23F72" w:rsidRPr="00B95881">
              <w:rPr>
                <w:sz w:val="24"/>
                <w:szCs w:val="24"/>
                <w:lang w:val="lv-LV"/>
              </w:rPr>
              <w:t xml:space="preserve">) paaugstināšanu. No 1. līdz 10.mēnešalgu grupas tiek </w:t>
            </w:r>
            <w:r w:rsidR="00E23F72" w:rsidRPr="00B95881">
              <w:rPr>
                <w:rFonts w:cs="Times New Roman"/>
                <w:sz w:val="24"/>
                <w:szCs w:val="24"/>
                <w:lang w:val="lv-LV" w:eastAsia="lv-LV" w:bidi="ar-SA"/>
              </w:rPr>
              <w:t>sabalansētas līdz ar minimālā</w:t>
            </w:r>
            <w:r w:rsidR="007E1155" w:rsidRPr="00B95881">
              <w:rPr>
                <w:rFonts w:cs="Times New Roman"/>
                <w:sz w:val="24"/>
                <w:szCs w:val="24"/>
                <w:lang w:val="lv-LV" w:eastAsia="lv-LV" w:bidi="ar-SA"/>
              </w:rPr>
              <w:t>s darba algas pieaugumu</w:t>
            </w:r>
            <w:r w:rsidR="00E23F72" w:rsidRPr="00B95881">
              <w:rPr>
                <w:rFonts w:cs="Times New Roman"/>
                <w:sz w:val="24"/>
                <w:szCs w:val="24"/>
                <w:lang w:val="lv-LV" w:eastAsia="lv-LV" w:bidi="ar-SA"/>
              </w:rPr>
              <w:t xml:space="preserve">, </w:t>
            </w:r>
            <w:r w:rsidR="005627C2" w:rsidRPr="00B95881">
              <w:rPr>
                <w:rFonts w:cs="Times New Roman"/>
                <w:sz w:val="24"/>
                <w:szCs w:val="24"/>
                <w:lang w:val="lv-LV" w:eastAsia="lv-LV" w:bidi="ar-SA"/>
              </w:rPr>
              <w:t>veicinot darbinieku konkurētspēju</w:t>
            </w:r>
            <w:r w:rsidR="00864613" w:rsidRPr="00B95881">
              <w:rPr>
                <w:sz w:val="24"/>
                <w:szCs w:val="24"/>
                <w:lang w:val="lv-LV"/>
              </w:rPr>
              <w:t xml:space="preserve"> </w:t>
            </w:r>
            <w:r w:rsidR="00864613" w:rsidRPr="00B95881">
              <w:rPr>
                <w:rFonts w:cs="Times New Roman"/>
                <w:sz w:val="24"/>
                <w:szCs w:val="24"/>
                <w:lang w:val="lv-LV" w:eastAsia="lv-LV" w:bidi="ar-SA"/>
              </w:rPr>
              <w:t>un motivāciju</w:t>
            </w:r>
            <w:r w:rsidR="007E1155" w:rsidRPr="00B95881">
              <w:rPr>
                <w:rFonts w:cs="Times New Roman"/>
                <w:sz w:val="24"/>
                <w:szCs w:val="24"/>
                <w:lang w:val="lv-LV" w:eastAsia="lv-LV" w:bidi="ar-SA"/>
              </w:rPr>
              <w:t>.</w:t>
            </w:r>
            <w:r w:rsidR="00B95881" w:rsidRPr="00B95881">
              <w:rPr>
                <w:sz w:val="24"/>
                <w:szCs w:val="24"/>
                <w:lang w:val="lv-LV"/>
              </w:rPr>
              <w:t xml:space="preserve"> Šī norma ir saskaņota ar Latvijas Pašvaldību savienību un iekļauta Ministru kabineta un Latvijas Pašvaldību savienības vienošanās un domstarpību protokola projektā, kas atbalstīts Ministru kabineta komitejas </w:t>
            </w:r>
            <w:r w:rsidR="00B95881" w:rsidRPr="00B95881">
              <w:rPr>
                <w:sz w:val="24"/>
                <w:szCs w:val="24"/>
                <w:lang w:val="lv-LV"/>
              </w:rPr>
              <w:t>201</w:t>
            </w:r>
            <w:r w:rsidR="00B95881" w:rsidRPr="00B95881">
              <w:rPr>
                <w:sz w:val="24"/>
                <w:szCs w:val="24"/>
                <w:lang w:val="lv-LV"/>
              </w:rPr>
              <w:t>5</w:t>
            </w:r>
            <w:r w:rsidR="00B95881" w:rsidRPr="00B95881">
              <w:rPr>
                <w:sz w:val="24"/>
                <w:szCs w:val="24"/>
                <w:lang w:val="lv-LV"/>
              </w:rPr>
              <w:t xml:space="preserve">.gada </w:t>
            </w:r>
            <w:r w:rsidR="00B95881" w:rsidRPr="00B95881">
              <w:rPr>
                <w:sz w:val="24"/>
                <w:szCs w:val="24"/>
                <w:lang w:val="lv-LV"/>
              </w:rPr>
              <w:t>21.septembra sēdē.</w:t>
            </w:r>
            <w:r w:rsidR="00B95881" w:rsidRPr="00B95881">
              <w:rPr>
                <w:sz w:val="24"/>
                <w:szCs w:val="24"/>
                <w:lang w:val="lv-LV"/>
              </w:rPr>
              <w:t xml:space="preserve"> </w:t>
            </w:r>
            <w:r w:rsidR="00B95881" w:rsidRPr="00B95881">
              <w:rPr>
                <w:rFonts w:cs="Times New Roman"/>
                <w:sz w:val="24"/>
                <w:szCs w:val="24"/>
                <w:lang w:val="lv-LV" w:eastAsia="lv-LV" w:bidi="ar-SA"/>
              </w:rPr>
              <w:t xml:space="preserve">Tādējādi arī pašvaldībām tiks nodrošināta iespēja darbiniekiem atbilstoši pienākumu apjomam, sarežģītībai, kompetenču </w:t>
            </w:r>
            <w:r w:rsidR="00B95881" w:rsidRPr="00B95881">
              <w:rPr>
                <w:rFonts w:cs="Times New Roman"/>
                <w:sz w:val="24"/>
                <w:szCs w:val="24"/>
                <w:lang w:val="lv-LV" w:eastAsia="lv-LV" w:bidi="ar-SA"/>
              </w:rPr>
              <w:lastRenderedPageBreak/>
              <w:t>apjomam maksāt augstākas mēnešalgas, ievērojot darba samaksas fonda ietvarus.</w:t>
            </w:r>
          </w:p>
          <w:p w14:paraId="17D1D622" w14:textId="77777777" w:rsidR="00E23F72" w:rsidRPr="00B95881" w:rsidRDefault="00E23F72" w:rsidP="00F65C79">
            <w:pPr>
              <w:jc w:val="both"/>
              <w:rPr>
                <w:rFonts w:cs="Times New Roman"/>
                <w:sz w:val="24"/>
                <w:szCs w:val="24"/>
                <w:lang w:val="lv-LV" w:eastAsia="lv-LV" w:bidi="ar-SA"/>
              </w:rPr>
            </w:pPr>
          </w:p>
          <w:p w14:paraId="103F0557" w14:textId="74D7B298" w:rsidR="00F65C79" w:rsidRDefault="007E1155" w:rsidP="00F65C79">
            <w:pPr>
              <w:jc w:val="both"/>
              <w:rPr>
                <w:rFonts w:cs="Times New Roman"/>
                <w:sz w:val="24"/>
                <w:szCs w:val="24"/>
                <w:lang w:val="lv-LV" w:eastAsia="lv-LV" w:bidi="ar-SA"/>
              </w:rPr>
            </w:pPr>
            <w:r>
              <w:rPr>
                <w:rFonts w:cs="Times New Roman"/>
                <w:sz w:val="24"/>
                <w:szCs w:val="24"/>
                <w:lang w:val="lv-LV" w:eastAsia="lv-LV" w:bidi="ar-SA"/>
              </w:rPr>
              <w:t xml:space="preserve">2. </w:t>
            </w:r>
            <w:r w:rsidR="00CD3B94">
              <w:rPr>
                <w:rFonts w:cs="Times New Roman"/>
                <w:sz w:val="24"/>
                <w:szCs w:val="24"/>
                <w:lang w:val="lv-LV" w:eastAsia="lv-LV" w:bidi="ar-SA"/>
              </w:rPr>
              <w:t>Šobrīd Ministru kabineta</w:t>
            </w:r>
            <w:r w:rsidR="008C0F8F">
              <w:rPr>
                <w:rFonts w:cs="Times New Roman"/>
                <w:sz w:val="24"/>
                <w:szCs w:val="24"/>
                <w:lang w:val="lv-LV" w:eastAsia="lv-LV" w:bidi="ar-SA"/>
              </w:rPr>
              <w:t xml:space="preserve"> </w:t>
            </w:r>
            <w:r w:rsidR="008C0F8F" w:rsidRPr="008C0F8F">
              <w:rPr>
                <w:rFonts w:cs="Times New Roman"/>
                <w:sz w:val="24"/>
                <w:szCs w:val="24"/>
                <w:lang w:val="lv-LV" w:eastAsia="lv-LV" w:bidi="ar-SA"/>
              </w:rPr>
              <w:t>2010.gada 24.augusta</w:t>
            </w:r>
            <w:r w:rsidR="00CD3B94">
              <w:rPr>
                <w:rFonts w:cs="Times New Roman"/>
                <w:sz w:val="24"/>
                <w:szCs w:val="24"/>
                <w:lang w:val="lv-LV" w:eastAsia="lv-LV" w:bidi="ar-SA"/>
              </w:rPr>
              <w:t xml:space="preserve"> ieteikumi Nr.1</w:t>
            </w:r>
            <w:r w:rsidR="008C0F8F">
              <w:rPr>
                <w:rFonts w:cs="Times New Roman"/>
                <w:sz w:val="24"/>
                <w:szCs w:val="24"/>
                <w:lang w:val="lv-LV" w:eastAsia="lv-LV" w:bidi="ar-SA"/>
              </w:rPr>
              <w:t xml:space="preserve"> </w:t>
            </w:r>
            <w:r w:rsidR="008C0F8F" w:rsidRPr="008C0F8F">
              <w:rPr>
                <w:rFonts w:cs="Times New Roman"/>
                <w:sz w:val="24"/>
                <w:szCs w:val="24"/>
                <w:lang w:val="lv-LV" w:eastAsia="lv-LV" w:bidi="ar-SA"/>
              </w:rPr>
              <w:t>„Ieteikumi par amatpersonu un darbinieku atlīdzības noteikšanas kritēriju un darba samaksas apmēra sadalījumā pa amatu grupām publiskošanu”</w:t>
            </w:r>
            <w:r w:rsidR="00CD3B94">
              <w:rPr>
                <w:rFonts w:cs="Times New Roman"/>
                <w:sz w:val="24"/>
                <w:szCs w:val="24"/>
                <w:lang w:val="lv-LV" w:eastAsia="lv-LV" w:bidi="ar-SA"/>
              </w:rPr>
              <w:t xml:space="preserve"> ir izdoti uz </w:t>
            </w:r>
            <w:r w:rsidR="00CD3B94" w:rsidRPr="002A5E94">
              <w:rPr>
                <w:rFonts w:cs="Times New Roman"/>
                <w:sz w:val="24"/>
                <w:szCs w:val="24"/>
                <w:lang w:val="lv-LV"/>
              </w:rPr>
              <w:t>Valsts un pašvaldību institūciju amatpersonu</w:t>
            </w:r>
            <w:r w:rsidR="00CD3B94">
              <w:rPr>
                <w:rFonts w:cs="Times New Roman"/>
                <w:sz w:val="24"/>
                <w:szCs w:val="24"/>
                <w:lang w:val="lv-LV"/>
              </w:rPr>
              <w:t xml:space="preserve"> un darbinieku atlīdzības likuma pārejas noteikumu </w:t>
            </w:r>
            <w:r w:rsidR="008C0F8F" w:rsidRPr="008C0F8F">
              <w:rPr>
                <w:sz w:val="24"/>
                <w:szCs w:val="24"/>
                <w:lang w:val="lv-LV"/>
              </w:rPr>
              <w:t>2.</w:t>
            </w:r>
            <w:r w:rsidR="008C0F8F" w:rsidRPr="008C0F8F">
              <w:rPr>
                <w:sz w:val="24"/>
                <w:szCs w:val="24"/>
                <w:vertAlign w:val="superscript"/>
                <w:lang w:val="lv-LV"/>
              </w:rPr>
              <w:t>1</w:t>
            </w:r>
            <w:r w:rsidR="008C0F8F">
              <w:rPr>
                <w:sz w:val="24"/>
                <w:szCs w:val="24"/>
                <w:lang w:val="lv-LV"/>
              </w:rPr>
              <w:t xml:space="preserve"> punkta pamata. Lai nodrošinātu korektu juridiskās tehnikas ievērošanu </w:t>
            </w:r>
            <w:r w:rsidR="00BF20B4">
              <w:rPr>
                <w:sz w:val="24"/>
                <w:szCs w:val="24"/>
                <w:lang w:val="lv-LV"/>
              </w:rPr>
              <w:t>likumprojekts paredz</w:t>
            </w:r>
            <w:r w:rsidR="00CD3B94">
              <w:rPr>
                <w:rFonts w:cs="Times New Roman"/>
                <w:sz w:val="24"/>
                <w:szCs w:val="24"/>
                <w:lang w:val="lv-LV" w:eastAsia="lv-LV" w:bidi="ar-SA"/>
              </w:rPr>
              <w:t xml:space="preserve"> </w:t>
            </w:r>
            <w:r w:rsidR="00F65C79" w:rsidRPr="00F65C79">
              <w:rPr>
                <w:rFonts w:cs="Times New Roman"/>
                <w:sz w:val="24"/>
                <w:szCs w:val="24"/>
                <w:lang w:val="lv-LV" w:eastAsia="lv-LV" w:bidi="ar-SA"/>
              </w:rPr>
              <w:t>iekļaut deleģējumu</w:t>
            </w:r>
            <w:r w:rsidR="00225C5D">
              <w:rPr>
                <w:rFonts w:cs="Times New Roman"/>
                <w:sz w:val="24"/>
                <w:szCs w:val="24"/>
                <w:lang w:val="lv-LV" w:eastAsia="lv-LV" w:bidi="ar-SA"/>
              </w:rPr>
              <w:t>,</w:t>
            </w:r>
            <w:r w:rsidR="00F65C79" w:rsidRPr="00F65C79">
              <w:rPr>
                <w:rFonts w:cs="Times New Roman"/>
                <w:sz w:val="24"/>
                <w:szCs w:val="24"/>
                <w:lang w:val="lv-LV" w:eastAsia="lv-LV" w:bidi="ar-SA"/>
              </w:rPr>
              <w:t xml:space="preserve"> Ministru kabinetam noteikt kārtību, </w:t>
            </w:r>
            <w:r w:rsidR="00FA3A80" w:rsidRPr="00FA3A80">
              <w:rPr>
                <w:rFonts w:cs="Times New Roman"/>
                <w:sz w:val="24"/>
                <w:szCs w:val="24"/>
                <w:lang w:val="lv-LV" w:eastAsia="lv-LV" w:bidi="ar-SA"/>
              </w:rPr>
              <w:t>kādā piemēro šā likuma 2.panta ceturtajā, 4.</w:t>
            </w:r>
            <w:r w:rsidR="00FA3A80" w:rsidRPr="00FA3A80">
              <w:rPr>
                <w:rFonts w:cs="Times New Roman"/>
                <w:sz w:val="24"/>
                <w:szCs w:val="24"/>
                <w:vertAlign w:val="superscript"/>
                <w:lang w:val="lv-LV" w:eastAsia="lv-LV" w:bidi="ar-SA"/>
              </w:rPr>
              <w:t>1</w:t>
            </w:r>
            <w:r w:rsidR="00FA3A80" w:rsidRPr="00FA3A80">
              <w:rPr>
                <w:rFonts w:cs="Times New Roman"/>
                <w:sz w:val="24"/>
                <w:szCs w:val="24"/>
                <w:lang w:val="lv-LV" w:eastAsia="lv-LV" w:bidi="ar-SA"/>
              </w:rPr>
              <w:t xml:space="preserve"> un 4.</w:t>
            </w:r>
            <w:r w:rsidR="00FA3A80" w:rsidRPr="00FA3A80">
              <w:rPr>
                <w:rFonts w:cs="Times New Roman"/>
                <w:sz w:val="24"/>
                <w:szCs w:val="24"/>
                <w:vertAlign w:val="superscript"/>
                <w:lang w:val="lv-LV" w:eastAsia="lv-LV" w:bidi="ar-SA"/>
              </w:rPr>
              <w:t>2</w:t>
            </w:r>
            <w:r w:rsidR="00FA3A80" w:rsidRPr="00FA3A80">
              <w:rPr>
                <w:rFonts w:cs="Times New Roman"/>
                <w:sz w:val="24"/>
                <w:szCs w:val="24"/>
                <w:lang w:val="lv-LV" w:eastAsia="lv-LV" w:bidi="ar-SA"/>
              </w:rPr>
              <w:t xml:space="preserve"> daļā, kā arī 3.panta devītajā daļā noteikto</w:t>
            </w:r>
            <w:r w:rsidR="00FA3A80">
              <w:rPr>
                <w:rFonts w:cs="Times New Roman"/>
                <w:sz w:val="24"/>
                <w:szCs w:val="24"/>
                <w:lang w:val="lv-LV" w:eastAsia="lv-LV" w:bidi="ar-SA"/>
              </w:rPr>
              <w:t xml:space="preserve"> par datu publicēšanu.</w:t>
            </w:r>
          </w:p>
          <w:p w14:paraId="196ACAAF" w14:textId="77777777" w:rsidR="005D76AF" w:rsidRPr="00F65C79" w:rsidRDefault="005D76AF" w:rsidP="00F65C79">
            <w:pPr>
              <w:jc w:val="both"/>
              <w:rPr>
                <w:rFonts w:cs="Times New Roman"/>
                <w:sz w:val="24"/>
                <w:szCs w:val="24"/>
                <w:lang w:val="lv-LV" w:eastAsia="lv-LV" w:bidi="ar-SA"/>
              </w:rPr>
            </w:pPr>
          </w:p>
          <w:p w14:paraId="5CBCA648" w14:textId="77777777" w:rsidR="00F65C79" w:rsidRPr="00F65C79" w:rsidRDefault="00C94B4A" w:rsidP="00F65C79">
            <w:pPr>
              <w:jc w:val="both"/>
              <w:rPr>
                <w:rFonts w:cs="Times New Roman"/>
                <w:sz w:val="24"/>
                <w:szCs w:val="24"/>
                <w:lang w:val="lv-LV" w:eastAsia="lv-LV" w:bidi="ar-SA"/>
              </w:rPr>
            </w:pPr>
            <w:r>
              <w:rPr>
                <w:rFonts w:cs="Times New Roman"/>
                <w:sz w:val="24"/>
                <w:szCs w:val="24"/>
                <w:lang w:val="lv-LV" w:eastAsia="lv-LV" w:bidi="ar-SA"/>
              </w:rPr>
              <w:t>3</w:t>
            </w:r>
            <w:r w:rsidR="00F65C79" w:rsidRPr="00F65C79">
              <w:rPr>
                <w:rFonts w:cs="Times New Roman"/>
                <w:sz w:val="24"/>
                <w:szCs w:val="24"/>
                <w:lang w:val="lv-LV" w:eastAsia="lv-LV" w:bidi="ar-SA"/>
              </w:rPr>
              <w:t>. Ņemot vērā, ka ir pieņemts un stājies spēkā likums “Publiskas personas kapitāla daļu un kapitālsabiedrību pārvaldības likums”, kas nosaka regulējumu kapitāla daļu turētāja pārstāvja un atbildīgā darbinieka atlīdzības noteikšanai,</w:t>
            </w:r>
            <w:r w:rsidR="00BF20B4">
              <w:rPr>
                <w:rFonts w:cs="Times New Roman"/>
                <w:sz w:val="24"/>
                <w:szCs w:val="24"/>
                <w:lang w:val="lv-LV" w:eastAsia="lv-LV" w:bidi="ar-SA"/>
              </w:rPr>
              <w:t xml:space="preserve">  paredzot, ka kapitāla daļu turētāja pārstāvis atlīdzību par šo pienākumu pildīšanu saņem amatam noteiktās mēnešalgas ietvaros, savukārt atbildīgais darbinieks saņem piemaksu saskaņā ar atlīdzības likuma 14.panta pirmo daļu, ja šie pienākumi ir uzskatāmi par papildu darbu. Līdz ar to  </w:t>
            </w:r>
            <w:r w:rsidR="00F65C79" w:rsidRPr="00F65C79">
              <w:rPr>
                <w:rFonts w:cs="Times New Roman"/>
                <w:sz w:val="24"/>
                <w:szCs w:val="24"/>
                <w:lang w:val="lv-LV" w:eastAsia="lv-LV" w:bidi="ar-SA"/>
              </w:rPr>
              <w:t>nepieciešams izslēgt 3.panta piektās daļas 6.punktu, kas regulē</w:t>
            </w:r>
            <w:r w:rsidR="00BF20B4">
              <w:rPr>
                <w:rFonts w:cs="Times New Roman"/>
                <w:sz w:val="24"/>
                <w:szCs w:val="24"/>
                <w:lang w:val="lv-LV" w:eastAsia="lv-LV" w:bidi="ar-SA"/>
              </w:rPr>
              <w:t xml:space="preserve"> </w:t>
            </w:r>
            <w:r w:rsidR="00F65C79" w:rsidRPr="00F65C79">
              <w:rPr>
                <w:rFonts w:cs="Times New Roman"/>
                <w:sz w:val="24"/>
                <w:szCs w:val="24"/>
                <w:lang w:val="lv-LV" w:eastAsia="lv-LV" w:bidi="ar-SA"/>
              </w:rPr>
              <w:t>jautājumu,</w:t>
            </w:r>
            <w:r w:rsidR="00BF20B4">
              <w:rPr>
                <w:rFonts w:cs="Times New Roman"/>
                <w:sz w:val="24"/>
                <w:szCs w:val="24"/>
                <w:lang w:val="lv-LV" w:eastAsia="lv-LV" w:bidi="ar-SA"/>
              </w:rPr>
              <w:t xml:space="preserve"> par iespēju</w:t>
            </w:r>
            <w:r w:rsidR="00A616BE">
              <w:rPr>
                <w:rFonts w:cs="Times New Roman"/>
                <w:sz w:val="24"/>
                <w:szCs w:val="24"/>
                <w:lang w:val="lv-LV" w:eastAsia="lv-LV" w:bidi="ar-SA"/>
              </w:rPr>
              <w:t xml:space="preserve"> amatpersonām (darbiniekiem)</w:t>
            </w:r>
            <w:r w:rsidR="00BF20B4">
              <w:rPr>
                <w:rFonts w:cs="Times New Roman"/>
                <w:sz w:val="24"/>
                <w:szCs w:val="24"/>
                <w:lang w:val="lv-LV" w:eastAsia="lv-LV" w:bidi="ar-SA"/>
              </w:rPr>
              <w:t xml:space="preserve"> izmaksāt vēl citu </w:t>
            </w:r>
            <w:r w:rsidR="00A616BE">
              <w:rPr>
                <w:rFonts w:cs="Times New Roman"/>
                <w:sz w:val="24"/>
                <w:szCs w:val="24"/>
                <w:lang w:val="lv-LV" w:eastAsia="lv-LV" w:bidi="ar-SA"/>
              </w:rPr>
              <w:t>atlīdzību ārpus atlīdzības likuma tvēruma. A</w:t>
            </w:r>
            <w:r w:rsidR="00F65C79" w:rsidRPr="00F65C79">
              <w:rPr>
                <w:rFonts w:cs="Times New Roman"/>
                <w:sz w:val="24"/>
                <w:szCs w:val="24"/>
                <w:lang w:val="lv-LV" w:eastAsia="lv-LV" w:bidi="ar-SA"/>
              </w:rPr>
              <w:t>tbilstoši precizē</w:t>
            </w:r>
            <w:r w:rsidR="00A616BE">
              <w:rPr>
                <w:rFonts w:cs="Times New Roman"/>
                <w:sz w:val="24"/>
                <w:szCs w:val="24"/>
                <w:lang w:val="lv-LV" w:eastAsia="lv-LV" w:bidi="ar-SA"/>
              </w:rPr>
              <w:t>jumi veicami arī</w:t>
            </w:r>
            <w:r w:rsidR="00F65C79" w:rsidRPr="00F65C79">
              <w:rPr>
                <w:rFonts w:cs="Times New Roman"/>
                <w:sz w:val="24"/>
                <w:szCs w:val="24"/>
                <w:lang w:val="lv-LV" w:eastAsia="lv-LV" w:bidi="ar-SA"/>
              </w:rPr>
              <w:t xml:space="preserve"> 3.</w:t>
            </w:r>
            <w:r w:rsidR="00F65C79" w:rsidRPr="00A616BE">
              <w:rPr>
                <w:rFonts w:cs="Times New Roman"/>
                <w:sz w:val="24"/>
                <w:szCs w:val="24"/>
                <w:vertAlign w:val="superscript"/>
                <w:lang w:val="lv-LV" w:eastAsia="lv-LV" w:bidi="ar-SA"/>
              </w:rPr>
              <w:t>1</w:t>
            </w:r>
            <w:r w:rsidR="00F65C79" w:rsidRPr="00F65C79">
              <w:rPr>
                <w:rFonts w:cs="Times New Roman"/>
                <w:sz w:val="24"/>
                <w:szCs w:val="24"/>
                <w:lang w:val="lv-LV" w:eastAsia="lv-LV" w:bidi="ar-SA"/>
              </w:rPr>
              <w:t>pant</w:t>
            </w:r>
            <w:r w:rsidR="00A616BE">
              <w:rPr>
                <w:rFonts w:cs="Times New Roman"/>
                <w:sz w:val="24"/>
                <w:szCs w:val="24"/>
                <w:lang w:val="lv-LV" w:eastAsia="lv-LV" w:bidi="ar-SA"/>
              </w:rPr>
              <w:t>ā</w:t>
            </w:r>
            <w:r w:rsidR="00F65C79" w:rsidRPr="00F65C79">
              <w:rPr>
                <w:rFonts w:cs="Times New Roman"/>
                <w:sz w:val="24"/>
                <w:szCs w:val="24"/>
                <w:lang w:val="lv-LV" w:eastAsia="lv-LV" w:bidi="ar-SA"/>
              </w:rPr>
              <w:t>, izslēdzot septītās daļas pirmajā un otrajā teikumā atsauci uz 3.panta piektās daļas 6.punktu.</w:t>
            </w:r>
          </w:p>
          <w:p w14:paraId="4C440387" w14:textId="77777777" w:rsidR="00F65C79" w:rsidRPr="00F65C79" w:rsidRDefault="00F65C79" w:rsidP="00F65C79">
            <w:pPr>
              <w:jc w:val="both"/>
              <w:rPr>
                <w:rFonts w:cs="Times New Roman"/>
                <w:sz w:val="24"/>
                <w:szCs w:val="24"/>
                <w:lang w:val="lv-LV" w:eastAsia="lv-LV" w:bidi="ar-SA"/>
              </w:rPr>
            </w:pPr>
          </w:p>
          <w:p w14:paraId="6848370B" w14:textId="77777777" w:rsidR="00EB4F0A" w:rsidRDefault="00C94B4A" w:rsidP="00C94B4A">
            <w:pPr>
              <w:jc w:val="both"/>
              <w:rPr>
                <w:rFonts w:cs="Times New Roman"/>
                <w:sz w:val="24"/>
                <w:szCs w:val="24"/>
                <w:lang w:val="lv-LV" w:eastAsia="lv-LV" w:bidi="ar-SA"/>
              </w:rPr>
            </w:pPr>
            <w:r>
              <w:rPr>
                <w:rFonts w:cs="Times New Roman"/>
                <w:sz w:val="24"/>
                <w:szCs w:val="24"/>
                <w:lang w:val="lv-LV" w:eastAsia="lv-LV" w:bidi="ar-SA"/>
              </w:rPr>
              <w:t>4</w:t>
            </w:r>
            <w:r w:rsidR="00F65C79" w:rsidRPr="00F65C79">
              <w:rPr>
                <w:rFonts w:cs="Times New Roman"/>
                <w:sz w:val="24"/>
                <w:szCs w:val="24"/>
                <w:lang w:val="lv-LV" w:eastAsia="lv-LV" w:bidi="ar-SA"/>
              </w:rPr>
              <w:t xml:space="preserve">. </w:t>
            </w:r>
            <w:r w:rsidR="00EB4F0A" w:rsidRPr="00F65C79">
              <w:rPr>
                <w:rFonts w:cs="Times New Roman"/>
                <w:sz w:val="24"/>
                <w:szCs w:val="24"/>
                <w:lang w:val="lv-LV" w:eastAsia="lv-LV" w:bidi="ar-SA"/>
              </w:rPr>
              <w:t xml:space="preserve">Likumprojekts paredz </w:t>
            </w:r>
            <w:r w:rsidR="00EB4F0A">
              <w:rPr>
                <w:rFonts w:cs="Times New Roman"/>
                <w:sz w:val="24"/>
                <w:szCs w:val="24"/>
                <w:lang w:val="lv-LV" w:eastAsia="lv-LV" w:bidi="ar-SA"/>
              </w:rPr>
              <w:t xml:space="preserve">tehniski </w:t>
            </w:r>
            <w:r w:rsidR="00EB4F0A" w:rsidRPr="00F65C79">
              <w:rPr>
                <w:rFonts w:cs="Times New Roman"/>
                <w:sz w:val="24"/>
                <w:szCs w:val="24"/>
                <w:lang w:val="lv-LV" w:eastAsia="lv-LV" w:bidi="ar-SA"/>
              </w:rPr>
              <w:t xml:space="preserve">precizēt 7.panta ceturto daļu, kas nosaka </w:t>
            </w:r>
            <w:r w:rsidR="00EB4F0A">
              <w:rPr>
                <w:rFonts w:cs="Times New Roman"/>
                <w:sz w:val="24"/>
                <w:szCs w:val="24"/>
                <w:lang w:val="lv-LV" w:eastAsia="lv-LV" w:bidi="ar-SA"/>
              </w:rPr>
              <w:t xml:space="preserve">atlīdzības </w:t>
            </w:r>
            <w:r w:rsidR="00EB4F0A" w:rsidRPr="00F65C79">
              <w:rPr>
                <w:rFonts w:cs="Times New Roman"/>
                <w:sz w:val="24"/>
                <w:szCs w:val="24"/>
                <w:lang w:val="lv-LV" w:eastAsia="lv-LV" w:bidi="ar-SA"/>
              </w:rPr>
              <w:t>likuma 2.pielikumā iekļaujamās informācijas apjomu (maksimālās mēnešalgu grupas). Precizējums paredz izslēgt vārdus “un minimālās”, jo 2.pielikumā vairs netiek norādītas minimālās mēnešalgu grupas, bet gan tikai maksimālās mēnešalgu grupas.</w:t>
            </w:r>
          </w:p>
          <w:p w14:paraId="35749B81" w14:textId="77777777" w:rsidR="00EB4F0A" w:rsidRDefault="00EB4F0A" w:rsidP="00C94B4A">
            <w:pPr>
              <w:jc w:val="both"/>
              <w:rPr>
                <w:rFonts w:cs="Times New Roman"/>
                <w:sz w:val="24"/>
                <w:szCs w:val="24"/>
                <w:lang w:val="lv-LV" w:eastAsia="lv-LV" w:bidi="ar-SA"/>
              </w:rPr>
            </w:pPr>
          </w:p>
          <w:p w14:paraId="557E7D07" w14:textId="77777777" w:rsidR="00EC322A" w:rsidRPr="002A5E94" w:rsidRDefault="00C94B4A" w:rsidP="00F65C79">
            <w:pPr>
              <w:jc w:val="both"/>
              <w:rPr>
                <w:rFonts w:cs="Times New Roman"/>
                <w:sz w:val="24"/>
                <w:szCs w:val="24"/>
                <w:lang w:val="lv-LV" w:eastAsia="lv-LV" w:bidi="ar-SA"/>
              </w:rPr>
            </w:pPr>
            <w:r>
              <w:rPr>
                <w:rFonts w:cs="Times New Roman"/>
                <w:sz w:val="24"/>
                <w:szCs w:val="24"/>
                <w:lang w:val="lv-LV" w:eastAsia="lv-LV" w:bidi="ar-SA"/>
              </w:rPr>
              <w:t>5</w:t>
            </w:r>
            <w:r w:rsidR="00F65C79" w:rsidRPr="00F65C79">
              <w:rPr>
                <w:rFonts w:cs="Times New Roman"/>
                <w:sz w:val="24"/>
                <w:szCs w:val="24"/>
                <w:lang w:val="lv-LV" w:eastAsia="lv-LV" w:bidi="ar-SA"/>
              </w:rPr>
              <w:t xml:space="preserve">.  </w:t>
            </w:r>
            <w:r w:rsidR="00EB4F0A">
              <w:rPr>
                <w:rFonts w:cs="Times New Roman"/>
                <w:sz w:val="24"/>
                <w:szCs w:val="24"/>
                <w:lang w:val="lv-LV" w:eastAsia="lv-LV" w:bidi="ar-SA"/>
              </w:rPr>
              <w:t>L</w:t>
            </w:r>
            <w:r w:rsidR="00EC322A" w:rsidRPr="002A5E94">
              <w:rPr>
                <w:rFonts w:cs="Times New Roman"/>
                <w:sz w:val="24"/>
                <w:szCs w:val="24"/>
                <w:lang w:val="lv-LV" w:eastAsia="lv-LV" w:bidi="ar-SA"/>
              </w:rPr>
              <w:t xml:space="preserve">īdz 2009.gada 31.decembrim profesionālā dienesta karavīru tiesības uz atvaļinājumu regulēja Militārā dienesta likuma </w:t>
            </w:r>
            <w:r w:rsidR="009B3B16" w:rsidRPr="002A5E94">
              <w:rPr>
                <w:rFonts w:cs="Times New Roman"/>
                <w:sz w:val="24"/>
                <w:szCs w:val="24"/>
                <w:lang w:val="lv-LV" w:eastAsia="lv-LV" w:bidi="ar-SA"/>
              </w:rPr>
              <w:t>VII</w:t>
            </w:r>
            <w:r w:rsidR="00EC322A" w:rsidRPr="002A5E94">
              <w:rPr>
                <w:rFonts w:cs="Times New Roman"/>
                <w:sz w:val="24"/>
                <w:szCs w:val="24"/>
                <w:lang w:val="lv-LV" w:eastAsia="lv-LV" w:bidi="ar-SA"/>
              </w:rPr>
              <w:t xml:space="preserve"> nodaļa. Šā likuma 37.panta pirmā daļa paredzēja, ka: „</w:t>
            </w:r>
            <w:r w:rsidR="00EC322A" w:rsidRPr="002A5E94">
              <w:rPr>
                <w:rFonts w:cs="Times New Roman"/>
                <w:i/>
                <w:sz w:val="24"/>
                <w:szCs w:val="24"/>
                <w:lang w:val="lv-LV" w:eastAsia="lv-LV" w:bidi="ar-SA"/>
              </w:rPr>
              <w:t xml:space="preserve">Profesionālā dienesta karavīram piešķir apmaksātu ikgadējo atvaļinājumu — 30 kalendāra dienas, neieskaitot svētku dienas. Lidotājiem, gaisakuģu apkalpēs </w:t>
            </w:r>
            <w:proofErr w:type="spellStart"/>
            <w:r w:rsidR="00EC322A" w:rsidRPr="002A5E94">
              <w:rPr>
                <w:rFonts w:cs="Times New Roman"/>
                <w:i/>
                <w:sz w:val="24"/>
                <w:szCs w:val="24"/>
                <w:lang w:val="lv-LV" w:eastAsia="lv-LV" w:bidi="ar-SA"/>
              </w:rPr>
              <w:t>dienošajiem</w:t>
            </w:r>
            <w:proofErr w:type="spellEnd"/>
            <w:r w:rsidR="00EC322A" w:rsidRPr="002A5E94">
              <w:rPr>
                <w:rFonts w:cs="Times New Roman"/>
                <w:i/>
                <w:sz w:val="24"/>
                <w:szCs w:val="24"/>
                <w:lang w:val="lv-LV" w:eastAsia="lv-LV" w:bidi="ar-SA"/>
              </w:rPr>
              <w:t xml:space="preserve"> karavīriem, kuģu apkalpēs </w:t>
            </w:r>
            <w:proofErr w:type="spellStart"/>
            <w:r w:rsidR="00EC322A" w:rsidRPr="002A5E94">
              <w:rPr>
                <w:rFonts w:cs="Times New Roman"/>
                <w:i/>
                <w:sz w:val="24"/>
                <w:szCs w:val="24"/>
                <w:lang w:val="lv-LV" w:eastAsia="lv-LV" w:bidi="ar-SA"/>
              </w:rPr>
              <w:t>dienošajiem</w:t>
            </w:r>
            <w:proofErr w:type="spellEnd"/>
            <w:r w:rsidR="00EC322A" w:rsidRPr="002A5E94">
              <w:rPr>
                <w:rFonts w:cs="Times New Roman"/>
                <w:i/>
                <w:sz w:val="24"/>
                <w:szCs w:val="24"/>
                <w:lang w:val="lv-LV" w:eastAsia="lv-LV" w:bidi="ar-SA"/>
              </w:rPr>
              <w:t xml:space="preserve"> </w:t>
            </w:r>
            <w:r w:rsidR="00EC322A" w:rsidRPr="002A5E94">
              <w:rPr>
                <w:rFonts w:cs="Times New Roman"/>
                <w:i/>
                <w:sz w:val="24"/>
                <w:szCs w:val="24"/>
                <w:lang w:val="lv-LV" w:eastAsia="lv-LV" w:bidi="ar-SA"/>
              </w:rPr>
              <w:lastRenderedPageBreak/>
              <w:t>jūrniekiem un sapieriem spridzinātājiem, kas reāli veic spridzināšanas darbus, piešķir 40 kalendāra dienas ilgu atvaļinājumu</w:t>
            </w:r>
            <w:r w:rsidR="00EC322A" w:rsidRPr="002A5E94">
              <w:rPr>
                <w:rFonts w:cs="Times New Roman"/>
                <w:sz w:val="24"/>
                <w:szCs w:val="24"/>
                <w:lang w:val="lv-LV" w:eastAsia="lv-LV" w:bidi="ar-SA"/>
              </w:rPr>
              <w:t>”. Savukārt atbilstoši šā panta otrajai daļai ik pēc pieciem aktīvajā dienestā nepārtraukti nodienētiem gadiem ikgadējo atvaļinājumu pagarināja par trim dienām, bet ne vairāk kā par 15 dienām kopumā.</w:t>
            </w:r>
          </w:p>
          <w:p w14:paraId="708F5539" w14:textId="77777777" w:rsidR="00EC322A" w:rsidRPr="002A5E94" w:rsidRDefault="00EC322A" w:rsidP="00EC322A">
            <w:pPr>
              <w:jc w:val="both"/>
              <w:rPr>
                <w:rFonts w:cs="Times New Roman"/>
                <w:sz w:val="24"/>
                <w:szCs w:val="24"/>
                <w:lang w:val="lv-LV" w:eastAsia="lv-LV" w:bidi="ar-SA"/>
              </w:rPr>
            </w:pPr>
            <w:r w:rsidRPr="002A5E94">
              <w:rPr>
                <w:rFonts w:cs="Times New Roman"/>
                <w:sz w:val="24"/>
                <w:szCs w:val="24"/>
                <w:lang w:val="lv-LV" w:eastAsia="lv-LV" w:bidi="ar-SA"/>
              </w:rPr>
              <w:t>Neizmantotais ikgadējais atvaļinājums profesionālā dienesta karavīriem tika kompensēts, pamatojoties uz Militārā dienesta likuma 37.panta piekto daļu. Šī norma (</w:t>
            </w:r>
            <w:r w:rsidRPr="002A5E94">
              <w:rPr>
                <w:rFonts w:cs="Times New Roman"/>
                <w:i/>
                <w:sz w:val="24"/>
                <w:szCs w:val="24"/>
                <w:lang w:val="lv-LV" w:eastAsia="lv-LV" w:bidi="ar-SA"/>
              </w:rPr>
              <w:t>redakcijā, kas bija spēkā no 2009.gada 20.oktobrim līdz 2009.gada 31.decembrim</w:t>
            </w:r>
            <w:r w:rsidRPr="002A5E94">
              <w:rPr>
                <w:rFonts w:cs="Times New Roman"/>
                <w:sz w:val="24"/>
                <w:szCs w:val="24"/>
                <w:lang w:val="lv-LV" w:eastAsia="lv-LV" w:bidi="ar-SA"/>
              </w:rPr>
              <w:t xml:space="preserve">) paredzēja, ka karavīram atvaļināšanas gadā atvaļinājuma kompensāciju aprēķina par laikposmu no gada sākuma līdz atvaļināšanas dienai (par katru nodienēto mēnesi — proporcionāli nodienētajam laikam, ievērojot šā panta pirmās un otrās daļas nosacījumus). </w:t>
            </w:r>
          </w:p>
          <w:p w14:paraId="45C56A30" w14:textId="77777777" w:rsidR="00EC322A" w:rsidRPr="002A5E94" w:rsidRDefault="00EC322A" w:rsidP="00EC322A">
            <w:pPr>
              <w:jc w:val="both"/>
              <w:rPr>
                <w:rFonts w:cs="Times New Roman"/>
                <w:sz w:val="24"/>
                <w:szCs w:val="24"/>
                <w:lang w:val="lv-LV" w:eastAsia="lv-LV" w:bidi="ar-SA"/>
              </w:rPr>
            </w:pPr>
            <w:r w:rsidRPr="002A5E94">
              <w:rPr>
                <w:rFonts w:cs="Times New Roman"/>
                <w:sz w:val="24"/>
                <w:szCs w:val="24"/>
                <w:lang w:val="lv-LV" w:eastAsia="lv-LV" w:bidi="ar-SA"/>
              </w:rPr>
              <w:t>Tādējādi, kompensējot neizmantoto atvaļinājumu, tika ņemts vērā karavīra atvaļinājuma ilgums (30 vai 40 dienas), kā arī to dienu skaits, par kurām ikgadējais atvaļinājums ik pēc pieciem nodienētajiem gadiem tika pagarināts.</w:t>
            </w:r>
          </w:p>
          <w:p w14:paraId="41877E4B" w14:textId="77777777" w:rsidR="00EC322A" w:rsidRPr="002A5E94" w:rsidRDefault="00225C5D" w:rsidP="00EC322A">
            <w:pPr>
              <w:jc w:val="both"/>
              <w:rPr>
                <w:rFonts w:cs="Times New Roman"/>
                <w:i/>
                <w:sz w:val="24"/>
                <w:szCs w:val="24"/>
                <w:lang w:val="lv-LV" w:eastAsia="lv-LV" w:bidi="ar-SA"/>
              </w:rPr>
            </w:pPr>
            <w:r>
              <w:rPr>
                <w:rFonts w:cs="Times New Roman"/>
                <w:sz w:val="24"/>
                <w:szCs w:val="24"/>
                <w:lang w:val="lv-LV" w:eastAsia="lv-LV" w:bidi="ar-SA"/>
              </w:rPr>
              <w:t>A</w:t>
            </w:r>
            <w:r w:rsidR="00EC322A" w:rsidRPr="002A5E94">
              <w:rPr>
                <w:rFonts w:cs="Times New Roman"/>
                <w:sz w:val="24"/>
                <w:szCs w:val="24"/>
                <w:lang w:val="lv-LV" w:eastAsia="lv-LV" w:bidi="ar-SA"/>
              </w:rPr>
              <w:t>tlīdzības likuma (</w:t>
            </w:r>
            <w:r w:rsidR="00EC322A" w:rsidRPr="002A5E94">
              <w:rPr>
                <w:rFonts w:cs="Times New Roman"/>
                <w:i/>
                <w:sz w:val="24"/>
                <w:szCs w:val="24"/>
                <w:lang w:val="lv-LV" w:eastAsia="lv-LV" w:bidi="ar-SA"/>
              </w:rPr>
              <w:t>spēkā no 2010.gada 1.janvāra</w:t>
            </w:r>
            <w:r w:rsidR="00EC322A" w:rsidRPr="002A5E94">
              <w:rPr>
                <w:rFonts w:cs="Times New Roman"/>
                <w:sz w:val="24"/>
                <w:szCs w:val="24"/>
                <w:lang w:val="lv-LV" w:eastAsia="lv-LV" w:bidi="ar-SA"/>
              </w:rPr>
              <w:t>) 41.panta trešā daļa nosaka, ka: „</w:t>
            </w:r>
            <w:r w:rsidR="00EC322A" w:rsidRPr="002A5E94">
              <w:rPr>
                <w:rFonts w:cs="Times New Roman"/>
                <w:i/>
                <w:sz w:val="24"/>
                <w:szCs w:val="24"/>
                <w:lang w:val="lv-LV" w:eastAsia="lv-LV" w:bidi="ar-SA"/>
              </w:rPr>
              <w:t xml:space="preserve">Karavīram piešķir apmaksātu ikgadējo atvaļinājumu — 30 kalendāra dienas, neskaitot svētku dienas. Lidotājam, gaisakuģa apkalpē </w:t>
            </w:r>
            <w:proofErr w:type="spellStart"/>
            <w:r w:rsidR="00EC322A" w:rsidRPr="002A5E94">
              <w:rPr>
                <w:rFonts w:cs="Times New Roman"/>
                <w:i/>
                <w:sz w:val="24"/>
                <w:szCs w:val="24"/>
                <w:lang w:val="lv-LV" w:eastAsia="lv-LV" w:bidi="ar-SA"/>
              </w:rPr>
              <w:t>dienošam</w:t>
            </w:r>
            <w:proofErr w:type="spellEnd"/>
            <w:r w:rsidR="00EC322A" w:rsidRPr="002A5E94">
              <w:rPr>
                <w:rFonts w:cs="Times New Roman"/>
                <w:i/>
                <w:sz w:val="24"/>
                <w:szCs w:val="24"/>
                <w:lang w:val="lv-LV" w:eastAsia="lv-LV" w:bidi="ar-SA"/>
              </w:rPr>
              <w:t xml:space="preserve"> karavīram, kuģa apkalpē </w:t>
            </w:r>
            <w:proofErr w:type="spellStart"/>
            <w:r w:rsidR="00EC322A" w:rsidRPr="002A5E94">
              <w:rPr>
                <w:rFonts w:cs="Times New Roman"/>
                <w:i/>
                <w:sz w:val="24"/>
                <w:szCs w:val="24"/>
                <w:lang w:val="lv-LV" w:eastAsia="lv-LV" w:bidi="ar-SA"/>
              </w:rPr>
              <w:t>dienošam</w:t>
            </w:r>
            <w:proofErr w:type="spellEnd"/>
            <w:r w:rsidR="00EC322A" w:rsidRPr="002A5E94">
              <w:rPr>
                <w:rFonts w:cs="Times New Roman"/>
                <w:i/>
                <w:sz w:val="24"/>
                <w:szCs w:val="24"/>
                <w:lang w:val="lv-LV" w:eastAsia="lv-LV" w:bidi="ar-SA"/>
              </w:rPr>
              <w:t xml:space="preserve"> jūrniekam un sapierim spridzinātājam, kurš veic spridzināšanas darbus, piešķir 40 kalendāra dienas ilgu atvaļinājumu. Pēc katriem pieciem aktīvajā dienestā nepārtraukti nodienētiem gadiem ikgadējo apmaksāto atvaļinājumu pagarina par trim dienām, bet ne vairāk kā par 15 kalendāra dienām kopumā. Nav atļauts ikgadējo atvaļinājumu kompensēt naudā, izņemot gadījumu, kad no profesionālā dienesta atvaļina karavīru, kas nav izmantojis ikgadējo atvaļinājumu. Kompensējot atvaļinājumu naudā, neizmaksā atvaļinājuma pabalstu, nepiešķir uzturdevu natūrā un neizmaksā tās vērtību naudā. Karavīram atvaļināšanas gadā atvaļinājuma kompensāciju aprēķina par laikposmu no gada sākuma līdz atvaļināšanas dienai (par katru nodienēto mēnesi — proporcionāli nodienētajam laikam, ievērojot šīs daļas pirmā un otrā teikuma nosacījumus), ja Militārā dienesta likumā nav noteikts citādi.”.</w:t>
            </w:r>
          </w:p>
          <w:p w14:paraId="0604C855" w14:textId="77777777" w:rsidR="00EC322A" w:rsidRPr="002A5E94" w:rsidRDefault="00EC322A" w:rsidP="00EC322A">
            <w:pPr>
              <w:jc w:val="both"/>
              <w:rPr>
                <w:rFonts w:cs="Times New Roman"/>
                <w:sz w:val="24"/>
                <w:szCs w:val="24"/>
                <w:lang w:val="lv-LV" w:eastAsia="lv-LV" w:bidi="ar-SA"/>
              </w:rPr>
            </w:pPr>
            <w:r w:rsidRPr="002A5E94">
              <w:rPr>
                <w:rFonts w:cs="Times New Roman"/>
                <w:sz w:val="24"/>
                <w:szCs w:val="24"/>
                <w:lang w:val="lv-LV" w:eastAsia="lv-LV" w:bidi="ar-SA"/>
              </w:rPr>
              <w:t xml:space="preserve">Ievērojot atlīdzības likuma 41.panta trešās daļā pēdējā teikumā norādīto, pašlaik, nosakot </w:t>
            </w:r>
            <w:r w:rsidR="007E4F8C" w:rsidRPr="002A5E94">
              <w:rPr>
                <w:rFonts w:cs="Times New Roman"/>
                <w:sz w:val="24"/>
                <w:szCs w:val="24"/>
                <w:lang w:val="lv-LV" w:eastAsia="lv-LV" w:bidi="ar-SA"/>
              </w:rPr>
              <w:t xml:space="preserve">atvaļinājuma </w:t>
            </w:r>
            <w:r w:rsidRPr="002A5E94">
              <w:rPr>
                <w:rFonts w:cs="Times New Roman"/>
                <w:sz w:val="24"/>
                <w:szCs w:val="24"/>
                <w:lang w:val="lv-LV" w:eastAsia="lv-LV" w:bidi="ar-SA"/>
              </w:rPr>
              <w:t xml:space="preserve">kompensācijas apmēru, tiek ņemts vērā vienīgi pirmajā un otrajā teikumā paredzētais ikgadējā </w:t>
            </w:r>
            <w:r w:rsidRPr="002A5E94">
              <w:rPr>
                <w:rFonts w:cs="Times New Roman"/>
                <w:sz w:val="24"/>
                <w:szCs w:val="24"/>
                <w:lang w:val="lv-LV" w:eastAsia="lv-LV" w:bidi="ar-SA"/>
              </w:rPr>
              <w:lastRenderedPageBreak/>
              <w:t xml:space="preserve">atvaļinājuma ilgums, proti, 30 vai 40 dienas. Tādējādi praksē bieži vien veidojas situācijas, kad neizmantotais atvaļinājums tiek kompensēts nepilnā apmērā, proti, </w:t>
            </w:r>
            <w:r w:rsidR="007E4F8C" w:rsidRPr="002A5E94">
              <w:rPr>
                <w:rFonts w:cs="Times New Roman"/>
                <w:sz w:val="24"/>
                <w:szCs w:val="24"/>
                <w:lang w:val="lv-LV" w:eastAsia="lv-LV" w:bidi="ar-SA"/>
              </w:rPr>
              <w:t xml:space="preserve">atvaļinājuma kompensācijā </w:t>
            </w:r>
            <w:r w:rsidRPr="002A5E94">
              <w:rPr>
                <w:rFonts w:cs="Times New Roman"/>
                <w:sz w:val="24"/>
                <w:szCs w:val="24"/>
                <w:lang w:val="lv-LV" w:eastAsia="lv-LV" w:bidi="ar-SA"/>
              </w:rPr>
              <w:t xml:space="preserve">netiek ieskaitīts to dienu skaits, par kurām karavīra ikgadējais atvaļinājums tika pagarināts pēc pieciem nodienētajiem gadiem. </w:t>
            </w:r>
          </w:p>
          <w:p w14:paraId="00862A7E" w14:textId="77777777" w:rsidR="00A06739" w:rsidRDefault="00EC322A" w:rsidP="00B2489F">
            <w:pPr>
              <w:jc w:val="both"/>
              <w:rPr>
                <w:rFonts w:cs="Times New Roman"/>
                <w:sz w:val="24"/>
                <w:szCs w:val="24"/>
                <w:lang w:val="lv-LV" w:eastAsia="lv-LV" w:bidi="ar-SA"/>
              </w:rPr>
            </w:pPr>
            <w:r w:rsidRPr="002A5E94">
              <w:rPr>
                <w:rFonts w:cs="Times New Roman"/>
                <w:sz w:val="24"/>
                <w:szCs w:val="24"/>
                <w:lang w:val="lv-LV" w:eastAsia="lv-LV" w:bidi="ar-SA"/>
              </w:rPr>
              <w:t xml:space="preserve">Lai nodrošinātu vienlīdzīgu attieksmi pret ikgadējo atvaļinājumu izmantojošiem un neizmantojošiem karavīriem, nepieciešams paredzēt, ka </w:t>
            </w:r>
            <w:r w:rsidR="007E4F8C" w:rsidRPr="002A5E94">
              <w:rPr>
                <w:rFonts w:cs="Times New Roman"/>
                <w:sz w:val="24"/>
                <w:szCs w:val="24"/>
                <w:lang w:val="lv-LV" w:eastAsia="lv-LV" w:bidi="ar-SA"/>
              </w:rPr>
              <w:t xml:space="preserve">atvaļinājuma </w:t>
            </w:r>
            <w:r w:rsidRPr="002A5E94">
              <w:rPr>
                <w:rFonts w:cs="Times New Roman"/>
                <w:sz w:val="24"/>
                <w:szCs w:val="24"/>
                <w:lang w:val="lv-LV" w:eastAsia="lv-LV" w:bidi="ar-SA"/>
              </w:rPr>
              <w:t>kompensācijas aprēķinā tiek ņemts vērā</w:t>
            </w:r>
            <w:r w:rsidRPr="002A5E94">
              <w:rPr>
                <w:lang w:val="lv-LV"/>
              </w:rPr>
              <w:t xml:space="preserve"> </w:t>
            </w:r>
            <w:r w:rsidRPr="002A5E94">
              <w:rPr>
                <w:sz w:val="24"/>
                <w:szCs w:val="24"/>
                <w:lang w:val="lv-LV"/>
              </w:rPr>
              <w:t>arī to d</w:t>
            </w:r>
            <w:r w:rsidRPr="002A5E94">
              <w:rPr>
                <w:rFonts w:cs="Times New Roman"/>
                <w:sz w:val="24"/>
                <w:szCs w:val="24"/>
                <w:lang w:val="lv-LV" w:eastAsia="lv-LV" w:bidi="ar-SA"/>
              </w:rPr>
              <w:t>ienu skaits, par kurām ikgadējais atvaļinājums tika pagarināts pēc pieciem nodienētajiem gadiem, un veikt attiecīgus grozījumus atlīdzības likuma 41.panta trešās daļas pēdējā teikumā.</w:t>
            </w:r>
          </w:p>
          <w:p w14:paraId="3618CD6F" w14:textId="77777777" w:rsidR="00EB4F0A" w:rsidRDefault="00EB4F0A" w:rsidP="00B2489F">
            <w:pPr>
              <w:jc w:val="both"/>
              <w:rPr>
                <w:rFonts w:cs="Times New Roman"/>
                <w:sz w:val="24"/>
                <w:szCs w:val="24"/>
                <w:lang w:val="lv-LV" w:eastAsia="lv-LV" w:bidi="ar-SA"/>
              </w:rPr>
            </w:pPr>
          </w:p>
          <w:p w14:paraId="708DF4DD" w14:textId="77777777" w:rsidR="00621B54" w:rsidRDefault="00EB4F0A" w:rsidP="00EB4F0A">
            <w:pPr>
              <w:jc w:val="both"/>
              <w:rPr>
                <w:rFonts w:cs="Times New Roman"/>
                <w:sz w:val="24"/>
                <w:szCs w:val="24"/>
                <w:lang w:val="lv-LV" w:eastAsia="lv-LV" w:bidi="ar-SA"/>
              </w:rPr>
            </w:pPr>
            <w:r w:rsidRPr="00155450">
              <w:rPr>
                <w:rFonts w:cs="Times New Roman"/>
                <w:sz w:val="24"/>
                <w:szCs w:val="24"/>
                <w:lang w:val="lv-LV" w:eastAsia="lv-LV" w:bidi="ar-SA"/>
              </w:rPr>
              <w:t xml:space="preserve">6. </w:t>
            </w:r>
            <w:r w:rsidR="00621B54" w:rsidRPr="00155450">
              <w:rPr>
                <w:rFonts w:cs="Times New Roman"/>
                <w:sz w:val="24"/>
                <w:szCs w:val="24"/>
                <w:lang w:val="lv-LV" w:eastAsia="lv-LV" w:bidi="ar-SA"/>
              </w:rPr>
              <w:t xml:space="preserve">Atlīdzības likums 2014. un 2015.gadā nosaka iespēju izmaksāt prēmiju atsevišķu valsts institūciju nodarbinātajiem, kuri ir iesaistīti ēnu ekonomikas apkarošanas pasākumu īstenošanā, ja viņu darbības rezultātā ir būtiski uzlabota situācija ēnu ekonomikas apkarošanā un godīgas konkurences veicināšanā, </w:t>
            </w:r>
            <w:r w:rsidR="00480C85" w:rsidRPr="00155450">
              <w:rPr>
                <w:rFonts w:cs="Times New Roman"/>
                <w:sz w:val="24"/>
                <w:szCs w:val="24"/>
                <w:lang w:val="lv-LV" w:eastAsia="lv-LV" w:bidi="ar-SA"/>
              </w:rPr>
              <w:t>un</w:t>
            </w:r>
            <w:r w:rsidR="00621B54" w:rsidRPr="00155450">
              <w:rPr>
                <w:rFonts w:cs="Times New Roman"/>
                <w:sz w:val="24"/>
                <w:szCs w:val="24"/>
                <w:lang w:val="lv-LV" w:eastAsia="lv-LV" w:bidi="ar-SA"/>
              </w:rPr>
              <w:t xml:space="preserve"> Valsts kases darbiniekiem par ieguldījumu valsts budžeta izdevumu samazināšanā, nodrošinot efektīvu valsts parāda vadību, kā arī valsts un pašvaldību darbiniekiem  gadījumos, ja ir nodrošināta valsts vai pašvaldību  budžeta izdevumu samazināšana. Ņemot vērā jautājuma aktualitāti,</w:t>
            </w:r>
            <w:r w:rsidR="00621B54" w:rsidRPr="00155450">
              <w:rPr>
                <w:lang w:val="lv-LV"/>
              </w:rPr>
              <w:t xml:space="preserve"> </w:t>
            </w:r>
            <w:r w:rsidR="00621B54" w:rsidRPr="00155450">
              <w:rPr>
                <w:rFonts w:cs="Times New Roman"/>
                <w:sz w:val="24"/>
                <w:szCs w:val="24"/>
                <w:lang w:val="lv-LV" w:eastAsia="lv-LV" w:bidi="ar-SA"/>
              </w:rPr>
              <w:t xml:space="preserve">un pamatojoties uz Ministru kabineta 2015.gada 16.marta rīkojuma Nr.124 „Par likumprojekta “Par vidēja termiņa budžeta ietvaru 2016., 2017. un 2018.gadam”  nepieciešams paredzēt šādas normas </w:t>
            </w:r>
            <w:r w:rsidR="00170F68" w:rsidRPr="00155450">
              <w:rPr>
                <w:rFonts w:cs="Times New Roman"/>
                <w:sz w:val="24"/>
                <w:szCs w:val="24"/>
                <w:lang w:val="lv-LV" w:eastAsia="lv-LV" w:bidi="ar-SA"/>
              </w:rPr>
              <w:t xml:space="preserve">darbību </w:t>
            </w:r>
            <w:r w:rsidR="00621B54" w:rsidRPr="00155450">
              <w:rPr>
                <w:rFonts w:cs="Times New Roman"/>
                <w:sz w:val="24"/>
                <w:szCs w:val="24"/>
                <w:lang w:val="lv-LV" w:eastAsia="lv-LV" w:bidi="ar-SA"/>
              </w:rPr>
              <w:t>arī turpmākajiem trim gadiem.</w:t>
            </w:r>
          </w:p>
          <w:p w14:paraId="10F7A9EA" w14:textId="77777777" w:rsidR="00621B54" w:rsidRDefault="00621B54" w:rsidP="00EB4F0A">
            <w:pPr>
              <w:jc w:val="both"/>
              <w:rPr>
                <w:rFonts w:cs="Times New Roman"/>
                <w:sz w:val="24"/>
                <w:szCs w:val="24"/>
                <w:lang w:val="lv-LV" w:eastAsia="lv-LV" w:bidi="ar-SA"/>
              </w:rPr>
            </w:pPr>
          </w:p>
          <w:p w14:paraId="083E3194" w14:textId="360C3F3C" w:rsidR="00EB4F0A" w:rsidRPr="00C94B4A" w:rsidRDefault="00621B54" w:rsidP="00EB4F0A">
            <w:pPr>
              <w:jc w:val="both"/>
              <w:rPr>
                <w:rFonts w:cs="Times New Roman"/>
                <w:sz w:val="24"/>
                <w:szCs w:val="24"/>
                <w:lang w:val="lv-LV" w:eastAsia="lv-LV" w:bidi="ar-SA"/>
              </w:rPr>
            </w:pPr>
            <w:r>
              <w:rPr>
                <w:rFonts w:cs="Times New Roman"/>
                <w:sz w:val="24"/>
                <w:szCs w:val="24"/>
                <w:lang w:val="lv-LV" w:eastAsia="lv-LV" w:bidi="ar-SA"/>
              </w:rPr>
              <w:t xml:space="preserve">7. </w:t>
            </w:r>
            <w:r w:rsidR="00EB4F0A" w:rsidRPr="00C94B4A">
              <w:rPr>
                <w:rFonts w:cs="Times New Roman"/>
                <w:sz w:val="24"/>
                <w:szCs w:val="24"/>
                <w:lang w:val="lv-LV" w:eastAsia="lv-LV" w:bidi="ar-SA"/>
              </w:rPr>
              <w:t>Ministru kabineta 2010.gada 30.novembra noteikumi Nr.1075 „Valsts un pašvaldību amatu katalogs” (turpmāk – amatu katalogs) satur amatu sistematizētu apkopojumu, kas ir par pamatu atlīdzības noteikšanā</w:t>
            </w:r>
            <w:r w:rsidR="00F27609">
              <w:rPr>
                <w:rFonts w:cs="Times New Roman"/>
                <w:sz w:val="24"/>
                <w:szCs w:val="24"/>
                <w:lang w:val="lv-LV" w:eastAsia="lv-LV" w:bidi="ar-SA"/>
              </w:rPr>
              <w:t xml:space="preserve"> valsts un pašvaldību institūcijās</w:t>
            </w:r>
            <w:r w:rsidR="00EB4F0A" w:rsidRPr="00C94B4A">
              <w:rPr>
                <w:rFonts w:cs="Times New Roman"/>
                <w:sz w:val="24"/>
                <w:szCs w:val="24"/>
                <w:lang w:val="lv-LV" w:eastAsia="lv-LV" w:bidi="ar-SA"/>
              </w:rPr>
              <w:t>.  Valsts kanceleja no pašvaldībām ir saņēmusi priekšlikumu par amata kataloga papildināšanu ar jaunu amatu saimi “Tūrisma organizēšana”. Amati, kuru pildītāji nodrošina tūrisma pakalpojumu informācijas apkopošanu, nodrošina informācijas sniegšanu par tūrisma objektiem un pakalpojumiem un sekmē tūrisma attīstību, ir būtiski pašvaldību veicamo funkciju nodrošināšanā, līdz ar to ir svarīgi pareizi veikt šo amatu klasifikāciju, kā arī secīgi atlīdzības noteikšanu.</w:t>
            </w:r>
          </w:p>
          <w:p w14:paraId="5500BDC0" w14:textId="77777777" w:rsidR="00EB4F0A" w:rsidRPr="00C94B4A" w:rsidRDefault="00EB4F0A" w:rsidP="00EB4F0A">
            <w:pPr>
              <w:jc w:val="both"/>
              <w:rPr>
                <w:rFonts w:cs="Times New Roman"/>
                <w:sz w:val="24"/>
                <w:szCs w:val="24"/>
                <w:lang w:val="lv-LV" w:eastAsia="lv-LV" w:bidi="ar-SA"/>
              </w:rPr>
            </w:pPr>
            <w:r w:rsidRPr="00C94B4A">
              <w:rPr>
                <w:rFonts w:cs="Times New Roman"/>
                <w:sz w:val="24"/>
                <w:szCs w:val="24"/>
                <w:lang w:val="lv-LV" w:eastAsia="lv-LV" w:bidi="ar-SA"/>
              </w:rPr>
              <w:lastRenderedPageBreak/>
              <w:t>Lai Valsts kanceleja varētu izstrādāt grozījumus amatu katalogā, papildinot tā amatu saimes ar jaunu saimi - “57.Tūrisma organizēšana”, nepieciešams veikt grozījumus atlīdzības likuma 1.pielikumā iekļaujot tajā šīs saimes aprakstu, kā arī 2.pielikumā, atbilstoši  amata novērtējumam, nosakot attiecīgajai amata saimei atbilstošo maksimālo mēnešalgu grupu:</w:t>
            </w:r>
          </w:p>
          <w:p w14:paraId="187C576D" w14:textId="77777777" w:rsidR="00EB4F0A" w:rsidRPr="002A5E94" w:rsidRDefault="00EB4F0A" w:rsidP="00EB4F0A">
            <w:pPr>
              <w:jc w:val="both"/>
              <w:rPr>
                <w:rFonts w:cs="Times New Roman"/>
                <w:sz w:val="24"/>
                <w:szCs w:val="24"/>
                <w:lang w:val="lv-LV" w:eastAsia="lv-LV" w:bidi="ar-SA"/>
              </w:rPr>
            </w:pPr>
            <w:r w:rsidRPr="00C94B4A">
              <w:rPr>
                <w:rFonts w:cs="Times New Roman"/>
                <w:sz w:val="24"/>
                <w:szCs w:val="24"/>
                <w:lang w:val="lv-LV" w:eastAsia="lv-LV" w:bidi="ar-SA"/>
              </w:rPr>
              <w:t>“57.Tūrisma organizēšana”  - 11.</w:t>
            </w:r>
            <w:r w:rsidR="00155450">
              <w:rPr>
                <w:rFonts w:cs="Times New Roman"/>
                <w:sz w:val="24"/>
                <w:szCs w:val="24"/>
                <w:lang w:val="lv-LV" w:eastAsia="lv-LV" w:bidi="ar-SA"/>
              </w:rPr>
              <w:t>mēneš</w:t>
            </w:r>
            <w:r w:rsidRPr="00C94B4A">
              <w:rPr>
                <w:rFonts w:cs="Times New Roman"/>
                <w:sz w:val="24"/>
                <w:szCs w:val="24"/>
                <w:lang w:val="lv-LV" w:eastAsia="lv-LV" w:bidi="ar-SA"/>
              </w:rPr>
              <w:t xml:space="preserve">algu grupa.   </w:t>
            </w:r>
          </w:p>
        </w:tc>
      </w:tr>
      <w:tr w:rsidR="00EC322A" w:rsidRPr="002A5E94" w14:paraId="68BA3629" w14:textId="77777777" w:rsidTr="00311D9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71FECC9" w14:textId="77777777" w:rsidR="00EC322A" w:rsidRPr="002A5E94" w:rsidRDefault="00EC322A" w:rsidP="00EC322A">
            <w:pPr>
              <w:rPr>
                <w:rFonts w:cs="Times New Roman"/>
                <w:sz w:val="24"/>
                <w:szCs w:val="24"/>
                <w:lang w:val="lv-LV"/>
              </w:rPr>
            </w:pPr>
            <w:r w:rsidRPr="002A5E94">
              <w:rPr>
                <w:rFonts w:cs="Times New Roman"/>
                <w:sz w:val="24"/>
                <w:szCs w:val="24"/>
                <w:lang w:val="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ECBA6C5" w14:textId="77777777" w:rsidR="00EC322A" w:rsidRPr="002A5E94" w:rsidRDefault="00EC322A" w:rsidP="00EC322A">
            <w:pPr>
              <w:rPr>
                <w:rFonts w:cs="Times New Roman"/>
                <w:sz w:val="24"/>
                <w:szCs w:val="24"/>
                <w:lang w:val="lv-LV"/>
              </w:rPr>
            </w:pPr>
            <w:r w:rsidRPr="002A5E94">
              <w:rPr>
                <w:rFonts w:cs="Times New Roman"/>
                <w:sz w:val="24"/>
                <w:szCs w:val="24"/>
                <w:lang w:val="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5C9C5E8" w14:textId="77777777" w:rsidR="00EC322A" w:rsidRPr="002A5E94" w:rsidRDefault="00A6370C" w:rsidP="00A6370C">
            <w:pPr>
              <w:rPr>
                <w:rFonts w:cs="Times New Roman"/>
                <w:sz w:val="24"/>
                <w:szCs w:val="24"/>
                <w:lang w:val="lv-LV"/>
              </w:rPr>
            </w:pPr>
            <w:r>
              <w:rPr>
                <w:rFonts w:cs="Times New Roman"/>
                <w:sz w:val="24"/>
                <w:szCs w:val="24"/>
                <w:lang w:val="lv-LV" w:eastAsia="lv-LV" w:bidi="ar-SA"/>
              </w:rPr>
              <w:t xml:space="preserve">Valsts kanceleja, </w:t>
            </w:r>
            <w:r w:rsidRPr="002A5E94">
              <w:rPr>
                <w:rFonts w:cs="Times New Roman"/>
                <w:sz w:val="24"/>
                <w:szCs w:val="24"/>
                <w:lang w:val="lv-LV" w:eastAsia="lv-LV" w:bidi="ar-SA"/>
              </w:rPr>
              <w:t>Aizsardzības ministrija</w:t>
            </w:r>
            <w:r>
              <w:rPr>
                <w:rFonts w:cs="Times New Roman"/>
                <w:sz w:val="24"/>
                <w:szCs w:val="24"/>
                <w:lang w:val="lv-LV" w:eastAsia="lv-LV" w:bidi="ar-SA"/>
              </w:rPr>
              <w:t>,</w:t>
            </w:r>
            <w:r w:rsidRPr="002A5E94">
              <w:rPr>
                <w:rFonts w:cs="Times New Roman"/>
                <w:sz w:val="24"/>
                <w:szCs w:val="24"/>
                <w:lang w:val="lv-LV" w:eastAsia="lv-LV" w:bidi="ar-SA"/>
              </w:rPr>
              <w:t xml:space="preserve"> </w:t>
            </w:r>
            <w:r w:rsidR="00EC322A" w:rsidRPr="002A5E94">
              <w:rPr>
                <w:rFonts w:cs="Times New Roman"/>
                <w:sz w:val="24"/>
                <w:szCs w:val="24"/>
                <w:lang w:val="lv-LV" w:eastAsia="lv-LV" w:bidi="ar-SA"/>
              </w:rPr>
              <w:t>Nacionālie bruņotie spēki</w:t>
            </w:r>
            <w:r>
              <w:rPr>
                <w:rFonts w:cs="Times New Roman"/>
                <w:sz w:val="24"/>
                <w:szCs w:val="24"/>
                <w:lang w:val="lv-LV" w:eastAsia="lv-LV" w:bidi="ar-SA"/>
              </w:rPr>
              <w:t>.</w:t>
            </w:r>
            <w:r w:rsidR="00EC322A" w:rsidRPr="002A5E94">
              <w:rPr>
                <w:rFonts w:cs="Times New Roman"/>
                <w:sz w:val="24"/>
                <w:szCs w:val="24"/>
                <w:lang w:val="lv-LV" w:eastAsia="lv-LV" w:bidi="ar-SA"/>
              </w:rPr>
              <w:t xml:space="preserve"> </w:t>
            </w:r>
          </w:p>
        </w:tc>
      </w:tr>
      <w:tr w:rsidR="00EC322A" w:rsidRPr="00F74FA8" w14:paraId="53B954B1" w14:textId="77777777" w:rsidTr="00311D9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BCBDC7" w14:textId="77777777" w:rsidR="00EC322A" w:rsidRPr="002A5E94" w:rsidRDefault="00EC322A" w:rsidP="00EC322A">
            <w:pPr>
              <w:rPr>
                <w:rFonts w:cs="Times New Roman"/>
                <w:sz w:val="24"/>
                <w:szCs w:val="24"/>
                <w:lang w:val="lv-LV"/>
              </w:rPr>
            </w:pPr>
            <w:r w:rsidRPr="002A5E94">
              <w:rPr>
                <w:rFonts w:cs="Times New Roman"/>
                <w:sz w:val="24"/>
                <w:szCs w:val="24"/>
                <w:lang w:val="lv-LV"/>
              </w:rPr>
              <w:t>4.</w:t>
            </w:r>
          </w:p>
        </w:tc>
        <w:tc>
          <w:tcPr>
            <w:tcW w:w="1550" w:type="pct"/>
            <w:tcBorders>
              <w:top w:val="outset" w:sz="6" w:space="0" w:color="auto"/>
              <w:left w:val="outset" w:sz="6" w:space="0" w:color="auto"/>
              <w:bottom w:val="outset" w:sz="6" w:space="0" w:color="auto"/>
              <w:right w:val="outset" w:sz="6" w:space="0" w:color="auto"/>
            </w:tcBorders>
            <w:hideMark/>
          </w:tcPr>
          <w:p w14:paraId="45C950F0" w14:textId="77777777" w:rsidR="00EC322A" w:rsidRPr="002A5E94" w:rsidRDefault="00EC322A" w:rsidP="00EC322A">
            <w:pPr>
              <w:rPr>
                <w:rFonts w:cs="Times New Roman"/>
                <w:sz w:val="24"/>
                <w:szCs w:val="24"/>
                <w:lang w:val="lv-LV"/>
              </w:rPr>
            </w:pPr>
            <w:r w:rsidRPr="002A5E94">
              <w:rPr>
                <w:rFonts w:cs="Times New Roman"/>
                <w:sz w:val="24"/>
                <w:szCs w:val="24"/>
                <w:lang w:val="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732D244" w14:textId="77777777" w:rsidR="00EC322A" w:rsidRPr="002A5E94" w:rsidRDefault="00B2489F" w:rsidP="00B2489F">
            <w:pPr>
              <w:jc w:val="both"/>
              <w:rPr>
                <w:rFonts w:cs="Times New Roman"/>
                <w:sz w:val="24"/>
                <w:szCs w:val="24"/>
                <w:lang w:val="lv-LV"/>
              </w:rPr>
            </w:pPr>
            <w:r>
              <w:rPr>
                <w:rFonts w:cs="Times New Roman"/>
                <w:sz w:val="24"/>
                <w:szCs w:val="24"/>
                <w:lang w:val="lv-LV" w:eastAsia="lv-LV" w:bidi="ar-SA"/>
              </w:rPr>
              <w:t>A</w:t>
            </w:r>
            <w:r w:rsidR="00EC322A" w:rsidRPr="002A5E94">
              <w:rPr>
                <w:rFonts w:cs="Times New Roman"/>
                <w:sz w:val="24"/>
                <w:szCs w:val="24"/>
                <w:lang w:val="lv-LV" w:eastAsia="lv-LV" w:bidi="ar-SA"/>
              </w:rPr>
              <w:t xml:space="preserve">tlīdzības likuma 41.panta trešās daļas nosacījumus Aizsardzības ministrija 2015. un turpmākajos gados īstenos atbilstoši tai piešķirtajiem valsts budžeta līdzekļiem budžeta programmas 22.00.00 „Nacionālie bruņotie spēki” apakšprogrammas 22.10.00 „Starptautisko operāciju un Nacionālo bruņoto spēku personālsastāva centralizētais atalgojums” ietvaros.   </w:t>
            </w:r>
          </w:p>
        </w:tc>
      </w:tr>
    </w:tbl>
    <w:p w14:paraId="07F2E9EA" w14:textId="77777777" w:rsidR="00EC322A" w:rsidRPr="002A5E94" w:rsidRDefault="00EC322A" w:rsidP="00EC322A">
      <w:pPr>
        <w:rPr>
          <w:rFonts w:cs="Times New Roman"/>
          <w:sz w:val="24"/>
          <w:szCs w:val="24"/>
          <w:lang w:val="lv-LV"/>
        </w:rPr>
      </w:pPr>
      <w:r w:rsidRPr="002A5E94">
        <w:rPr>
          <w:rFonts w:cs="Times New Roman"/>
          <w:sz w:val="24"/>
          <w:szCs w:val="24"/>
          <w:lang w:val="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5"/>
        <w:gridCol w:w="5278"/>
      </w:tblGrid>
      <w:tr w:rsidR="00EC322A" w:rsidRPr="00F74FA8" w14:paraId="7C021AB8" w14:textId="77777777" w:rsidTr="00311D9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460CC" w14:textId="77777777" w:rsidR="00EC322A" w:rsidRPr="002A5E94" w:rsidRDefault="00EC322A" w:rsidP="00EC322A">
            <w:pPr>
              <w:jc w:val="center"/>
              <w:rPr>
                <w:rFonts w:cs="Times New Roman"/>
                <w:b/>
                <w:bCs/>
                <w:sz w:val="24"/>
                <w:szCs w:val="24"/>
                <w:lang w:val="lv-LV"/>
              </w:rPr>
            </w:pPr>
            <w:r w:rsidRPr="002A5E94">
              <w:rPr>
                <w:rFonts w:cs="Times New Roman"/>
                <w:b/>
                <w:bCs/>
                <w:sz w:val="24"/>
                <w:szCs w:val="24"/>
                <w:lang w:val="lv-LV"/>
              </w:rPr>
              <w:t>II. Tiesību akta projekta ietekme uz sabiedrību, tautsaimniecības attīstību un administratīvo slogu</w:t>
            </w:r>
          </w:p>
        </w:tc>
      </w:tr>
      <w:tr w:rsidR="00EC322A" w:rsidRPr="002A5E94" w14:paraId="508DBD88" w14:textId="77777777" w:rsidTr="00311D9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7C7EFEA" w14:textId="77777777" w:rsidR="00EC322A" w:rsidRPr="002A5E94" w:rsidRDefault="00EC322A" w:rsidP="00EC322A">
            <w:pPr>
              <w:rPr>
                <w:rFonts w:cs="Times New Roman"/>
                <w:sz w:val="24"/>
                <w:szCs w:val="24"/>
                <w:lang w:val="lv-LV"/>
              </w:rPr>
            </w:pPr>
            <w:r w:rsidRPr="002A5E94">
              <w:rPr>
                <w:rFonts w:cs="Times New Roman"/>
                <w:sz w:val="24"/>
                <w:szCs w:val="24"/>
                <w:lang w:val="lv-LV"/>
              </w:rPr>
              <w:t>1.</w:t>
            </w:r>
          </w:p>
        </w:tc>
        <w:tc>
          <w:tcPr>
            <w:tcW w:w="1550" w:type="pct"/>
            <w:tcBorders>
              <w:top w:val="outset" w:sz="6" w:space="0" w:color="auto"/>
              <w:left w:val="outset" w:sz="6" w:space="0" w:color="auto"/>
              <w:bottom w:val="outset" w:sz="6" w:space="0" w:color="auto"/>
              <w:right w:val="outset" w:sz="6" w:space="0" w:color="auto"/>
            </w:tcBorders>
            <w:hideMark/>
          </w:tcPr>
          <w:p w14:paraId="4C4BD393" w14:textId="77777777" w:rsidR="00EC322A" w:rsidRPr="002A5E94" w:rsidRDefault="00EC322A" w:rsidP="00EC322A">
            <w:pPr>
              <w:rPr>
                <w:rFonts w:cs="Times New Roman"/>
                <w:sz w:val="24"/>
                <w:szCs w:val="24"/>
                <w:lang w:val="lv-LV"/>
              </w:rPr>
            </w:pPr>
            <w:r w:rsidRPr="002A5E94">
              <w:rPr>
                <w:rFonts w:cs="Times New Roman"/>
                <w:sz w:val="24"/>
                <w:szCs w:val="24"/>
                <w:lang w:val="lv-LV"/>
              </w:rPr>
              <w:t xml:space="preserve">Sabiedrības </w:t>
            </w:r>
            <w:proofErr w:type="spellStart"/>
            <w:r w:rsidRPr="002A5E94">
              <w:rPr>
                <w:rFonts w:cs="Times New Roman"/>
                <w:sz w:val="24"/>
                <w:szCs w:val="24"/>
                <w:lang w:val="lv-LV"/>
              </w:rPr>
              <w:t>mērķgrupas</w:t>
            </w:r>
            <w:proofErr w:type="spellEnd"/>
            <w:r w:rsidRPr="002A5E94">
              <w:rPr>
                <w:rFonts w:cs="Times New Roman"/>
                <w:sz w:val="24"/>
                <w:szCs w:val="24"/>
                <w:lang w:val="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4009A14" w14:textId="77777777" w:rsidR="002A5E94" w:rsidRPr="002A5E94" w:rsidRDefault="002A5E94" w:rsidP="00EC322A">
            <w:pPr>
              <w:jc w:val="both"/>
              <w:rPr>
                <w:rFonts w:cs="Times New Roman"/>
                <w:sz w:val="24"/>
                <w:szCs w:val="24"/>
                <w:lang w:val="lv-LV" w:eastAsia="lv-LV" w:bidi="ar-SA"/>
              </w:rPr>
            </w:pPr>
            <w:r w:rsidRPr="002A5E94">
              <w:rPr>
                <w:rFonts w:cs="Times New Roman"/>
                <w:sz w:val="24"/>
                <w:szCs w:val="24"/>
                <w:lang w:val="lv-LV" w:eastAsia="lv-LV" w:bidi="ar-SA"/>
              </w:rPr>
              <w:t>Valsts un pašvaldību institūcijās nodarbinātie.</w:t>
            </w:r>
          </w:p>
          <w:p w14:paraId="7623A56A" w14:textId="77777777" w:rsidR="00EC322A" w:rsidRPr="002A5E94" w:rsidRDefault="00EC322A" w:rsidP="00EC322A">
            <w:pPr>
              <w:jc w:val="both"/>
              <w:rPr>
                <w:rFonts w:cs="Times New Roman"/>
                <w:sz w:val="24"/>
                <w:szCs w:val="24"/>
                <w:lang w:val="lv-LV"/>
              </w:rPr>
            </w:pPr>
            <w:r w:rsidRPr="002A5E94">
              <w:rPr>
                <w:rFonts w:cs="Times New Roman"/>
                <w:sz w:val="24"/>
                <w:szCs w:val="24"/>
                <w:lang w:val="lv-LV" w:eastAsia="lv-LV" w:bidi="ar-SA"/>
              </w:rPr>
              <w:t>Nacionālo bruņoto spēku profesionālā dienesta karavīri</w:t>
            </w:r>
            <w:r w:rsidR="002A5E94" w:rsidRPr="002A5E94">
              <w:rPr>
                <w:rFonts w:cs="Times New Roman"/>
                <w:sz w:val="24"/>
                <w:szCs w:val="24"/>
                <w:lang w:val="lv-LV" w:eastAsia="lv-LV" w:bidi="ar-SA"/>
              </w:rPr>
              <w:t>.</w:t>
            </w:r>
          </w:p>
        </w:tc>
      </w:tr>
      <w:tr w:rsidR="00EC322A" w:rsidRPr="002A5E94" w14:paraId="2F5FAB44" w14:textId="77777777" w:rsidTr="00311D9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ACE524" w14:textId="77777777" w:rsidR="00EC322A" w:rsidRPr="002A5E94" w:rsidRDefault="00EC322A" w:rsidP="00EC322A">
            <w:pPr>
              <w:rPr>
                <w:rFonts w:cs="Times New Roman"/>
                <w:sz w:val="24"/>
                <w:szCs w:val="24"/>
                <w:lang w:val="lv-LV"/>
              </w:rPr>
            </w:pPr>
            <w:r w:rsidRPr="002A5E94">
              <w:rPr>
                <w:rFonts w:cs="Times New Roman"/>
                <w:sz w:val="24"/>
                <w:szCs w:val="24"/>
                <w:lang w:val="lv-LV"/>
              </w:rPr>
              <w:t>2.</w:t>
            </w:r>
          </w:p>
        </w:tc>
        <w:tc>
          <w:tcPr>
            <w:tcW w:w="1550" w:type="pct"/>
            <w:tcBorders>
              <w:top w:val="outset" w:sz="6" w:space="0" w:color="auto"/>
              <w:left w:val="outset" w:sz="6" w:space="0" w:color="auto"/>
              <w:bottom w:val="outset" w:sz="6" w:space="0" w:color="auto"/>
              <w:right w:val="outset" w:sz="6" w:space="0" w:color="auto"/>
            </w:tcBorders>
            <w:hideMark/>
          </w:tcPr>
          <w:p w14:paraId="4BDF9502" w14:textId="77777777" w:rsidR="00EC322A" w:rsidRPr="002A5E94" w:rsidRDefault="00EC322A" w:rsidP="00EC322A">
            <w:pPr>
              <w:rPr>
                <w:rFonts w:cs="Times New Roman"/>
                <w:sz w:val="24"/>
                <w:szCs w:val="24"/>
                <w:lang w:val="lv-LV"/>
              </w:rPr>
            </w:pPr>
            <w:r w:rsidRPr="002A5E94">
              <w:rPr>
                <w:rFonts w:cs="Times New Roman"/>
                <w:sz w:val="24"/>
                <w:szCs w:val="24"/>
                <w:lang w:val="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B643C06" w14:textId="77777777" w:rsidR="00EC322A" w:rsidRPr="002A5E94" w:rsidRDefault="00EC322A" w:rsidP="00EC322A">
            <w:pPr>
              <w:rPr>
                <w:rFonts w:cs="Times New Roman"/>
                <w:sz w:val="24"/>
                <w:szCs w:val="24"/>
                <w:lang w:val="lv-LV"/>
              </w:rPr>
            </w:pPr>
            <w:r w:rsidRPr="002A5E94">
              <w:rPr>
                <w:rFonts w:cs="Times New Roman"/>
                <w:sz w:val="24"/>
                <w:szCs w:val="24"/>
                <w:lang w:val="lv-LV"/>
              </w:rPr>
              <w:t xml:space="preserve">Projekts šo jomu neskar. </w:t>
            </w:r>
          </w:p>
        </w:tc>
      </w:tr>
      <w:tr w:rsidR="00EC322A" w:rsidRPr="002A5E94" w14:paraId="05CA72A8" w14:textId="77777777" w:rsidTr="00311D9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3A1790" w14:textId="77777777" w:rsidR="00EC322A" w:rsidRPr="002A5E94" w:rsidRDefault="00EC322A" w:rsidP="00EC322A">
            <w:pPr>
              <w:rPr>
                <w:rFonts w:cs="Times New Roman"/>
                <w:sz w:val="24"/>
                <w:szCs w:val="24"/>
                <w:lang w:val="lv-LV"/>
              </w:rPr>
            </w:pPr>
            <w:r w:rsidRPr="002A5E94">
              <w:rPr>
                <w:rFonts w:cs="Times New Roman"/>
                <w:sz w:val="24"/>
                <w:szCs w:val="24"/>
                <w:lang w:val="lv-LV"/>
              </w:rPr>
              <w:t>3.</w:t>
            </w:r>
          </w:p>
        </w:tc>
        <w:tc>
          <w:tcPr>
            <w:tcW w:w="1550" w:type="pct"/>
            <w:tcBorders>
              <w:top w:val="outset" w:sz="6" w:space="0" w:color="auto"/>
              <w:left w:val="outset" w:sz="6" w:space="0" w:color="auto"/>
              <w:bottom w:val="outset" w:sz="6" w:space="0" w:color="auto"/>
              <w:right w:val="outset" w:sz="6" w:space="0" w:color="auto"/>
            </w:tcBorders>
            <w:hideMark/>
          </w:tcPr>
          <w:p w14:paraId="43A6AA35" w14:textId="77777777" w:rsidR="00EC322A" w:rsidRPr="002A5E94" w:rsidRDefault="00EC322A" w:rsidP="00EC322A">
            <w:pPr>
              <w:rPr>
                <w:rFonts w:cs="Times New Roman"/>
                <w:sz w:val="24"/>
                <w:szCs w:val="24"/>
                <w:lang w:val="lv-LV"/>
              </w:rPr>
            </w:pPr>
            <w:r w:rsidRPr="002A5E94">
              <w:rPr>
                <w:rFonts w:cs="Times New Roman"/>
                <w:sz w:val="24"/>
                <w:szCs w:val="24"/>
                <w:lang w:val="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BDC8440" w14:textId="77777777" w:rsidR="00EC322A" w:rsidRPr="002A5E94" w:rsidRDefault="00EC322A" w:rsidP="00EC322A">
            <w:pPr>
              <w:rPr>
                <w:rFonts w:cs="Times New Roman"/>
                <w:sz w:val="24"/>
                <w:szCs w:val="24"/>
                <w:lang w:val="lv-LV"/>
              </w:rPr>
            </w:pPr>
            <w:r w:rsidRPr="002A5E94">
              <w:rPr>
                <w:rFonts w:cs="Times New Roman"/>
                <w:sz w:val="24"/>
                <w:szCs w:val="24"/>
                <w:lang w:val="lv-LV"/>
              </w:rPr>
              <w:t>Projekts šo jomu neskar.</w:t>
            </w:r>
          </w:p>
        </w:tc>
      </w:tr>
      <w:tr w:rsidR="00EC322A" w:rsidRPr="002A5E94" w14:paraId="4F555D43" w14:textId="77777777" w:rsidTr="00311D9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9D3D9F" w14:textId="77777777" w:rsidR="00EC322A" w:rsidRPr="002A5E94" w:rsidRDefault="00EC322A" w:rsidP="00EC322A">
            <w:pPr>
              <w:rPr>
                <w:rFonts w:cs="Times New Roman"/>
                <w:sz w:val="24"/>
                <w:szCs w:val="24"/>
                <w:lang w:val="lv-LV"/>
              </w:rPr>
            </w:pPr>
            <w:r w:rsidRPr="002A5E94">
              <w:rPr>
                <w:rFonts w:cs="Times New Roman"/>
                <w:sz w:val="24"/>
                <w:szCs w:val="24"/>
                <w:lang w:val="lv-LV"/>
              </w:rPr>
              <w:t>4.</w:t>
            </w:r>
          </w:p>
        </w:tc>
        <w:tc>
          <w:tcPr>
            <w:tcW w:w="1550" w:type="pct"/>
            <w:tcBorders>
              <w:top w:val="outset" w:sz="6" w:space="0" w:color="auto"/>
              <w:left w:val="outset" w:sz="6" w:space="0" w:color="auto"/>
              <w:bottom w:val="outset" w:sz="6" w:space="0" w:color="auto"/>
              <w:right w:val="outset" w:sz="6" w:space="0" w:color="auto"/>
            </w:tcBorders>
            <w:hideMark/>
          </w:tcPr>
          <w:p w14:paraId="2551C525" w14:textId="77777777" w:rsidR="00EC322A" w:rsidRPr="002A5E94" w:rsidRDefault="00EC322A" w:rsidP="00EC322A">
            <w:pPr>
              <w:rPr>
                <w:rFonts w:cs="Times New Roman"/>
                <w:sz w:val="24"/>
                <w:szCs w:val="24"/>
                <w:lang w:val="lv-LV"/>
              </w:rPr>
            </w:pPr>
            <w:r w:rsidRPr="002A5E94">
              <w:rPr>
                <w:rFonts w:cs="Times New Roman"/>
                <w:sz w:val="24"/>
                <w:szCs w:val="24"/>
                <w:lang w:val="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4D04E1C0" w14:textId="77777777" w:rsidR="00EC322A" w:rsidRPr="002A5E94" w:rsidRDefault="00EC322A" w:rsidP="00EC322A">
            <w:pPr>
              <w:rPr>
                <w:rFonts w:cs="Times New Roman"/>
                <w:sz w:val="24"/>
                <w:szCs w:val="24"/>
                <w:lang w:val="lv-LV"/>
              </w:rPr>
            </w:pPr>
            <w:r w:rsidRPr="002A5E94">
              <w:rPr>
                <w:rFonts w:cs="Times New Roman"/>
                <w:sz w:val="24"/>
                <w:szCs w:val="24"/>
                <w:lang w:val="lv-LV"/>
              </w:rPr>
              <w:t>Nav.</w:t>
            </w:r>
          </w:p>
        </w:tc>
      </w:tr>
    </w:tbl>
    <w:p w14:paraId="18E7BD5E" w14:textId="77777777" w:rsidR="002F14F1" w:rsidRPr="002A5E94" w:rsidRDefault="00EC322A" w:rsidP="00EC322A">
      <w:pPr>
        <w:rPr>
          <w:rFonts w:cs="Times New Roman"/>
          <w:sz w:val="24"/>
          <w:szCs w:val="24"/>
          <w:lang w:val="lv-LV"/>
        </w:rPr>
      </w:pPr>
      <w:r w:rsidRPr="002A5E94">
        <w:rPr>
          <w:rFonts w:cs="Times New Roman"/>
          <w:sz w:val="24"/>
          <w:szCs w:val="24"/>
          <w:lang w:val="lv-LV"/>
        </w:rPr>
        <w:t> </w:t>
      </w:r>
    </w:p>
    <w:tbl>
      <w:tblPr>
        <w:tblW w:w="815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5"/>
        <w:gridCol w:w="61"/>
        <w:gridCol w:w="950"/>
        <w:gridCol w:w="1298"/>
        <w:gridCol w:w="1377"/>
        <w:gridCol w:w="1275"/>
        <w:gridCol w:w="1359"/>
      </w:tblGrid>
      <w:tr w:rsidR="00EC322A" w:rsidRPr="00F74FA8" w14:paraId="1551D461" w14:textId="77777777" w:rsidTr="002F14F1">
        <w:trPr>
          <w:trHeight w:val="360"/>
          <w:tblCellSpacing w:w="15" w:type="dxa"/>
          <w:jc w:val="center"/>
        </w:trPr>
        <w:tc>
          <w:tcPr>
            <w:tcW w:w="8095" w:type="dxa"/>
            <w:gridSpan w:val="7"/>
            <w:tcBorders>
              <w:top w:val="outset" w:sz="6" w:space="0" w:color="auto"/>
              <w:left w:val="outset" w:sz="6" w:space="0" w:color="auto"/>
              <w:bottom w:val="outset" w:sz="6" w:space="0" w:color="auto"/>
              <w:right w:val="outset" w:sz="6" w:space="0" w:color="auto"/>
            </w:tcBorders>
            <w:vAlign w:val="center"/>
            <w:hideMark/>
          </w:tcPr>
          <w:p w14:paraId="0D587374" w14:textId="77777777" w:rsidR="00EC322A" w:rsidRPr="00D9598F" w:rsidRDefault="00EC322A" w:rsidP="00EC322A">
            <w:pPr>
              <w:jc w:val="center"/>
              <w:rPr>
                <w:rFonts w:cs="Times New Roman"/>
                <w:b/>
                <w:bCs/>
                <w:sz w:val="22"/>
                <w:szCs w:val="22"/>
                <w:lang w:val="lv-LV"/>
              </w:rPr>
            </w:pPr>
            <w:r w:rsidRPr="00D9598F">
              <w:rPr>
                <w:rFonts w:cs="Times New Roman"/>
                <w:b/>
                <w:bCs/>
                <w:sz w:val="22"/>
                <w:szCs w:val="22"/>
                <w:lang w:val="lv-LV"/>
              </w:rPr>
              <w:t>III. Tiesību akta projekta ietekme uz valsts budžetu un pašvaldību budžetiem</w:t>
            </w:r>
          </w:p>
        </w:tc>
      </w:tr>
      <w:tr w:rsidR="002A5E94" w:rsidRPr="00D9598F" w14:paraId="519352F8" w14:textId="77777777" w:rsidTr="002F14F1">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vMerge w:val="restart"/>
            <w:tcBorders>
              <w:top w:val="single" w:sz="4" w:space="0" w:color="auto"/>
              <w:left w:val="single" w:sz="4" w:space="0" w:color="auto"/>
              <w:bottom w:val="single" w:sz="4" w:space="0" w:color="auto"/>
              <w:right w:val="single" w:sz="4" w:space="0" w:color="auto"/>
            </w:tcBorders>
            <w:vAlign w:val="center"/>
          </w:tcPr>
          <w:p w14:paraId="7F4D394B" w14:textId="77777777" w:rsidR="002A5E94" w:rsidRPr="00D9598F" w:rsidRDefault="00EC322A" w:rsidP="0097252C">
            <w:pPr>
              <w:pStyle w:val="NormalWeb"/>
              <w:jc w:val="center"/>
              <w:rPr>
                <w:rFonts w:ascii="Times New Roman" w:hAnsi="Times New Roman"/>
                <w:b/>
                <w:bCs/>
                <w:sz w:val="22"/>
                <w:szCs w:val="22"/>
              </w:rPr>
            </w:pPr>
            <w:r w:rsidRPr="00D9598F">
              <w:rPr>
                <w:rFonts w:ascii="Times New Roman" w:hAnsi="Times New Roman"/>
                <w:sz w:val="22"/>
                <w:szCs w:val="22"/>
              </w:rPr>
              <w:t> </w:t>
            </w:r>
            <w:r w:rsidR="002A5E94" w:rsidRPr="00D9598F">
              <w:rPr>
                <w:rFonts w:ascii="Times New Roman" w:hAnsi="Times New Roman"/>
                <w:b/>
                <w:bCs/>
                <w:sz w:val="22"/>
                <w:szCs w:val="22"/>
              </w:rPr>
              <w:t>Rādītāji</w:t>
            </w:r>
          </w:p>
        </w:tc>
        <w:tc>
          <w:tcPr>
            <w:tcW w:w="2218" w:type="dxa"/>
            <w:gridSpan w:val="2"/>
            <w:vMerge w:val="restart"/>
            <w:tcBorders>
              <w:top w:val="single" w:sz="4" w:space="0" w:color="auto"/>
              <w:left w:val="single" w:sz="4" w:space="0" w:color="auto"/>
              <w:bottom w:val="single" w:sz="4" w:space="0" w:color="auto"/>
              <w:right w:val="single" w:sz="4" w:space="0" w:color="auto"/>
            </w:tcBorders>
            <w:vAlign w:val="center"/>
          </w:tcPr>
          <w:p w14:paraId="509BEAF4" w14:textId="77777777" w:rsidR="002A5E94" w:rsidRPr="00D9598F" w:rsidRDefault="002A5E94" w:rsidP="002A5E94">
            <w:pPr>
              <w:pStyle w:val="NormalWeb"/>
              <w:jc w:val="center"/>
              <w:rPr>
                <w:rFonts w:ascii="Times New Roman" w:hAnsi="Times New Roman"/>
                <w:b/>
                <w:bCs/>
                <w:sz w:val="22"/>
                <w:szCs w:val="22"/>
              </w:rPr>
            </w:pPr>
            <w:r w:rsidRPr="00D9598F">
              <w:rPr>
                <w:rFonts w:ascii="Times New Roman" w:hAnsi="Times New Roman"/>
                <w:b/>
                <w:bCs/>
                <w:sz w:val="22"/>
                <w:szCs w:val="22"/>
              </w:rPr>
              <w:t>2015. gads</w:t>
            </w:r>
          </w:p>
        </w:tc>
        <w:tc>
          <w:tcPr>
            <w:tcW w:w="3966" w:type="dxa"/>
            <w:gridSpan w:val="3"/>
            <w:tcBorders>
              <w:top w:val="single" w:sz="4" w:space="0" w:color="auto"/>
              <w:left w:val="single" w:sz="4" w:space="0" w:color="auto"/>
              <w:bottom w:val="single" w:sz="4" w:space="0" w:color="auto"/>
              <w:right w:val="single" w:sz="4" w:space="0" w:color="auto"/>
            </w:tcBorders>
            <w:vAlign w:val="center"/>
          </w:tcPr>
          <w:p w14:paraId="08918476" w14:textId="77777777" w:rsidR="002A5E94" w:rsidRPr="00D9598F" w:rsidRDefault="002A5E94" w:rsidP="00FE0592">
            <w:pPr>
              <w:pStyle w:val="NormalWeb"/>
              <w:jc w:val="center"/>
              <w:rPr>
                <w:rFonts w:ascii="Times New Roman" w:hAnsi="Times New Roman"/>
                <w:sz w:val="22"/>
                <w:szCs w:val="22"/>
              </w:rPr>
            </w:pPr>
            <w:r w:rsidRPr="00D9598F">
              <w:rPr>
                <w:rFonts w:ascii="Times New Roman" w:hAnsi="Times New Roman"/>
                <w:sz w:val="22"/>
                <w:szCs w:val="22"/>
              </w:rPr>
              <w:t>Turpmākie trīs gadi (</w:t>
            </w:r>
            <w:r w:rsidR="00455945" w:rsidRPr="00D9598F">
              <w:rPr>
                <w:rFonts w:ascii="Times New Roman" w:hAnsi="Times New Roman"/>
                <w:sz w:val="22"/>
                <w:szCs w:val="22"/>
              </w:rPr>
              <w:t xml:space="preserve"> </w:t>
            </w:r>
            <w:r w:rsidRPr="00D9598F">
              <w:rPr>
                <w:rFonts w:ascii="Times New Roman" w:hAnsi="Times New Roman"/>
                <w:i/>
                <w:sz w:val="22"/>
                <w:szCs w:val="22"/>
              </w:rPr>
              <w:t>euro</w:t>
            </w:r>
            <w:r w:rsidRPr="00D9598F">
              <w:rPr>
                <w:rFonts w:ascii="Times New Roman" w:hAnsi="Times New Roman"/>
                <w:sz w:val="22"/>
                <w:szCs w:val="22"/>
              </w:rPr>
              <w:t>)</w:t>
            </w:r>
          </w:p>
        </w:tc>
      </w:tr>
      <w:tr w:rsidR="002A5E94" w:rsidRPr="00D9598F" w14:paraId="32702FE4"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vMerge/>
            <w:tcBorders>
              <w:top w:val="single" w:sz="4" w:space="0" w:color="auto"/>
              <w:left w:val="single" w:sz="4" w:space="0" w:color="auto"/>
              <w:bottom w:val="single" w:sz="4" w:space="0" w:color="auto"/>
              <w:right w:val="single" w:sz="4" w:space="0" w:color="auto"/>
            </w:tcBorders>
            <w:vAlign w:val="center"/>
          </w:tcPr>
          <w:p w14:paraId="1BE2E576" w14:textId="77777777" w:rsidR="002A5E94" w:rsidRPr="00D9598F" w:rsidRDefault="002A5E94" w:rsidP="0097252C">
            <w:pPr>
              <w:rPr>
                <w:rFonts w:cs="Times New Roman"/>
                <w:b/>
                <w:bCs/>
                <w:sz w:val="22"/>
                <w:szCs w:val="22"/>
                <w:lang w:val="lv-LV"/>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tcPr>
          <w:p w14:paraId="6A89B2E3" w14:textId="77777777" w:rsidR="002A5E94" w:rsidRPr="00D9598F" w:rsidRDefault="002A5E94" w:rsidP="0097252C">
            <w:pPr>
              <w:rPr>
                <w:rFonts w:cs="Times New Roman"/>
                <w:b/>
                <w:bCs/>
                <w:sz w:val="22"/>
                <w:szCs w:val="22"/>
                <w:lang w:val="lv-LV"/>
              </w:rPr>
            </w:pPr>
          </w:p>
        </w:tc>
        <w:tc>
          <w:tcPr>
            <w:tcW w:w="1347" w:type="dxa"/>
            <w:tcBorders>
              <w:top w:val="single" w:sz="4" w:space="0" w:color="auto"/>
              <w:left w:val="single" w:sz="4" w:space="0" w:color="auto"/>
              <w:bottom w:val="single" w:sz="4" w:space="0" w:color="auto"/>
              <w:right w:val="single" w:sz="4" w:space="0" w:color="auto"/>
            </w:tcBorders>
            <w:vAlign w:val="center"/>
          </w:tcPr>
          <w:p w14:paraId="3FA09232" w14:textId="77777777" w:rsidR="002A5E94" w:rsidRPr="00D9598F" w:rsidRDefault="002A5E94" w:rsidP="002A5E94">
            <w:pPr>
              <w:pStyle w:val="NormalWeb"/>
              <w:jc w:val="center"/>
              <w:rPr>
                <w:rFonts w:ascii="Times New Roman" w:hAnsi="Times New Roman"/>
                <w:b/>
                <w:bCs/>
                <w:sz w:val="22"/>
                <w:szCs w:val="22"/>
              </w:rPr>
            </w:pPr>
            <w:r w:rsidRPr="00D9598F">
              <w:rPr>
                <w:rFonts w:ascii="Times New Roman" w:hAnsi="Times New Roman"/>
                <w:b/>
                <w:bCs/>
                <w:sz w:val="22"/>
                <w:szCs w:val="22"/>
              </w:rPr>
              <w:t>2016</w:t>
            </w:r>
          </w:p>
        </w:tc>
        <w:tc>
          <w:tcPr>
            <w:tcW w:w="1245" w:type="dxa"/>
            <w:tcBorders>
              <w:top w:val="single" w:sz="4" w:space="0" w:color="auto"/>
              <w:left w:val="single" w:sz="4" w:space="0" w:color="auto"/>
              <w:bottom w:val="single" w:sz="4" w:space="0" w:color="auto"/>
              <w:right w:val="single" w:sz="4" w:space="0" w:color="auto"/>
            </w:tcBorders>
            <w:vAlign w:val="center"/>
          </w:tcPr>
          <w:p w14:paraId="0E1558F1" w14:textId="77777777" w:rsidR="002A5E94" w:rsidRPr="00D9598F" w:rsidRDefault="002A5E94" w:rsidP="002A5E94">
            <w:pPr>
              <w:pStyle w:val="NormalWeb"/>
              <w:jc w:val="center"/>
              <w:rPr>
                <w:rFonts w:ascii="Times New Roman" w:hAnsi="Times New Roman"/>
                <w:b/>
                <w:bCs/>
                <w:sz w:val="22"/>
                <w:szCs w:val="22"/>
              </w:rPr>
            </w:pPr>
            <w:r w:rsidRPr="00D9598F">
              <w:rPr>
                <w:rFonts w:ascii="Times New Roman" w:hAnsi="Times New Roman"/>
                <w:b/>
                <w:bCs/>
                <w:sz w:val="22"/>
                <w:szCs w:val="22"/>
              </w:rPr>
              <w:t>2017</w:t>
            </w:r>
          </w:p>
        </w:tc>
        <w:tc>
          <w:tcPr>
            <w:tcW w:w="1314" w:type="dxa"/>
            <w:tcBorders>
              <w:top w:val="single" w:sz="4" w:space="0" w:color="auto"/>
              <w:left w:val="single" w:sz="4" w:space="0" w:color="auto"/>
              <w:bottom w:val="single" w:sz="4" w:space="0" w:color="auto"/>
              <w:right w:val="single" w:sz="4" w:space="0" w:color="auto"/>
            </w:tcBorders>
            <w:vAlign w:val="center"/>
          </w:tcPr>
          <w:p w14:paraId="6401C1AF" w14:textId="77777777" w:rsidR="002A5E94" w:rsidRPr="00D9598F" w:rsidRDefault="002A5E94" w:rsidP="002A5E94">
            <w:pPr>
              <w:pStyle w:val="NormalWeb"/>
              <w:jc w:val="center"/>
              <w:rPr>
                <w:rFonts w:ascii="Times New Roman" w:hAnsi="Times New Roman"/>
                <w:b/>
                <w:bCs/>
                <w:sz w:val="22"/>
                <w:szCs w:val="22"/>
              </w:rPr>
            </w:pPr>
            <w:r w:rsidRPr="00D9598F">
              <w:rPr>
                <w:rFonts w:ascii="Times New Roman" w:hAnsi="Times New Roman"/>
                <w:b/>
                <w:bCs/>
                <w:sz w:val="22"/>
                <w:szCs w:val="22"/>
              </w:rPr>
              <w:t>2018</w:t>
            </w:r>
          </w:p>
        </w:tc>
      </w:tr>
      <w:tr w:rsidR="00FC55BC" w:rsidRPr="00D9598F" w14:paraId="40F371D8"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vMerge/>
            <w:tcBorders>
              <w:top w:val="single" w:sz="4" w:space="0" w:color="auto"/>
              <w:left w:val="single" w:sz="4" w:space="0" w:color="auto"/>
              <w:bottom w:val="single" w:sz="4" w:space="0" w:color="auto"/>
              <w:right w:val="single" w:sz="4" w:space="0" w:color="auto"/>
            </w:tcBorders>
            <w:vAlign w:val="center"/>
          </w:tcPr>
          <w:p w14:paraId="14EA0516" w14:textId="77777777" w:rsidR="002A5E94" w:rsidRPr="00D9598F" w:rsidRDefault="002A5E94" w:rsidP="0097252C">
            <w:pPr>
              <w:rPr>
                <w:rFonts w:cs="Times New Roman"/>
                <w:b/>
                <w:bCs/>
                <w:sz w:val="22"/>
                <w:szCs w:val="22"/>
                <w:lang w:val="lv-LV"/>
              </w:rPr>
            </w:pPr>
          </w:p>
        </w:tc>
        <w:tc>
          <w:tcPr>
            <w:tcW w:w="920" w:type="dxa"/>
            <w:tcBorders>
              <w:top w:val="single" w:sz="4" w:space="0" w:color="auto"/>
              <w:left w:val="single" w:sz="4" w:space="0" w:color="auto"/>
              <w:bottom w:val="single" w:sz="4" w:space="0" w:color="auto"/>
              <w:right w:val="single" w:sz="4" w:space="0" w:color="auto"/>
            </w:tcBorders>
            <w:vAlign w:val="center"/>
          </w:tcPr>
          <w:p w14:paraId="70D1ECDD"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Saskaņā ar valsts budžetu kārtējam gadam</w:t>
            </w:r>
          </w:p>
        </w:tc>
        <w:tc>
          <w:tcPr>
            <w:tcW w:w="1268" w:type="dxa"/>
            <w:tcBorders>
              <w:top w:val="single" w:sz="4" w:space="0" w:color="auto"/>
              <w:left w:val="single" w:sz="4" w:space="0" w:color="auto"/>
              <w:bottom w:val="single" w:sz="4" w:space="0" w:color="auto"/>
              <w:right w:val="single" w:sz="4" w:space="0" w:color="auto"/>
            </w:tcBorders>
            <w:vAlign w:val="center"/>
          </w:tcPr>
          <w:p w14:paraId="4078CC40"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Izmaiņas kārtējā gadā, salīdzinot ar budžetu kārtējam gadam</w:t>
            </w:r>
          </w:p>
        </w:tc>
        <w:tc>
          <w:tcPr>
            <w:tcW w:w="1347" w:type="dxa"/>
            <w:tcBorders>
              <w:top w:val="single" w:sz="4" w:space="0" w:color="auto"/>
              <w:left w:val="single" w:sz="4" w:space="0" w:color="auto"/>
              <w:bottom w:val="single" w:sz="4" w:space="0" w:color="auto"/>
              <w:right w:val="single" w:sz="4" w:space="0" w:color="auto"/>
            </w:tcBorders>
            <w:vAlign w:val="center"/>
          </w:tcPr>
          <w:p w14:paraId="754097BA" w14:textId="77777777" w:rsidR="002A5E94" w:rsidRPr="00D9598F" w:rsidRDefault="002A5E94" w:rsidP="00D907E5">
            <w:pPr>
              <w:pStyle w:val="NormalWeb"/>
              <w:jc w:val="center"/>
              <w:rPr>
                <w:rFonts w:ascii="Times New Roman" w:hAnsi="Times New Roman"/>
                <w:sz w:val="22"/>
                <w:szCs w:val="22"/>
              </w:rPr>
            </w:pPr>
            <w:r w:rsidRPr="00D9598F">
              <w:rPr>
                <w:rFonts w:ascii="Times New Roman" w:hAnsi="Times New Roman"/>
                <w:sz w:val="22"/>
                <w:szCs w:val="22"/>
              </w:rPr>
              <w:t>Izmaiņas, salīdzinot ar kārtējo (201</w:t>
            </w:r>
            <w:r w:rsidR="00D907E5" w:rsidRPr="00D9598F">
              <w:rPr>
                <w:rFonts w:ascii="Times New Roman" w:hAnsi="Times New Roman"/>
                <w:sz w:val="22"/>
                <w:szCs w:val="22"/>
              </w:rPr>
              <w:t>5</w:t>
            </w:r>
            <w:r w:rsidRPr="00D9598F">
              <w:rPr>
                <w:rFonts w:ascii="Times New Roman" w:hAnsi="Times New Roman"/>
                <w:sz w:val="22"/>
                <w:szCs w:val="22"/>
              </w:rPr>
              <w:t>) gadu</w:t>
            </w:r>
          </w:p>
        </w:tc>
        <w:tc>
          <w:tcPr>
            <w:tcW w:w="1245" w:type="dxa"/>
            <w:tcBorders>
              <w:top w:val="single" w:sz="4" w:space="0" w:color="auto"/>
              <w:left w:val="single" w:sz="4" w:space="0" w:color="auto"/>
              <w:bottom w:val="single" w:sz="4" w:space="0" w:color="auto"/>
              <w:right w:val="single" w:sz="4" w:space="0" w:color="auto"/>
            </w:tcBorders>
            <w:vAlign w:val="center"/>
          </w:tcPr>
          <w:p w14:paraId="4A09AAAA" w14:textId="77777777" w:rsidR="002A5E94" w:rsidRPr="00D9598F" w:rsidRDefault="002A5E94" w:rsidP="00D907E5">
            <w:pPr>
              <w:pStyle w:val="NormalWeb"/>
              <w:jc w:val="center"/>
              <w:rPr>
                <w:rFonts w:ascii="Times New Roman" w:hAnsi="Times New Roman"/>
                <w:sz w:val="22"/>
                <w:szCs w:val="22"/>
              </w:rPr>
            </w:pPr>
            <w:r w:rsidRPr="00D9598F">
              <w:rPr>
                <w:rFonts w:ascii="Times New Roman" w:hAnsi="Times New Roman"/>
                <w:sz w:val="22"/>
                <w:szCs w:val="22"/>
              </w:rPr>
              <w:t>Izmaiņas, salīdzinot ar kārtējo (201</w:t>
            </w:r>
            <w:r w:rsidR="00D907E5" w:rsidRPr="00D9598F">
              <w:rPr>
                <w:rFonts w:ascii="Times New Roman" w:hAnsi="Times New Roman"/>
                <w:sz w:val="22"/>
                <w:szCs w:val="22"/>
              </w:rPr>
              <w:t>5</w:t>
            </w:r>
            <w:r w:rsidRPr="00D9598F">
              <w:rPr>
                <w:rFonts w:ascii="Times New Roman" w:hAnsi="Times New Roman"/>
                <w:sz w:val="22"/>
                <w:szCs w:val="22"/>
              </w:rPr>
              <w:t>) gadu</w:t>
            </w:r>
          </w:p>
        </w:tc>
        <w:tc>
          <w:tcPr>
            <w:tcW w:w="1314" w:type="dxa"/>
            <w:tcBorders>
              <w:top w:val="single" w:sz="4" w:space="0" w:color="auto"/>
              <w:left w:val="single" w:sz="4" w:space="0" w:color="auto"/>
              <w:bottom w:val="single" w:sz="4" w:space="0" w:color="auto"/>
              <w:right w:val="single" w:sz="4" w:space="0" w:color="auto"/>
            </w:tcBorders>
            <w:vAlign w:val="center"/>
          </w:tcPr>
          <w:p w14:paraId="6FE50B67" w14:textId="77777777" w:rsidR="002A5E94" w:rsidRPr="00D9598F" w:rsidRDefault="002A5E94" w:rsidP="00D907E5">
            <w:pPr>
              <w:pStyle w:val="NormalWeb"/>
              <w:jc w:val="center"/>
              <w:rPr>
                <w:rFonts w:ascii="Times New Roman" w:hAnsi="Times New Roman"/>
                <w:sz w:val="22"/>
                <w:szCs w:val="22"/>
              </w:rPr>
            </w:pPr>
            <w:r w:rsidRPr="00D9598F">
              <w:rPr>
                <w:rFonts w:ascii="Times New Roman" w:hAnsi="Times New Roman"/>
                <w:sz w:val="22"/>
                <w:szCs w:val="22"/>
              </w:rPr>
              <w:t>Izmaiņas, salīdzinot ar kārtējo (201</w:t>
            </w:r>
            <w:r w:rsidR="00D907E5" w:rsidRPr="00D9598F">
              <w:rPr>
                <w:rFonts w:ascii="Times New Roman" w:hAnsi="Times New Roman"/>
                <w:sz w:val="22"/>
                <w:szCs w:val="22"/>
              </w:rPr>
              <w:t>5</w:t>
            </w:r>
            <w:r w:rsidRPr="00D9598F">
              <w:rPr>
                <w:rFonts w:ascii="Times New Roman" w:hAnsi="Times New Roman"/>
                <w:sz w:val="22"/>
                <w:szCs w:val="22"/>
              </w:rPr>
              <w:t>) gadu</w:t>
            </w:r>
          </w:p>
        </w:tc>
      </w:tr>
      <w:tr w:rsidR="00FC55BC" w:rsidRPr="00D9598F" w14:paraId="2556DD74"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vAlign w:val="center"/>
          </w:tcPr>
          <w:p w14:paraId="56633605"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1</w:t>
            </w:r>
          </w:p>
        </w:tc>
        <w:tc>
          <w:tcPr>
            <w:tcW w:w="920" w:type="dxa"/>
            <w:tcBorders>
              <w:top w:val="single" w:sz="4" w:space="0" w:color="auto"/>
              <w:left w:val="single" w:sz="4" w:space="0" w:color="auto"/>
              <w:bottom w:val="single" w:sz="4" w:space="0" w:color="auto"/>
              <w:right w:val="single" w:sz="4" w:space="0" w:color="auto"/>
            </w:tcBorders>
            <w:vAlign w:val="center"/>
          </w:tcPr>
          <w:p w14:paraId="371C53C1"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2</w:t>
            </w:r>
          </w:p>
        </w:tc>
        <w:tc>
          <w:tcPr>
            <w:tcW w:w="1268" w:type="dxa"/>
            <w:tcBorders>
              <w:top w:val="single" w:sz="4" w:space="0" w:color="auto"/>
              <w:left w:val="single" w:sz="4" w:space="0" w:color="auto"/>
              <w:bottom w:val="single" w:sz="4" w:space="0" w:color="auto"/>
              <w:right w:val="single" w:sz="4" w:space="0" w:color="auto"/>
            </w:tcBorders>
            <w:vAlign w:val="center"/>
          </w:tcPr>
          <w:p w14:paraId="54C5E934"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3</w:t>
            </w:r>
          </w:p>
        </w:tc>
        <w:tc>
          <w:tcPr>
            <w:tcW w:w="1347" w:type="dxa"/>
            <w:tcBorders>
              <w:top w:val="single" w:sz="4" w:space="0" w:color="auto"/>
              <w:left w:val="single" w:sz="4" w:space="0" w:color="auto"/>
              <w:bottom w:val="single" w:sz="4" w:space="0" w:color="auto"/>
              <w:right w:val="single" w:sz="4" w:space="0" w:color="auto"/>
            </w:tcBorders>
            <w:vAlign w:val="center"/>
          </w:tcPr>
          <w:p w14:paraId="479064C7"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4</w:t>
            </w:r>
          </w:p>
        </w:tc>
        <w:tc>
          <w:tcPr>
            <w:tcW w:w="1245" w:type="dxa"/>
            <w:tcBorders>
              <w:top w:val="single" w:sz="4" w:space="0" w:color="auto"/>
              <w:left w:val="single" w:sz="4" w:space="0" w:color="auto"/>
              <w:bottom w:val="single" w:sz="4" w:space="0" w:color="auto"/>
              <w:right w:val="single" w:sz="4" w:space="0" w:color="auto"/>
            </w:tcBorders>
            <w:vAlign w:val="center"/>
          </w:tcPr>
          <w:p w14:paraId="09770DEC"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5</w:t>
            </w:r>
          </w:p>
        </w:tc>
        <w:tc>
          <w:tcPr>
            <w:tcW w:w="1314" w:type="dxa"/>
            <w:tcBorders>
              <w:top w:val="single" w:sz="4" w:space="0" w:color="auto"/>
              <w:left w:val="single" w:sz="4" w:space="0" w:color="auto"/>
              <w:bottom w:val="single" w:sz="4" w:space="0" w:color="auto"/>
              <w:right w:val="single" w:sz="4" w:space="0" w:color="auto"/>
            </w:tcBorders>
            <w:vAlign w:val="center"/>
          </w:tcPr>
          <w:p w14:paraId="375DD23A" w14:textId="77777777" w:rsidR="002A5E94" w:rsidRPr="00D9598F" w:rsidRDefault="002A5E94" w:rsidP="0097252C">
            <w:pPr>
              <w:pStyle w:val="NormalWeb"/>
              <w:jc w:val="center"/>
              <w:rPr>
                <w:rFonts w:ascii="Times New Roman" w:hAnsi="Times New Roman"/>
                <w:sz w:val="22"/>
                <w:szCs w:val="22"/>
              </w:rPr>
            </w:pPr>
            <w:r w:rsidRPr="00D9598F">
              <w:rPr>
                <w:rFonts w:ascii="Times New Roman" w:hAnsi="Times New Roman"/>
                <w:sz w:val="22"/>
                <w:szCs w:val="22"/>
              </w:rPr>
              <w:t>6</w:t>
            </w:r>
          </w:p>
        </w:tc>
      </w:tr>
      <w:tr w:rsidR="00FC55BC" w:rsidRPr="00D9598F" w14:paraId="683E8CC0"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107A7194" w14:textId="77777777" w:rsidR="002A5E94" w:rsidRPr="00D9598F" w:rsidRDefault="002A5E94" w:rsidP="0097252C">
            <w:pPr>
              <w:pStyle w:val="NormalWeb"/>
              <w:rPr>
                <w:rFonts w:ascii="Times New Roman" w:hAnsi="Times New Roman"/>
                <w:sz w:val="22"/>
                <w:szCs w:val="22"/>
              </w:rPr>
            </w:pPr>
            <w:r w:rsidRPr="00D9598F">
              <w:rPr>
                <w:rFonts w:ascii="Times New Roman" w:hAnsi="Times New Roman"/>
                <w:sz w:val="22"/>
                <w:szCs w:val="22"/>
              </w:rPr>
              <w:t>1. Budžeta ieņēmumi:</w:t>
            </w:r>
          </w:p>
        </w:tc>
        <w:tc>
          <w:tcPr>
            <w:tcW w:w="920" w:type="dxa"/>
            <w:tcBorders>
              <w:top w:val="single" w:sz="4" w:space="0" w:color="auto"/>
              <w:left w:val="single" w:sz="4" w:space="0" w:color="auto"/>
              <w:bottom w:val="single" w:sz="4" w:space="0" w:color="auto"/>
              <w:right w:val="single" w:sz="4" w:space="0" w:color="auto"/>
            </w:tcBorders>
          </w:tcPr>
          <w:p w14:paraId="4463E45A" w14:textId="77777777" w:rsidR="002A5E94" w:rsidRPr="00D9598F" w:rsidRDefault="002A5E94" w:rsidP="0097252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473C2344" w14:textId="77777777" w:rsidR="002A5E94" w:rsidRPr="00D9598F" w:rsidRDefault="002A5E94" w:rsidP="0097252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6921C7FC" w14:textId="77777777" w:rsidR="002A5E94" w:rsidRPr="00D9598F" w:rsidRDefault="00783406" w:rsidP="002F14F1">
            <w:pPr>
              <w:jc w:val="center"/>
              <w:rPr>
                <w:rFonts w:cs="Times New Roman"/>
                <w:b/>
                <w:sz w:val="22"/>
                <w:szCs w:val="22"/>
                <w:lang w:val="lv-LV"/>
              </w:rPr>
            </w:pPr>
            <w:r w:rsidRPr="00D9598F">
              <w:rPr>
                <w:rFonts w:cs="Times New Roman"/>
                <w:b/>
                <w:sz w:val="22"/>
                <w:szCs w:val="22"/>
                <w:lang w:val="lv-LV"/>
              </w:rPr>
              <w:t>7</w:t>
            </w:r>
            <w:r w:rsidR="002F14F1" w:rsidRPr="00D9598F">
              <w:rPr>
                <w:rFonts w:cs="Times New Roman"/>
                <w:b/>
                <w:sz w:val="22"/>
                <w:szCs w:val="22"/>
                <w:lang w:val="lv-LV"/>
              </w:rPr>
              <w:t> </w:t>
            </w:r>
            <w:r w:rsidRPr="00D9598F">
              <w:rPr>
                <w:rFonts w:cs="Times New Roman"/>
                <w:b/>
                <w:sz w:val="22"/>
                <w:szCs w:val="22"/>
                <w:lang w:val="lv-LV"/>
              </w:rPr>
              <w:t>2</w:t>
            </w:r>
            <w:r w:rsidR="002F14F1" w:rsidRPr="00D9598F">
              <w:rPr>
                <w:rFonts w:cs="Times New Roman"/>
                <w:b/>
                <w:sz w:val="22"/>
                <w:szCs w:val="22"/>
                <w:lang w:val="lv-LV"/>
              </w:rPr>
              <w:t>00 000</w:t>
            </w:r>
          </w:p>
        </w:tc>
        <w:tc>
          <w:tcPr>
            <w:tcW w:w="1245" w:type="dxa"/>
            <w:tcBorders>
              <w:top w:val="single" w:sz="4" w:space="0" w:color="auto"/>
              <w:left w:val="single" w:sz="4" w:space="0" w:color="auto"/>
              <w:bottom w:val="single" w:sz="4" w:space="0" w:color="auto"/>
              <w:right w:val="single" w:sz="4" w:space="0" w:color="auto"/>
            </w:tcBorders>
          </w:tcPr>
          <w:p w14:paraId="5001F80C" w14:textId="77777777" w:rsidR="002A5E94" w:rsidRPr="00D9598F" w:rsidRDefault="002F14F1" w:rsidP="0097252C">
            <w:pPr>
              <w:jc w:val="center"/>
              <w:rPr>
                <w:rFonts w:cs="Times New Roman"/>
                <w:b/>
                <w:sz w:val="22"/>
                <w:szCs w:val="22"/>
                <w:lang w:val="lv-LV"/>
              </w:rPr>
            </w:pPr>
            <w:r w:rsidRPr="00D9598F">
              <w:rPr>
                <w:rFonts w:cs="Times New Roman"/>
                <w:b/>
                <w:sz w:val="22"/>
                <w:szCs w:val="22"/>
                <w:lang w:val="lv-LV"/>
              </w:rPr>
              <w:t>7 200 000</w:t>
            </w:r>
          </w:p>
        </w:tc>
        <w:tc>
          <w:tcPr>
            <w:tcW w:w="1314" w:type="dxa"/>
            <w:tcBorders>
              <w:top w:val="single" w:sz="4" w:space="0" w:color="auto"/>
              <w:left w:val="single" w:sz="4" w:space="0" w:color="auto"/>
              <w:bottom w:val="single" w:sz="4" w:space="0" w:color="auto"/>
              <w:right w:val="single" w:sz="4" w:space="0" w:color="auto"/>
            </w:tcBorders>
          </w:tcPr>
          <w:p w14:paraId="7695B49B" w14:textId="77777777" w:rsidR="002A5E94" w:rsidRPr="00D9598F" w:rsidRDefault="002F14F1" w:rsidP="0097252C">
            <w:pPr>
              <w:jc w:val="center"/>
              <w:rPr>
                <w:rFonts w:cs="Times New Roman"/>
                <w:b/>
                <w:sz w:val="22"/>
                <w:szCs w:val="22"/>
                <w:lang w:val="lv-LV"/>
              </w:rPr>
            </w:pPr>
            <w:r w:rsidRPr="00D9598F">
              <w:rPr>
                <w:rFonts w:cs="Times New Roman"/>
                <w:b/>
                <w:sz w:val="22"/>
                <w:szCs w:val="22"/>
                <w:lang w:val="lv-LV"/>
              </w:rPr>
              <w:t>7 200 000</w:t>
            </w:r>
          </w:p>
        </w:tc>
      </w:tr>
      <w:tr w:rsidR="00FC55BC" w:rsidRPr="00D9598F" w14:paraId="6F2404AF"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42AA9810" w14:textId="77777777" w:rsidR="002A5E94" w:rsidRPr="00D9598F" w:rsidRDefault="002A5E94" w:rsidP="0097252C">
            <w:pPr>
              <w:pStyle w:val="NormalWeb"/>
              <w:rPr>
                <w:rFonts w:ascii="Times New Roman" w:hAnsi="Times New Roman"/>
                <w:sz w:val="22"/>
                <w:szCs w:val="22"/>
              </w:rPr>
            </w:pPr>
            <w:r w:rsidRPr="00D9598F">
              <w:rPr>
                <w:rFonts w:ascii="Times New Roman" w:hAnsi="Times New Roman"/>
                <w:sz w:val="22"/>
                <w:szCs w:val="22"/>
              </w:rPr>
              <w:lastRenderedPageBreak/>
              <w:t>1.1. valsts pamatbudžets, tai skaitā ieņēmumi no maksas pakalpojumiem un citi pašu ieņēmumi</w:t>
            </w:r>
          </w:p>
        </w:tc>
        <w:tc>
          <w:tcPr>
            <w:tcW w:w="920" w:type="dxa"/>
            <w:tcBorders>
              <w:top w:val="single" w:sz="4" w:space="0" w:color="auto"/>
              <w:left w:val="single" w:sz="4" w:space="0" w:color="auto"/>
              <w:bottom w:val="single" w:sz="4" w:space="0" w:color="auto"/>
              <w:right w:val="single" w:sz="4" w:space="0" w:color="auto"/>
            </w:tcBorders>
          </w:tcPr>
          <w:p w14:paraId="25987063" w14:textId="77777777" w:rsidR="002A5E94" w:rsidRPr="00D9598F" w:rsidRDefault="002A5E94" w:rsidP="0097252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641C3FE2" w14:textId="77777777" w:rsidR="002A5E94" w:rsidRPr="00D9598F" w:rsidRDefault="002A5E94" w:rsidP="0097252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2ACBAA9A" w14:textId="77777777" w:rsidR="002A5E94" w:rsidRPr="00D9598F" w:rsidRDefault="00D907E5" w:rsidP="002F14F1">
            <w:pPr>
              <w:jc w:val="center"/>
              <w:rPr>
                <w:rFonts w:cs="Times New Roman"/>
                <w:sz w:val="22"/>
                <w:szCs w:val="22"/>
                <w:lang w:val="lv-LV"/>
              </w:rPr>
            </w:pPr>
            <w:r w:rsidRPr="00D9598F">
              <w:rPr>
                <w:rFonts w:cs="Times New Roman"/>
                <w:sz w:val="22"/>
                <w:szCs w:val="22"/>
                <w:lang w:val="lv-LV"/>
              </w:rPr>
              <w:t>1</w:t>
            </w:r>
            <w:r w:rsidR="002F14F1" w:rsidRPr="00D9598F">
              <w:rPr>
                <w:rFonts w:cs="Times New Roman"/>
                <w:sz w:val="22"/>
                <w:szCs w:val="22"/>
                <w:lang w:val="lv-LV"/>
              </w:rPr>
              <w:t> </w:t>
            </w:r>
            <w:r w:rsidRPr="00D9598F">
              <w:rPr>
                <w:rFonts w:cs="Times New Roman"/>
                <w:sz w:val="22"/>
                <w:szCs w:val="22"/>
                <w:lang w:val="lv-LV"/>
              </w:rPr>
              <w:t>2</w:t>
            </w:r>
            <w:r w:rsidR="002F14F1" w:rsidRPr="00D9598F">
              <w:rPr>
                <w:rFonts w:cs="Times New Roman"/>
                <w:sz w:val="22"/>
                <w:szCs w:val="22"/>
                <w:lang w:val="lv-LV"/>
              </w:rPr>
              <w:t>00 000</w:t>
            </w:r>
          </w:p>
        </w:tc>
        <w:tc>
          <w:tcPr>
            <w:tcW w:w="1245" w:type="dxa"/>
            <w:tcBorders>
              <w:top w:val="single" w:sz="4" w:space="0" w:color="auto"/>
              <w:left w:val="single" w:sz="4" w:space="0" w:color="auto"/>
              <w:bottom w:val="single" w:sz="4" w:space="0" w:color="auto"/>
              <w:right w:val="single" w:sz="4" w:space="0" w:color="auto"/>
            </w:tcBorders>
          </w:tcPr>
          <w:p w14:paraId="625CA631" w14:textId="77777777" w:rsidR="002A5E94" w:rsidRPr="00D9598F" w:rsidRDefault="002F14F1" w:rsidP="0097252C">
            <w:pPr>
              <w:jc w:val="center"/>
              <w:rPr>
                <w:rFonts w:cs="Times New Roman"/>
                <w:sz w:val="22"/>
                <w:szCs w:val="22"/>
                <w:lang w:val="lv-LV"/>
              </w:rPr>
            </w:pPr>
            <w:r w:rsidRPr="00D9598F">
              <w:rPr>
                <w:rFonts w:cs="Times New Roman"/>
                <w:sz w:val="22"/>
                <w:szCs w:val="22"/>
                <w:lang w:val="lv-LV"/>
              </w:rPr>
              <w:t>1 200 000</w:t>
            </w:r>
          </w:p>
        </w:tc>
        <w:tc>
          <w:tcPr>
            <w:tcW w:w="1314" w:type="dxa"/>
            <w:tcBorders>
              <w:top w:val="single" w:sz="4" w:space="0" w:color="auto"/>
              <w:left w:val="single" w:sz="4" w:space="0" w:color="auto"/>
              <w:bottom w:val="single" w:sz="4" w:space="0" w:color="auto"/>
              <w:right w:val="single" w:sz="4" w:space="0" w:color="auto"/>
            </w:tcBorders>
          </w:tcPr>
          <w:p w14:paraId="1760943F" w14:textId="77777777" w:rsidR="002A5E94" w:rsidRPr="00D9598F" w:rsidRDefault="002F14F1" w:rsidP="0097252C">
            <w:pPr>
              <w:jc w:val="center"/>
              <w:rPr>
                <w:rFonts w:cs="Times New Roman"/>
                <w:sz w:val="22"/>
                <w:szCs w:val="22"/>
                <w:lang w:val="lv-LV"/>
              </w:rPr>
            </w:pPr>
            <w:r w:rsidRPr="00D9598F">
              <w:rPr>
                <w:rFonts w:cs="Times New Roman"/>
                <w:sz w:val="22"/>
                <w:szCs w:val="22"/>
                <w:lang w:val="lv-LV"/>
              </w:rPr>
              <w:t>1 200 000</w:t>
            </w:r>
          </w:p>
        </w:tc>
      </w:tr>
      <w:tr w:rsidR="00FC55BC" w:rsidRPr="00D9598F" w14:paraId="753C44F7"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53D49892"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1.2. valsts speciālais budžets</w:t>
            </w:r>
          </w:p>
        </w:tc>
        <w:tc>
          <w:tcPr>
            <w:tcW w:w="920" w:type="dxa"/>
            <w:tcBorders>
              <w:top w:val="single" w:sz="4" w:space="0" w:color="auto"/>
              <w:left w:val="single" w:sz="4" w:space="0" w:color="auto"/>
              <w:bottom w:val="single" w:sz="4" w:space="0" w:color="auto"/>
              <w:right w:val="single" w:sz="4" w:space="0" w:color="auto"/>
            </w:tcBorders>
          </w:tcPr>
          <w:p w14:paraId="1DEE0191"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4EBEDA10"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0AC06F1C" w14:textId="77777777" w:rsidR="00FC55BC" w:rsidRPr="00D9598F" w:rsidRDefault="00FC55BC" w:rsidP="002F14F1">
            <w:pPr>
              <w:jc w:val="center"/>
              <w:rPr>
                <w:rFonts w:cs="Times New Roman"/>
                <w:sz w:val="22"/>
                <w:szCs w:val="22"/>
                <w:lang w:val="lv-LV"/>
              </w:rPr>
            </w:pPr>
            <w:r w:rsidRPr="00D9598F">
              <w:rPr>
                <w:rFonts w:cs="Times New Roman"/>
                <w:sz w:val="22"/>
                <w:szCs w:val="22"/>
                <w:lang w:val="lv-LV"/>
              </w:rPr>
              <w:t>3</w:t>
            </w:r>
            <w:r w:rsidR="002F14F1" w:rsidRPr="00D9598F">
              <w:rPr>
                <w:rFonts w:cs="Times New Roman"/>
                <w:sz w:val="22"/>
                <w:szCs w:val="22"/>
                <w:lang w:val="lv-LV"/>
              </w:rPr>
              <w:t> </w:t>
            </w:r>
            <w:r w:rsidRPr="00D9598F">
              <w:rPr>
                <w:rFonts w:cs="Times New Roman"/>
                <w:sz w:val="22"/>
                <w:szCs w:val="22"/>
                <w:lang w:val="lv-LV"/>
              </w:rPr>
              <w:t>8</w:t>
            </w:r>
            <w:r w:rsidR="002F14F1" w:rsidRPr="00D9598F">
              <w:rPr>
                <w:rFonts w:cs="Times New Roman"/>
                <w:sz w:val="22"/>
                <w:szCs w:val="22"/>
                <w:lang w:val="lv-LV"/>
              </w:rPr>
              <w:t>00 000</w:t>
            </w:r>
          </w:p>
        </w:tc>
        <w:tc>
          <w:tcPr>
            <w:tcW w:w="1245" w:type="dxa"/>
            <w:tcBorders>
              <w:top w:val="single" w:sz="4" w:space="0" w:color="auto"/>
              <w:left w:val="single" w:sz="4" w:space="0" w:color="auto"/>
              <w:bottom w:val="single" w:sz="4" w:space="0" w:color="auto"/>
              <w:right w:val="single" w:sz="4" w:space="0" w:color="auto"/>
            </w:tcBorders>
          </w:tcPr>
          <w:p w14:paraId="137329BD" w14:textId="77777777" w:rsidR="00FC55BC" w:rsidRPr="00D9598F" w:rsidRDefault="002F14F1" w:rsidP="00FC55BC">
            <w:pPr>
              <w:jc w:val="center"/>
              <w:rPr>
                <w:rFonts w:cs="Times New Roman"/>
                <w:sz w:val="22"/>
                <w:szCs w:val="22"/>
                <w:lang w:val="lv-LV"/>
              </w:rPr>
            </w:pPr>
            <w:r w:rsidRPr="00D9598F">
              <w:rPr>
                <w:rFonts w:cs="Times New Roman"/>
                <w:sz w:val="22"/>
                <w:szCs w:val="22"/>
                <w:lang w:val="lv-LV"/>
              </w:rPr>
              <w:t>3 800 000</w:t>
            </w:r>
          </w:p>
        </w:tc>
        <w:tc>
          <w:tcPr>
            <w:tcW w:w="1314" w:type="dxa"/>
            <w:tcBorders>
              <w:top w:val="single" w:sz="4" w:space="0" w:color="auto"/>
              <w:left w:val="single" w:sz="4" w:space="0" w:color="auto"/>
              <w:bottom w:val="single" w:sz="4" w:space="0" w:color="auto"/>
              <w:right w:val="single" w:sz="4" w:space="0" w:color="auto"/>
            </w:tcBorders>
          </w:tcPr>
          <w:p w14:paraId="441503B6" w14:textId="77777777" w:rsidR="00FC55BC" w:rsidRPr="00D9598F" w:rsidRDefault="002F14F1" w:rsidP="00FC55BC">
            <w:pPr>
              <w:jc w:val="center"/>
              <w:rPr>
                <w:rFonts w:cs="Times New Roman"/>
                <w:sz w:val="22"/>
                <w:szCs w:val="22"/>
                <w:lang w:val="lv-LV"/>
              </w:rPr>
            </w:pPr>
            <w:r w:rsidRPr="00D9598F">
              <w:rPr>
                <w:rFonts w:cs="Times New Roman"/>
                <w:sz w:val="22"/>
                <w:szCs w:val="22"/>
                <w:lang w:val="lv-LV"/>
              </w:rPr>
              <w:t>3 800 000</w:t>
            </w:r>
          </w:p>
        </w:tc>
      </w:tr>
      <w:tr w:rsidR="00FC55BC" w:rsidRPr="00D9598F" w14:paraId="612FDE07"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242EAE7E"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1.3. pašvaldību budžets</w:t>
            </w:r>
          </w:p>
        </w:tc>
        <w:tc>
          <w:tcPr>
            <w:tcW w:w="920" w:type="dxa"/>
            <w:tcBorders>
              <w:top w:val="single" w:sz="4" w:space="0" w:color="auto"/>
              <w:left w:val="single" w:sz="4" w:space="0" w:color="auto"/>
              <w:bottom w:val="single" w:sz="4" w:space="0" w:color="auto"/>
              <w:right w:val="single" w:sz="4" w:space="0" w:color="auto"/>
            </w:tcBorders>
          </w:tcPr>
          <w:p w14:paraId="2DE8EDDE"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5BFA2C2C"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277D7B9D" w14:textId="77777777" w:rsidR="00FC55BC" w:rsidRPr="00D9598F" w:rsidRDefault="00FC55BC" w:rsidP="002F14F1">
            <w:pPr>
              <w:jc w:val="center"/>
              <w:rPr>
                <w:rFonts w:cs="Times New Roman"/>
                <w:sz w:val="22"/>
                <w:szCs w:val="22"/>
                <w:lang w:val="lv-LV"/>
              </w:rPr>
            </w:pPr>
            <w:r w:rsidRPr="00D9598F">
              <w:rPr>
                <w:rFonts w:cs="Times New Roman"/>
                <w:sz w:val="22"/>
                <w:szCs w:val="22"/>
                <w:lang w:val="lv-LV"/>
              </w:rPr>
              <w:t>2</w:t>
            </w:r>
            <w:r w:rsidR="002F14F1" w:rsidRPr="00D9598F">
              <w:rPr>
                <w:rFonts w:cs="Times New Roman"/>
                <w:sz w:val="22"/>
                <w:szCs w:val="22"/>
                <w:lang w:val="lv-LV"/>
              </w:rPr>
              <w:t> </w:t>
            </w:r>
            <w:r w:rsidRPr="00D9598F">
              <w:rPr>
                <w:rFonts w:cs="Times New Roman"/>
                <w:sz w:val="22"/>
                <w:szCs w:val="22"/>
                <w:lang w:val="lv-LV"/>
              </w:rPr>
              <w:t>2</w:t>
            </w:r>
            <w:r w:rsidR="002F14F1" w:rsidRPr="00D9598F">
              <w:rPr>
                <w:rFonts w:cs="Times New Roman"/>
                <w:sz w:val="22"/>
                <w:szCs w:val="22"/>
                <w:lang w:val="lv-LV"/>
              </w:rPr>
              <w:t>00 000</w:t>
            </w:r>
          </w:p>
        </w:tc>
        <w:tc>
          <w:tcPr>
            <w:tcW w:w="1245" w:type="dxa"/>
            <w:tcBorders>
              <w:top w:val="single" w:sz="4" w:space="0" w:color="auto"/>
              <w:left w:val="single" w:sz="4" w:space="0" w:color="auto"/>
              <w:bottom w:val="single" w:sz="4" w:space="0" w:color="auto"/>
              <w:right w:val="single" w:sz="4" w:space="0" w:color="auto"/>
            </w:tcBorders>
          </w:tcPr>
          <w:p w14:paraId="13FBF188" w14:textId="77777777" w:rsidR="00FC55BC" w:rsidRPr="00D9598F" w:rsidRDefault="002F14F1" w:rsidP="00FC55BC">
            <w:pPr>
              <w:jc w:val="center"/>
              <w:rPr>
                <w:rFonts w:cs="Times New Roman"/>
                <w:sz w:val="22"/>
                <w:szCs w:val="22"/>
                <w:lang w:val="lv-LV"/>
              </w:rPr>
            </w:pPr>
            <w:r w:rsidRPr="00D9598F">
              <w:rPr>
                <w:rFonts w:cs="Times New Roman"/>
                <w:sz w:val="22"/>
                <w:szCs w:val="22"/>
                <w:lang w:val="lv-LV"/>
              </w:rPr>
              <w:t>2 200 000</w:t>
            </w:r>
          </w:p>
        </w:tc>
        <w:tc>
          <w:tcPr>
            <w:tcW w:w="1314" w:type="dxa"/>
            <w:tcBorders>
              <w:top w:val="single" w:sz="4" w:space="0" w:color="auto"/>
              <w:left w:val="single" w:sz="4" w:space="0" w:color="auto"/>
              <w:bottom w:val="single" w:sz="4" w:space="0" w:color="auto"/>
              <w:right w:val="single" w:sz="4" w:space="0" w:color="auto"/>
            </w:tcBorders>
          </w:tcPr>
          <w:p w14:paraId="436DAA6D" w14:textId="77777777" w:rsidR="00FC55BC" w:rsidRPr="00D9598F" w:rsidRDefault="002F14F1" w:rsidP="00FC55BC">
            <w:pPr>
              <w:jc w:val="center"/>
              <w:rPr>
                <w:rFonts w:cs="Times New Roman"/>
                <w:sz w:val="22"/>
                <w:szCs w:val="22"/>
                <w:lang w:val="lv-LV"/>
              </w:rPr>
            </w:pPr>
            <w:r w:rsidRPr="00D9598F">
              <w:rPr>
                <w:rFonts w:cs="Times New Roman"/>
                <w:sz w:val="22"/>
                <w:szCs w:val="22"/>
                <w:lang w:val="lv-LV"/>
              </w:rPr>
              <w:t>2 200 000</w:t>
            </w:r>
          </w:p>
        </w:tc>
      </w:tr>
      <w:tr w:rsidR="00FC55BC" w:rsidRPr="00D9598F" w14:paraId="55877861"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0465A8DC"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2. Budžeta izdevumi:</w:t>
            </w:r>
          </w:p>
        </w:tc>
        <w:tc>
          <w:tcPr>
            <w:tcW w:w="920" w:type="dxa"/>
            <w:tcBorders>
              <w:top w:val="single" w:sz="4" w:space="0" w:color="auto"/>
              <w:left w:val="single" w:sz="4" w:space="0" w:color="auto"/>
              <w:bottom w:val="single" w:sz="4" w:space="0" w:color="auto"/>
              <w:right w:val="single" w:sz="4" w:space="0" w:color="auto"/>
            </w:tcBorders>
          </w:tcPr>
          <w:p w14:paraId="4B0BAC21"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19D74E46"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73E29690" w14:textId="77777777" w:rsidR="00FC55BC" w:rsidRPr="00D9598F" w:rsidRDefault="002F14F1" w:rsidP="0094492F">
            <w:pPr>
              <w:jc w:val="center"/>
              <w:rPr>
                <w:rFonts w:cs="Times New Roman"/>
                <w:sz w:val="22"/>
                <w:szCs w:val="22"/>
                <w:highlight w:val="green"/>
                <w:lang w:val="lv-LV"/>
              </w:rPr>
            </w:pPr>
            <w:r w:rsidRPr="00D9598F">
              <w:rPr>
                <w:rFonts w:cs="Times New Roman"/>
                <w:b/>
                <w:bCs/>
                <w:color w:val="000000"/>
                <w:sz w:val="22"/>
                <w:szCs w:val="22"/>
                <w:lang w:val="lv-LV" w:eastAsia="lv-LV" w:bidi="ar-SA"/>
              </w:rPr>
              <w:t xml:space="preserve">5 405 </w:t>
            </w:r>
            <w:r w:rsidR="0094492F" w:rsidRPr="00D9598F">
              <w:rPr>
                <w:rFonts w:cs="Times New Roman"/>
                <w:b/>
                <w:bCs/>
                <w:color w:val="000000"/>
                <w:sz w:val="22"/>
                <w:szCs w:val="22"/>
                <w:lang w:val="lv-LV" w:eastAsia="lv-LV" w:bidi="ar-SA"/>
              </w:rPr>
              <w:t>231</w:t>
            </w:r>
          </w:p>
        </w:tc>
        <w:tc>
          <w:tcPr>
            <w:tcW w:w="1245" w:type="dxa"/>
            <w:tcBorders>
              <w:top w:val="single" w:sz="4" w:space="0" w:color="auto"/>
              <w:left w:val="single" w:sz="4" w:space="0" w:color="auto"/>
              <w:bottom w:val="single" w:sz="4" w:space="0" w:color="auto"/>
              <w:right w:val="single" w:sz="4" w:space="0" w:color="auto"/>
            </w:tcBorders>
          </w:tcPr>
          <w:p w14:paraId="56B708EC" w14:textId="77777777" w:rsidR="00FC55BC" w:rsidRPr="00D9598F" w:rsidRDefault="002F14F1" w:rsidP="0094492F">
            <w:pPr>
              <w:jc w:val="center"/>
              <w:rPr>
                <w:rFonts w:cs="Times New Roman"/>
                <w:b/>
                <w:sz w:val="22"/>
                <w:szCs w:val="22"/>
                <w:lang w:val="lv-LV"/>
              </w:rPr>
            </w:pPr>
            <w:r w:rsidRPr="00D9598F">
              <w:rPr>
                <w:rFonts w:cs="Times New Roman"/>
                <w:b/>
                <w:bCs/>
                <w:color w:val="000000"/>
                <w:sz w:val="22"/>
                <w:szCs w:val="22"/>
                <w:lang w:val="lv-LV" w:eastAsia="lv-LV" w:bidi="ar-SA"/>
              </w:rPr>
              <w:t xml:space="preserve">5 405 </w:t>
            </w:r>
            <w:r w:rsidR="0094492F" w:rsidRPr="00D9598F">
              <w:rPr>
                <w:rFonts w:cs="Times New Roman"/>
                <w:b/>
                <w:bCs/>
                <w:color w:val="000000"/>
                <w:sz w:val="22"/>
                <w:szCs w:val="22"/>
                <w:lang w:val="lv-LV" w:eastAsia="lv-LV" w:bidi="ar-SA"/>
              </w:rPr>
              <w:t>231</w:t>
            </w:r>
          </w:p>
        </w:tc>
        <w:tc>
          <w:tcPr>
            <w:tcW w:w="1314" w:type="dxa"/>
            <w:tcBorders>
              <w:top w:val="single" w:sz="4" w:space="0" w:color="auto"/>
              <w:left w:val="single" w:sz="4" w:space="0" w:color="auto"/>
              <w:bottom w:val="single" w:sz="4" w:space="0" w:color="auto"/>
              <w:right w:val="single" w:sz="4" w:space="0" w:color="auto"/>
            </w:tcBorders>
          </w:tcPr>
          <w:p w14:paraId="46DE3441" w14:textId="77777777" w:rsidR="00FC55BC" w:rsidRPr="00D9598F" w:rsidRDefault="002F14F1" w:rsidP="0094492F">
            <w:pPr>
              <w:jc w:val="center"/>
              <w:rPr>
                <w:rFonts w:cs="Times New Roman"/>
                <w:b/>
                <w:sz w:val="22"/>
                <w:szCs w:val="22"/>
                <w:lang w:val="lv-LV"/>
              </w:rPr>
            </w:pPr>
            <w:r w:rsidRPr="00D9598F">
              <w:rPr>
                <w:rFonts w:cs="Times New Roman"/>
                <w:b/>
                <w:bCs/>
                <w:color w:val="000000"/>
                <w:sz w:val="22"/>
                <w:szCs w:val="22"/>
                <w:lang w:val="lv-LV" w:eastAsia="lv-LV" w:bidi="ar-SA"/>
              </w:rPr>
              <w:t xml:space="preserve">5 405 </w:t>
            </w:r>
            <w:r w:rsidR="0094492F" w:rsidRPr="00D9598F">
              <w:rPr>
                <w:rFonts w:cs="Times New Roman"/>
                <w:b/>
                <w:bCs/>
                <w:color w:val="000000"/>
                <w:sz w:val="22"/>
                <w:szCs w:val="22"/>
                <w:lang w:val="lv-LV" w:eastAsia="lv-LV" w:bidi="ar-SA"/>
              </w:rPr>
              <w:t>231</w:t>
            </w:r>
          </w:p>
        </w:tc>
      </w:tr>
      <w:tr w:rsidR="00FC55BC" w:rsidRPr="00D9598F" w14:paraId="75A647F1"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4922081D"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2.1. valsts pamatbudžets</w:t>
            </w:r>
          </w:p>
        </w:tc>
        <w:tc>
          <w:tcPr>
            <w:tcW w:w="920" w:type="dxa"/>
            <w:tcBorders>
              <w:top w:val="single" w:sz="4" w:space="0" w:color="auto"/>
              <w:left w:val="single" w:sz="4" w:space="0" w:color="auto"/>
              <w:bottom w:val="single" w:sz="4" w:space="0" w:color="auto"/>
              <w:right w:val="single" w:sz="4" w:space="0" w:color="auto"/>
            </w:tcBorders>
          </w:tcPr>
          <w:p w14:paraId="399E296F"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03A86C8E"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6F594645"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3 011 095</w:t>
            </w:r>
          </w:p>
        </w:tc>
        <w:tc>
          <w:tcPr>
            <w:tcW w:w="1245" w:type="dxa"/>
            <w:tcBorders>
              <w:top w:val="single" w:sz="4" w:space="0" w:color="auto"/>
              <w:left w:val="single" w:sz="4" w:space="0" w:color="auto"/>
              <w:bottom w:val="single" w:sz="4" w:space="0" w:color="auto"/>
              <w:right w:val="single" w:sz="4" w:space="0" w:color="auto"/>
            </w:tcBorders>
          </w:tcPr>
          <w:p w14:paraId="4EE9B83B"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3 011 095</w:t>
            </w:r>
          </w:p>
        </w:tc>
        <w:tc>
          <w:tcPr>
            <w:tcW w:w="1314" w:type="dxa"/>
            <w:tcBorders>
              <w:top w:val="single" w:sz="4" w:space="0" w:color="auto"/>
              <w:left w:val="single" w:sz="4" w:space="0" w:color="auto"/>
              <w:bottom w:val="single" w:sz="4" w:space="0" w:color="auto"/>
              <w:right w:val="single" w:sz="4" w:space="0" w:color="auto"/>
            </w:tcBorders>
          </w:tcPr>
          <w:p w14:paraId="774D9050"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3 011 095</w:t>
            </w:r>
          </w:p>
        </w:tc>
      </w:tr>
      <w:tr w:rsidR="00FC55BC" w:rsidRPr="00D9598F" w14:paraId="4F79CD59"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0722E490"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2.2. valsts speciālais budžets</w:t>
            </w:r>
          </w:p>
        </w:tc>
        <w:tc>
          <w:tcPr>
            <w:tcW w:w="920" w:type="dxa"/>
            <w:tcBorders>
              <w:top w:val="single" w:sz="4" w:space="0" w:color="auto"/>
              <w:left w:val="single" w:sz="4" w:space="0" w:color="auto"/>
              <w:bottom w:val="single" w:sz="4" w:space="0" w:color="auto"/>
              <w:right w:val="single" w:sz="4" w:space="0" w:color="auto"/>
            </w:tcBorders>
          </w:tcPr>
          <w:p w14:paraId="60A70D1A"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03AE7F68"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585A6DE7" w14:textId="77777777" w:rsidR="00FC55BC" w:rsidRPr="00D9598F" w:rsidRDefault="00FC55BC" w:rsidP="00FC55BC">
            <w:pPr>
              <w:rPr>
                <w:rFonts w:cs="Times New Roman"/>
                <w:sz w:val="22"/>
                <w:szCs w:val="22"/>
                <w:lang w:val="lv-LV"/>
              </w:rPr>
            </w:pPr>
          </w:p>
        </w:tc>
        <w:tc>
          <w:tcPr>
            <w:tcW w:w="1245" w:type="dxa"/>
            <w:tcBorders>
              <w:top w:val="single" w:sz="4" w:space="0" w:color="auto"/>
              <w:left w:val="single" w:sz="4" w:space="0" w:color="auto"/>
              <w:bottom w:val="single" w:sz="4" w:space="0" w:color="auto"/>
              <w:right w:val="single" w:sz="4" w:space="0" w:color="auto"/>
            </w:tcBorders>
          </w:tcPr>
          <w:p w14:paraId="20372ECE" w14:textId="77777777" w:rsidR="00FC55BC" w:rsidRPr="00D9598F" w:rsidRDefault="00FC55BC" w:rsidP="00FC55BC">
            <w:pPr>
              <w:rPr>
                <w:rFonts w:cs="Times New Roman"/>
                <w:sz w:val="22"/>
                <w:szCs w:val="22"/>
                <w:lang w:val="lv-LV"/>
              </w:rPr>
            </w:pPr>
          </w:p>
        </w:tc>
        <w:tc>
          <w:tcPr>
            <w:tcW w:w="1314" w:type="dxa"/>
            <w:tcBorders>
              <w:top w:val="single" w:sz="4" w:space="0" w:color="auto"/>
              <w:left w:val="single" w:sz="4" w:space="0" w:color="auto"/>
              <w:bottom w:val="single" w:sz="4" w:space="0" w:color="auto"/>
              <w:right w:val="single" w:sz="4" w:space="0" w:color="auto"/>
            </w:tcBorders>
          </w:tcPr>
          <w:p w14:paraId="000B604B" w14:textId="77777777" w:rsidR="00FC55BC" w:rsidRPr="00D9598F" w:rsidRDefault="00FC55BC" w:rsidP="00FC55BC">
            <w:pPr>
              <w:rPr>
                <w:rFonts w:cs="Times New Roman"/>
                <w:sz w:val="22"/>
                <w:szCs w:val="22"/>
                <w:lang w:val="lv-LV"/>
              </w:rPr>
            </w:pPr>
          </w:p>
        </w:tc>
      </w:tr>
      <w:tr w:rsidR="00FC55BC" w:rsidRPr="00D9598F" w14:paraId="3AC98F04"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0EC7C0B4"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2.3. pašvaldību budžets</w:t>
            </w:r>
          </w:p>
        </w:tc>
        <w:tc>
          <w:tcPr>
            <w:tcW w:w="920" w:type="dxa"/>
            <w:tcBorders>
              <w:top w:val="single" w:sz="4" w:space="0" w:color="auto"/>
              <w:left w:val="single" w:sz="4" w:space="0" w:color="auto"/>
              <w:bottom w:val="single" w:sz="4" w:space="0" w:color="auto"/>
              <w:right w:val="single" w:sz="4" w:space="0" w:color="auto"/>
            </w:tcBorders>
          </w:tcPr>
          <w:p w14:paraId="203873B0"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tcPr>
          <w:p w14:paraId="30BAE68E"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0D2B913B" w14:textId="77777777" w:rsidR="00FC55BC" w:rsidRPr="00D9598F" w:rsidRDefault="002F14F1" w:rsidP="0021416E">
            <w:pPr>
              <w:jc w:val="center"/>
              <w:rPr>
                <w:rFonts w:cs="Times New Roman"/>
                <w:sz w:val="22"/>
                <w:szCs w:val="22"/>
                <w:lang w:val="lv-LV"/>
              </w:rPr>
            </w:pPr>
            <w:r w:rsidRPr="00D9598F">
              <w:rPr>
                <w:rFonts w:cs="Times New Roman"/>
                <w:color w:val="000000"/>
                <w:sz w:val="22"/>
                <w:szCs w:val="22"/>
                <w:lang w:val="lv-LV" w:eastAsia="lv-LV" w:bidi="ar-SA"/>
              </w:rPr>
              <w:t xml:space="preserve">2 394 </w:t>
            </w:r>
            <w:r w:rsidR="0021416E" w:rsidRPr="00D9598F">
              <w:rPr>
                <w:rFonts w:cs="Times New Roman"/>
                <w:color w:val="000000"/>
                <w:sz w:val="22"/>
                <w:szCs w:val="22"/>
                <w:lang w:val="lv-LV" w:eastAsia="lv-LV" w:bidi="ar-SA"/>
              </w:rPr>
              <w:t>136</w:t>
            </w:r>
          </w:p>
        </w:tc>
        <w:tc>
          <w:tcPr>
            <w:tcW w:w="1245" w:type="dxa"/>
            <w:tcBorders>
              <w:top w:val="single" w:sz="4" w:space="0" w:color="auto"/>
              <w:left w:val="single" w:sz="4" w:space="0" w:color="auto"/>
              <w:bottom w:val="single" w:sz="4" w:space="0" w:color="auto"/>
              <w:right w:val="single" w:sz="4" w:space="0" w:color="auto"/>
            </w:tcBorders>
          </w:tcPr>
          <w:p w14:paraId="5B6F4E63" w14:textId="77777777" w:rsidR="00FC55BC" w:rsidRPr="00D9598F" w:rsidRDefault="002F14F1" w:rsidP="0021416E">
            <w:pPr>
              <w:jc w:val="center"/>
              <w:rPr>
                <w:rFonts w:cs="Times New Roman"/>
                <w:sz w:val="22"/>
                <w:szCs w:val="22"/>
                <w:lang w:val="lv-LV"/>
              </w:rPr>
            </w:pPr>
            <w:r w:rsidRPr="00D9598F">
              <w:rPr>
                <w:rFonts w:cs="Times New Roman"/>
                <w:color w:val="000000"/>
                <w:sz w:val="22"/>
                <w:szCs w:val="22"/>
                <w:lang w:val="lv-LV" w:eastAsia="lv-LV" w:bidi="ar-SA"/>
              </w:rPr>
              <w:t xml:space="preserve">2 394 </w:t>
            </w:r>
            <w:r w:rsidR="0021416E" w:rsidRPr="00D9598F">
              <w:rPr>
                <w:rFonts w:cs="Times New Roman"/>
                <w:color w:val="000000"/>
                <w:sz w:val="22"/>
                <w:szCs w:val="22"/>
                <w:lang w:val="lv-LV" w:eastAsia="lv-LV" w:bidi="ar-SA"/>
              </w:rPr>
              <w:t>136</w:t>
            </w:r>
          </w:p>
        </w:tc>
        <w:tc>
          <w:tcPr>
            <w:tcW w:w="1314" w:type="dxa"/>
            <w:tcBorders>
              <w:top w:val="single" w:sz="4" w:space="0" w:color="auto"/>
              <w:left w:val="single" w:sz="4" w:space="0" w:color="auto"/>
              <w:bottom w:val="single" w:sz="4" w:space="0" w:color="auto"/>
              <w:right w:val="single" w:sz="4" w:space="0" w:color="auto"/>
            </w:tcBorders>
          </w:tcPr>
          <w:p w14:paraId="581F1084" w14:textId="77777777" w:rsidR="00FC55BC" w:rsidRPr="00D9598F" w:rsidRDefault="002F14F1" w:rsidP="0021416E">
            <w:pPr>
              <w:jc w:val="center"/>
              <w:rPr>
                <w:rFonts w:cs="Times New Roman"/>
                <w:sz w:val="22"/>
                <w:szCs w:val="22"/>
                <w:lang w:val="lv-LV"/>
              </w:rPr>
            </w:pPr>
            <w:r w:rsidRPr="00D9598F">
              <w:rPr>
                <w:rFonts w:cs="Times New Roman"/>
                <w:color w:val="000000"/>
                <w:sz w:val="22"/>
                <w:szCs w:val="22"/>
                <w:lang w:val="lv-LV" w:eastAsia="lv-LV" w:bidi="ar-SA"/>
              </w:rPr>
              <w:t xml:space="preserve">2 394 </w:t>
            </w:r>
            <w:r w:rsidR="0021416E" w:rsidRPr="00D9598F">
              <w:rPr>
                <w:rFonts w:cs="Times New Roman"/>
                <w:color w:val="000000"/>
                <w:sz w:val="22"/>
                <w:szCs w:val="22"/>
                <w:lang w:val="lv-LV" w:eastAsia="lv-LV" w:bidi="ar-SA"/>
              </w:rPr>
              <w:t>136</w:t>
            </w:r>
          </w:p>
        </w:tc>
      </w:tr>
      <w:tr w:rsidR="00FC55BC" w:rsidRPr="00D9598F" w14:paraId="18F59812"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618057FB"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3. Finansiālā ietekme:</w:t>
            </w:r>
          </w:p>
        </w:tc>
        <w:tc>
          <w:tcPr>
            <w:tcW w:w="920" w:type="dxa"/>
            <w:tcBorders>
              <w:top w:val="single" w:sz="4" w:space="0" w:color="auto"/>
              <w:left w:val="single" w:sz="4" w:space="0" w:color="auto"/>
              <w:bottom w:val="single" w:sz="4" w:space="0" w:color="auto"/>
              <w:right w:val="single" w:sz="4" w:space="0" w:color="auto"/>
            </w:tcBorders>
            <w:vAlign w:val="center"/>
          </w:tcPr>
          <w:p w14:paraId="13BC159F"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vAlign w:val="center"/>
          </w:tcPr>
          <w:p w14:paraId="31963BA5"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vAlign w:val="center"/>
          </w:tcPr>
          <w:p w14:paraId="6B7AFC56" w14:textId="77777777" w:rsidR="00FC55BC" w:rsidRPr="00D9598F" w:rsidRDefault="002F14F1" w:rsidP="0094492F">
            <w:pPr>
              <w:jc w:val="center"/>
              <w:rPr>
                <w:rFonts w:cs="Times New Roman"/>
                <w:b/>
                <w:sz w:val="22"/>
                <w:szCs w:val="22"/>
                <w:lang w:val="lv-LV"/>
              </w:rPr>
            </w:pPr>
            <w:r w:rsidRPr="00D9598F">
              <w:rPr>
                <w:rFonts w:cs="Times New Roman"/>
                <w:b/>
                <w:bCs/>
                <w:color w:val="000000"/>
                <w:sz w:val="22"/>
                <w:szCs w:val="22"/>
                <w:lang w:val="lv-LV" w:eastAsia="lv-LV" w:bidi="ar-SA"/>
              </w:rPr>
              <w:t xml:space="preserve">1 794 </w:t>
            </w:r>
            <w:r w:rsidR="0094492F" w:rsidRPr="00D9598F">
              <w:rPr>
                <w:rFonts w:cs="Times New Roman"/>
                <w:b/>
                <w:bCs/>
                <w:color w:val="000000"/>
                <w:sz w:val="22"/>
                <w:szCs w:val="22"/>
                <w:lang w:val="lv-LV" w:eastAsia="lv-LV" w:bidi="ar-SA"/>
              </w:rPr>
              <w:t>769</w:t>
            </w:r>
          </w:p>
        </w:tc>
        <w:tc>
          <w:tcPr>
            <w:tcW w:w="1245" w:type="dxa"/>
            <w:tcBorders>
              <w:top w:val="single" w:sz="4" w:space="0" w:color="auto"/>
              <w:left w:val="single" w:sz="4" w:space="0" w:color="auto"/>
              <w:bottom w:val="single" w:sz="4" w:space="0" w:color="auto"/>
              <w:right w:val="single" w:sz="4" w:space="0" w:color="auto"/>
            </w:tcBorders>
            <w:vAlign w:val="center"/>
          </w:tcPr>
          <w:p w14:paraId="682F4F73" w14:textId="77777777" w:rsidR="00FC55BC" w:rsidRPr="00D9598F" w:rsidRDefault="002F14F1" w:rsidP="00FC55BC">
            <w:pPr>
              <w:jc w:val="center"/>
              <w:rPr>
                <w:rFonts w:cs="Times New Roman"/>
                <w:b/>
                <w:sz w:val="22"/>
                <w:szCs w:val="22"/>
                <w:lang w:val="lv-LV"/>
              </w:rPr>
            </w:pPr>
            <w:r w:rsidRPr="00D9598F">
              <w:rPr>
                <w:rFonts w:cs="Times New Roman"/>
                <w:b/>
                <w:bCs/>
                <w:color w:val="000000"/>
                <w:sz w:val="22"/>
                <w:szCs w:val="22"/>
                <w:lang w:val="lv-LV" w:eastAsia="lv-LV" w:bidi="ar-SA"/>
              </w:rPr>
              <w:t xml:space="preserve">1 794 </w:t>
            </w:r>
            <w:r w:rsidR="0094492F" w:rsidRPr="00D9598F">
              <w:rPr>
                <w:rFonts w:cs="Times New Roman"/>
                <w:b/>
                <w:bCs/>
                <w:color w:val="000000"/>
                <w:sz w:val="22"/>
                <w:szCs w:val="22"/>
                <w:lang w:val="lv-LV" w:eastAsia="lv-LV" w:bidi="ar-SA"/>
              </w:rPr>
              <w:t>769</w:t>
            </w:r>
          </w:p>
        </w:tc>
        <w:tc>
          <w:tcPr>
            <w:tcW w:w="1314" w:type="dxa"/>
            <w:tcBorders>
              <w:top w:val="single" w:sz="4" w:space="0" w:color="auto"/>
              <w:left w:val="single" w:sz="4" w:space="0" w:color="auto"/>
              <w:bottom w:val="single" w:sz="4" w:space="0" w:color="auto"/>
              <w:right w:val="single" w:sz="4" w:space="0" w:color="auto"/>
            </w:tcBorders>
            <w:vAlign w:val="center"/>
          </w:tcPr>
          <w:p w14:paraId="7A07D14E" w14:textId="77777777" w:rsidR="00FC55BC" w:rsidRPr="00D9598F" w:rsidRDefault="002F14F1" w:rsidP="00FC55BC">
            <w:pPr>
              <w:jc w:val="center"/>
              <w:rPr>
                <w:rFonts w:cs="Times New Roman"/>
                <w:b/>
                <w:sz w:val="22"/>
                <w:szCs w:val="22"/>
                <w:lang w:val="lv-LV"/>
              </w:rPr>
            </w:pPr>
            <w:r w:rsidRPr="00D9598F">
              <w:rPr>
                <w:rFonts w:cs="Times New Roman"/>
                <w:b/>
                <w:bCs/>
                <w:color w:val="000000"/>
                <w:sz w:val="22"/>
                <w:szCs w:val="22"/>
                <w:lang w:val="lv-LV" w:eastAsia="lv-LV" w:bidi="ar-SA"/>
              </w:rPr>
              <w:t xml:space="preserve">1 794 </w:t>
            </w:r>
            <w:r w:rsidR="0094492F" w:rsidRPr="00D9598F">
              <w:rPr>
                <w:rFonts w:cs="Times New Roman"/>
                <w:b/>
                <w:bCs/>
                <w:color w:val="000000"/>
                <w:sz w:val="22"/>
                <w:szCs w:val="22"/>
                <w:lang w:val="lv-LV" w:eastAsia="lv-LV" w:bidi="ar-SA"/>
              </w:rPr>
              <w:t>769</w:t>
            </w:r>
          </w:p>
        </w:tc>
      </w:tr>
      <w:tr w:rsidR="00FC55BC" w:rsidRPr="00D9598F" w14:paraId="1F64E0A7"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20D7B266"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3.1. valsts pamatbudžets</w:t>
            </w:r>
          </w:p>
        </w:tc>
        <w:tc>
          <w:tcPr>
            <w:tcW w:w="920" w:type="dxa"/>
            <w:tcBorders>
              <w:top w:val="single" w:sz="4" w:space="0" w:color="auto"/>
              <w:left w:val="single" w:sz="4" w:space="0" w:color="auto"/>
              <w:bottom w:val="single" w:sz="4" w:space="0" w:color="auto"/>
              <w:right w:val="single" w:sz="4" w:space="0" w:color="auto"/>
            </w:tcBorders>
            <w:vAlign w:val="center"/>
          </w:tcPr>
          <w:p w14:paraId="0DE3ADF4"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vAlign w:val="center"/>
          </w:tcPr>
          <w:p w14:paraId="72951446"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vAlign w:val="center"/>
          </w:tcPr>
          <w:p w14:paraId="5C37A8D4"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1 988 905</w:t>
            </w:r>
          </w:p>
        </w:tc>
        <w:tc>
          <w:tcPr>
            <w:tcW w:w="1245" w:type="dxa"/>
            <w:tcBorders>
              <w:top w:val="single" w:sz="4" w:space="0" w:color="auto"/>
              <w:left w:val="single" w:sz="4" w:space="0" w:color="auto"/>
              <w:bottom w:val="single" w:sz="4" w:space="0" w:color="auto"/>
              <w:right w:val="single" w:sz="4" w:space="0" w:color="auto"/>
            </w:tcBorders>
            <w:vAlign w:val="center"/>
          </w:tcPr>
          <w:p w14:paraId="5E54C054"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1 988 905</w:t>
            </w:r>
          </w:p>
        </w:tc>
        <w:tc>
          <w:tcPr>
            <w:tcW w:w="1314" w:type="dxa"/>
            <w:tcBorders>
              <w:top w:val="single" w:sz="4" w:space="0" w:color="auto"/>
              <w:left w:val="single" w:sz="4" w:space="0" w:color="auto"/>
              <w:bottom w:val="single" w:sz="4" w:space="0" w:color="auto"/>
              <w:right w:val="single" w:sz="4" w:space="0" w:color="auto"/>
            </w:tcBorders>
            <w:vAlign w:val="center"/>
          </w:tcPr>
          <w:p w14:paraId="74634542" w14:textId="77777777" w:rsidR="00FC55BC" w:rsidRPr="00D9598F" w:rsidRDefault="002F14F1" w:rsidP="00FC55BC">
            <w:pPr>
              <w:jc w:val="center"/>
              <w:rPr>
                <w:rFonts w:cs="Times New Roman"/>
                <w:sz w:val="22"/>
                <w:szCs w:val="22"/>
                <w:lang w:val="lv-LV"/>
              </w:rPr>
            </w:pPr>
            <w:r w:rsidRPr="00D9598F">
              <w:rPr>
                <w:rFonts w:cs="Times New Roman"/>
                <w:color w:val="000000"/>
                <w:sz w:val="22"/>
                <w:szCs w:val="22"/>
                <w:lang w:val="lv-LV" w:eastAsia="lv-LV" w:bidi="ar-SA"/>
              </w:rPr>
              <w:t>1 988 905</w:t>
            </w:r>
          </w:p>
        </w:tc>
      </w:tr>
      <w:tr w:rsidR="00FC55BC" w:rsidRPr="00D9598F" w14:paraId="0ABBFB57"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7C0B1AE4"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3.2. speciālais budžets</w:t>
            </w:r>
          </w:p>
        </w:tc>
        <w:tc>
          <w:tcPr>
            <w:tcW w:w="920" w:type="dxa"/>
            <w:tcBorders>
              <w:top w:val="single" w:sz="4" w:space="0" w:color="auto"/>
              <w:left w:val="single" w:sz="4" w:space="0" w:color="auto"/>
              <w:bottom w:val="single" w:sz="4" w:space="0" w:color="auto"/>
              <w:right w:val="single" w:sz="4" w:space="0" w:color="auto"/>
            </w:tcBorders>
            <w:vAlign w:val="center"/>
          </w:tcPr>
          <w:p w14:paraId="51138DD2"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vAlign w:val="center"/>
          </w:tcPr>
          <w:p w14:paraId="763487D4"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584BC859" w14:textId="77777777" w:rsidR="00FC55BC" w:rsidRPr="00D9598F" w:rsidRDefault="00FC55BC" w:rsidP="00FC55BC">
            <w:pPr>
              <w:rPr>
                <w:rFonts w:cs="Times New Roman"/>
                <w:sz w:val="22"/>
                <w:szCs w:val="22"/>
                <w:lang w:val="lv-LV"/>
              </w:rPr>
            </w:pPr>
          </w:p>
        </w:tc>
        <w:tc>
          <w:tcPr>
            <w:tcW w:w="1245" w:type="dxa"/>
            <w:tcBorders>
              <w:top w:val="single" w:sz="4" w:space="0" w:color="auto"/>
              <w:left w:val="single" w:sz="4" w:space="0" w:color="auto"/>
              <w:bottom w:val="single" w:sz="4" w:space="0" w:color="auto"/>
              <w:right w:val="single" w:sz="4" w:space="0" w:color="auto"/>
            </w:tcBorders>
          </w:tcPr>
          <w:p w14:paraId="6E51F3BE" w14:textId="77777777" w:rsidR="00FC55BC" w:rsidRPr="00D9598F" w:rsidRDefault="00FC55BC" w:rsidP="00FC55BC">
            <w:pPr>
              <w:rPr>
                <w:rFonts w:cs="Times New Roman"/>
                <w:sz w:val="22"/>
                <w:szCs w:val="22"/>
                <w:lang w:val="lv-LV"/>
              </w:rPr>
            </w:pPr>
          </w:p>
        </w:tc>
        <w:tc>
          <w:tcPr>
            <w:tcW w:w="1314" w:type="dxa"/>
            <w:tcBorders>
              <w:top w:val="single" w:sz="4" w:space="0" w:color="auto"/>
              <w:left w:val="single" w:sz="4" w:space="0" w:color="auto"/>
              <w:bottom w:val="single" w:sz="4" w:space="0" w:color="auto"/>
              <w:right w:val="single" w:sz="4" w:space="0" w:color="auto"/>
            </w:tcBorders>
          </w:tcPr>
          <w:p w14:paraId="5900B210" w14:textId="77777777" w:rsidR="00FC55BC" w:rsidRPr="00D9598F" w:rsidRDefault="00FC55BC" w:rsidP="00FC55BC">
            <w:pPr>
              <w:rPr>
                <w:rFonts w:cs="Times New Roman"/>
                <w:sz w:val="22"/>
                <w:szCs w:val="22"/>
                <w:lang w:val="lv-LV"/>
              </w:rPr>
            </w:pPr>
          </w:p>
        </w:tc>
      </w:tr>
      <w:tr w:rsidR="00FC55BC" w:rsidRPr="00D9598F" w14:paraId="7D684AF4"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68A5DED1"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3.3. pašvaldību budžets</w:t>
            </w:r>
          </w:p>
        </w:tc>
        <w:tc>
          <w:tcPr>
            <w:tcW w:w="920" w:type="dxa"/>
            <w:tcBorders>
              <w:top w:val="single" w:sz="4" w:space="0" w:color="auto"/>
              <w:left w:val="single" w:sz="4" w:space="0" w:color="auto"/>
              <w:bottom w:val="single" w:sz="4" w:space="0" w:color="auto"/>
              <w:right w:val="single" w:sz="4" w:space="0" w:color="auto"/>
            </w:tcBorders>
            <w:vAlign w:val="center"/>
          </w:tcPr>
          <w:p w14:paraId="3E61EA31"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268" w:type="dxa"/>
            <w:tcBorders>
              <w:top w:val="single" w:sz="4" w:space="0" w:color="auto"/>
              <w:left w:val="single" w:sz="4" w:space="0" w:color="auto"/>
              <w:bottom w:val="single" w:sz="4" w:space="0" w:color="auto"/>
              <w:right w:val="single" w:sz="4" w:space="0" w:color="auto"/>
            </w:tcBorders>
            <w:vAlign w:val="center"/>
          </w:tcPr>
          <w:p w14:paraId="4D6233B7"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0</w:t>
            </w:r>
          </w:p>
        </w:tc>
        <w:tc>
          <w:tcPr>
            <w:tcW w:w="1347" w:type="dxa"/>
            <w:tcBorders>
              <w:top w:val="single" w:sz="4" w:space="0" w:color="auto"/>
              <w:left w:val="single" w:sz="4" w:space="0" w:color="auto"/>
              <w:bottom w:val="single" w:sz="4" w:space="0" w:color="auto"/>
              <w:right w:val="single" w:sz="4" w:space="0" w:color="auto"/>
            </w:tcBorders>
          </w:tcPr>
          <w:p w14:paraId="4B66CC1F" w14:textId="77777777" w:rsidR="00FC55BC" w:rsidRPr="00D9598F" w:rsidRDefault="00FC55BC" w:rsidP="0094492F">
            <w:pPr>
              <w:jc w:val="center"/>
              <w:rPr>
                <w:rFonts w:cs="Times New Roman"/>
                <w:sz w:val="22"/>
                <w:szCs w:val="22"/>
                <w:lang w:val="lv-LV"/>
              </w:rPr>
            </w:pPr>
            <w:r w:rsidRPr="00D9598F">
              <w:rPr>
                <w:rFonts w:cs="Times New Roman"/>
                <w:sz w:val="22"/>
                <w:szCs w:val="22"/>
                <w:lang w:val="lv-LV"/>
              </w:rPr>
              <w:t>-</w:t>
            </w:r>
            <w:r w:rsidR="002F14F1" w:rsidRPr="00D9598F">
              <w:rPr>
                <w:rFonts w:cs="Times New Roman"/>
                <w:color w:val="000000"/>
                <w:sz w:val="22"/>
                <w:szCs w:val="22"/>
                <w:lang w:val="lv-LV" w:eastAsia="lv-LV" w:bidi="ar-SA"/>
              </w:rPr>
              <w:t xml:space="preserve">194 </w:t>
            </w:r>
            <w:r w:rsidR="0094492F" w:rsidRPr="00D9598F">
              <w:rPr>
                <w:rFonts w:cs="Times New Roman"/>
                <w:color w:val="000000"/>
                <w:sz w:val="22"/>
                <w:szCs w:val="22"/>
                <w:lang w:val="lv-LV" w:eastAsia="lv-LV" w:bidi="ar-SA"/>
              </w:rPr>
              <w:t>136</w:t>
            </w:r>
          </w:p>
        </w:tc>
        <w:tc>
          <w:tcPr>
            <w:tcW w:w="1245" w:type="dxa"/>
            <w:tcBorders>
              <w:top w:val="single" w:sz="4" w:space="0" w:color="auto"/>
              <w:left w:val="single" w:sz="4" w:space="0" w:color="auto"/>
              <w:bottom w:val="single" w:sz="4" w:space="0" w:color="auto"/>
              <w:right w:val="single" w:sz="4" w:space="0" w:color="auto"/>
            </w:tcBorders>
          </w:tcPr>
          <w:p w14:paraId="41B19688" w14:textId="77777777" w:rsidR="00FC55BC" w:rsidRPr="00D9598F" w:rsidRDefault="00FC55BC" w:rsidP="0094492F">
            <w:pPr>
              <w:jc w:val="center"/>
              <w:rPr>
                <w:rFonts w:cs="Times New Roman"/>
                <w:sz w:val="22"/>
                <w:szCs w:val="22"/>
                <w:lang w:val="lv-LV"/>
              </w:rPr>
            </w:pPr>
            <w:r w:rsidRPr="00D9598F">
              <w:rPr>
                <w:rFonts w:cs="Times New Roman"/>
                <w:sz w:val="22"/>
                <w:szCs w:val="22"/>
                <w:lang w:val="lv-LV"/>
              </w:rPr>
              <w:t>-</w:t>
            </w:r>
            <w:r w:rsidR="002F14F1" w:rsidRPr="00D9598F">
              <w:rPr>
                <w:rFonts w:cs="Times New Roman"/>
                <w:color w:val="000000"/>
                <w:sz w:val="22"/>
                <w:szCs w:val="22"/>
                <w:lang w:val="lv-LV" w:eastAsia="lv-LV" w:bidi="ar-SA"/>
              </w:rPr>
              <w:t xml:space="preserve">194 </w:t>
            </w:r>
            <w:r w:rsidR="0094492F" w:rsidRPr="00D9598F">
              <w:rPr>
                <w:rFonts w:cs="Times New Roman"/>
                <w:color w:val="000000"/>
                <w:sz w:val="22"/>
                <w:szCs w:val="22"/>
                <w:lang w:val="lv-LV" w:eastAsia="lv-LV" w:bidi="ar-SA"/>
              </w:rPr>
              <w:t>136</w:t>
            </w:r>
          </w:p>
        </w:tc>
        <w:tc>
          <w:tcPr>
            <w:tcW w:w="1314" w:type="dxa"/>
            <w:tcBorders>
              <w:top w:val="single" w:sz="4" w:space="0" w:color="auto"/>
              <w:left w:val="single" w:sz="4" w:space="0" w:color="auto"/>
              <w:bottom w:val="single" w:sz="4" w:space="0" w:color="auto"/>
              <w:right w:val="single" w:sz="4" w:space="0" w:color="auto"/>
            </w:tcBorders>
          </w:tcPr>
          <w:p w14:paraId="54E8AE01" w14:textId="77777777" w:rsidR="00FC55BC" w:rsidRPr="00D9598F" w:rsidRDefault="00FC55BC" w:rsidP="0094492F">
            <w:pPr>
              <w:jc w:val="center"/>
              <w:rPr>
                <w:rFonts w:cs="Times New Roman"/>
                <w:sz w:val="22"/>
                <w:szCs w:val="22"/>
                <w:lang w:val="lv-LV"/>
              </w:rPr>
            </w:pPr>
            <w:r w:rsidRPr="00D9598F">
              <w:rPr>
                <w:rFonts w:cs="Times New Roman"/>
                <w:sz w:val="22"/>
                <w:szCs w:val="22"/>
                <w:lang w:val="lv-LV"/>
              </w:rPr>
              <w:t>-</w:t>
            </w:r>
            <w:r w:rsidR="002F14F1" w:rsidRPr="00D9598F">
              <w:rPr>
                <w:rFonts w:cs="Times New Roman"/>
                <w:color w:val="000000"/>
                <w:sz w:val="22"/>
                <w:szCs w:val="22"/>
                <w:lang w:val="lv-LV" w:eastAsia="lv-LV" w:bidi="ar-SA"/>
              </w:rPr>
              <w:t xml:space="preserve">194 </w:t>
            </w:r>
            <w:r w:rsidR="0094492F" w:rsidRPr="00D9598F">
              <w:rPr>
                <w:rFonts w:cs="Times New Roman"/>
                <w:color w:val="000000"/>
                <w:sz w:val="22"/>
                <w:szCs w:val="22"/>
                <w:lang w:val="lv-LV" w:eastAsia="lv-LV" w:bidi="ar-SA"/>
              </w:rPr>
              <w:t>136</w:t>
            </w:r>
          </w:p>
        </w:tc>
      </w:tr>
      <w:tr w:rsidR="00FC55BC" w:rsidRPr="00D9598F" w14:paraId="3A930A47"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932"/>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251076BE"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4. Finanšu līdzekļi papildu izdevumu finansēšanai (kompensējošu izdevumu samazinājumu norāda ar "+" zīmi)</w:t>
            </w:r>
          </w:p>
        </w:tc>
        <w:tc>
          <w:tcPr>
            <w:tcW w:w="920" w:type="dxa"/>
            <w:tcBorders>
              <w:top w:val="single" w:sz="4" w:space="0" w:color="auto"/>
              <w:left w:val="single" w:sz="4" w:space="0" w:color="auto"/>
              <w:bottom w:val="single" w:sz="4" w:space="0" w:color="auto"/>
              <w:right w:val="single" w:sz="4" w:space="0" w:color="auto"/>
            </w:tcBorders>
          </w:tcPr>
          <w:p w14:paraId="03A8137F" w14:textId="77777777" w:rsidR="00FC55BC" w:rsidRPr="00D9598F" w:rsidRDefault="00FC55BC" w:rsidP="00FC55BC">
            <w:pPr>
              <w:pStyle w:val="NormalWeb"/>
              <w:jc w:val="center"/>
              <w:rPr>
                <w:rFonts w:ascii="Times New Roman" w:hAnsi="Times New Roman"/>
                <w:sz w:val="22"/>
                <w:szCs w:val="22"/>
              </w:rPr>
            </w:pPr>
            <w:r w:rsidRPr="00D9598F">
              <w:rPr>
                <w:rFonts w:ascii="Times New Roman" w:hAnsi="Times New Roman"/>
                <w:sz w:val="22"/>
                <w:szCs w:val="22"/>
              </w:rPr>
              <w:t>X</w:t>
            </w:r>
          </w:p>
        </w:tc>
        <w:tc>
          <w:tcPr>
            <w:tcW w:w="1268" w:type="dxa"/>
            <w:tcBorders>
              <w:top w:val="single" w:sz="4" w:space="0" w:color="auto"/>
              <w:left w:val="single" w:sz="4" w:space="0" w:color="auto"/>
              <w:right w:val="single" w:sz="4" w:space="0" w:color="auto"/>
            </w:tcBorders>
          </w:tcPr>
          <w:p w14:paraId="620092A7"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347" w:type="dxa"/>
            <w:tcBorders>
              <w:top w:val="single" w:sz="4" w:space="0" w:color="auto"/>
              <w:left w:val="single" w:sz="4" w:space="0" w:color="auto"/>
              <w:right w:val="single" w:sz="4" w:space="0" w:color="auto"/>
            </w:tcBorders>
          </w:tcPr>
          <w:p w14:paraId="4B06EE41"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245" w:type="dxa"/>
            <w:tcBorders>
              <w:top w:val="single" w:sz="4" w:space="0" w:color="auto"/>
              <w:left w:val="single" w:sz="4" w:space="0" w:color="auto"/>
              <w:right w:val="single" w:sz="4" w:space="0" w:color="auto"/>
            </w:tcBorders>
          </w:tcPr>
          <w:p w14:paraId="63EF086E"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314" w:type="dxa"/>
            <w:tcBorders>
              <w:top w:val="single" w:sz="4" w:space="0" w:color="auto"/>
              <w:left w:val="single" w:sz="4" w:space="0" w:color="auto"/>
              <w:right w:val="single" w:sz="4" w:space="0" w:color="auto"/>
            </w:tcBorders>
          </w:tcPr>
          <w:p w14:paraId="6423557A"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r>
      <w:tr w:rsidR="00FC55BC" w:rsidRPr="00D9598F" w14:paraId="099692BF"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35FE2148"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5. Precizēta finansiālā ietekme:</w:t>
            </w:r>
          </w:p>
        </w:tc>
        <w:tc>
          <w:tcPr>
            <w:tcW w:w="920" w:type="dxa"/>
            <w:vMerge w:val="restart"/>
            <w:tcBorders>
              <w:top w:val="single" w:sz="4" w:space="0" w:color="auto"/>
              <w:left w:val="single" w:sz="4" w:space="0" w:color="auto"/>
              <w:bottom w:val="single" w:sz="4" w:space="0" w:color="auto"/>
              <w:right w:val="single" w:sz="4" w:space="0" w:color="auto"/>
            </w:tcBorders>
          </w:tcPr>
          <w:p w14:paraId="714F98AD" w14:textId="77777777" w:rsidR="00FC55BC" w:rsidRPr="00D9598F" w:rsidRDefault="00FC55BC" w:rsidP="00FC55BC">
            <w:pPr>
              <w:pStyle w:val="NormalWeb"/>
              <w:jc w:val="center"/>
              <w:rPr>
                <w:rFonts w:ascii="Times New Roman" w:hAnsi="Times New Roman"/>
                <w:sz w:val="22"/>
                <w:szCs w:val="22"/>
              </w:rPr>
            </w:pPr>
            <w:r w:rsidRPr="00D9598F">
              <w:rPr>
                <w:rFonts w:ascii="Times New Roman" w:hAnsi="Times New Roman"/>
                <w:sz w:val="22"/>
                <w:szCs w:val="22"/>
              </w:rPr>
              <w:t>X</w:t>
            </w:r>
          </w:p>
        </w:tc>
        <w:tc>
          <w:tcPr>
            <w:tcW w:w="1268" w:type="dxa"/>
            <w:tcBorders>
              <w:top w:val="single" w:sz="4" w:space="0" w:color="auto"/>
              <w:left w:val="single" w:sz="4" w:space="0" w:color="auto"/>
              <w:bottom w:val="single" w:sz="4" w:space="0" w:color="auto"/>
              <w:right w:val="single" w:sz="4" w:space="0" w:color="auto"/>
            </w:tcBorders>
            <w:vAlign w:val="center"/>
          </w:tcPr>
          <w:p w14:paraId="15A116AB"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347" w:type="dxa"/>
            <w:tcBorders>
              <w:top w:val="single" w:sz="4" w:space="0" w:color="auto"/>
              <w:left w:val="single" w:sz="4" w:space="0" w:color="auto"/>
              <w:bottom w:val="single" w:sz="4" w:space="0" w:color="auto"/>
              <w:right w:val="single" w:sz="4" w:space="0" w:color="auto"/>
            </w:tcBorders>
            <w:vAlign w:val="center"/>
          </w:tcPr>
          <w:p w14:paraId="5FEF4E4C"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245" w:type="dxa"/>
            <w:tcBorders>
              <w:top w:val="single" w:sz="4" w:space="0" w:color="auto"/>
              <w:left w:val="single" w:sz="4" w:space="0" w:color="auto"/>
              <w:bottom w:val="single" w:sz="4" w:space="0" w:color="auto"/>
              <w:right w:val="single" w:sz="4" w:space="0" w:color="auto"/>
            </w:tcBorders>
            <w:vAlign w:val="center"/>
          </w:tcPr>
          <w:p w14:paraId="7A9BB1F1"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314" w:type="dxa"/>
            <w:tcBorders>
              <w:top w:val="single" w:sz="4" w:space="0" w:color="auto"/>
              <w:left w:val="single" w:sz="4" w:space="0" w:color="auto"/>
              <w:bottom w:val="single" w:sz="4" w:space="0" w:color="auto"/>
              <w:right w:val="single" w:sz="4" w:space="0" w:color="auto"/>
            </w:tcBorders>
            <w:vAlign w:val="center"/>
          </w:tcPr>
          <w:p w14:paraId="42065FD0"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r>
      <w:tr w:rsidR="00FC55BC" w:rsidRPr="00D9598F" w14:paraId="46F54400"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7088573D"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5.1. valsts pamatbudžets</w:t>
            </w:r>
          </w:p>
        </w:tc>
        <w:tc>
          <w:tcPr>
            <w:tcW w:w="920" w:type="dxa"/>
            <w:vMerge/>
            <w:tcBorders>
              <w:top w:val="single" w:sz="4" w:space="0" w:color="auto"/>
              <w:left w:val="single" w:sz="4" w:space="0" w:color="auto"/>
              <w:bottom w:val="single" w:sz="4" w:space="0" w:color="auto"/>
              <w:right w:val="single" w:sz="4" w:space="0" w:color="auto"/>
            </w:tcBorders>
            <w:vAlign w:val="center"/>
          </w:tcPr>
          <w:p w14:paraId="3987C5A8" w14:textId="77777777" w:rsidR="00FC55BC" w:rsidRPr="00D9598F" w:rsidRDefault="00FC55BC" w:rsidP="00FC55BC">
            <w:pPr>
              <w:rPr>
                <w:rFonts w:cs="Times New Roman"/>
                <w:sz w:val="22"/>
                <w:szCs w:val="22"/>
                <w:lang w:val="lv-LV"/>
              </w:rPr>
            </w:pPr>
          </w:p>
        </w:tc>
        <w:tc>
          <w:tcPr>
            <w:tcW w:w="1268" w:type="dxa"/>
            <w:tcBorders>
              <w:top w:val="single" w:sz="4" w:space="0" w:color="auto"/>
              <w:left w:val="single" w:sz="4" w:space="0" w:color="auto"/>
              <w:bottom w:val="single" w:sz="4" w:space="0" w:color="auto"/>
              <w:right w:val="single" w:sz="4" w:space="0" w:color="auto"/>
            </w:tcBorders>
            <w:vAlign w:val="center"/>
          </w:tcPr>
          <w:p w14:paraId="28B699AC"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 xml:space="preserve">Projekts šo jomu neskar </w:t>
            </w:r>
          </w:p>
        </w:tc>
        <w:tc>
          <w:tcPr>
            <w:tcW w:w="1347" w:type="dxa"/>
            <w:tcBorders>
              <w:top w:val="single" w:sz="4" w:space="0" w:color="auto"/>
              <w:left w:val="single" w:sz="4" w:space="0" w:color="auto"/>
              <w:bottom w:val="single" w:sz="4" w:space="0" w:color="auto"/>
              <w:right w:val="single" w:sz="4" w:space="0" w:color="auto"/>
            </w:tcBorders>
            <w:vAlign w:val="center"/>
          </w:tcPr>
          <w:p w14:paraId="00321495"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245" w:type="dxa"/>
            <w:tcBorders>
              <w:top w:val="single" w:sz="4" w:space="0" w:color="auto"/>
              <w:left w:val="single" w:sz="4" w:space="0" w:color="auto"/>
              <w:bottom w:val="single" w:sz="4" w:space="0" w:color="auto"/>
              <w:right w:val="single" w:sz="4" w:space="0" w:color="auto"/>
            </w:tcBorders>
            <w:vAlign w:val="center"/>
          </w:tcPr>
          <w:p w14:paraId="1C4C5B58"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c>
          <w:tcPr>
            <w:tcW w:w="1314" w:type="dxa"/>
            <w:tcBorders>
              <w:top w:val="single" w:sz="4" w:space="0" w:color="auto"/>
              <w:left w:val="single" w:sz="4" w:space="0" w:color="auto"/>
              <w:bottom w:val="single" w:sz="4" w:space="0" w:color="auto"/>
              <w:right w:val="single" w:sz="4" w:space="0" w:color="auto"/>
            </w:tcBorders>
            <w:vAlign w:val="center"/>
          </w:tcPr>
          <w:p w14:paraId="3858EFD3" w14:textId="77777777" w:rsidR="00FC55BC" w:rsidRPr="00D9598F" w:rsidRDefault="00FC55BC" w:rsidP="00FC55BC">
            <w:pPr>
              <w:jc w:val="center"/>
              <w:rPr>
                <w:rFonts w:cs="Times New Roman"/>
                <w:sz w:val="22"/>
                <w:szCs w:val="22"/>
                <w:lang w:val="lv-LV"/>
              </w:rPr>
            </w:pPr>
            <w:r w:rsidRPr="00D9598F">
              <w:rPr>
                <w:rFonts w:cs="Times New Roman"/>
                <w:sz w:val="22"/>
                <w:szCs w:val="22"/>
                <w:lang w:val="lv-LV"/>
              </w:rPr>
              <w:t>Projekts šo jomu neskar</w:t>
            </w:r>
          </w:p>
        </w:tc>
      </w:tr>
      <w:tr w:rsidR="00FC55BC" w:rsidRPr="00D9598F" w14:paraId="793BB46E"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4A3E7F61"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5.2. speciālais budžets</w:t>
            </w:r>
          </w:p>
        </w:tc>
        <w:tc>
          <w:tcPr>
            <w:tcW w:w="920" w:type="dxa"/>
            <w:vMerge/>
            <w:tcBorders>
              <w:top w:val="single" w:sz="4" w:space="0" w:color="auto"/>
              <w:left w:val="single" w:sz="4" w:space="0" w:color="auto"/>
              <w:bottom w:val="single" w:sz="4" w:space="0" w:color="auto"/>
              <w:right w:val="single" w:sz="4" w:space="0" w:color="auto"/>
            </w:tcBorders>
            <w:vAlign w:val="center"/>
          </w:tcPr>
          <w:p w14:paraId="5AA97BBC" w14:textId="77777777" w:rsidR="00FC55BC" w:rsidRPr="00D9598F" w:rsidRDefault="00FC55BC" w:rsidP="00FC55BC">
            <w:pPr>
              <w:rPr>
                <w:rFonts w:cs="Times New Roman"/>
                <w:sz w:val="22"/>
                <w:szCs w:val="22"/>
                <w:lang w:val="lv-LV"/>
              </w:rPr>
            </w:pPr>
          </w:p>
        </w:tc>
        <w:tc>
          <w:tcPr>
            <w:tcW w:w="1268" w:type="dxa"/>
            <w:tcBorders>
              <w:top w:val="single" w:sz="4" w:space="0" w:color="auto"/>
              <w:left w:val="single" w:sz="4" w:space="0" w:color="auto"/>
              <w:bottom w:val="single" w:sz="4" w:space="0" w:color="auto"/>
              <w:right w:val="single" w:sz="4" w:space="0" w:color="auto"/>
            </w:tcBorders>
          </w:tcPr>
          <w:p w14:paraId="32FCD0C9" w14:textId="77777777" w:rsidR="00FC55BC" w:rsidRPr="00D9598F" w:rsidRDefault="00FC55BC" w:rsidP="00FC55BC">
            <w:pPr>
              <w:rPr>
                <w:rFonts w:cs="Times New Roman"/>
                <w:i/>
                <w:sz w:val="22"/>
                <w:szCs w:val="22"/>
                <w:lang w:val="lv-LV"/>
              </w:rPr>
            </w:pPr>
            <w:r w:rsidRPr="00D9598F">
              <w:rPr>
                <w:rFonts w:cs="Times New Roman"/>
                <w:sz w:val="22"/>
                <w:szCs w:val="22"/>
                <w:lang w:val="lv-LV"/>
              </w:rPr>
              <w:t>Projekts šo jomu neskar</w:t>
            </w:r>
          </w:p>
        </w:tc>
        <w:tc>
          <w:tcPr>
            <w:tcW w:w="1347" w:type="dxa"/>
            <w:tcBorders>
              <w:top w:val="single" w:sz="4" w:space="0" w:color="auto"/>
              <w:left w:val="single" w:sz="4" w:space="0" w:color="auto"/>
              <w:bottom w:val="single" w:sz="4" w:space="0" w:color="auto"/>
              <w:right w:val="single" w:sz="4" w:space="0" w:color="auto"/>
            </w:tcBorders>
          </w:tcPr>
          <w:p w14:paraId="27E281AB" w14:textId="77777777" w:rsidR="00FC55BC" w:rsidRPr="00D9598F" w:rsidRDefault="00FC55BC" w:rsidP="00FC55BC">
            <w:pPr>
              <w:rPr>
                <w:rFonts w:cs="Times New Roman"/>
                <w:i/>
                <w:sz w:val="22"/>
                <w:szCs w:val="22"/>
                <w:lang w:val="lv-LV"/>
              </w:rPr>
            </w:pPr>
            <w:r w:rsidRPr="00D9598F">
              <w:rPr>
                <w:rFonts w:cs="Times New Roman"/>
                <w:sz w:val="22"/>
                <w:szCs w:val="22"/>
                <w:lang w:val="lv-LV"/>
              </w:rPr>
              <w:t>Projekts šo jomu neskar</w:t>
            </w:r>
          </w:p>
        </w:tc>
        <w:tc>
          <w:tcPr>
            <w:tcW w:w="1245" w:type="dxa"/>
            <w:tcBorders>
              <w:top w:val="single" w:sz="4" w:space="0" w:color="auto"/>
              <w:left w:val="single" w:sz="4" w:space="0" w:color="auto"/>
              <w:bottom w:val="single" w:sz="4" w:space="0" w:color="auto"/>
              <w:right w:val="single" w:sz="4" w:space="0" w:color="auto"/>
            </w:tcBorders>
          </w:tcPr>
          <w:p w14:paraId="37953E03" w14:textId="77777777" w:rsidR="00FC55BC" w:rsidRPr="00D9598F" w:rsidRDefault="00FC55BC" w:rsidP="00FC55BC">
            <w:pPr>
              <w:rPr>
                <w:rFonts w:cs="Times New Roman"/>
                <w:i/>
                <w:sz w:val="22"/>
                <w:szCs w:val="22"/>
                <w:lang w:val="lv-LV"/>
              </w:rPr>
            </w:pPr>
            <w:r w:rsidRPr="00D9598F">
              <w:rPr>
                <w:rFonts w:cs="Times New Roman"/>
                <w:sz w:val="22"/>
                <w:szCs w:val="22"/>
                <w:lang w:val="lv-LV"/>
              </w:rPr>
              <w:t>Projekts šo jomu neskar</w:t>
            </w:r>
          </w:p>
        </w:tc>
        <w:tc>
          <w:tcPr>
            <w:tcW w:w="1314" w:type="dxa"/>
            <w:tcBorders>
              <w:top w:val="single" w:sz="4" w:space="0" w:color="auto"/>
              <w:left w:val="single" w:sz="4" w:space="0" w:color="auto"/>
              <w:bottom w:val="single" w:sz="4" w:space="0" w:color="auto"/>
              <w:right w:val="single" w:sz="4" w:space="0" w:color="auto"/>
            </w:tcBorders>
          </w:tcPr>
          <w:p w14:paraId="7378B81A" w14:textId="77777777" w:rsidR="00FC55BC" w:rsidRPr="00D9598F" w:rsidRDefault="00FC55BC" w:rsidP="00FC55BC">
            <w:pPr>
              <w:rPr>
                <w:rFonts w:cs="Times New Roman"/>
                <w:i/>
                <w:sz w:val="22"/>
                <w:szCs w:val="22"/>
                <w:lang w:val="lv-LV"/>
              </w:rPr>
            </w:pPr>
            <w:r w:rsidRPr="00D9598F">
              <w:rPr>
                <w:rFonts w:cs="Times New Roman"/>
                <w:sz w:val="22"/>
                <w:szCs w:val="22"/>
                <w:lang w:val="lv-LV"/>
              </w:rPr>
              <w:t>Projekts šo jomu neskar</w:t>
            </w:r>
          </w:p>
        </w:tc>
      </w:tr>
      <w:tr w:rsidR="00FC55BC" w:rsidRPr="00D9598F" w14:paraId="50C23182" w14:textId="77777777" w:rsidTr="00155450">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blCellSpacing w:w="15" w:type="dxa"/>
        </w:trPr>
        <w:tc>
          <w:tcPr>
            <w:tcW w:w="1851" w:type="dxa"/>
            <w:gridSpan w:val="2"/>
            <w:tcBorders>
              <w:top w:val="single" w:sz="4" w:space="0" w:color="auto"/>
              <w:left w:val="single" w:sz="4" w:space="0" w:color="auto"/>
              <w:bottom w:val="single" w:sz="4" w:space="0" w:color="auto"/>
              <w:right w:val="single" w:sz="4" w:space="0" w:color="auto"/>
            </w:tcBorders>
          </w:tcPr>
          <w:p w14:paraId="0285CAE3" w14:textId="77777777" w:rsidR="00FC55BC" w:rsidRPr="00D9598F" w:rsidRDefault="00FC55BC" w:rsidP="00FC55BC">
            <w:pPr>
              <w:pStyle w:val="NormalWeb"/>
              <w:ind w:right="-109"/>
              <w:rPr>
                <w:rFonts w:ascii="Times New Roman" w:hAnsi="Times New Roman"/>
                <w:sz w:val="22"/>
                <w:szCs w:val="22"/>
              </w:rPr>
            </w:pPr>
            <w:r w:rsidRPr="00D9598F">
              <w:rPr>
                <w:rFonts w:ascii="Times New Roman" w:hAnsi="Times New Roman"/>
                <w:sz w:val="22"/>
                <w:szCs w:val="22"/>
              </w:rPr>
              <w:t>5.3. pašvaldību budžets</w:t>
            </w:r>
          </w:p>
        </w:tc>
        <w:tc>
          <w:tcPr>
            <w:tcW w:w="920" w:type="dxa"/>
            <w:vMerge/>
            <w:tcBorders>
              <w:top w:val="single" w:sz="4" w:space="0" w:color="auto"/>
              <w:left w:val="single" w:sz="4" w:space="0" w:color="auto"/>
              <w:bottom w:val="single" w:sz="4" w:space="0" w:color="auto"/>
              <w:right w:val="single" w:sz="4" w:space="0" w:color="auto"/>
            </w:tcBorders>
            <w:vAlign w:val="center"/>
          </w:tcPr>
          <w:p w14:paraId="61C521BB" w14:textId="77777777" w:rsidR="00FC55BC" w:rsidRPr="00D9598F" w:rsidRDefault="00FC55BC" w:rsidP="00FC55BC">
            <w:pPr>
              <w:ind w:right="-109"/>
              <w:rPr>
                <w:rFonts w:cs="Times New Roman"/>
                <w:sz w:val="22"/>
                <w:szCs w:val="22"/>
                <w:lang w:val="lv-LV"/>
              </w:rPr>
            </w:pPr>
          </w:p>
        </w:tc>
        <w:tc>
          <w:tcPr>
            <w:tcW w:w="1268" w:type="dxa"/>
            <w:tcBorders>
              <w:top w:val="single" w:sz="4" w:space="0" w:color="auto"/>
              <w:left w:val="single" w:sz="4" w:space="0" w:color="auto"/>
              <w:bottom w:val="single" w:sz="4" w:space="0" w:color="auto"/>
              <w:right w:val="single" w:sz="4" w:space="0" w:color="auto"/>
            </w:tcBorders>
          </w:tcPr>
          <w:p w14:paraId="62ABF6C6" w14:textId="77777777" w:rsidR="00FC55BC" w:rsidRPr="00D9598F" w:rsidRDefault="00FC55BC" w:rsidP="00FC55BC">
            <w:pPr>
              <w:ind w:right="-109"/>
              <w:rPr>
                <w:rFonts w:cs="Times New Roman"/>
                <w:sz w:val="22"/>
                <w:szCs w:val="22"/>
                <w:lang w:val="lv-LV"/>
              </w:rPr>
            </w:pPr>
            <w:r w:rsidRPr="00D9598F">
              <w:rPr>
                <w:rFonts w:cs="Times New Roman"/>
                <w:sz w:val="22"/>
                <w:szCs w:val="22"/>
                <w:lang w:val="lv-LV"/>
              </w:rPr>
              <w:t>Projekts šo jomu neskar</w:t>
            </w:r>
          </w:p>
        </w:tc>
        <w:tc>
          <w:tcPr>
            <w:tcW w:w="1347" w:type="dxa"/>
            <w:tcBorders>
              <w:top w:val="single" w:sz="4" w:space="0" w:color="auto"/>
              <w:left w:val="single" w:sz="4" w:space="0" w:color="auto"/>
              <w:bottom w:val="single" w:sz="4" w:space="0" w:color="auto"/>
              <w:right w:val="single" w:sz="4" w:space="0" w:color="auto"/>
            </w:tcBorders>
          </w:tcPr>
          <w:p w14:paraId="7A26F3BA" w14:textId="77777777" w:rsidR="00FC55BC" w:rsidRPr="00D9598F" w:rsidRDefault="00FC55BC" w:rsidP="00FC55BC">
            <w:pPr>
              <w:ind w:right="-109"/>
              <w:rPr>
                <w:rFonts w:cs="Times New Roman"/>
                <w:sz w:val="22"/>
                <w:szCs w:val="22"/>
                <w:lang w:val="lv-LV"/>
              </w:rPr>
            </w:pPr>
            <w:r w:rsidRPr="00D9598F">
              <w:rPr>
                <w:rFonts w:cs="Times New Roman"/>
                <w:sz w:val="22"/>
                <w:szCs w:val="22"/>
                <w:lang w:val="lv-LV"/>
              </w:rPr>
              <w:t>Projekts šo jomu neskar</w:t>
            </w:r>
          </w:p>
        </w:tc>
        <w:tc>
          <w:tcPr>
            <w:tcW w:w="1245" w:type="dxa"/>
            <w:tcBorders>
              <w:top w:val="single" w:sz="4" w:space="0" w:color="auto"/>
              <w:left w:val="single" w:sz="4" w:space="0" w:color="auto"/>
              <w:bottom w:val="single" w:sz="4" w:space="0" w:color="auto"/>
              <w:right w:val="single" w:sz="4" w:space="0" w:color="auto"/>
            </w:tcBorders>
          </w:tcPr>
          <w:p w14:paraId="436112B1" w14:textId="77777777" w:rsidR="00FC55BC" w:rsidRPr="00D9598F" w:rsidRDefault="00FC55BC" w:rsidP="00FC55BC">
            <w:pPr>
              <w:ind w:right="-109"/>
              <w:rPr>
                <w:rFonts w:cs="Times New Roman"/>
                <w:sz w:val="22"/>
                <w:szCs w:val="22"/>
                <w:lang w:val="lv-LV"/>
              </w:rPr>
            </w:pPr>
            <w:r w:rsidRPr="00D9598F">
              <w:rPr>
                <w:rFonts w:cs="Times New Roman"/>
                <w:sz w:val="22"/>
                <w:szCs w:val="22"/>
                <w:lang w:val="lv-LV"/>
              </w:rPr>
              <w:t>Projekts šo jomu neskar</w:t>
            </w:r>
          </w:p>
        </w:tc>
        <w:tc>
          <w:tcPr>
            <w:tcW w:w="1314" w:type="dxa"/>
            <w:tcBorders>
              <w:top w:val="single" w:sz="4" w:space="0" w:color="auto"/>
              <w:left w:val="single" w:sz="4" w:space="0" w:color="auto"/>
              <w:bottom w:val="single" w:sz="4" w:space="0" w:color="auto"/>
              <w:right w:val="single" w:sz="4" w:space="0" w:color="auto"/>
            </w:tcBorders>
          </w:tcPr>
          <w:p w14:paraId="7E16EE55" w14:textId="77777777" w:rsidR="00FC55BC" w:rsidRPr="00D9598F" w:rsidRDefault="00FC55BC" w:rsidP="00FC55BC">
            <w:pPr>
              <w:ind w:right="-109"/>
              <w:rPr>
                <w:rFonts w:cs="Times New Roman"/>
                <w:sz w:val="22"/>
                <w:szCs w:val="22"/>
                <w:lang w:val="lv-LV"/>
              </w:rPr>
            </w:pPr>
            <w:r w:rsidRPr="00D9598F">
              <w:rPr>
                <w:rFonts w:cs="Times New Roman"/>
                <w:sz w:val="22"/>
                <w:szCs w:val="22"/>
                <w:lang w:val="lv-LV"/>
              </w:rPr>
              <w:t>Projekts šo jomu neskar</w:t>
            </w:r>
          </w:p>
        </w:tc>
      </w:tr>
      <w:tr w:rsidR="00FC55BC" w:rsidRPr="00D9598F" w14:paraId="17EF3967" w14:textId="77777777" w:rsidTr="002F14F1">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42"/>
          <w:tblCellSpacing w:w="15" w:type="dxa"/>
        </w:trPr>
        <w:tc>
          <w:tcPr>
            <w:tcW w:w="8095" w:type="dxa"/>
            <w:gridSpan w:val="7"/>
            <w:tcBorders>
              <w:top w:val="single" w:sz="4" w:space="0" w:color="auto"/>
              <w:left w:val="single" w:sz="4" w:space="0" w:color="auto"/>
              <w:bottom w:val="single" w:sz="4" w:space="0" w:color="auto"/>
              <w:right w:val="single" w:sz="4" w:space="0" w:color="auto"/>
            </w:tcBorders>
          </w:tcPr>
          <w:p w14:paraId="44F2212B" w14:textId="77777777" w:rsidR="00FC55BC" w:rsidRPr="00D9598F" w:rsidRDefault="00FC55BC" w:rsidP="00FC55BC">
            <w:pPr>
              <w:ind w:right="-109"/>
              <w:rPr>
                <w:rFonts w:cs="Times New Roman"/>
                <w:sz w:val="22"/>
                <w:szCs w:val="22"/>
                <w:lang w:val="lv-LV"/>
              </w:rPr>
            </w:pPr>
            <w:r w:rsidRPr="00D9598F">
              <w:rPr>
                <w:rFonts w:cs="Times New Roman"/>
                <w:sz w:val="22"/>
                <w:szCs w:val="22"/>
                <w:lang w:val="lv-LV"/>
              </w:rPr>
              <w:t>6. Detalizēts ieņēmumu un izdevumu aprēķins (ja nepieciešams, detalizētu ieņēmumu un izdevumu aprēķinu var pievienot anotācijas pielikumā):</w:t>
            </w:r>
          </w:p>
        </w:tc>
      </w:tr>
      <w:tr w:rsidR="00FC55BC" w:rsidRPr="00D9598F" w14:paraId="164CD7DE" w14:textId="77777777" w:rsidTr="00E605BC">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142"/>
          <w:tblCellSpacing w:w="15" w:type="dxa"/>
        </w:trPr>
        <w:tc>
          <w:tcPr>
            <w:tcW w:w="1790" w:type="dxa"/>
            <w:tcBorders>
              <w:top w:val="single" w:sz="4" w:space="0" w:color="auto"/>
              <w:left w:val="single" w:sz="4" w:space="0" w:color="auto"/>
              <w:bottom w:val="single" w:sz="4" w:space="0" w:color="auto"/>
              <w:right w:val="single" w:sz="4" w:space="0" w:color="auto"/>
            </w:tcBorders>
          </w:tcPr>
          <w:p w14:paraId="4F79E288"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6.1. detalizēts ieņēmumu aprēķins</w:t>
            </w:r>
          </w:p>
        </w:tc>
        <w:tc>
          <w:tcPr>
            <w:tcW w:w="62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F46B81" w14:textId="77777777" w:rsidR="00FC55BC" w:rsidRPr="00D9598F" w:rsidRDefault="00FC55BC" w:rsidP="00FC55BC">
            <w:pPr>
              <w:rPr>
                <w:rFonts w:cs="Times New Roman"/>
                <w:sz w:val="22"/>
                <w:szCs w:val="22"/>
                <w:lang w:val="lv-LV"/>
              </w:rPr>
            </w:pPr>
          </w:p>
          <w:p w14:paraId="68CCDD26" w14:textId="77777777" w:rsidR="00FC55BC" w:rsidRPr="00D9598F" w:rsidRDefault="00FC55BC" w:rsidP="00FC55BC">
            <w:pPr>
              <w:rPr>
                <w:rFonts w:cs="Times New Roman"/>
                <w:sz w:val="22"/>
                <w:szCs w:val="22"/>
                <w:lang w:val="lv-LV"/>
              </w:rPr>
            </w:pPr>
          </w:p>
        </w:tc>
      </w:tr>
      <w:tr w:rsidR="00FC55BC" w:rsidRPr="00D9598F" w14:paraId="599EC38A" w14:textId="77777777" w:rsidTr="00E605BC">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13"/>
          <w:tblCellSpacing w:w="15" w:type="dxa"/>
        </w:trPr>
        <w:tc>
          <w:tcPr>
            <w:tcW w:w="1790" w:type="dxa"/>
            <w:tcBorders>
              <w:top w:val="single" w:sz="4" w:space="0" w:color="auto"/>
              <w:left w:val="single" w:sz="4" w:space="0" w:color="auto"/>
              <w:right w:val="single" w:sz="4" w:space="0" w:color="auto"/>
            </w:tcBorders>
          </w:tcPr>
          <w:p w14:paraId="1D022A0E"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lastRenderedPageBreak/>
              <w:t>6.2. detalizēts izdevumu aprēķins</w:t>
            </w:r>
          </w:p>
        </w:tc>
        <w:tc>
          <w:tcPr>
            <w:tcW w:w="6275" w:type="dxa"/>
            <w:gridSpan w:val="6"/>
            <w:tcBorders>
              <w:top w:val="single" w:sz="4" w:space="0" w:color="auto"/>
              <w:left w:val="single" w:sz="4" w:space="0" w:color="auto"/>
              <w:bottom w:val="single" w:sz="4" w:space="0" w:color="auto"/>
              <w:right w:val="single" w:sz="4" w:space="0" w:color="auto"/>
            </w:tcBorders>
            <w:shd w:val="clear" w:color="auto" w:fill="auto"/>
          </w:tcPr>
          <w:p w14:paraId="77141CB8" w14:textId="77777777" w:rsidR="00FC55BC" w:rsidRPr="00D9598F" w:rsidRDefault="00FC55BC" w:rsidP="00FC55BC">
            <w:pPr>
              <w:rPr>
                <w:rFonts w:cs="Times New Roman"/>
                <w:sz w:val="22"/>
                <w:szCs w:val="22"/>
                <w:lang w:val="lv-LV"/>
              </w:rPr>
            </w:pPr>
          </w:p>
        </w:tc>
      </w:tr>
      <w:tr w:rsidR="00FC55BC" w:rsidRPr="00F74FA8" w14:paraId="424AE5D6" w14:textId="77777777" w:rsidTr="00E605BC">
        <w:tblPrEx>
          <w:jc w:val="left"/>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47"/>
          <w:tblCellSpacing w:w="15" w:type="dxa"/>
        </w:trPr>
        <w:tc>
          <w:tcPr>
            <w:tcW w:w="1790" w:type="dxa"/>
            <w:tcBorders>
              <w:top w:val="single" w:sz="4" w:space="0" w:color="auto"/>
              <w:left w:val="single" w:sz="4" w:space="0" w:color="auto"/>
              <w:bottom w:val="single" w:sz="4" w:space="0" w:color="auto"/>
              <w:right w:val="single" w:sz="4" w:space="0" w:color="auto"/>
            </w:tcBorders>
          </w:tcPr>
          <w:p w14:paraId="3AC07959" w14:textId="77777777" w:rsidR="00FC55BC" w:rsidRPr="00D9598F" w:rsidRDefault="00FC55BC" w:rsidP="00FC55BC">
            <w:pPr>
              <w:pStyle w:val="NormalWeb"/>
              <w:rPr>
                <w:rFonts w:ascii="Times New Roman" w:hAnsi="Times New Roman"/>
                <w:sz w:val="22"/>
                <w:szCs w:val="22"/>
              </w:rPr>
            </w:pPr>
            <w:r w:rsidRPr="00D9598F">
              <w:rPr>
                <w:rFonts w:ascii="Times New Roman" w:hAnsi="Times New Roman"/>
                <w:sz w:val="22"/>
                <w:szCs w:val="22"/>
              </w:rPr>
              <w:t>7. Cita informācija</w:t>
            </w:r>
          </w:p>
        </w:tc>
        <w:tc>
          <w:tcPr>
            <w:tcW w:w="6275" w:type="dxa"/>
            <w:gridSpan w:val="6"/>
            <w:tcBorders>
              <w:top w:val="single" w:sz="4" w:space="0" w:color="auto"/>
              <w:left w:val="single" w:sz="4" w:space="0" w:color="auto"/>
              <w:bottom w:val="single" w:sz="4" w:space="0" w:color="auto"/>
              <w:right w:val="single" w:sz="4" w:space="0" w:color="auto"/>
            </w:tcBorders>
          </w:tcPr>
          <w:p w14:paraId="04FC1A9C" w14:textId="32AA6E88" w:rsidR="00FC55BC" w:rsidRPr="00D9598F" w:rsidRDefault="00FC55BC" w:rsidP="00FC55BC">
            <w:pPr>
              <w:jc w:val="both"/>
              <w:rPr>
                <w:rFonts w:cs="Times New Roman"/>
                <w:sz w:val="22"/>
                <w:szCs w:val="22"/>
                <w:lang w:val="lv-LV"/>
              </w:rPr>
            </w:pPr>
            <w:r w:rsidRPr="00D9598F">
              <w:rPr>
                <w:rFonts w:cs="Times New Roman"/>
                <w:bCs/>
                <w:sz w:val="22"/>
                <w:szCs w:val="22"/>
                <w:lang w:val="lv-LV"/>
              </w:rPr>
              <w:t>Papildu nepieciešamais finansējums minimālās mēneša darba algas paaugstināšanai no 360</w:t>
            </w:r>
            <w:r w:rsidR="00F963BF" w:rsidRPr="00D9598F">
              <w:rPr>
                <w:rFonts w:cs="Times New Roman"/>
                <w:bCs/>
                <w:sz w:val="22"/>
                <w:szCs w:val="22"/>
                <w:lang w:val="lv-LV"/>
              </w:rPr>
              <w:t xml:space="preserve"> </w:t>
            </w:r>
            <w:proofErr w:type="spellStart"/>
            <w:r w:rsidR="00F963BF" w:rsidRPr="00D9598F">
              <w:rPr>
                <w:rFonts w:cs="Times New Roman"/>
                <w:bCs/>
                <w:i/>
                <w:sz w:val="22"/>
                <w:szCs w:val="22"/>
                <w:lang w:val="lv-LV"/>
              </w:rPr>
              <w:t>euro</w:t>
            </w:r>
            <w:proofErr w:type="spellEnd"/>
            <w:r w:rsidRPr="00D9598F">
              <w:rPr>
                <w:rFonts w:cs="Times New Roman"/>
                <w:bCs/>
                <w:sz w:val="22"/>
                <w:szCs w:val="22"/>
                <w:lang w:val="lv-LV"/>
              </w:rPr>
              <w:t xml:space="preserve"> līdz 370 </w:t>
            </w:r>
            <w:proofErr w:type="spellStart"/>
            <w:r w:rsidRPr="00D9598F">
              <w:rPr>
                <w:rFonts w:cs="Times New Roman"/>
                <w:bCs/>
                <w:i/>
                <w:sz w:val="22"/>
                <w:szCs w:val="22"/>
                <w:lang w:val="lv-LV"/>
              </w:rPr>
              <w:t>euro</w:t>
            </w:r>
            <w:proofErr w:type="spellEnd"/>
            <w:r w:rsidRPr="00D9598F">
              <w:rPr>
                <w:rFonts w:cs="Times New Roman"/>
                <w:bCs/>
                <w:sz w:val="22"/>
                <w:szCs w:val="22"/>
                <w:lang w:val="lv-LV"/>
              </w:rPr>
              <w:t xml:space="preserve"> ar 2016.gada 1.janvāri, 3,0 </w:t>
            </w:r>
            <w:proofErr w:type="spellStart"/>
            <w:r w:rsidRPr="00D9598F">
              <w:rPr>
                <w:rFonts w:cs="Times New Roman"/>
                <w:bCs/>
                <w:sz w:val="22"/>
                <w:szCs w:val="22"/>
                <w:lang w:val="lv-LV"/>
              </w:rPr>
              <w:t>milj</w:t>
            </w:r>
            <w:proofErr w:type="spellEnd"/>
            <w:r w:rsidRPr="00D9598F">
              <w:rPr>
                <w:rFonts w:cs="Times New Roman"/>
                <w:bCs/>
                <w:sz w:val="22"/>
                <w:szCs w:val="22"/>
                <w:lang w:val="lv-LV"/>
              </w:rPr>
              <w:t xml:space="preserve"> </w:t>
            </w:r>
            <w:proofErr w:type="spellStart"/>
            <w:r w:rsidRPr="00D9598F">
              <w:rPr>
                <w:rFonts w:cs="Times New Roman"/>
                <w:bCs/>
                <w:sz w:val="22"/>
                <w:szCs w:val="22"/>
                <w:lang w:val="lv-LV"/>
              </w:rPr>
              <w:t>euro</w:t>
            </w:r>
            <w:proofErr w:type="spellEnd"/>
            <w:r w:rsidRPr="00D9598F">
              <w:rPr>
                <w:rFonts w:cs="Times New Roman"/>
                <w:bCs/>
                <w:sz w:val="22"/>
                <w:szCs w:val="22"/>
                <w:lang w:val="lv-LV"/>
              </w:rPr>
              <w:t xml:space="preserve"> atbalstīts un iekļauts likumprojektā „Par valsts budžetu 2016.gadam” </w:t>
            </w:r>
            <w:r w:rsidRPr="00D9598F">
              <w:rPr>
                <w:rFonts w:cs="Times New Roman"/>
                <w:sz w:val="22"/>
                <w:szCs w:val="22"/>
                <w:lang w:val="lv-LV"/>
              </w:rPr>
              <w:t>Ministru kabineta 2015.gada 31.augusta sēdē (protokols Nr</w:t>
            </w:r>
            <w:r w:rsidR="00155450" w:rsidRPr="00D9598F">
              <w:rPr>
                <w:rFonts w:cs="Times New Roman"/>
                <w:sz w:val="22"/>
                <w:szCs w:val="22"/>
                <w:lang w:val="lv-LV"/>
              </w:rPr>
              <w:t>.</w:t>
            </w:r>
            <w:r w:rsidRPr="00D9598F">
              <w:rPr>
                <w:rFonts w:cs="Times New Roman"/>
                <w:sz w:val="22"/>
                <w:szCs w:val="22"/>
                <w:lang w:val="lv-LV"/>
              </w:rPr>
              <w:t xml:space="preserve">43 </w:t>
            </w:r>
            <w:r w:rsidR="009972BB" w:rsidRPr="00D9598F">
              <w:rPr>
                <w:rFonts w:cs="Times New Roman"/>
                <w:sz w:val="22"/>
                <w:szCs w:val="22"/>
                <w:lang w:val="lv-LV"/>
              </w:rPr>
              <w:t>4.§  8.punkts</w:t>
            </w:r>
            <w:r w:rsidRPr="00D9598F">
              <w:rPr>
                <w:rFonts w:cs="Times New Roman"/>
                <w:sz w:val="22"/>
                <w:szCs w:val="22"/>
                <w:lang w:val="lv-LV"/>
              </w:rPr>
              <w:t>).</w:t>
            </w:r>
          </w:p>
          <w:p w14:paraId="56958CE4" w14:textId="77777777" w:rsidR="00FC55BC" w:rsidRPr="00D9598F" w:rsidRDefault="00FC55BC" w:rsidP="00FC55BC">
            <w:pPr>
              <w:jc w:val="both"/>
              <w:rPr>
                <w:rFonts w:cs="Times New Roman"/>
                <w:sz w:val="22"/>
                <w:szCs w:val="22"/>
                <w:lang w:val="lv-LV"/>
              </w:rPr>
            </w:pPr>
            <w:r w:rsidRPr="00D9598F">
              <w:rPr>
                <w:rFonts w:cs="Times New Roman"/>
                <w:sz w:val="22"/>
                <w:szCs w:val="22"/>
                <w:lang w:val="lv-LV"/>
              </w:rPr>
              <w:t>Likumprojektā ietvertie citi grozījumi nodrošināmi esošā atlīdzības fonda ietvaros.</w:t>
            </w:r>
          </w:p>
        </w:tc>
      </w:tr>
    </w:tbl>
    <w:p w14:paraId="4E6028DE" w14:textId="77777777" w:rsidR="002A5E94" w:rsidRPr="002A5E94" w:rsidRDefault="002A5E94" w:rsidP="00EC322A">
      <w:pPr>
        <w:rPr>
          <w:rFonts w:cs="Times New Roman"/>
          <w:sz w:val="24"/>
          <w:szCs w:val="24"/>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6"/>
        <w:gridCol w:w="135"/>
        <w:gridCol w:w="2146"/>
        <w:gridCol w:w="2033"/>
        <w:gridCol w:w="3586"/>
        <w:gridCol w:w="50"/>
      </w:tblGrid>
      <w:tr w:rsidR="00EC322A" w:rsidRPr="00F74FA8" w14:paraId="35ABD4EF" w14:textId="77777777" w:rsidTr="00E605BC">
        <w:trPr>
          <w:gridAfter w:val="1"/>
          <w:trHeight w:val="450"/>
          <w:tblCellSpacing w:w="15" w:type="dxa"/>
          <w:jc w:val="center"/>
        </w:trPr>
        <w:tc>
          <w:tcPr>
            <w:tcW w:w="4946" w:type="pct"/>
            <w:gridSpan w:val="5"/>
            <w:tcBorders>
              <w:top w:val="outset" w:sz="6" w:space="0" w:color="auto"/>
              <w:left w:val="outset" w:sz="6" w:space="0" w:color="auto"/>
              <w:bottom w:val="outset" w:sz="6" w:space="0" w:color="auto"/>
              <w:right w:val="outset" w:sz="6" w:space="0" w:color="auto"/>
            </w:tcBorders>
            <w:vAlign w:val="center"/>
            <w:hideMark/>
          </w:tcPr>
          <w:p w14:paraId="5A0CBC97" w14:textId="77777777" w:rsidR="00EC322A" w:rsidRPr="00DC1B7A" w:rsidRDefault="00EC322A" w:rsidP="00EC322A">
            <w:pPr>
              <w:jc w:val="center"/>
              <w:rPr>
                <w:rFonts w:cs="Times New Roman"/>
                <w:b/>
                <w:bCs/>
                <w:sz w:val="24"/>
                <w:szCs w:val="24"/>
                <w:lang w:val="lv-LV"/>
              </w:rPr>
            </w:pPr>
            <w:r w:rsidRPr="00DC1B7A">
              <w:rPr>
                <w:rFonts w:cs="Times New Roman"/>
                <w:b/>
                <w:bCs/>
                <w:sz w:val="24"/>
                <w:szCs w:val="24"/>
                <w:lang w:val="lv-LV"/>
              </w:rPr>
              <w:t>IV. Tiesību akta projekta ietekme uz spēkā esošo tiesību normu sistēmu</w:t>
            </w:r>
          </w:p>
        </w:tc>
      </w:tr>
      <w:tr w:rsidR="00DC1B7A" w:rsidRPr="00F74FA8" w14:paraId="6EEC31E5" w14:textId="77777777" w:rsidTr="00E605BC">
        <w:tblPrEx>
          <w:jc w:val="left"/>
          <w:tblCellSpacing w:w="0" w:type="nil"/>
          <w:tblBorders>
            <w:top w:val="outset" w:sz="6" w:space="0" w:color="414142"/>
            <w:left w:val="outset" w:sz="6" w:space="0" w:color="414142"/>
            <w:bottom w:val="outset" w:sz="6" w:space="0" w:color="414142"/>
            <w:right w:val="outset" w:sz="6" w:space="0" w:color="414142"/>
          </w:tblBorders>
        </w:tblPrEx>
        <w:trPr>
          <w:gridAfter w:val="1"/>
        </w:trPr>
        <w:tc>
          <w:tcPr>
            <w:tcW w:w="181" w:type="pct"/>
            <w:tcBorders>
              <w:top w:val="outset" w:sz="6" w:space="0" w:color="414142"/>
              <w:left w:val="outset" w:sz="6" w:space="0" w:color="414142"/>
              <w:bottom w:val="outset" w:sz="6" w:space="0" w:color="414142"/>
              <w:right w:val="outset" w:sz="6" w:space="0" w:color="414142"/>
            </w:tcBorders>
            <w:hideMark/>
          </w:tcPr>
          <w:p w14:paraId="0BFE8E3D" w14:textId="7C52C8A0" w:rsidR="00DC1B7A" w:rsidRPr="00DC1B7A" w:rsidRDefault="00EC322A" w:rsidP="00C31CDB">
            <w:pPr>
              <w:rPr>
                <w:sz w:val="24"/>
                <w:szCs w:val="24"/>
                <w:lang w:val="lv-LV"/>
              </w:rPr>
            </w:pPr>
            <w:r w:rsidRPr="00DC1B7A">
              <w:rPr>
                <w:rFonts w:cs="Times New Roman"/>
                <w:sz w:val="24"/>
                <w:szCs w:val="24"/>
                <w:lang w:val="lv-LV"/>
              </w:rPr>
              <w:t> </w:t>
            </w:r>
            <w:r w:rsidR="00DC1B7A" w:rsidRPr="00DC1B7A">
              <w:rPr>
                <w:sz w:val="24"/>
                <w:szCs w:val="24"/>
                <w:lang w:val="lv-LV"/>
              </w:rPr>
              <w:t>1.</w:t>
            </w:r>
          </w:p>
        </w:tc>
        <w:tc>
          <w:tcPr>
            <w:tcW w:w="1362" w:type="pct"/>
            <w:gridSpan w:val="2"/>
            <w:tcBorders>
              <w:top w:val="outset" w:sz="6" w:space="0" w:color="414142"/>
              <w:left w:val="outset" w:sz="6" w:space="0" w:color="414142"/>
              <w:bottom w:val="outset" w:sz="6" w:space="0" w:color="414142"/>
              <w:right w:val="outset" w:sz="6" w:space="0" w:color="414142"/>
            </w:tcBorders>
            <w:hideMark/>
          </w:tcPr>
          <w:p w14:paraId="3FA36612" w14:textId="77777777" w:rsidR="00DC1B7A" w:rsidRPr="00DC1B7A" w:rsidRDefault="00DC1B7A" w:rsidP="00C31CDB">
            <w:pPr>
              <w:rPr>
                <w:sz w:val="24"/>
                <w:szCs w:val="24"/>
                <w:lang w:val="lv-LV"/>
              </w:rPr>
            </w:pPr>
            <w:r w:rsidRPr="00DC1B7A">
              <w:rPr>
                <w:sz w:val="24"/>
                <w:szCs w:val="24"/>
                <w:lang w:val="lv-LV"/>
              </w:rPr>
              <w:t>Nepieciešamie saistītie tiesību aktu projekti</w:t>
            </w:r>
          </w:p>
        </w:tc>
        <w:tc>
          <w:tcPr>
            <w:tcW w:w="3367" w:type="pct"/>
            <w:gridSpan w:val="2"/>
            <w:tcBorders>
              <w:top w:val="outset" w:sz="6" w:space="0" w:color="414142"/>
              <w:left w:val="outset" w:sz="6" w:space="0" w:color="414142"/>
              <w:bottom w:val="outset" w:sz="6" w:space="0" w:color="414142"/>
              <w:right w:val="outset" w:sz="6" w:space="0" w:color="414142"/>
            </w:tcBorders>
            <w:hideMark/>
          </w:tcPr>
          <w:p w14:paraId="7A8F84F2" w14:textId="51B0E7EB" w:rsidR="00DC1B7A" w:rsidRPr="00DC1B7A" w:rsidRDefault="00DC1B7A" w:rsidP="00F963BF">
            <w:pPr>
              <w:jc w:val="both"/>
              <w:rPr>
                <w:sz w:val="24"/>
                <w:szCs w:val="24"/>
                <w:lang w:val="lv-LV"/>
              </w:rPr>
            </w:pPr>
            <w:r w:rsidRPr="00DC1B7A">
              <w:rPr>
                <w:sz w:val="24"/>
                <w:szCs w:val="24"/>
                <w:lang w:val="lv-LV"/>
              </w:rPr>
              <w:t>Jāizstrādā grozījumi Ministru kabineta 2010.gada 30.novembra noteikumos Nr.1075 „Valsts un pašvaldību amatu katalogs”, papildinot tā amatu saimes ar jaunu saimi - “57.Tūrisma organizēšana”.</w:t>
            </w:r>
          </w:p>
        </w:tc>
      </w:tr>
      <w:tr w:rsidR="00DC1B7A" w:rsidRPr="00DC1B7A" w14:paraId="64A5A753" w14:textId="77777777" w:rsidTr="00E605BC">
        <w:tblPrEx>
          <w:jc w:val="left"/>
          <w:tblCellSpacing w:w="0" w:type="nil"/>
          <w:tblBorders>
            <w:top w:val="outset" w:sz="6" w:space="0" w:color="414142"/>
            <w:left w:val="outset" w:sz="6" w:space="0" w:color="414142"/>
            <w:bottom w:val="outset" w:sz="6" w:space="0" w:color="414142"/>
            <w:right w:val="outset" w:sz="6" w:space="0" w:color="414142"/>
          </w:tblBorders>
        </w:tblPrEx>
        <w:trPr>
          <w:gridAfter w:val="1"/>
        </w:trPr>
        <w:tc>
          <w:tcPr>
            <w:tcW w:w="181" w:type="pct"/>
            <w:tcBorders>
              <w:top w:val="outset" w:sz="6" w:space="0" w:color="414142"/>
              <w:left w:val="outset" w:sz="6" w:space="0" w:color="414142"/>
              <w:bottom w:val="outset" w:sz="6" w:space="0" w:color="414142"/>
              <w:right w:val="outset" w:sz="6" w:space="0" w:color="414142"/>
            </w:tcBorders>
            <w:hideMark/>
          </w:tcPr>
          <w:p w14:paraId="7643134D" w14:textId="77777777" w:rsidR="00DC1B7A" w:rsidRPr="00DC1B7A" w:rsidRDefault="00DC1B7A" w:rsidP="00C31CDB">
            <w:pPr>
              <w:rPr>
                <w:sz w:val="24"/>
                <w:szCs w:val="24"/>
                <w:lang w:val="lv-LV"/>
              </w:rPr>
            </w:pPr>
            <w:r w:rsidRPr="00DC1B7A">
              <w:rPr>
                <w:sz w:val="24"/>
                <w:szCs w:val="24"/>
                <w:lang w:val="lv-LV"/>
              </w:rPr>
              <w:t>2.</w:t>
            </w:r>
          </w:p>
        </w:tc>
        <w:tc>
          <w:tcPr>
            <w:tcW w:w="1362" w:type="pct"/>
            <w:gridSpan w:val="2"/>
            <w:tcBorders>
              <w:top w:val="outset" w:sz="6" w:space="0" w:color="414142"/>
              <w:left w:val="outset" w:sz="6" w:space="0" w:color="414142"/>
              <w:bottom w:val="outset" w:sz="6" w:space="0" w:color="414142"/>
              <w:right w:val="outset" w:sz="6" w:space="0" w:color="414142"/>
            </w:tcBorders>
            <w:hideMark/>
          </w:tcPr>
          <w:p w14:paraId="06486D95" w14:textId="77777777" w:rsidR="00DC1B7A" w:rsidRPr="00DC1B7A" w:rsidRDefault="00DC1B7A" w:rsidP="00C31CDB">
            <w:pPr>
              <w:rPr>
                <w:sz w:val="24"/>
                <w:szCs w:val="24"/>
                <w:lang w:val="lv-LV"/>
              </w:rPr>
            </w:pPr>
            <w:r w:rsidRPr="00DC1B7A">
              <w:rPr>
                <w:sz w:val="24"/>
                <w:szCs w:val="24"/>
                <w:lang w:val="lv-LV"/>
              </w:rPr>
              <w:t>Atbildīgā institūcija</w:t>
            </w:r>
          </w:p>
        </w:tc>
        <w:tc>
          <w:tcPr>
            <w:tcW w:w="3367" w:type="pct"/>
            <w:gridSpan w:val="2"/>
            <w:tcBorders>
              <w:top w:val="outset" w:sz="6" w:space="0" w:color="414142"/>
              <w:left w:val="outset" w:sz="6" w:space="0" w:color="414142"/>
              <w:bottom w:val="outset" w:sz="6" w:space="0" w:color="414142"/>
              <w:right w:val="outset" w:sz="6" w:space="0" w:color="414142"/>
            </w:tcBorders>
            <w:hideMark/>
          </w:tcPr>
          <w:p w14:paraId="23A0A34E" w14:textId="626CBCCE" w:rsidR="00DC1B7A" w:rsidRPr="00DC1B7A" w:rsidRDefault="00DC1B7A" w:rsidP="00C31CDB">
            <w:pPr>
              <w:ind w:firstLine="14"/>
              <w:rPr>
                <w:sz w:val="24"/>
                <w:szCs w:val="24"/>
                <w:lang w:val="lv-LV"/>
              </w:rPr>
            </w:pPr>
            <w:r w:rsidRPr="00DC1B7A">
              <w:rPr>
                <w:sz w:val="24"/>
                <w:szCs w:val="24"/>
                <w:lang w:val="lv-LV"/>
              </w:rPr>
              <w:t>Valsts kanceleja</w:t>
            </w:r>
          </w:p>
        </w:tc>
      </w:tr>
      <w:tr w:rsidR="00DC1B7A" w:rsidRPr="00DC1B7A" w14:paraId="01BDE123" w14:textId="77777777" w:rsidTr="00E605BC">
        <w:tblPrEx>
          <w:jc w:val="left"/>
          <w:tblCellSpacing w:w="0" w:type="nil"/>
          <w:tblBorders>
            <w:top w:val="outset" w:sz="6" w:space="0" w:color="414142"/>
            <w:left w:val="outset" w:sz="6" w:space="0" w:color="414142"/>
            <w:bottom w:val="outset" w:sz="6" w:space="0" w:color="414142"/>
            <w:right w:val="outset" w:sz="6" w:space="0" w:color="414142"/>
          </w:tblBorders>
        </w:tblPrEx>
        <w:trPr>
          <w:gridAfter w:val="1"/>
        </w:trPr>
        <w:tc>
          <w:tcPr>
            <w:tcW w:w="181" w:type="pct"/>
            <w:tcBorders>
              <w:top w:val="outset" w:sz="6" w:space="0" w:color="414142"/>
              <w:left w:val="outset" w:sz="6" w:space="0" w:color="414142"/>
              <w:bottom w:val="outset" w:sz="6" w:space="0" w:color="414142"/>
              <w:right w:val="outset" w:sz="6" w:space="0" w:color="414142"/>
            </w:tcBorders>
            <w:hideMark/>
          </w:tcPr>
          <w:p w14:paraId="4210F9A3" w14:textId="77777777" w:rsidR="00DC1B7A" w:rsidRPr="00DC1B7A" w:rsidRDefault="00DC1B7A" w:rsidP="00C31CDB">
            <w:pPr>
              <w:rPr>
                <w:sz w:val="24"/>
                <w:szCs w:val="24"/>
                <w:lang w:val="lv-LV"/>
              </w:rPr>
            </w:pPr>
            <w:r w:rsidRPr="00DC1B7A">
              <w:rPr>
                <w:sz w:val="24"/>
                <w:szCs w:val="24"/>
                <w:lang w:val="lv-LV"/>
              </w:rPr>
              <w:t>3.</w:t>
            </w:r>
          </w:p>
        </w:tc>
        <w:tc>
          <w:tcPr>
            <w:tcW w:w="1362" w:type="pct"/>
            <w:gridSpan w:val="2"/>
            <w:tcBorders>
              <w:top w:val="outset" w:sz="6" w:space="0" w:color="414142"/>
              <w:left w:val="outset" w:sz="6" w:space="0" w:color="414142"/>
              <w:bottom w:val="outset" w:sz="6" w:space="0" w:color="414142"/>
              <w:right w:val="outset" w:sz="6" w:space="0" w:color="414142"/>
            </w:tcBorders>
            <w:hideMark/>
          </w:tcPr>
          <w:p w14:paraId="2045BDEE" w14:textId="77777777" w:rsidR="00DC1B7A" w:rsidRPr="00DC1B7A" w:rsidRDefault="00DC1B7A" w:rsidP="00C31CDB">
            <w:pPr>
              <w:tabs>
                <w:tab w:val="center" w:pos="4153"/>
                <w:tab w:val="right" w:pos="8306"/>
              </w:tabs>
              <w:rPr>
                <w:sz w:val="24"/>
                <w:szCs w:val="24"/>
                <w:lang w:val="lv-LV"/>
              </w:rPr>
            </w:pPr>
            <w:r w:rsidRPr="00DC1B7A">
              <w:rPr>
                <w:sz w:val="24"/>
                <w:szCs w:val="24"/>
                <w:lang w:val="lv-LV"/>
              </w:rPr>
              <w:t>Cita informācija</w:t>
            </w:r>
          </w:p>
        </w:tc>
        <w:tc>
          <w:tcPr>
            <w:tcW w:w="3367" w:type="pct"/>
            <w:gridSpan w:val="2"/>
            <w:tcBorders>
              <w:top w:val="outset" w:sz="6" w:space="0" w:color="414142"/>
              <w:left w:val="outset" w:sz="6" w:space="0" w:color="414142"/>
              <w:bottom w:val="outset" w:sz="6" w:space="0" w:color="414142"/>
              <w:right w:val="outset" w:sz="6" w:space="0" w:color="414142"/>
            </w:tcBorders>
            <w:hideMark/>
          </w:tcPr>
          <w:p w14:paraId="2E941387" w14:textId="77777777" w:rsidR="00DC1B7A" w:rsidRPr="00DC1B7A" w:rsidRDefault="00DC1B7A" w:rsidP="00C31CDB">
            <w:pPr>
              <w:ind w:firstLine="14"/>
              <w:rPr>
                <w:sz w:val="24"/>
                <w:szCs w:val="24"/>
                <w:lang w:val="lv-LV"/>
              </w:rPr>
            </w:pPr>
            <w:r w:rsidRPr="00DC1B7A">
              <w:rPr>
                <w:sz w:val="24"/>
                <w:szCs w:val="24"/>
                <w:lang w:val="lv-LV"/>
              </w:rPr>
              <w:t>Nav.</w:t>
            </w:r>
          </w:p>
        </w:tc>
      </w:tr>
      <w:tr w:rsidR="00EC322A" w:rsidRPr="002A5E94" w14:paraId="20FA307F" w14:textId="77777777" w:rsidTr="00E605BC">
        <w:tblPrEx>
          <w:jc w:val="left"/>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2548EE2" w14:textId="77777777" w:rsidR="00EC322A" w:rsidRPr="002A5E94" w:rsidRDefault="00EC322A" w:rsidP="00EC322A">
            <w:pPr>
              <w:jc w:val="center"/>
              <w:rPr>
                <w:rFonts w:cs="Times New Roman"/>
                <w:b/>
                <w:bCs/>
                <w:sz w:val="24"/>
                <w:szCs w:val="24"/>
                <w:lang w:val="lv-LV"/>
              </w:rPr>
            </w:pPr>
            <w:r w:rsidRPr="002A5E94">
              <w:rPr>
                <w:rFonts w:cs="Times New Roman"/>
                <w:b/>
                <w:bCs/>
                <w:sz w:val="24"/>
                <w:szCs w:val="24"/>
                <w:lang w:val="lv-LV"/>
              </w:rPr>
              <w:t>V. Tiesību akta projekta atbilstība Latvijas Republikas starptautiskajām saistībām</w:t>
            </w:r>
          </w:p>
        </w:tc>
      </w:tr>
      <w:tr w:rsidR="00EC322A" w:rsidRPr="002A5E94" w14:paraId="179D1D12" w14:textId="77777777" w:rsidTr="00E605BC">
        <w:tblPrEx>
          <w:jc w:val="left"/>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39233B0C" w14:textId="77777777" w:rsidR="00EC322A" w:rsidRPr="002A5E94" w:rsidRDefault="00EC322A" w:rsidP="00EC322A">
            <w:pPr>
              <w:jc w:val="center"/>
              <w:rPr>
                <w:rFonts w:cs="Times New Roman"/>
                <w:bCs/>
                <w:i/>
                <w:sz w:val="24"/>
                <w:szCs w:val="24"/>
                <w:lang w:val="lv-LV"/>
              </w:rPr>
            </w:pPr>
            <w:r w:rsidRPr="002A5E94">
              <w:rPr>
                <w:rFonts w:cs="Times New Roman"/>
                <w:bCs/>
                <w:i/>
                <w:sz w:val="24"/>
                <w:szCs w:val="24"/>
                <w:lang w:val="lv-LV"/>
              </w:rPr>
              <w:t>Projekts šo jomu neskar.</w:t>
            </w:r>
          </w:p>
        </w:tc>
      </w:tr>
      <w:tr w:rsidR="00EC322A" w:rsidRPr="00F74FA8" w14:paraId="3C2462E3" w14:textId="77777777" w:rsidTr="00311D93">
        <w:trPr>
          <w:trHeight w:val="42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3BF476F" w14:textId="69129F27" w:rsidR="00EC322A" w:rsidRPr="002A5E94" w:rsidRDefault="00EC322A" w:rsidP="00EC322A">
            <w:pPr>
              <w:jc w:val="center"/>
              <w:rPr>
                <w:rFonts w:cs="Times New Roman"/>
                <w:b/>
                <w:bCs/>
                <w:sz w:val="24"/>
                <w:szCs w:val="24"/>
                <w:lang w:val="lv-LV"/>
              </w:rPr>
            </w:pPr>
            <w:r w:rsidRPr="002A5E94">
              <w:rPr>
                <w:rFonts w:cs="Times New Roman"/>
                <w:sz w:val="24"/>
                <w:szCs w:val="24"/>
                <w:lang w:val="lv-LV"/>
              </w:rPr>
              <w:t> </w:t>
            </w:r>
            <w:r w:rsidRPr="002A5E94">
              <w:rPr>
                <w:rFonts w:cs="Times New Roman"/>
                <w:b/>
                <w:bCs/>
                <w:sz w:val="24"/>
                <w:szCs w:val="24"/>
                <w:lang w:val="lv-LV"/>
              </w:rPr>
              <w:t>VI. Sabiedrības līdzdalība un komunikācijas aktivitātes</w:t>
            </w:r>
          </w:p>
        </w:tc>
      </w:tr>
      <w:tr w:rsidR="00787683" w:rsidRPr="00787683" w14:paraId="24AD469C" w14:textId="77777777" w:rsidTr="00AF6EFE">
        <w:trPr>
          <w:trHeight w:val="30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tcPr>
          <w:p w14:paraId="5AF2838B" w14:textId="5736ACE0" w:rsidR="00787683" w:rsidRPr="00787683" w:rsidRDefault="00787683" w:rsidP="00787683">
            <w:pPr>
              <w:jc w:val="center"/>
              <w:rPr>
                <w:rFonts w:cs="Times New Roman"/>
                <w:bCs/>
                <w:i/>
                <w:sz w:val="24"/>
                <w:szCs w:val="24"/>
                <w:lang w:val="lv-LV"/>
              </w:rPr>
            </w:pPr>
            <w:r w:rsidRPr="002A5E94">
              <w:rPr>
                <w:rFonts w:cs="Times New Roman"/>
                <w:bCs/>
                <w:i/>
                <w:sz w:val="24"/>
                <w:szCs w:val="24"/>
                <w:lang w:val="lv-LV"/>
              </w:rPr>
              <w:t>Projekts šo jomu neskar.</w:t>
            </w:r>
          </w:p>
        </w:tc>
      </w:tr>
      <w:tr w:rsidR="00EC322A" w:rsidRPr="00F74FA8" w14:paraId="51AE19BA" w14:textId="77777777" w:rsidTr="00311D93">
        <w:trPr>
          <w:trHeight w:val="37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9E7838A" w14:textId="0A7098C1" w:rsidR="00EC322A" w:rsidRPr="002A5E94" w:rsidRDefault="00EC322A" w:rsidP="00EC322A">
            <w:pPr>
              <w:jc w:val="center"/>
              <w:rPr>
                <w:rFonts w:cs="Times New Roman"/>
                <w:b/>
                <w:bCs/>
                <w:sz w:val="24"/>
                <w:szCs w:val="24"/>
                <w:lang w:val="lv-LV"/>
              </w:rPr>
            </w:pPr>
            <w:r w:rsidRPr="002A5E94">
              <w:rPr>
                <w:rFonts w:cs="Times New Roman"/>
                <w:sz w:val="24"/>
                <w:szCs w:val="24"/>
                <w:lang w:val="lv-LV"/>
              </w:rPr>
              <w:t> </w:t>
            </w:r>
            <w:r w:rsidRPr="002A5E94">
              <w:rPr>
                <w:rFonts w:cs="Times New Roman"/>
                <w:b/>
                <w:bCs/>
                <w:sz w:val="24"/>
                <w:szCs w:val="24"/>
                <w:lang w:val="lv-LV"/>
              </w:rPr>
              <w:t>VII. Tiesību akta projekta izpildes nodrošināšana un tās ietekme uz institūcijām</w:t>
            </w:r>
          </w:p>
        </w:tc>
      </w:tr>
      <w:tr w:rsidR="00EC322A" w:rsidRPr="002A5E94" w14:paraId="4196E327" w14:textId="77777777" w:rsidTr="00E605BC">
        <w:trPr>
          <w:trHeight w:val="42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1F1DD12F" w14:textId="77777777" w:rsidR="00EC322A" w:rsidRPr="002A5E94" w:rsidRDefault="00EC322A" w:rsidP="00EC322A">
            <w:pPr>
              <w:rPr>
                <w:rFonts w:cs="Times New Roman"/>
                <w:sz w:val="24"/>
                <w:szCs w:val="24"/>
                <w:lang w:val="lv-LV"/>
              </w:rPr>
            </w:pPr>
            <w:r w:rsidRPr="002A5E94">
              <w:rPr>
                <w:rFonts w:cs="Times New Roman"/>
                <w:sz w:val="24"/>
                <w:szCs w:val="24"/>
                <w:lang w:val="lv-LV"/>
              </w:rPr>
              <w:t>1.</w:t>
            </w:r>
          </w:p>
        </w:tc>
        <w:tc>
          <w:tcPr>
            <w:tcW w:w="2523" w:type="pct"/>
            <w:gridSpan w:val="2"/>
            <w:tcBorders>
              <w:top w:val="outset" w:sz="6" w:space="0" w:color="auto"/>
              <w:left w:val="outset" w:sz="6" w:space="0" w:color="auto"/>
              <w:bottom w:val="outset" w:sz="6" w:space="0" w:color="auto"/>
              <w:right w:val="outset" w:sz="6" w:space="0" w:color="auto"/>
            </w:tcBorders>
            <w:hideMark/>
          </w:tcPr>
          <w:p w14:paraId="55EEBF08" w14:textId="77777777" w:rsidR="00EC322A" w:rsidRPr="002A5E94" w:rsidRDefault="00EC322A" w:rsidP="00EC322A">
            <w:pPr>
              <w:rPr>
                <w:rFonts w:cs="Times New Roman"/>
                <w:sz w:val="24"/>
                <w:szCs w:val="24"/>
                <w:lang w:val="lv-LV"/>
              </w:rPr>
            </w:pPr>
            <w:r w:rsidRPr="002A5E94">
              <w:rPr>
                <w:rFonts w:cs="Times New Roman"/>
                <w:sz w:val="24"/>
                <w:szCs w:val="24"/>
                <w:lang w:val="lv-LV"/>
              </w:rPr>
              <w:t>Projekta izpildē iesaistītās institūcijas</w:t>
            </w:r>
          </w:p>
        </w:tc>
        <w:tc>
          <w:tcPr>
            <w:tcW w:w="2158" w:type="pct"/>
            <w:gridSpan w:val="2"/>
            <w:tcBorders>
              <w:top w:val="outset" w:sz="6" w:space="0" w:color="auto"/>
              <w:left w:val="outset" w:sz="6" w:space="0" w:color="auto"/>
              <w:bottom w:val="outset" w:sz="6" w:space="0" w:color="auto"/>
              <w:right w:val="outset" w:sz="6" w:space="0" w:color="auto"/>
            </w:tcBorders>
            <w:hideMark/>
          </w:tcPr>
          <w:p w14:paraId="43237045" w14:textId="77777777" w:rsidR="00EC322A" w:rsidRPr="002A5E94" w:rsidRDefault="002A5E94" w:rsidP="00EC322A">
            <w:pPr>
              <w:jc w:val="both"/>
              <w:rPr>
                <w:rFonts w:cs="Times New Roman"/>
                <w:sz w:val="24"/>
                <w:szCs w:val="24"/>
                <w:lang w:val="lv-LV"/>
              </w:rPr>
            </w:pPr>
            <w:r w:rsidRPr="002A5E94">
              <w:rPr>
                <w:rFonts w:cs="Times New Roman"/>
                <w:sz w:val="24"/>
                <w:szCs w:val="24"/>
                <w:lang w:val="lv-LV"/>
              </w:rPr>
              <w:t xml:space="preserve">Valsts un pašvaldību institūcijās nodarbinātie. </w:t>
            </w:r>
            <w:r w:rsidR="00EC322A" w:rsidRPr="002A5E94">
              <w:rPr>
                <w:rFonts w:cs="Times New Roman"/>
                <w:sz w:val="24"/>
                <w:szCs w:val="24"/>
                <w:lang w:val="lv-LV"/>
              </w:rPr>
              <w:t>Aizsardzības ministrija un Nacionālie bruņotie spēki</w:t>
            </w:r>
          </w:p>
        </w:tc>
      </w:tr>
      <w:tr w:rsidR="00EC322A" w:rsidRPr="002A5E94" w14:paraId="2BCED778" w14:textId="77777777" w:rsidTr="00E605BC">
        <w:trPr>
          <w:trHeight w:val="45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54953213" w14:textId="77777777" w:rsidR="00EC322A" w:rsidRPr="002A5E94" w:rsidRDefault="00EC322A" w:rsidP="00EC322A">
            <w:pPr>
              <w:rPr>
                <w:rFonts w:cs="Times New Roman"/>
                <w:sz w:val="24"/>
                <w:szCs w:val="24"/>
                <w:lang w:val="lv-LV"/>
              </w:rPr>
            </w:pPr>
            <w:r w:rsidRPr="002A5E94">
              <w:rPr>
                <w:rFonts w:cs="Times New Roman"/>
                <w:sz w:val="24"/>
                <w:szCs w:val="24"/>
                <w:lang w:val="lv-LV"/>
              </w:rPr>
              <w:t>2.</w:t>
            </w:r>
          </w:p>
        </w:tc>
        <w:tc>
          <w:tcPr>
            <w:tcW w:w="2523" w:type="pct"/>
            <w:gridSpan w:val="2"/>
            <w:tcBorders>
              <w:top w:val="outset" w:sz="6" w:space="0" w:color="auto"/>
              <w:left w:val="outset" w:sz="6" w:space="0" w:color="auto"/>
              <w:bottom w:val="outset" w:sz="6" w:space="0" w:color="auto"/>
              <w:right w:val="outset" w:sz="6" w:space="0" w:color="auto"/>
            </w:tcBorders>
            <w:hideMark/>
          </w:tcPr>
          <w:p w14:paraId="7AAED3BF" w14:textId="77777777" w:rsidR="00EC322A" w:rsidRPr="002A5E94" w:rsidRDefault="00EC322A" w:rsidP="00CD33F4">
            <w:pPr>
              <w:rPr>
                <w:rFonts w:cs="Times New Roman"/>
                <w:sz w:val="24"/>
                <w:szCs w:val="24"/>
                <w:lang w:val="lv-LV"/>
              </w:rPr>
            </w:pPr>
            <w:r w:rsidRPr="002A5E94">
              <w:rPr>
                <w:rFonts w:cs="Times New Roman"/>
                <w:sz w:val="24"/>
                <w:szCs w:val="24"/>
                <w:lang w:val="lv-LV"/>
              </w:rPr>
              <w:t xml:space="preserve">Projekta izpildes ietekme uz pārvaldes funkcijām un institucionālo struktūru. </w:t>
            </w:r>
          </w:p>
          <w:p w14:paraId="1FFE4637" w14:textId="77777777" w:rsidR="00EC322A" w:rsidRPr="002A5E94" w:rsidRDefault="00EC322A" w:rsidP="00CD33F4">
            <w:pPr>
              <w:rPr>
                <w:rFonts w:cs="Times New Roman"/>
                <w:sz w:val="24"/>
                <w:szCs w:val="24"/>
                <w:lang w:val="lv-LV"/>
              </w:rPr>
            </w:pPr>
            <w:r w:rsidRPr="002A5E94">
              <w:rPr>
                <w:rFonts w:cs="Times New Roman"/>
                <w:sz w:val="24"/>
                <w:szCs w:val="24"/>
                <w:lang w:val="lv-LV"/>
              </w:rPr>
              <w:t>Jaunu institūciju izveide, esošu institūciju likvidācija vai reorganizācija, to ietekme uz institūcijas cilvēkresursiem</w:t>
            </w:r>
          </w:p>
        </w:tc>
        <w:tc>
          <w:tcPr>
            <w:tcW w:w="2158" w:type="pct"/>
            <w:gridSpan w:val="2"/>
            <w:tcBorders>
              <w:top w:val="outset" w:sz="6" w:space="0" w:color="auto"/>
              <w:left w:val="outset" w:sz="6" w:space="0" w:color="auto"/>
              <w:bottom w:val="outset" w:sz="6" w:space="0" w:color="auto"/>
              <w:right w:val="outset" w:sz="6" w:space="0" w:color="auto"/>
            </w:tcBorders>
            <w:hideMark/>
          </w:tcPr>
          <w:p w14:paraId="24E622B9" w14:textId="55AE78AD" w:rsidR="00EC322A" w:rsidRPr="009A42B4" w:rsidRDefault="00690BFE" w:rsidP="00EC322A">
            <w:pPr>
              <w:jc w:val="both"/>
              <w:rPr>
                <w:rFonts w:cs="Times New Roman"/>
                <w:sz w:val="24"/>
                <w:szCs w:val="24"/>
                <w:lang w:val="lv-LV"/>
              </w:rPr>
            </w:pPr>
            <w:r w:rsidRPr="009A42B4">
              <w:rPr>
                <w:sz w:val="24"/>
                <w:szCs w:val="24"/>
                <w:lang w:val="lv-LV" w:eastAsia="lv-LV"/>
              </w:rPr>
              <w:t>Likumprojekts šo jomu neskar.</w:t>
            </w:r>
          </w:p>
        </w:tc>
      </w:tr>
      <w:tr w:rsidR="00EC322A" w:rsidRPr="002A5E94" w14:paraId="78315F39" w14:textId="77777777" w:rsidTr="00E605BC">
        <w:trPr>
          <w:trHeight w:val="305"/>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14:paraId="392CDC47" w14:textId="77777777" w:rsidR="00EC322A" w:rsidRPr="002A5E94" w:rsidRDefault="00EC322A" w:rsidP="00EC322A">
            <w:pPr>
              <w:rPr>
                <w:rFonts w:cs="Times New Roman"/>
                <w:sz w:val="24"/>
                <w:szCs w:val="24"/>
                <w:lang w:val="lv-LV"/>
              </w:rPr>
            </w:pPr>
            <w:r w:rsidRPr="002A5E94">
              <w:rPr>
                <w:rFonts w:cs="Times New Roman"/>
                <w:sz w:val="24"/>
                <w:szCs w:val="24"/>
                <w:lang w:val="lv-LV"/>
              </w:rPr>
              <w:t>3.</w:t>
            </w:r>
          </w:p>
        </w:tc>
        <w:tc>
          <w:tcPr>
            <w:tcW w:w="2523" w:type="pct"/>
            <w:gridSpan w:val="2"/>
            <w:tcBorders>
              <w:top w:val="outset" w:sz="6" w:space="0" w:color="auto"/>
              <w:left w:val="outset" w:sz="6" w:space="0" w:color="auto"/>
              <w:bottom w:val="outset" w:sz="6" w:space="0" w:color="auto"/>
              <w:right w:val="outset" w:sz="6" w:space="0" w:color="auto"/>
            </w:tcBorders>
            <w:hideMark/>
          </w:tcPr>
          <w:p w14:paraId="090B66CA" w14:textId="77777777" w:rsidR="00EC322A" w:rsidRPr="002A5E94" w:rsidRDefault="00EC322A" w:rsidP="00EC322A">
            <w:pPr>
              <w:rPr>
                <w:rFonts w:cs="Times New Roman"/>
                <w:sz w:val="24"/>
                <w:szCs w:val="24"/>
                <w:lang w:val="lv-LV"/>
              </w:rPr>
            </w:pPr>
            <w:r w:rsidRPr="002A5E94">
              <w:rPr>
                <w:rFonts w:cs="Times New Roman"/>
                <w:sz w:val="24"/>
                <w:szCs w:val="24"/>
                <w:lang w:val="lv-LV"/>
              </w:rPr>
              <w:t>Cita informācija</w:t>
            </w:r>
          </w:p>
        </w:tc>
        <w:tc>
          <w:tcPr>
            <w:tcW w:w="2158" w:type="pct"/>
            <w:gridSpan w:val="2"/>
            <w:tcBorders>
              <w:top w:val="outset" w:sz="6" w:space="0" w:color="auto"/>
              <w:left w:val="outset" w:sz="6" w:space="0" w:color="auto"/>
              <w:bottom w:val="outset" w:sz="6" w:space="0" w:color="auto"/>
              <w:right w:val="outset" w:sz="6" w:space="0" w:color="auto"/>
            </w:tcBorders>
            <w:hideMark/>
          </w:tcPr>
          <w:p w14:paraId="15730271" w14:textId="77777777" w:rsidR="00EC322A" w:rsidRPr="002A5E94" w:rsidRDefault="00EC322A" w:rsidP="00EC322A">
            <w:pPr>
              <w:rPr>
                <w:rFonts w:cs="Times New Roman"/>
                <w:sz w:val="24"/>
                <w:szCs w:val="24"/>
                <w:lang w:val="lv-LV"/>
              </w:rPr>
            </w:pPr>
            <w:r w:rsidRPr="002A5E94">
              <w:rPr>
                <w:rFonts w:cs="Times New Roman"/>
                <w:sz w:val="24"/>
                <w:szCs w:val="24"/>
                <w:lang w:val="lv-LV"/>
              </w:rPr>
              <w:t>Nav.</w:t>
            </w:r>
          </w:p>
        </w:tc>
      </w:tr>
    </w:tbl>
    <w:p w14:paraId="5385C215" w14:textId="77777777" w:rsidR="00EC322A" w:rsidRDefault="00EC322A" w:rsidP="00EC322A">
      <w:pPr>
        <w:rPr>
          <w:rFonts w:cs="Times New Roman"/>
          <w:sz w:val="24"/>
          <w:szCs w:val="24"/>
          <w:lang w:val="lv-LV"/>
        </w:rPr>
      </w:pPr>
    </w:p>
    <w:p w14:paraId="07626A7B" w14:textId="77777777" w:rsidR="00980842" w:rsidRPr="002A5E94" w:rsidRDefault="00980842" w:rsidP="00EC322A">
      <w:pPr>
        <w:rPr>
          <w:rFonts w:cs="Times New Roman"/>
          <w:sz w:val="24"/>
          <w:szCs w:val="24"/>
          <w:lang w:val="lv-LV"/>
        </w:rPr>
      </w:pPr>
    </w:p>
    <w:p w14:paraId="4D738947" w14:textId="57EC157E" w:rsidR="00EC322A" w:rsidRPr="002A5E94" w:rsidRDefault="002A5E94" w:rsidP="00EC322A">
      <w:pPr>
        <w:tabs>
          <w:tab w:val="right" w:pos="9074"/>
        </w:tabs>
        <w:rPr>
          <w:rFonts w:cs="Times New Roman"/>
          <w:sz w:val="24"/>
          <w:szCs w:val="24"/>
          <w:lang w:val="lv-LV"/>
        </w:rPr>
      </w:pPr>
      <w:r w:rsidRPr="002A5E94">
        <w:rPr>
          <w:rFonts w:cs="Times New Roman"/>
          <w:sz w:val="24"/>
          <w:szCs w:val="24"/>
          <w:lang w:val="lv-LV"/>
        </w:rPr>
        <w:t>Finanšu</w:t>
      </w:r>
      <w:r w:rsidR="00EC322A" w:rsidRPr="002A5E94">
        <w:rPr>
          <w:rFonts w:cs="Times New Roman"/>
          <w:sz w:val="24"/>
          <w:szCs w:val="24"/>
          <w:lang w:val="lv-LV"/>
        </w:rPr>
        <w:t xml:space="preserve"> ministrs                                                                         </w:t>
      </w:r>
      <w:r w:rsidR="002B7467">
        <w:rPr>
          <w:rFonts w:cs="Times New Roman"/>
          <w:sz w:val="24"/>
          <w:szCs w:val="24"/>
          <w:lang w:val="lv-LV"/>
        </w:rPr>
        <w:tab/>
      </w:r>
      <w:r w:rsidR="00EC322A" w:rsidRPr="002A5E94">
        <w:rPr>
          <w:rFonts w:cs="Times New Roman"/>
          <w:sz w:val="24"/>
          <w:szCs w:val="24"/>
          <w:lang w:val="lv-LV"/>
        </w:rPr>
        <w:t xml:space="preserve">         </w:t>
      </w:r>
      <w:proofErr w:type="spellStart"/>
      <w:r w:rsidRPr="002A5E94">
        <w:rPr>
          <w:rFonts w:cs="Times New Roman"/>
          <w:sz w:val="24"/>
          <w:szCs w:val="24"/>
          <w:lang w:val="lv-LV"/>
        </w:rPr>
        <w:t>J.Reirs</w:t>
      </w:r>
      <w:proofErr w:type="spellEnd"/>
    </w:p>
    <w:p w14:paraId="646646FA" w14:textId="77777777" w:rsidR="00EC322A" w:rsidRPr="002A5E94" w:rsidRDefault="00EC322A" w:rsidP="00EC322A">
      <w:pPr>
        <w:tabs>
          <w:tab w:val="right" w:pos="9000"/>
        </w:tabs>
        <w:jc w:val="both"/>
        <w:rPr>
          <w:rFonts w:cs="Times New Roman"/>
          <w:sz w:val="24"/>
          <w:szCs w:val="24"/>
          <w:lang w:val="lv-LV"/>
        </w:rPr>
      </w:pPr>
    </w:p>
    <w:p w14:paraId="4FBD90D5" w14:textId="77777777" w:rsidR="00D9598F" w:rsidRDefault="00D9598F" w:rsidP="00EC322A">
      <w:pPr>
        <w:tabs>
          <w:tab w:val="right" w:pos="9000"/>
        </w:tabs>
        <w:jc w:val="both"/>
        <w:rPr>
          <w:rFonts w:cs="Times New Roman"/>
          <w:sz w:val="24"/>
          <w:szCs w:val="24"/>
          <w:lang w:val="lv-LV"/>
        </w:rPr>
      </w:pPr>
    </w:p>
    <w:p w14:paraId="05EDF114" w14:textId="77777777" w:rsidR="006F0965" w:rsidRPr="002A5E94" w:rsidRDefault="006F0965" w:rsidP="00EC322A">
      <w:pPr>
        <w:tabs>
          <w:tab w:val="right" w:pos="9000"/>
        </w:tabs>
        <w:jc w:val="both"/>
        <w:rPr>
          <w:rFonts w:cs="Times New Roman"/>
          <w:sz w:val="24"/>
          <w:szCs w:val="24"/>
          <w:lang w:val="lv-LV"/>
        </w:rPr>
      </w:pPr>
    </w:p>
    <w:p w14:paraId="0A50569C" w14:textId="77777777" w:rsidR="00B95881" w:rsidRDefault="00B95881" w:rsidP="00EC322A">
      <w:pPr>
        <w:tabs>
          <w:tab w:val="left" w:pos="1560"/>
        </w:tabs>
        <w:rPr>
          <w:rFonts w:cs="Times New Roman"/>
          <w:lang w:val="lv-LV"/>
        </w:rPr>
      </w:pPr>
      <w:r>
        <w:rPr>
          <w:rFonts w:cs="Times New Roman"/>
          <w:lang w:val="lv-LV"/>
        </w:rPr>
        <w:t>22.09.2015 9:14</w:t>
      </w:r>
    </w:p>
    <w:p w14:paraId="7A8038B8" w14:textId="471749E8" w:rsidR="002A5E94" w:rsidRPr="002A5E94" w:rsidRDefault="002A5E94" w:rsidP="00EC322A">
      <w:pPr>
        <w:tabs>
          <w:tab w:val="left" w:pos="1560"/>
        </w:tabs>
        <w:rPr>
          <w:rFonts w:cs="Times New Roman"/>
          <w:lang w:val="lv-LV"/>
        </w:rPr>
      </w:pPr>
      <w:r w:rsidRPr="002A5E94">
        <w:rPr>
          <w:rFonts w:cs="Times New Roman"/>
          <w:lang w:val="lv-LV"/>
        </w:rPr>
        <w:fldChar w:fldCharType="begin"/>
      </w:r>
      <w:r w:rsidRPr="002A5E94">
        <w:rPr>
          <w:rFonts w:cs="Times New Roman"/>
          <w:lang w:val="lv-LV"/>
        </w:rPr>
        <w:instrText xml:space="preserve"> NUMWORDS  \# "0"  \* MERGEFORMAT </w:instrText>
      </w:r>
      <w:r w:rsidRPr="002A5E94">
        <w:rPr>
          <w:rFonts w:cs="Times New Roman"/>
          <w:lang w:val="lv-LV"/>
        </w:rPr>
        <w:fldChar w:fldCharType="separate"/>
      </w:r>
      <w:r w:rsidR="00B95881">
        <w:rPr>
          <w:rFonts w:cs="Times New Roman"/>
          <w:noProof/>
          <w:lang w:val="lv-LV"/>
        </w:rPr>
        <w:t>1814</w:t>
      </w:r>
      <w:r w:rsidRPr="002A5E94">
        <w:rPr>
          <w:rFonts w:cs="Times New Roman"/>
          <w:lang w:val="lv-LV"/>
        </w:rPr>
        <w:fldChar w:fldCharType="end"/>
      </w:r>
    </w:p>
    <w:p w14:paraId="240CD28C" w14:textId="77777777" w:rsidR="00EC322A" w:rsidRPr="002A5E94" w:rsidRDefault="00EC322A" w:rsidP="00EC322A">
      <w:pPr>
        <w:tabs>
          <w:tab w:val="left" w:pos="1560"/>
        </w:tabs>
        <w:rPr>
          <w:rFonts w:cs="Times New Roman"/>
          <w:lang w:val="lv-LV"/>
        </w:rPr>
      </w:pPr>
      <w:proofErr w:type="spellStart"/>
      <w:r w:rsidRPr="002A5E94">
        <w:rPr>
          <w:rFonts w:cs="Times New Roman"/>
          <w:lang w:val="lv-LV"/>
        </w:rPr>
        <w:t>I.</w:t>
      </w:r>
      <w:r w:rsidR="002A5E94" w:rsidRPr="002A5E94">
        <w:rPr>
          <w:rFonts w:cs="Times New Roman"/>
          <w:lang w:val="lv-LV"/>
        </w:rPr>
        <w:t>Artemjeva</w:t>
      </w:r>
      <w:proofErr w:type="spellEnd"/>
      <w:r w:rsidRPr="002A5E94">
        <w:rPr>
          <w:rFonts w:cs="Times New Roman"/>
          <w:lang w:val="lv-LV"/>
        </w:rPr>
        <w:t>, 67</w:t>
      </w:r>
      <w:r w:rsidR="002A5E94" w:rsidRPr="002A5E94">
        <w:rPr>
          <w:rFonts w:cs="Times New Roman"/>
          <w:lang w:val="lv-LV"/>
        </w:rPr>
        <w:t>095599</w:t>
      </w:r>
    </w:p>
    <w:p w14:paraId="3678C088" w14:textId="0A0D90E2" w:rsidR="0026236D" w:rsidRPr="002A5E94" w:rsidRDefault="00EC322A" w:rsidP="00D93F42">
      <w:pPr>
        <w:tabs>
          <w:tab w:val="left" w:pos="1560"/>
        </w:tabs>
        <w:rPr>
          <w:lang w:val="lv-LV"/>
        </w:rPr>
      </w:pPr>
      <w:r w:rsidRPr="002A5E94">
        <w:rPr>
          <w:rFonts w:cs="Times New Roman"/>
          <w:lang w:val="lv-LV"/>
        </w:rPr>
        <w:t>In</w:t>
      </w:r>
      <w:r w:rsidR="002A5E94" w:rsidRPr="002A5E94">
        <w:rPr>
          <w:rFonts w:cs="Times New Roman"/>
          <w:lang w:val="lv-LV"/>
        </w:rPr>
        <w:t>et</w:t>
      </w:r>
      <w:r w:rsidRPr="002A5E94">
        <w:rPr>
          <w:rFonts w:cs="Times New Roman"/>
          <w:lang w:val="lv-LV"/>
        </w:rPr>
        <w:t>a.</w:t>
      </w:r>
      <w:r w:rsidR="002A5E94" w:rsidRPr="002A5E94">
        <w:rPr>
          <w:rFonts w:cs="Times New Roman"/>
          <w:lang w:val="lv-LV"/>
        </w:rPr>
        <w:t>Artemjeva</w:t>
      </w:r>
      <w:r w:rsidRPr="002A5E94">
        <w:rPr>
          <w:rFonts w:cs="Times New Roman"/>
          <w:lang w:val="lv-LV"/>
        </w:rPr>
        <w:t>@</w:t>
      </w:r>
      <w:r w:rsidR="002A5E94" w:rsidRPr="002A5E94">
        <w:rPr>
          <w:rFonts w:cs="Times New Roman"/>
          <w:lang w:val="lv-LV"/>
        </w:rPr>
        <w:t>f</w:t>
      </w:r>
      <w:r w:rsidRPr="002A5E94">
        <w:rPr>
          <w:rFonts w:cs="Times New Roman"/>
          <w:lang w:val="lv-LV"/>
        </w:rPr>
        <w:t>m.gov.lv</w:t>
      </w:r>
      <w:bookmarkStart w:id="0" w:name="_GoBack"/>
      <w:bookmarkEnd w:id="0"/>
    </w:p>
    <w:sectPr w:rsidR="0026236D" w:rsidRPr="002A5E94" w:rsidSect="00441D9A">
      <w:headerReference w:type="default" r:id="rId7"/>
      <w:footerReference w:type="default" r:id="rId8"/>
      <w:footerReference w:type="first" r:id="rId9"/>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A79D" w14:textId="77777777" w:rsidR="00C23DD0" w:rsidRDefault="00C23DD0" w:rsidP="00EC322A">
      <w:r>
        <w:separator/>
      </w:r>
    </w:p>
  </w:endnote>
  <w:endnote w:type="continuationSeparator" w:id="0">
    <w:p w14:paraId="25E90E22" w14:textId="77777777" w:rsidR="00C23DD0" w:rsidRDefault="00C23DD0" w:rsidP="00EC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52716"/>
      <w:docPartObj>
        <w:docPartGallery w:val="Page Numbers (Bottom of Page)"/>
        <w:docPartUnique/>
      </w:docPartObj>
    </w:sdtPr>
    <w:sdtEndPr>
      <w:rPr>
        <w:noProof/>
      </w:rPr>
    </w:sdtEndPr>
    <w:sdtContent>
      <w:p w14:paraId="1B710338" w14:textId="7D365954" w:rsidR="00EC322A" w:rsidRPr="00EC322A" w:rsidRDefault="005F7CCA" w:rsidP="00EC322A">
        <w:pPr>
          <w:pStyle w:val="Footer"/>
          <w:jc w:val="both"/>
        </w:pPr>
        <w:r>
          <w:t>F</w:t>
        </w:r>
        <w:r w:rsidR="00EC322A" w:rsidRPr="00EC322A">
          <w:t>MAnot_</w:t>
        </w:r>
        <w:r w:rsidR="00C755F0">
          <w:t>2</w:t>
        </w:r>
        <w:r w:rsidR="00F74FA8">
          <w:t>1</w:t>
        </w:r>
        <w:r w:rsidR="00C755F0">
          <w:t>09</w:t>
        </w:r>
        <w:r w:rsidR="00EC322A" w:rsidRPr="00EC322A">
          <w:t>15_</w:t>
        </w:r>
        <w:r w:rsidR="009D5E90">
          <w:t>AL</w:t>
        </w:r>
        <w:r w:rsidR="00F74FA8">
          <w:t>.prec</w:t>
        </w:r>
        <w:r w:rsidR="00690BFE">
          <w:t>;</w:t>
        </w:r>
        <w:r w:rsidR="00EC322A" w:rsidRPr="00EC322A">
          <w:t xml:space="preserve"> Likumprojekta „Grozījumi Valsts un pašvaldību institūciju amatpersonu un darbinieku atlīdzības likumā” sākotnējās ietekmes novērtējuma ziņojums (anotācija)</w:t>
        </w:r>
      </w:p>
      <w:p w14:paraId="599535B6" w14:textId="77777777" w:rsidR="00441D9A" w:rsidRDefault="00D93F42" w:rsidP="00EC322A">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136215"/>
      <w:docPartObj>
        <w:docPartGallery w:val="Page Numbers (Bottom of Page)"/>
        <w:docPartUnique/>
      </w:docPartObj>
    </w:sdtPr>
    <w:sdtEndPr>
      <w:rPr>
        <w:noProof/>
        <w:lang w:val="en-GB"/>
      </w:rPr>
    </w:sdtEndPr>
    <w:sdtContent>
      <w:sdt>
        <w:sdtPr>
          <w:id w:val="-1102952973"/>
          <w:docPartObj>
            <w:docPartGallery w:val="Page Numbers (Bottom of Page)"/>
            <w:docPartUnique/>
          </w:docPartObj>
        </w:sdtPr>
        <w:sdtEndPr>
          <w:rPr>
            <w:noProof/>
          </w:rPr>
        </w:sdtEndPr>
        <w:sdtContent>
          <w:p w14:paraId="70D8E384" w14:textId="77777777" w:rsidR="00F74FA8" w:rsidRPr="00EC322A" w:rsidRDefault="00F74FA8" w:rsidP="00F74FA8">
            <w:pPr>
              <w:pStyle w:val="Footer"/>
              <w:jc w:val="both"/>
            </w:pPr>
            <w:r>
              <w:t>F</w:t>
            </w:r>
            <w:r w:rsidRPr="00EC322A">
              <w:t>MAnot_</w:t>
            </w:r>
            <w:r>
              <w:t>2109</w:t>
            </w:r>
            <w:r w:rsidRPr="00EC322A">
              <w:t>15_</w:t>
            </w:r>
            <w:r>
              <w:t>AL.prec;</w:t>
            </w:r>
            <w:r w:rsidRPr="00EC322A">
              <w:t xml:space="preserve"> Likumprojekta „Grozījumi Valsts un pašvaldību institūciju amatpersonu un darbinieku atlīdzības likumā” sākotnējās ietekmes novērtējuma ziņojums (anotācija)</w:t>
            </w:r>
          </w:p>
          <w:p w14:paraId="4B9D230F" w14:textId="77777777" w:rsidR="00F74FA8" w:rsidRDefault="00F74FA8" w:rsidP="00F74FA8">
            <w:pPr>
              <w:pStyle w:val="Footer"/>
              <w:rPr>
                <w:noProof/>
              </w:rPr>
            </w:pPr>
          </w:p>
        </w:sdtContent>
      </w:sdt>
      <w:p w14:paraId="045690D1" w14:textId="6F82E8EA" w:rsidR="00E735C4" w:rsidRPr="00EC322A" w:rsidRDefault="00D93F42" w:rsidP="00F74FA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FC235" w14:textId="77777777" w:rsidR="00C23DD0" w:rsidRDefault="00C23DD0" w:rsidP="00EC322A">
      <w:r>
        <w:separator/>
      </w:r>
    </w:p>
  </w:footnote>
  <w:footnote w:type="continuationSeparator" w:id="0">
    <w:p w14:paraId="01DF6CCC" w14:textId="77777777" w:rsidR="00C23DD0" w:rsidRDefault="00C23DD0" w:rsidP="00EC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602429"/>
      <w:docPartObj>
        <w:docPartGallery w:val="Page Numbers (Top of Page)"/>
        <w:docPartUnique/>
      </w:docPartObj>
    </w:sdtPr>
    <w:sdtEndPr>
      <w:rPr>
        <w:noProof/>
      </w:rPr>
    </w:sdtEndPr>
    <w:sdtContent>
      <w:p w14:paraId="1C6372B7" w14:textId="77777777" w:rsidR="00EC322A" w:rsidRDefault="00EC322A">
        <w:pPr>
          <w:pStyle w:val="Header"/>
          <w:jc w:val="center"/>
        </w:pPr>
        <w:r>
          <w:fldChar w:fldCharType="begin"/>
        </w:r>
        <w:r>
          <w:instrText xml:space="preserve"> PAGE   \* MERGEFORMAT </w:instrText>
        </w:r>
        <w:r>
          <w:fldChar w:fldCharType="separate"/>
        </w:r>
        <w:r w:rsidR="00D93F42">
          <w:rPr>
            <w:noProof/>
          </w:rPr>
          <w:t>6</w:t>
        </w:r>
        <w:r>
          <w:rPr>
            <w:noProof/>
          </w:rPr>
          <w:fldChar w:fldCharType="end"/>
        </w:r>
      </w:p>
    </w:sdtContent>
  </w:sdt>
  <w:p w14:paraId="2E349CB1" w14:textId="77777777" w:rsidR="00EC322A" w:rsidRDefault="00EC3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A"/>
    <w:rsid w:val="00042F0B"/>
    <w:rsid w:val="00055399"/>
    <w:rsid w:val="00067482"/>
    <w:rsid w:val="00082069"/>
    <w:rsid w:val="00085D4E"/>
    <w:rsid w:val="000C20CD"/>
    <w:rsid w:val="000E576F"/>
    <w:rsid w:val="00144F17"/>
    <w:rsid w:val="001549F4"/>
    <w:rsid w:val="00155450"/>
    <w:rsid w:val="00155933"/>
    <w:rsid w:val="00170F68"/>
    <w:rsid w:val="001C25DB"/>
    <w:rsid w:val="001D5BA3"/>
    <w:rsid w:val="001E4820"/>
    <w:rsid w:val="0021416E"/>
    <w:rsid w:val="00225C5D"/>
    <w:rsid w:val="0026236D"/>
    <w:rsid w:val="002A5E94"/>
    <w:rsid w:val="002B7467"/>
    <w:rsid w:val="002E4E95"/>
    <w:rsid w:val="002F14F1"/>
    <w:rsid w:val="002F58D7"/>
    <w:rsid w:val="00303E56"/>
    <w:rsid w:val="00304507"/>
    <w:rsid w:val="00377B9C"/>
    <w:rsid w:val="003D378D"/>
    <w:rsid w:val="00455945"/>
    <w:rsid w:val="00480C85"/>
    <w:rsid w:val="004B1B9A"/>
    <w:rsid w:val="004B461E"/>
    <w:rsid w:val="004C1AC1"/>
    <w:rsid w:val="004D706D"/>
    <w:rsid w:val="004F01B6"/>
    <w:rsid w:val="005627C2"/>
    <w:rsid w:val="00586A80"/>
    <w:rsid w:val="005A7159"/>
    <w:rsid w:val="005B3C55"/>
    <w:rsid w:val="005D76AF"/>
    <w:rsid w:val="005F4077"/>
    <w:rsid w:val="005F7CCA"/>
    <w:rsid w:val="00621B54"/>
    <w:rsid w:val="00637691"/>
    <w:rsid w:val="00687D50"/>
    <w:rsid w:val="00690BFE"/>
    <w:rsid w:val="006A24CA"/>
    <w:rsid w:val="006F0965"/>
    <w:rsid w:val="006F474A"/>
    <w:rsid w:val="00711C9A"/>
    <w:rsid w:val="007635F3"/>
    <w:rsid w:val="0076771A"/>
    <w:rsid w:val="00783406"/>
    <w:rsid w:val="00787683"/>
    <w:rsid w:val="007C706B"/>
    <w:rsid w:val="007E1155"/>
    <w:rsid w:val="007E4F8C"/>
    <w:rsid w:val="00801F8C"/>
    <w:rsid w:val="00813557"/>
    <w:rsid w:val="00822D50"/>
    <w:rsid w:val="00825FE5"/>
    <w:rsid w:val="00864613"/>
    <w:rsid w:val="008804EF"/>
    <w:rsid w:val="008C0F8F"/>
    <w:rsid w:val="00913FCC"/>
    <w:rsid w:val="009239B9"/>
    <w:rsid w:val="0094492F"/>
    <w:rsid w:val="00951169"/>
    <w:rsid w:val="00961CCE"/>
    <w:rsid w:val="00961EAA"/>
    <w:rsid w:val="00980842"/>
    <w:rsid w:val="009972BB"/>
    <w:rsid w:val="009A42B4"/>
    <w:rsid w:val="009A48D6"/>
    <w:rsid w:val="009B3B16"/>
    <w:rsid w:val="009C035B"/>
    <w:rsid w:val="009D5E90"/>
    <w:rsid w:val="009F2299"/>
    <w:rsid w:val="00A06739"/>
    <w:rsid w:val="00A11BB2"/>
    <w:rsid w:val="00A442F4"/>
    <w:rsid w:val="00A538D2"/>
    <w:rsid w:val="00A616BE"/>
    <w:rsid w:val="00A6370C"/>
    <w:rsid w:val="00AF3AC3"/>
    <w:rsid w:val="00B16BE0"/>
    <w:rsid w:val="00B17134"/>
    <w:rsid w:val="00B175A3"/>
    <w:rsid w:val="00B2489F"/>
    <w:rsid w:val="00B3086B"/>
    <w:rsid w:val="00B50872"/>
    <w:rsid w:val="00B95881"/>
    <w:rsid w:val="00BE058D"/>
    <w:rsid w:val="00BF20B4"/>
    <w:rsid w:val="00C14373"/>
    <w:rsid w:val="00C20674"/>
    <w:rsid w:val="00C23DD0"/>
    <w:rsid w:val="00C729FB"/>
    <w:rsid w:val="00C73F60"/>
    <w:rsid w:val="00C755F0"/>
    <w:rsid w:val="00C94B4A"/>
    <w:rsid w:val="00CC3182"/>
    <w:rsid w:val="00CC530C"/>
    <w:rsid w:val="00CD33F4"/>
    <w:rsid w:val="00CD3B94"/>
    <w:rsid w:val="00CF0CC1"/>
    <w:rsid w:val="00D131F6"/>
    <w:rsid w:val="00D61217"/>
    <w:rsid w:val="00D907E5"/>
    <w:rsid w:val="00D93F42"/>
    <w:rsid w:val="00D9598F"/>
    <w:rsid w:val="00DC1B7A"/>
    <w:rsid w:val="00E23F72"/>
    <w:rsid w:val="00E300A8"/>
    <w:rsid w:val="00E5794A"/>
    <w:rsid w:val="00E605BC"/>
    <w:rsid w:val="00E91F4B"/>
    <w:rsid w:val="00EA6F5E"/>
    <w:rsid w:val="00EB4F0A"/>
    <w:rsid w:val="00EC322A"/>
    <w:rsid w:val="00EC5363"/>
    <w:rsid w:val="00EF2617"/>
    <w:rsid w:val="00F15D17"/>
    <w:rsid w:val="00F22346"/>
    <w:rsid w:val="00F27609"/>
    <w:rsid w:val="00F65C79"/>
    <w:rsid w:val="00F74FA8"/>
    <w:rsid w:val="00F77DA0"/>
    <w:rsid w:val="00F93914"/>
    <w:rsid w:val="00F93E6A"/>
    <w:rsid w:val="00F963BF"/>
    <w:rsid w:val="00FA3A80"/>
    <w:rsid w:val="00FA659A"/>
    <w:rsid w:val="00FB3D31"/>
    <w:rsid w:val="00FC55BC"/>
    <w:rsid w:val="00FE0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465CF4"/>
  <w15:docId w15:val="{D07970FB-E88F-4293-823E-B71A2058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322A"/>
    <w:pPr>
      <w:tabs>
        <w:tab w:val="center" w:pos="4153"/>
        <w:tab w:val="right" w:pos="8306"/>
      </w:tabs>
    </w:pPr>
    <w:rPr>
      <w:lang w:val="lv-LV"/>
    </w:rPr>
  </w:style>
  <w:style w:type="character" w:customStyle="1" w:styleId="FooterChar">
    <w:name w:val="Footer Char"/>
    <w:basedOn w:val="DefaultParagraphFont"/>
    <w:link w:val="Footer"/>
    <w:rsid w:val="00EC322A"/>
    <w:rPr>
      <w:rFonts w:cs="Arial Unicode MS"/>
      <w:lang w:eastAsia="en-US" w:bidi="lo-LA"/>
    </w:rPr>
  </w:style>
  <w:style w:type="paragraph" w:styleId="Header">
    <w:name w:val="header"/>
    <w:basedOn w:val="Normal"/>
    <w:link w:val="HeaderChar"/>
    <w:uiPriority w:val="99"/>
    <w:rsid w:val="00EC322A"/>
    <w:pPr>
      <w:tabs>
        <w:tab w:val="center" w:pos="4153"/>
        <w:tab w:val="right" w:pos="8306"/>
      </w:tabs>
    </w:pPr>
  </w:style>
  <w:style w:type="character" w:customStyle="1" w:styleId="HeaderChar">
    <w:name w:val="Header Char"/>
    <w:basedOn w:val="DefaultParagraphFont"/>
    <w:link w:val="Header"/>
    <w:uiPriority w:val="99"/>
    <w:rsid w:val="00EC322A"/>
    <w:rPr>
      <w:rFonts w:cs="Arial Unicode MS"/>
      <w:lang w:val="en-GB" w:eastAsia="en-US" w:bidi="lo-LA"/>
    </w:rPr>
  </w:style>
  <w:style w:type="paragraph" w:styleId="BalloonText">
    <w:name w:val="Balloon Text"/>
    <w:basedOn w:val="Normal"/>
    <w:link w:val="BalloonTextChar"/>
    <w:rsid w:val="007E4F8C"/>
    <w:rPr>
      <w:rFonts w:ascii="Tahoma" w:hAnsi="Tahoma" w:cs="Tahoma"/>
      <w:sz w:val="16"/>
      <w:szCs w:val="16"/>
    </w:rPr>
  </w:style>
  <w:style w:type="character" w:customStyle="1" w:styleId="BalloonTextChar">
    <w:name w:val="Balloon Text Char"/>
    <w:basedOn w:val="DefaultParagraphFont"/>
    <w:link w:val="BalloonText"/>
    <w:rsid w:val="007E4F8C"/>
    <w:rPr>
      <w:rFonts w:ascii="Tahoma" w:hAnsi="Tahoma" w:cs="Tahoma"/>
      <w:sz w:val="16"/>
      <w:szCs w:val="16"/>
      <w:lang w:val="en-GB" w:eastAsia="en-US" w:bidi="lo-LA"/>
    </w:rPr>
  </w:style>
  <w:style w:type="paragraph" w:customStyle="1" w:styleId="naisnod">
    <w:name w:val="naisnod"/>
    <w:basedOn w:val="Normal"/>
    <w:rsid w:val="002A5E94"/>
    <w:pPr>
      <w:spacing w:before="150" w:after="150"/>
      <w:jc w:val="center"/>
    </w:pPr>
    <w:rPr>
      <w:rFonts w:cs="Times New Roman"/>
      <w:b/>
      <w:bCs/>
      <w:sz w:val="24"/>
      <w:szCs w:val="24"/>
      <w:lang w:val="lv-LV" w:eastAsia="lv-LV" w:bidi="ar-SA"/>
    </w:rPr>
  </w:style>
  <w:style w:type="paragraph" w:styleId="NormalWeb">
    <w:name w:val="Normal (Web)"/>
    <w:basedOn w:val="Normal"/>
    <w:uiPriority w:val="99"/>
    <w:unhideWhenUsed/>
    <w:rsid w:val="002A5E94"/>
    <w:pPr>
      <w:spacing w:before="100" w:beforeAutospacing="1" w:after="100" w:afterAutospacing="1"/>
    </w:pPr>
    <w:rPr>
      <w:rFonts w:ascii="Verdana" w:hAnsi="Verdana" w:cs="Times New Roman"/>
      <w:sz w:val="18"/>
      <w:szCs w:val="18"/>
      <w:lang w:val="lv-LV" w:eastAsia="lv-LV" w:bidi="ar-SA"/>
    </w:rPr>
  </w:style>
  <w:style w:type="paragraph" w:styleId="ListParagraph">
    <w:name w:val="List Paragraph"/>
    <w:basedOn w:val="Normal"/>
    <w:uiPriority w:val="34"/>
    <w:qFormat/>
    <w:rsid w:val="00CD3B94"/>
    <w:pPr>
      <w:ind w:left="720"/>
      <w:contextualSpacing/>
    </w:pPr>
  </w:style>
  <w:style w:type="character" w:styleId="CommentReference">
    <w:name w:val="annotation reference"/>
    <w:basedOn w:val="DefaultParagraphFont"/>
    <w:semiHidden/>
    <w:unhideWhenUsed/>
    <w:rsid w:val="00690BFE"/>
    <w:rPr>
      <w:sz w:val="16"/>
      <w:szCs w:val="16"/>
    </w:rPr>
  </w:style>
  <w:style w:type="paragraph" w:styleId="CommentText">
    <w:name w:val="annotation text"/>
    <w:basedOn w:val="Normal"/>
    <w:link w:val="CommentTextChar"/>
    <w:semiHidden/>
    <w:unhideWhenUsed/>
    <w:rsid w:val="00690BFE"/>
  </w:style>
  <w:style w:type="character" w:customStyle="1" w:styleId="CommentTextChar">
    <w:name w:val="Comment Text Char"/>
    <w:basedOn w:val="DefaultParagraphFont"/>
    <w:link w:val="CommentText"/>
    <w:semiHidden/>
    <w:rsid w:val="00690BFE"/>
    <w:rPr>
      <w:rFonts w:cs="Arial Unicode MS"/>
      <w:lang w:val="en-GB" w:eastAsia="en-US" w:bidi="lo-LA"/>
    </w:rPr>
  </w:style>
  <w:style w:type="paragraph" w:styleId="CommentSubject">
    <w:name w:val="annotation subject"/>
    <w:basedOn w:val="CommentText"/>
    <w:next w:val="CommentText"/>
    <w:link w:val="CommentSubjectChar"/>
    <w:semiHidden/>
    <w:unhideWhenUsed/>
    <w:rsid w:val="00690BFE"/>
    <w:rPr>
      <w:b/>
      <w:bCs/>
    </w:rPr>
  </w:style>
  <w:style w:type="character" w:customStyle="1" w:styleId="CommentSubjectChar">
    <w:name w:val="Comment Subject Char"/>
    <w:basedOn w:val="CommentTextChar"/>
    <w:link w:val="CommentSubject"/>
    <w:semiHidden/>
    <w:rsid w:val="00690BFE"/>
    <w:rPr>
      <w:rFonts w:cs="Arial Unicode MS"/>
      <w:b/>
      <w:bCs/>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0E5A-34D4-4FC7-B02D-17169DE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1814</Words>
  <Characters>12427</Characters>
  <Application>Microsoft Office Word</Application>
  <DocSecurity>0</DocSecurity>
  <Lines>621</Lines>
  <Paragraphs>296</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Ineta Artemjeva</dc:creator>
  <cp:keywords/>
  <dc:description>tel.67095599;
Ineta.Artemjeva@fm.gov.lv</dc:description>
  <cp:lastModifiedBy>Artemjeva Ineta</cp:lastModifiedBy>
  <cp:revision>8</cp:revision>
  <cp:lastPrinted>2015-09-22T06:49:00Z</cp:lastPrinted>
  <dcterms:created xsi:type="dcterms:W3CDTF">2015-09-22T06:05:00Z</dcterms:created>
  <dcterms:modified xsi:type="dcterms:W3CDTF">2015-09-22T07:10:00Z</dcterms:modified>
</cp:coreProperties>
</file>