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E7" w:rsidRDefault="009621E7" w:rsidP="00962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184343">
        <w:rPr>
          <w:rFonts w:ascii="Times New Roman" w:hAnsi="Times New Roman"/>
          <w:b/>
          <w:sz w:val="28"/>
          <w:szCs w:val="28"/>
        </w:rPr>
        <w:t xml:space="preserve">Ministru kabineta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184343">
          <w:rPr>
            <w:rFonts w:ascii="Times New Roman" w:hAnsi="Times New Roman"/>
            <w:b/>
            <w:sz w:val="28"/>
            <w:szCs w:val="28"/>
          </w:rPr>
          <w:t>rīkojuma</w:t>
        </w:r>
      </w:smartTag>
      <w:r w:rsidRPr="00184343">
        <w:rPr>
          <w:rFonts w:ascii="Times New Roman" w:hAnsi="Times New Roman"/>
          <w:b/>
          <w:sz w:val="28"/>
          <w:szCs w:val="28"/>
        </w:rPr>
        <w:t xml:space="preserve"> projekta </w:t>
      </w:r>
    </w:p>
    <w:p w:rsidR="009621E7" w:rsidRDefault="009621E7" w:rsidP="00A83102">
      <w:pPr>
        <w:pStyle w:val="Virsraksts2"/>
        <w:rPr>
          <w:b/>
          <w:szCs w:val="28"/>
        </w:rPr>
      </w:pPr>
      <w:r w:rsidRPr="00184343">
        <w:rPr>
          <w:b/>
          <w:szCs w:val="28"/>
        </w:rPr>
        <w:t>„</w:t>
      </w:r>
      <w:r w:rsidR="00A83102">
        <w:rPr>
          <w:b/>
          <w:bCs/>
        </w:rPr>
        <w:t>Par valsts</w:t>
      </w:r>
      <w:r w:rsidR="00A83102" w:rsidRPr="00C476D7">
        <w:rPr>
          <w:szCs w:val="28"/>
        </w:rPr>
        <w:t xml:space="preserve"> </w:t>
      </w:r>
      <w:r w:rsidR="00A83102" w:rsidRPr="00C476D7">
        <w:rPr>
          <w:b/>
          <w:szCs w:val="28"/>
        </w:rPr>
        <w:t xml:space="preserve">sabiedrības ar ierobežotu atbildību </w:t>
      </w:r>
      <w:r w:rsidR="00A83102">
        <w:rPr>
          <w:b/>
          <w:szCs w:val="28"/>
        </w:rPr>
        <w:t>„Latvijas Nacionālā opera</w:t>
      </w:r>
      <w:r w:rsidR="00A6670A">
        <w:rPr>
          <w:b/>
          <w:szCs w:val="28"/>
        </w:rPr>
        <w:t xml:space="preserve"> un balets</w:t>
      </w:r>
      <w:r w:rsidR="00A83102">
        <w:rPr>
          <w:b/>
          <w:szCs w:val="28"/>
        </w:rPr>
        <w:t xml:space="preserve">” statūtu apstiprināšanu” </w:t>
      </w:r>
      <w:r w:rsidRPr="00184343">
        <w:rPr>
          <w:b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184343">
          <w:rPr>
            <w:b/>
            <w:szCs w:val="28"/>
          </w:rPr>
          <w:t>ziņojums (anotācija)</w:t>
        </w:r>
      </w:smartTag>
    </w:p>
    <w:p w:rsidR="009621E7" w:rsidRPr="00184343" w:rsidRDefault="009621E7" w:rsidP="00962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259"/>
        <w:gridCol w:w="5252"/>
      </w:tblGrid>
      <w:tr w:rsidR="009621E7" w:rsidRPr="00184343" w:rsidTr="00EA2DF8">
        <w:trPr>
          <w:trHeight w:val="55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0"/>
          <w:bookmarkEnd w:id="1"/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9621E7" w:rsidRPr="00184343" w:rsidTr="0025474C">
        <w:trPr>
          <w:trHeight w:val="3327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B811F7" w:rsidRDefault="009621E7" w:rsidP="002A0049">
            <w:pPr>
              <w:spacing w:after="0" w:line="240" w:lineRule="auto"/>
              <w:ind w:left="141" w:right="156"/>
              <w:rPr>
                <w:rFonts w:ascii="Times New Roman" w:hAnsi="Times New Roman"/>
                <w:sz w:val="28"/>
                <w:szCs w:val="28"/>
              </w:rPr>
            </w:pPr>
            <w:r w:rsidRPr="00B811F7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5220" w:rsidRDefault="00EA2DF8" w:rsidP="00EA2DF8">
            <w:pPr>
              <w:pStyle w:val="Bezatstarpm"/>
              <w:tabs>
                <w:tab w:val="left" w:pos="568"/>
              </w:tabs>
              <w:ind w:left="139" w:right="148" w:firstLine="4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DF8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smartTag w:uri="schemas-tilde-lv/tildestengine" w:element="veidnes">
              <w:smartTagPr>
                <w:attr w:name="text" w:val="rīkojuma"/>
                <w:attr w:name="id" w:val="-1"/>
                <w:attr w:name="baseform" w:val="rīkojum|s"/>
              </w:smartTagPr>
              <w:r w:rsidRPr="00EA2DF8">
                <w:rPr>
                  <w:rFonts w:ascii="Times New Roman" w:hAnsi="Times New Roman"/>
                  <w:sz w:val="28"/>
                  <w:szCs w:val="28"/>
                </w:rPr>
                <w:t>rīkojuma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projekts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 „Par valsts sabiedrības ar ierobežotu atbildību „Latvijas Nacionālā opera</w:t>
            </w:r>
            <w:r w:rsidR="00A6670A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” statūtu apstiprināšanu”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(turpmāk – Projekts) sagatavots, pamatojoties uz 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>Latvijas Nacionālās operas</w:t>
            </w:r>
            <w:r w:rsidR="00B811F7">
              <w:rPr>
                <w:rFonts w:ascii="Times New Roman" w:hAnsi="Times New Roman"/>
                <w:sz w:val="28"/>
                <w:szCs w:val="28"/>
              </w:rPr>
              <w:t xml:space="preserve"> un baleta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 xml:space="preserve"> likuma 2.panta treš</w:t>
            </w:r>
            <w:r w:rsidR="00E66264">
              <w:rPr>
                <w:rFonts w:ascii="Times New Roman" w:hAnsi="Times New Roman"/>
                <w:sz w:val="28"/>
                <w:szCs w:val="28"/>
              </w:rPr>
              <w:t>o</w:t>
            </w:r>
            <w:r w:rsidR="00A83102" w:rsidRPr="00A83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102" w:rsidRPr="00EA2DF8">
              <w:rPr>
                <w:rFonts w:ascii="Times New Roman" w:hAnsi="Times New Roman"/>
                <w:sz w:val="28"/>
                <w:szCs w:val="28"/>
              </w:rPr>
              <w:t>daļ</w:t>
            </w:r>
            <w:r w:rsidR="00E66264">
              <w:rPr>
                <w:rFonts w:ascii="Times New Roman" w:hAnsi="Times New Roman"/>
                <w:sz w:val="28"/>
                <w:szCs w:val="28"/>
              </w:rPr>
              <w:t>u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 xml:space="preserve">, kas nosaka, ka 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>valsts sabiedrības ar ierobežotu atbildību „Latvijas Nacionālā opera</w:t>
            </w:r>
            <w:r w:rsidR="00A6670A" w:rsidRPr="00B811F7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Pr="00EA2DF8">
              <w:rPr>
                <w:rFonts w:ascii="Times New Roman" w:hAnsi="Times New Roman"/>
                <w:sz w:val="28"/>
                <w:szCs w:val="28"/>
              </w:rPr>
              <w:t>statūtus apstiprina, kā arī grozījumus tajos izdara Ministru kabinets.</w:t>
            </w:r>
          </w:p>
          <w:p w:rsidR="00A6670A" w:rsidRPr="00B811F7" w:rsidRDefault="00A6670A" w:rsidP="00B811F7">
            <w:pPr>
              <w:pStyle w:val="Bezatstarpm"/>
              <w:tabs>
                <w:tab w:val="left" w:pos="568"/>
              </w:tabs>
              <w:ind w:left="139" w:right="148" w:firstLine="4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E7" w:rsidRPr="00184343" w:rsidTr="00EA2DF8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Pašreizējā situācija un problēmas</w:t>
            </w:r>
          </w:p>
          <w:p w:rsidR="009621E7" w:rsidRPr="00184343" w:rsidRDefault="009621E7" w:rsidP="002A0049">
            <w:pPr>
              <w:spacing w:after="0" w:line="240" w:lineRule="auto"/>
              <w:ind w:left="150" w:right="156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670A" w:rsidRPr="003848E6" w:rsidRDefault="00A6670A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145220" w:rsidRPr="00661728">
              <w:rPr>
                <w:rFonts w:ascii="Times New Roman" w:hAnsi="Times New Roman"/>
                <w:sz w:val="28"/>
                <w:szCs w:val="28"/>
              </w:rPr>
              <w:t>.</w:t>
            </w:r>
            <w:r w:rsidR="00145220" w:rsidRPr="003848E6">
              <w:rPr>
                <w:rFonts w:ascii="Times New Roman" w:hAnsi="Times New Roman"/>
                <w:sz w:val="28"/>
                <w:szCs w:val="28"/>
              </w:rPr>
              <w:t>gada 1.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>jūlijā</w:t>
            </w:r>
            <w:r w:rsidR="00145220" w:rsidRPr="003848E6">
              <w:rPr>
                <w:rFonts w:ascii="Times New Roman" w:hAnsi="Times New Roman"/>
                <w:sz w:val="28"/>
                <w:szCs w:val="28"/>
              </w:rPr>
              <w:t xml:space="preserve"> spēkā stājās </w:t>
            </w:r>
            <w:r w:rsidR="008608F1" w:rsidRPr="003848E6">
              <w:rPr>
                <w:rFonts w:ascii="Times New Roman" w:hAnsi="Times New Roman"/>
                <w:sz w:val="28"/>
                <w:szCs w:val="28"/>
              </w:rPr>
              <w:t>likums „</w:t>
            </w:r>
            <w:r w:rsidR="00041BCD" w:rsidRPr="003848E6">
              <w:rPr>
                <w:rFonts w:ascii="Times New Roman" w:hAnsi="Times New Roman"/>
                <w:sz w:val="28"/>
                <w:szCs w:val="28"/>
              </w:rPr>
              <w:t>Grozījumi Latvijas Nacionālās operas</w:t>
            </w:r>
            <w:r w:rsidR="00C0519D" w:rsidRPr="0038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BCD" w:rsidRPr="003848E6">
              <w:rPr>
                <w:rFonts w:ascii="Times New Roman" w:hAnsi="Times New Roman"/>
                <w:sz w:val="28"/>
                <w:szCs w:val="28"/>
              </w:rPr>
              <w:t>likumā</w:t>
            </w:r>
            <w:r w:rsidR="008608F1" w:rsidRPr="003848E6">
              <w:rPr>
                <w:rFonts w:ascii="Times New Roman" w:hAnsi="Times New Roman"/>
                <w:sz w:val="28"/>
                <w:szCs w:val="28"/>
              </w:rPr>
              <w:t>”</w:t>
            </w:r>
            <w:r w:rsidR="00041BCD" w:rsidRPr="0038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8F1" w:rsidRPr="003848E6">
              <w:rPr>
                <w:rFonts w:ascii="Times New Roman" w:hAnsi="Times New Roman"/>
                <w:sz w:val="28"/>
                <w:szCs w:val="28"/>
              </w:rPr>
              <w:t>(Latv</w:t>
            </w:r>
            <w:r w:rsidR="00667D39">
              <w:rPr>
                <w:rFonts w:ascii="Times New Roman" w:hAnsi="Times New Roman"/>
                <w:sz w:val="28"/>
                <w:szCs w:val="28"/>
              </w:rPr>
              <w:t>ijas Vēstnesis, 2015, 118.nr.)</w:t>
            </w:r>
            <w:r w:rsidR="00041BCD" w:rsidRPr="003848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66709">
              <w:rPr>
                <w:rFonts w:ascii="Times New Roman" w:hAnsi="Times New Roman"/>
                <w:sz w:val="28"/>
                <w:szCs w:val="28"/>
              </w:rPr>
              <w:t xml:space="preserve">ar kuru 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>pārdēvēt</w:t>
            </w:r>
            <w:r w:rsidR="00E66709">
              <w:rPr>
                <w:rFonts w:ascii="Times New Roman" w:hAnsi="Times New Roman"/>
                <w:sz w:val="28"/>
                <w:szCs w:val="28"/>
              </w:rPr>
              <w:t>a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 xml:space="preserve"> valsts sabiedrīb</w:t>
            </w:r>
            <w:r w:rsidR="00E66709">
              <w:rPr>
                <w:rFonts w:ascii="Times New Roman" w:hAnsi="Times New Roman"/>
                <w:sz w:val="28"/>
                <w:szCs w:val="28"/>
              </w:rPr>
              <w:t>a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opera” par valsts sabiedrību ar ierobežotu atbildību „Latvijas Nacionālā opera un balets”.</w:t>
            </w:r>
          </w:p>
          <w:p w:rsidR="00A6670A" w:rsidRPr="003848E6" w:rsidRDefault="00813FB9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8E6">
              <w:rPr>
                <w:rFonts w:ascii="Times New Roman" w:hAnsi="Times New Roman"/>
                <w:sz w:val="28"/>
                <w:szCs w:val="28"/>
              </w:rPr>
              <w:t xml:space="preserve">Ņemot vērā </w:t>
            </w:r>
            <w:r w:rsidR="00661728" w:rsidRPr="003848E6">
              <w:rPr>
                <w:rFonts w:ascii="Times New Roman" w:hAnsi="Times New Roman"/>
                <w:sz w:val="28"/>
                <w:szCs w:val="28"/>
              </w:rPr>
              <w:t xml:space="preserve">iepriekš 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>minēto, Latvijas Nacionālās o</w:t>
            </w:r>
            <w:r w:rsidR="00A6670A" w:rsidRPr="003848E6">
              <w:rPr>
                <w:rFonts w:ascii="Times New Roman" w:hAnsi="Times New Roman"/>
                <w:sz w:val="28"/>
                <w:szCs w:val="28"/>
              </w:rPr>
              <w:t xml:space="preserve">peras </w:t>
            </w:r>
            <w:r w:rsidR="00C0519D" w:rsidRPr="003848E6">
              <w:rPr>
                <w:rFonts w:ascii="Times New Roman" w:hAnsi="Times New Roman"/>
                <w:sz w:val="28"/>
                <w:szCs w:val="28"/>
              </w:rPr>
              <w:t xml:space="preserve">un baleta </w:t>
            </w:r>
            <w:r w:rsidR="00A6670A" w:rsidRPr="003848E6">
              <w:rPr>
                <w:rFonts w:ascii="Times New Roman" w:hAnsi="Times New Roman"/>
                <w:sz w:val="28"/>
                <w:szCs w:val="28"/>
              </w:rPr>
              <w:t>likuma Pārejas noteikumu 12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 xml:space="preserve">.punkts uzdod </w:t>
            </w:r>
            <w:r w:rsidR="00A6670A" w:rsidRPr="003848E6">
              <w:rPr>
                <w:rFonts w:ascii="Times New Roman" w:hAnsi="Times New Roman"/>
                <w:sz w:val="28"/>
                <w:szCs w:val="28"/>
              </w:rPr>
              <w:t>līdz 2015.gada 31.augustam</w:t>
            </w:r>
            <w:r w:rsidR="00E66264" w:rsidRPr="00B811F7">
              <w:rPr>
                <w:rFonts w:ascii="Times New Roman" w:hAnsi="Times New Roman"/>
                <w:sz w:val="28"/>
                <w:szCs w:val="28"/>
              </w:rPr>
              <w:t xml:space="preserve"> valsts sabiedrības ar ierobežotu atbildību „Latvijas Nacionālā opera un balets”</w:t>
            </w:r>
            <w:r w:rsidR="00E66264" w:rsidRPr="00384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670A" w:rsidRPr="003848E6">
              <w:rPr>
                <w:rFonts w:ascii="Times New Roman" w:hAnsi="Times New Roman"/>
                <w:sz w:val="28"/>
                <w:szCs w:val="28"/>
              </w:rPr>
              <w:t>valdei iesniegt</w:t>
            </w:r>
            <w:r w:rsidR="00E66264" w:rsidRPr="003848E6">
              <w:rPr>
                <w:rFonts w:ascii="Times New Roman" w:hAnsi="Times New Roman"/>
                <w:sz w:val="28"/>
                <w:szCs w:val="28"/>
              </w:rPr>
              <w:t xml:space="preserve"> komercreģistra iestādei </w:t>
            </w:r>
            <w:r w:rsidR="00E66264" w:rsidRPr="00B811F7">
              <w:rPr>
                <w:rFonts w:ascii="Times New Roman" w:hAnsi="Times New Roman"/>
                <w:sz w:val="28"/>
                <w:szCs w:val="28"/>
              </w:rPr>
              <w:t xml:space="preserve">valsts sabiedrības ar ierobežotu atbildību „Latvijas Nacionālā opera un balets” </w:t>
            </w:r>
            <w:r w:rsidR="00A6670A" w:rsidRPr="003848E6">
              <w:rPr>
                <w:rFonts w:ascii="Times New Roman" w:hAnsi="Times New Roman"/>
                <w:sz w:val="28"/>
                <w:szCs w:val="28"/>
              </w:rPr>
              <w:t xml:space="preserve">statūtus, kas izstrādāti, ievērojot likuma </w:t>
            </w:r>
            <w:r w:rsidR="00E66264" w:rsidRPr="003848E6">
              <w:rPr>
                <w:rFonts w:ascii="Times New Roman" w:hAnsi="Times New Roman"/>
                <w:sz w:val="28"/>
                <w:szCs w:val="28"/>
              </w:rPr>
              <w:t xml:space="preserve">„Grozījumi </w:t>
            </w:r>
            <w:hyperlink r:id="rId8" w:tgtFrame="_blank" w:history="1">
              <w:r w:rsidR="00E66264" w:rsidRPr="003848E6">
                <w:rPr>
                  <w:rFonts w:ascii="Times New Roman" w:hAnsi="Times New Roman"/>
                  <w:sz w:val="28"/>
                  <w:szCs w:val="28"/>
                </w:rPr>
                <w:t>Latvijas Nacionālās operas likumā</w:t>
              </w:r>
            </w:hyperlink>
            <w:r w:rsidR="00E66264" w:rsidRPr="003848E6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A6670A" w:rsidRPr="003848E6">
              <w:rPr>
                <w:rFonts w:ascii="Times New Roman" w:hAnsi="Times New Roman"/>
                <w:sz w:val="28"/>
                <w:szCs w:val="28"/>
              </w:rPr>
              <w:t>grozījumus (stājušies spēkā 2015.gada 1.jūlijā), un apstiprināti normatī</w:t>
            </w:r>
            <w:r w:rsidR="003F06D6">
              <w:rPr>
                <w:rFonts w:ascii="Times New Roman" w:hAnsi="Times New Roman"/>
                <w:sz w:val="28"/>
                <w:szCs w:val="28"/>
              </w:rPr>
              <w:t>vajos aktos noteiktajā kārtībā.</w:t>
            </w:r>
          </w:p>
          <w:p w:rsidR="00B811F7" w:rsidRDefault="00661728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728">
              <w:rPr>
                <w:rFonts w:ascii="Times New Roman" w:hAnsi="Times New Roman"/>
                <w:sz w:val="28"/>
                <w:szCs w:val="28"/>
              </w:rPr>
              <w:t xml:space="preserve">Latvijas Nacionālās operas </w:t>
            </w:r>
            <w:r w:rsidR="00B811F7">
              <w:rPr>
                <w:rFonts w:ascii="Times New Roman" w:hAnsi="Times New Roman"/>
                <w:sz w:val="28"/>
                <w:szCs w:val="28"/>
              </w:rPr>
              <w:t xml:space="preserve">un baleta </w:t>
            </w:r>
            <w:r w:rsidRPr="006617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likuma 2.panta trešā daļa </w:t>
            </w:r>
            <w:r w:rsidRPr="0056620C">
              <w:rPr>
                <w:rFonts w:ascii="Times New Roman" w:hAnsi="Times New Roman"/>
                <w:sz w:val="28"/>
                <w:szCs w:val="28"/>
              </w:rPr>
              <w:t xml:space="preserve">nosaka, ka Nacionālās operas statūtus apstiprina, kā arī grozījumus tajos izdara Ministru kabinets. </w:t>
            </w:r>
          </w:p>
          <w:p w:rsidR="00B811F7" w:rsidRDefault="00B811F7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1F7">
              <w:rPr>
                <w:rFonts w:ascii="Times New Roman" w:hAnsi="Times New Roman"/>
                <w:sz w:val="28"/>
                <w:szCs w:val="28"/>
              </w:rPr>
              <w:t xml:space="preserve">Publiskas personas kapitāla daļu un kapitālsabiedrību pārvaldības likuma Pārejas noteikumu 14.1.punkts nosaka, ka </w:t>
            </w: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ubliska persona nodrošina, ka līdz 2016.gada 1.janvārim publiskas personas kapitālsabiedrības statūti atbilst tipveida statūtiem, kas izstrādāti un apstiprināti </w:t>
            </w:r>
            <w:r w:rsidRPr="00E66709">
              <w:rPr>
                <w:rFonts w:ascii="Times New Roman" w:hAnsi="Times New Roman"/>
                <w:sz w:val="28"/>
                <w:szCs w:val="28"/>
              </w:rPr>
              <w:t xml:space="preserve">saskaņā ar šā likuma </w:t>
            </w:r>
            <w:hyperlink r:id="rId9" w:anchor="p46" w:tgtFrame="_blank" w:history="1">
              <w:r w:rsidRPr="00E66709">
                <w:rPr>
                  <w:rFonts w:ascii="Times New Roman" w:hAnsi="Times New Roman"/>
                  <w:sz w:val="28"/>
                  <w:szCs w:val="28"/>
                </w:rPr>
                <w:t>46.panta</w:t>
              </w:r>
            </w:hyperlink>
            <w:r w:rsidRPr="00E66709">
              <w:rPr>
                <w:rFonts w:ascii="Times New Roman" w:hAnsi="Times New Roman"/>
                <w:sz w:val="28"/>
                <w:szCs w:val="28"/>
              </w:rPr>
              <w:t xml:space="preserve"> otro daļu. Ar Ministru kabineta 2015.</w:t>
            </w:r>
            <w:r w:rsidR="00E66709" w:rsidRPr="00E66709">
              <w:rPr>
                <w:rFonts w:ascii="Times New Roman" w:hAnsi="Times New Roman"/>
                <w:sz w:val="28"/>
                <w:szCs w:val="28"/>
              </w:rPr>
              <w:t>gada 4.augusta noteikumiem Nr.454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 xml:space="preserve"> „Noteikumi par publiskas personas sabiedrības ar ierobežotu atbildību tipveida statūtiem”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 apstiprināti publiskas personas sabiedrības ar ierobežotu atbildību, kurai nav padomes, tipveida statūti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1F7" w:rsidRDefault="00661728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20C">
              <w:rPr>
                <w:rFonts w:ascii="Times New Roman" w:hAnsi="Times New Roman"/>
                <w:sz w:val="28"/>
                <w:szCs w:val="28"/>
              </w:rPr>
              <w:t xml:space="preserve">Uz doto brīdi </w:t>
            </w:r>
            <w:r w:rsidR="0025474C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 xml:space="preserve">sabiedrības ar 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>ierobežotu atbildību „Latvijas Nacionālā opera</w:t>
            </w:r>
            <w:r w:rsidR="00B811F7" w:rsidRPr="00B811F7">
              <w:rPr>
                <w:rFonts w:ascii="Times New Roman" w:hAnsi="Times New Roman"/>
                <w:sz w:val="28"/>
                <w:szCs w:val="28"/>
              </w:rPr>
              <w:t xml:space="preserve"> un baleta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” statūti ir apstiprināti ar </w:t>
            </w:r>
            <w:r w:rsidR="00B811F7">
              <w:rPr>
                <w:rFonts w:ascii="Times New Roman" w:hAnsi="Times New Roman"/>
                <w:sz w:val="28"/>
                <w:szCs w:val="28"/>
              </w:rPr>
              <w:t>Ministru kabineta 2013.gada 29.maija rīkojumu Nr.215</w:t>
            </w:r>
            <w:r w:rsidRPr="0056620C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="00B811F7" w:rsidRPr="00B811F7">
              <w:rPr>
                <w:rFonts w:ascii="Times New Roman" w:hAnsi="Times New Roman"/>
                <w:sz w:val="28"/>
                <w:szCs w:val="28"/>
              </w:rPr>
              <w:t>Par valsts sabiedrības ar ierobežotu atbildību "Latvijas Nacionālā opera" statūtu apstiprināšanu</w:t>
            </w:r>
            <w:r w:rsidR="00B811F7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:rsidR="00E66709" w:rsidRDefault="00C0519D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8E6">
              <w:rPr>
                <w:rFonts w:ascii="Times New Roman" w:hAnsi="Times New Roman"/>
                <w:sz w:val="28"/>
                <w:szCs w:val="28"/>
              </w:rPr>
              <w:t>Ņemot vērā iepriekš minēto</w:t>
            </w:r>
            <w:r w:rsidR="00661728" w:rsidRPr="003848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2927" w:rsidRPr="003848E6">
              <w:rPr>
                <w:rFonts w:ascii="Times New Roman" w:hAnsi="Times New Roman"/>
                <w:sz w:val="28"/>
                <w:szCs w:val="28"/>
              </w:rPr>
              <w:t>Projekts</w:t>
            </w:r>
            <w:r w:rsidR="0056620C" w:rsidRPr="0056620C">
              <w:rPr>
                <w:rFonts w:ascii="Times New Roman" w:hAnsi="Times New Roman"/>
                <w:sz w:val="28"/>
                <w:szCs w:val="28"/>
              </w:rPr>
              <w:t xml:space="preserve"> paredz apstiprināt valsts sabiedrības ar ierobežotu atbildību „Latvijas Nacionālā opera</w:t>
            </w:r>
            <w:r w:rsidR="008608F1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="0056620C" w:rsidRPr="0056620C">
              <w:rPr>
                <w:rFonts w:ascii="Times New Roman" w:hAnsi="Times New Roman"/>
                <w:sz w:val="28"/>
                <w:szCs w:val="28"/>
              </w:rPr>
              <w:t xml:space="preserve">” statūtus jaunā redakcijā un atzīt par spēku zaudējušu </w:t>
            </w:r>
            <w:r>
              <w:rPr>
                <w:rFonts w:ascii="Times New Roman" w:hAnsi="Times New Roman"/>
                <w:sz w:val="28"/>
                <w:szCs w:val="28"/>
              </w:rPr>
              <w:t>Ministru kabineta 2013.gada 29.maija rīkojumu Nr.215</w:t>
            </w:r>
            <w:r w:rsidRPr="0056620C">
              <w:rPr>
                <w:rFonts w:ascii="Times New Roman" w:hAnsi="Times New Roman"/>
                <w:sz w:val="28"/>
                <w:szCs w:val="28"/>
              </w:rPr>
              <w:t xml:space="preserve"> „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>Par valsts sabiedrības ar ierobežotu atbildību "Latvijas Nacionālā opera" statūtu apstiprināšanu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”. </w:t>
            </w:r>
          </w:p>
          <w:p w:rsidR="00A83102" w:rsidRPr="003848E6" w:rsidRDefault="00432CE2" w:rsidP="00B37F6F">
            <w:pPr>
              <w:pStyle w:val="Bezatstarpm"/>
              <w:tabs>
                <w:tab w:val="left" w:pos="568"/>
              </w:tabs>
              <w:ind w:left="139" w:right="148"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8E6">
              <w:rPr>
                <w:rFonts w:ascii="Times New Roman" w:hAnsi="Times New Roman"/>
                <w:sz w:val="28"/>
                <w:szCs w:val="28"/>
              </w:rPr>
              <w:t>Skaidrības un pārskatāmības</w:t>
            </w:r>
            <w:r w:rsidR="0025474C" w:rsidRPr="003848E6">
              <w:rPr>
                <w:rFonts w:ascii="Times New Roman" w:hAnsi="Times New Roman"/>
                <w:sz w:val="28"/>
                <w:szCs w:val="28"/>
              </w:rPr>
              <w:t xml:space="preserve"> labad </w:t>
            </w:r>
            <w:r w:rsidR="0025474C">
              <w:rPr>
                <w:rFonts w:ascii="Times New Roman" w:hAnsi="Times New Roman"/>
                <w:sz w:val="28"/>
                <w:szCs w:val="28"/>
              </w:rPr>
              <w:t xml:space="preserve">valsts </w:t>
            </w:r>
            <w:r w:rsidR="0025474C" w:rsidRPr="003848E6">
              <w:rPr>
                <w:rFonts w:ascii="Times New Roman" w:hAnsi="Times New Roman"/>
                <w:sz w:val="28"/>
                <w:szCs w:val="28"/>
              </w:rPr>
              <w:t>sabiedrības ar ierobežotu atbildību „Latvijas Nacionālā opera</w:t>
            </w:r>
            <w:r w:rsidR="008608F1" w:rsidRPr="003848E6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="0025474C" w:rsidRPr="003848E6">
              <w:rPr>
                <w:rFonts w:ascii="Times New Roman" w:hAnsi="Times New Roman"/>
                <w:sz w:val="28"/>
                <w:szCs w:val="28"/>
              </w:rPr>
              <w:t xml:space="preserve">” statūtu projekta </w:t>
            </w:r>
            <w:proofErr w:type="spellStart"/>
            <w:r w:rsidRPr="003848E6">
              <w:rPr>
                <w:rFonts w:ascii="Times New Roman" w:hAnsi="Times New Roman"/>
                <w:sz w:val="28"/>
                <w:szCs w:val="28"/>
              </w:rPr>
              <w:t>III.nodaļā</w:t>
            </w:r>
            <w:proofErr w:type="spellEnd"/>
            <w:r w:rsidRPr="003848E6">
              <w:rPr>
                <w:rFonts w:ascii="Times New Roman" w:hAnsi="Times New Roman"/>
                <w:sz w:val="28"/>
                <w:szCs w:val="28"/>
              </w:rPr>
              <w:t xml:space="preserve"> „Valde” ietvertas </w:t>
            </w:r>
            <w:r w:rsidR="0025474C" w:rsidRPr="003848E6">
              <w:rPr>
                <w:rFonts w:ascii="Times New Roman" w:hAnsi="Times New Roman"/>
                <w:sz w:val="28"/>
                <w:szCs w:val="28"/>
              </w:rPr>
              <w:t xml:space="preserve">arī atsevišķas 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>L</w:t>
            </w:r>
            <w:r w:rsidR="0025474C" w:rsidRPr="003848E6">
              <w:rPr>
                <w:rFonts w:ascii="Times New Roman" w:hAnsi="Times New Roman"/>
                <w:sz w:val="28"/>
                <w:szCs w:val="28"/>
              </w:rPr>
              <w:t>atvijas Nacionālas operas likuma normas.</w:t>
            </w:r>
          </w:p>
          <w:p w:rsidR="003848E6" w:rsidRPr="00C0519D" w:rsidRDefault="003848E6" w:rsidP="00B37F6F">
            <w:pPr>
              <w:tabs>
                <w:tab w:val="left" w:pos="568"/>
              </w:tabs>
              <w:spacing w:after="0" w:line="240" w:lineRule="auto"/>
              <w:ind w:firstLine="4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8E6">
              <w:rPr>
                <w:rFonts w:ascii="Times New Roman" w:hAnsi="Times New Roman"/>
                <w:sz w:val="28"/>
                <w:szCs w:val="28"/>
              </w:rPr>
              <w:t xml:space="preserve">Papildus </w:t>
            </w:r>
            <w:r w:rsidR="00B37F6F">
              <w:rPr>
                <w:rFonts w:ascii="Times New Roman" w:hAnsi="Times New Roman"/>
                <w:sz w:val="28"/>
                <w:szCs w:val="28"/>
              </w:rPr>
              <w:t xml:space="preserve">saskaņā ar valsts </w:t>
            </w:r>
            <w:r w:rsidR="00B37F6F" w:rsidRPr="003848E6">
              <w:rPr>
                <w:rFonts w:ascii="Times New Roman" w:hAnsi="Times New Roman"/>
                <w:sz w:val="28"/>
                <w:szCs w:val="28"/>
              </w:rPr>
              <w:t xml:space="preserve">sabiedrības ar ierobežotu atbildību „Latvijas Nacionālā </w:t>
            </w:r>
            <w:r w:rsidR="00B37F6F" w:rsidRPr="00384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opera un balets” </w:t>
            </w:r>
            <w:r w:rsidR="0037490D">
              <w:rPr>
                <w:rFonts w:ascii="Times New Roman" w:hAnsi="Times New Roman"/>
                <w:sz w:val="28"/>
                <w:szCs w:val="28"/>
              </w:rPr>
              <w:t>2015.gada 18</w:t>
            </w:r>
            <w:r w:rsidR="00B37F6F">
              <w:rPr>
                <w:rFonts w:ascii="Times New Roman" w:hAnsi="Times New Roman"/>
                <w:sz w:val="28"/>
                <w:szCs w:val="28"/>
              </w:rPr>
              <w:t xml:space="preserve">.augusta dalībnieku sapulces lēmumu 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 xml:space="preserve">ir veikta 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>valsts sabie</w:t>
            </w:r>
            <w:r>
              <w:rPr>
                <w:rFonts w:ascii="Times New Roman" w:hAnsi="Times New Roman"/>
                <w:sz w:val="28"/>
                <w:szCs w:val="28"/>
              </w:rPr>
              <w:t>drības ar ierobežotu atbildību „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>Latvijas Nacionālā opera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balets”</w:t>
            </w:r>
            <w:r w:rsidRPr="00B81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8E6">
              <w:rPr>
                <w:rFonts w:ascii="Times New Roman" w:hAnsi="Times New Roman"/>
                <w:sz w:val="28"/>
                <w:szCs w:val="28"/>
              </w:rPr>
              <w:t xml:space="preserve">pamatkapitāla un pamatkapitāla daļas nominālvērtības denominācija no latiem uz </w:t>
            </w:r>
            <w:proofErr w:type="spellStart"/>
            <w:r w:rsidRPr="00B37F6F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3848E6">
              <w:rPr>
                <w:rFonts w:ascii="Times New Roman" w:hAnsi="Times New Roman"/>
                <w:sz w:val="28"/>
                <w:szCs w:val="28"/>
              </w:rPr>
              <w:t xml:space="preserve">, ievērojot Komerclikuma un </w:t>
            </w:r>
            <w:proofErr w:type="spellStart"/>
            <w:r w:rsidRPr="00B37F6F">
              <w:rPr>
                <w:rFonts w:ascii="Times New Roman" w:hAnsi="Times New Roman"/>
                <w:i/>
                <w:sz w:val="28"/>
                <w:szCs w:val="28"/>
              </w:rPr>
              <w:t>Euro</w:t>
            </w:r>
            <w:proofErr w:type="spellEnd"/>
            <w:r w:rsidRPr="003848E6">
              <w:rPr>
                <w:rFonts w:ascii="Times New Roman" w:hAnsi="Times New Roman"/>
                <w:sz w:val="28"/>
                <w:szCs w:val="28"/>
              </w:rPr>
              <w:t xml:space="preserve"> ieviešanas kārtības likuma nosacījumus.</w:t>
            </w:r>
          </w:p>
        </w:tc>
      </w:tr>
      <w:tr w:rsidR="009621E7" w:rsidRPr="00184343" w:rsidTr="0025474C">
        <w:trPr>
          <w:trHeight w:val="1076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right="15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41" w:right="156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5474C">
        <w:trPr>
          <w:trHeight w:val="1670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BC0D90" w:rsidRDefault="0025474C" w:rsidP="0025474C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Izteiksmgs"/>
                <w:rFonts w:ascii="Times New Roman" w:hAnsi="Times New Roman"/>
                <w:b w:val="0"/>
                <w:bCs w:val="0"/>
                <w:sz w:val="28"/>
                <w:szCs w:val="28"/>
              </w:rPr>
              <w:t>Projekts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 xml:space="preserve"> paredz, pamatojoties uz Latvijas Nacion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ālās operas </w:t>
            </w:r>
            <w:r w:rsidR="008608F1">
              <w:rPr>
                <w:rFonts w:ascii="Times New Roman" w:hAnsi="Times New Roman"/>
                <w:sz w:val="28"/>
                <w:szCs w:val="28"/>
              </w:rPr>
              <w:t xml:space="preserve">un baleta </w:t>
            </w:r>
            <w:r>
              <w:rPr>
                <w:rFonts w:ascii="Times New Roman" w:hAnsi="Times New Roman"/>
                <w:sz w:val="28"/>
                <w:szCs w:val="28"/>
              </w:rPr>
              <w:t>likuma 2.panta trešo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 xml:space="preserve"> daļu, apstiprināt valsts sabiedrības ar ierobežotu atbildību „Latvijas Nacionālā opera</w:t>
            </w:r>
            <w:r w:rsidR="00C0519D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="00B5756F" w:rsidRPr="00B5756F">
              <w:rPr>
                <w:rFonts w:ascii="Times New Roman" w:hAnsi="Times New Roman"/>
                <w:sz w:val="28"/>
                <w:szCs w:val="28"/>
              </w:rPr>
              <w:t>” statūtus.</w:t>
            </w:r>
          </w:p>
        </w:tc>
      </w:tr>
      <w:tr w:rsidR="009621E7" w:rsidRPr="00184343" w:rsidTr="0025474C">
        <w:trPr>
          <w:trHeight w:val="1025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42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B5756F" w:rsidP="00B5756F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Kultūras ministrija un v</w:t>
            </w:r>
            <w:r w:rsidR="009B5515">
              <w:rPr>
                <w:rFonts w:ascii="Times New Roman" w:hAnsi="Times New Roman"/>
                <w:sz w:val="28"/>
                <w:szCs w:val="28"/>
              </w:rPr>
              <w:t>alsts sabiedrība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</w:t>
            </w:r>
            <w:r w:rsidR="00C0519D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Pr="00B5756F">
              <w:rPr>
                <w:rFonts w:ascii="Times New Roman" w:hAnsi="Times New Roman"/>
                <w:sz w:val="28"/>
                <w:szCs w:val="28"/>
              </w:rPr>
              <w:t>”</w:t>
            </w:r>
            <w:r w:rsidR="009B55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25474C">
        <w:trPr>
          <w:trHeight w:val="1125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B5756F" w:rsidP="00956112">
            <w:pPr>
              <w:pStyle w:val="Bezatstarpm"/>
              <w:ind w:left="142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EA2DF8">
        <w:trPr>
          <w:trHeight w:val="514"/>
        </w:trPr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25474C" w:rsidP="001658E7">
            <w:pPr>
              <w:pStyle w:val="Bezatstarpm"/>
              <w:ind w:left="142" w:right="1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Nav</w:t>
            </w:r>
          </w:p>
        </w:tc>
      </w:tr>
    </w:tbl>
    <w:p w:rsidR="009621E7" w:rsidRPr="00E212F3" w:rsidRDefault="009621E7" w:rsidP="009621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621E7" w:rsidRPr="00184343" w:rsidRDefault="009621E7" w:rsidP="009621E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lv-LV"/>
        </w:rPr>
      </w:pP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Anotācijas </w:t>
      </w:r>
      <w:r w:rsidR="0025474C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II, </w:t>
      </w: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III, IV, V un VI sadaļa – </w:t>
      </w:r>
      <w:r w:rsidR="0025474C">
        <w:rPr>
          <w:rFonts w:ascii="Times New Roman" w:eastAsia="Times New Roman" w:hAnsi="Times New Roman"/>
          <w:i/>
          <w:sz w:val="28"/>
          <w:szCs w:val="28"/>
          <w:lang w:eastAsia="lv-LV"/>
        </w:rPr>
        <w:t>P</w:t>
      </w:r>
      <w:r w:rsidRPr="00184343">
        <w:rPr>
          <w:rFonts w:ascii="Times New Roman" w:hAnsi="Times New Roman"/>
          <w:i/>
          <w:sz w:val="28"/>
          <w:szCs w:val="28"/>
        </w:rPr>
        <w:t>rojekts šīs jomas neskar</w:t>
      </w:r>
      <w:r w:rsidRPr="00184343">
        <w:rPr>
          <w:rFonts w:ascii="Times New Roman" w:eastAsia="Times New Roman" w:hAnsi="Times New Roman"/>
          <w:i/>
          <w:sz w:val="28"/>
          <w:szCs w:val="28"/>
          <w:lang w:eastAsia="lv-LV"/>
        </w:rPr>
        <w:t>.</w:t>
      </w:r>
    </w:p>
    <w:p w:rsidR="009621E7" w:rsidRPr="00184343" w:rsidRDefault="009621E7" w:rsidP="009621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3829"/>
        <w:gridCol w:w="4683"/>
      </w:tblGrid>
      <w:tr w:rsidR="009621E7" w:rsidRPr="00184343" w:rsidTr="0025474C">
        <w:trPr>
          <w:trHeight w:val="72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184343"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9621E7" w:rsidRPr="00184343" w:rsidTr="0025474C">
        <w:trPr>
          <w:trHeight w:val="1412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25474C" w:rsidP="009B5515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</w:t>
            </w:r>
            <w:r w:rsidR="009621E7"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rojekta izpildi nodrošinās </w:t>
            </w:r>
            <w:r w:rsidR="009621E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Kultūras ministrija un </w:t>
            </w:r>
            <w:r w:rsidR="009B5515">
              <w:rPr>
                <w:rFonts w:ascii="Times New Roman" w:hAnsi="Times New Roman"/>
                <w:sz w:val="28"/>
                <w:szCs w:val="28"/>
              </w:rPr>
              <w:t>valsts sabiedrība</w:t>
            </w:r>
            <w:r w:rsidR="009B5515" w:rsidRPr="00B5756F">
              <w:rPr>
                <w:rFonts w:ascii="Times New Roman" w:hAnsi="Times New Roman"/>
                <w:sz w:val="28"/>
                <w:szCs w:val="28"/>
              </w:rPr>
              <w:t xml:space="preserve"> ar ierobežotu atbildību „Latvijas Nacionālā opera</w:t>
            </w:r>
            <w:r w:rsidR="00C0519D">
              <w:rPr>
                <w:rFonts w:ascii="Times New Roman" w:hAnsi="Times New Roman"/>
                <w:sz w:val="28"/>
                <w:szCs w:val="28"/>
              </w:rPr>
              <w:t xml:space="preserve"> un balets</w:t>
            </w:r>
            <w:r w:rsidR="009B5515" w:rsidRPr="00B5756F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21E7" w:rsidRPr="00184343" w:rsidTr="0025474C">
        <w:trPr>
          <w:trHeight w:val="681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B5515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A0049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 Jaunu institūciju izveide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A0049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Projekta izpildes ietekme uz </w:t>
            </w: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pārvaldes institucionālo struktūru. Esošu institūciju likvidācija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lastRenderedPageBreak/>
              <w:t>Projekts šo jomu neskar.</w:t>
            </w:r>
          </w:p>
        </w:tc>
      </w:tr>
      <w:tr w:rsidR="009621E7" w:rsidRPr="00184343" w:rsidTr="0025474C">
        <w:trPr>
          <w:trHeight w:val="1380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5.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institucionālo struktūru. Esošu institūciju reorganizācija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13" w:right="148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9621E7" w:rsidRPr="00184343" w:rsidTr="002A0049">
        <w:trPr>
          <w:trHeight w:val="469"/>
        </w:trPr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1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1E7" w:rsidRPr="00184343" w:rsidRDefault="009621E7" w:rsidP="002A0049">
            <w:pPr>
              <w:spacing w:after="0" w:line="240" w:lineRule="auto"/>
              <w:ind w:left="150" w:right="170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18434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1E7" w:rsidRPr="00184343" w:rsidRDefault="009621E7" w:rsidP="002A0049">
            <w:pPr>
              <w:tabs>
                <w:tab w:val="center" w:pos="141"/>
              </w:tabs>
              <w:spacing w:after="0" w:line="240" w:lineRule="auto"/>
              <w:ind w:left="113" w:right="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:rsidR="009621E7" w:rsidRDefault="009621E7" w:rsidP="009621E7">
      <w:pPr>
        <w:spacing w:after="0" w:line="20" w:lineRule="atLeast"/>
        <w:ind w:right="49" w:firstLine="709"/>
        <w:jc w:val="both"/>
        <w:rPr>
          <w:rFonts w:ascii="Times New Roman" w:hAnsi="Times New Roman"/>
          <w:sz w:val="24"/>
          <w:szCs w:val="24"/>
        </w:rPr>
      </w:pPr>
    </w:p>
    <w:p w:rsidR="009621E7" w:rsidRDefault="009621E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1D7" w:rsidRPr="00CC1C93" w:rsidRDefault="00EA31D7" w:rsidP="00962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1D7" w:rsidRPr="00EA31D7" w:rsidRDefault="00EA31D7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>Kultūras ministre</w:t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  <w:t>D.Melbārde</w:t>
      </w:r>
    </w:p>
    <w:p w:rsidR="00EA31D7" w:rsidRPr="00EA31D7" w:rsidRDefault="00EA31D7" w:rsidP="00EA31D7">
      <w:pPr>
        <w:pStyle w:val="Virsraksts5"/>
        <w:keepNext w:val="0"/>
        <w:keepLines w:val="0"/>
        <w:spacing w:before="0" w:line="240" w:lineRule="auto"/>
        <w:ind w:firstLine="720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</w:p>
    <w:p w:rsidR="00EA31D7" w:rsidRPr="00EA31D7" w:rsidRDefault="00EA31D7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</w:pP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>Vīza: Valsts sekretārs</w:t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</w:r>
      <w:r w:rsidRPr="00EA31D7"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bidi="en-US"/>
        </w:rPr>
        <w:tab/>
        <w:t>S.Voldiņš</w:t>
      </w:r>
    </w:p>
    <w:p w:rsidR="00510C2A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510C2A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</w:p>
    <w:p w:rsidR="00EA31D7" w:rsidRPr="00EA31D7" w:rsidRDefault="00510C2A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25</w:t>
      </w:r>
      <w:r w:rsidR="00EA31D7"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.08.2015.</w:t>
      </w:r>
    </w:p>
    <w:p w:rsidR="00EA31D7" w:rsidRPr="00EA31D7" w:rsidRDefault="00E66709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r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618</w:t>
      </w:r>
    </w:p>
    <w:p w:rsidR="00EA31D7" w:rsidRPr="00EA31D7" w:rsidRDefault="00EA31D7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r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J.Šumeiko</w:t>
      </w:r>
    </w:p>
    <w:p w:rsidR="00EA31D7" w:rsidRPr="00EA31D7" w:rsidRDefault="00EA31D7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r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>Tālr.67330269; fakss 67330293</w:t>
      </w:r>
    </w:p>
    <w:p w:rsidR="00EA31D7" w:rsidRPr="00EA31D7" w:rsidRDefault="000837BB" w:rsidP="00510C2A">
      <w:pPr>
        <w:pStyle w:val="Virsraksts5"/>
        <w:keepNext w:val="0"/>
        <w:keepLines w:val="0"/>
        <w:spacing w:before="0" w:line="240" w:lineRule="auto"/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</w:pPr>
      <w:hyperlink r:id="rId10" w:history="1">
        <w:r w:rsidR="00EA31D7" w:rsidRPr="00EA31D7">
          <w:rPr>
            <w:rFonts w:ascii="Times New Roman" w:eastAsiaTheme="minorHAnsi" w:hAnsi="Times New Roman" w:cs="Times New Roman"/>
            <w:bCs/>
            <w:iCs/>
            <w:color w:val="auto"/>
            <w:sz w:val="24"/>
            <w:szCs w:val="24"/>
            <w:lang w:bidi="en-US"/>
          </w:rPr>
          <w:t>Juris.Sumeiko@km.gov.lv</w:t>
        </w:r>
      </w:hyperlink>
      <w:r w:rsidR="00EA31D7" w:rsidRPr="00EA31D7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bidi="en-US"/>
        </w:rPr>
        <w:t xml:space="preserve"> </w:t>
      </w:r>
    </w:p>
    <w:p w:rsidR="00EB3087" w:rsidRDefault="00EB3087" w:rsidP="009621E7">
      <w:pPr>
        <w:rPr>
          <w:szCs w:val="20"/>
        </w:rPr>
      </w:pPr>
    </w:p>
    <w:p w:rsidR="00EB3087" w:rsidRPr="00EB3087" w:rsidRDefault="00EB3087" w:rsidP="00EB3087">
      <w:pPr>
        <w:rPr>
          <w:szCs w:val="20"/>
        </w:rPr>
      </w:pPr>
    </w:p>
    <w:p w:rsidR="00EB3087" w:rsidRDefault="00376682" w:rsidP="00376682">
      <w:pPr>
        <w:tabs>
          <w:tab w:val="left" w:pos="3210"/>
        </w:tabs>
        <w:rPr>
          <w:szCs w:val="20"/>
        </w:rPr>
      </w:pPr>
      <w:r>
        <w:rPr>
          <w:szCs w:val="20"/>
        </w:rPr>
        <w:tab/>
      </w:r>
    </w:p>
    <w:p w:rsidR="003E3BA2" w:rsidRPr="00EB3087" w:rsidRDefault="003E3BA2" w:rsidP="00EB3087">
      <w:pPr>
        <w:jc w:val="center"/>
        <w:rPr>
          <w:szCs w:val="20"/>
        </w:rPr>
      </w:pPr>
    </w:p>
    <w:sectPr w:rsidR="003E3BA2" w:rsidRPr="00EB3087" w:rsidSect="0025474C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9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D6" w:rsidRDefault="003F06D6" w:rsidP="005F59B9">
      <w:pPr>
        <w:spacing w:after="0" w:line="240" w:lineRule="auto"/>
      </w:pPr>
      <w:r>
        <w:separator/>
      </w:r>
    </w:p>
  </w:endnote>
  <w:endnote w:type="continuationSeparator" w:id="0">
    <w:p w:rsidR="003F06D6" w:rsidRDefault="003F06D6" w:rsidP="005F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D6" w:rsidRPr="0056620C" w:rsidRDefault="00510C2A" w:rsidP="0056620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KMAnot_25</w:t>
    </w:r>
    <w:r w:rsidR="003F06D6">
      <w:rPr>
        <w:rFonts w:ascii="Times New Roman" w:hAnsi="Times New Roman"/>
      </w:rPr>
      <w:t>0815</w:t>
    </w:r>
    <w:r w:rsidR="003F06D6" w:rsidRPr="0056620C">
      <w:rPr>
        <w:rFonts w:ascii="Times New Roman" w:hAnsi="Times New Roman"/>
      </w:rPr>
      <w:t xml:space="preserve">_LNO;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3F06D6" w:rsidRPr="0056620C">
        <w:rPr>
          <w:rFonts w:ascii="Times New Roman" w:hAnsi="Times New Roman"/>
        </w:rPr>
        <w:t>rīkojuma</w:t>
      </w:r>
    </w:smartTag>
    <w:r w:rsidR="003F06D6" w:rsidRPr="0056620C">
      <w:rPr>
        <w:rFonts w:ascii="Times New Roman" w:hAnsi="Times New Roman"/>
      </w:rPr>
      <w:t xml:space="preserve"> projekta „Par valsts sabiedrības ar ierobežotu atbildību „Latvijas Nacionālā opera</w:t>
    </w:r>
    <w:r w:rsidR="003F06D6">
      <w:rPr>
        <w:rFonts w:ascii="Times New Roman" w:hAnsi="Times New Roman"/>
      </w:rPr>
      <w:t xml:space="preserve"> un balets</w:t>
    </w:r>
    <w:r w:rsidR="003F06D6" w:rsidRPr="0056620C">
      <w:rPr>
        <w:rFonts w:ascii="Times New Roman" w:hAnsi="Times New Roman"/>
      </w:rPr>
      <w:t xml:space="preserve">” statūtu apstiprināšanu” sākotnējās ietekmes novērtējuma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="003F06D6" w:rsidRPr="0056620C">
        <w:rPr>
          <w:rFonts w:ascii="Times New Roman" w:hAnsi="Times New Roman"/>
        </w:rPr>
        <w:t>ziņojums (anotācija)</w:t>
      </w:r>
    </w:smartTag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D6" w:rsidRPr="0056620C" w:rsidRDefault="00510C2A" w:rsidP="0056620C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KMAnot_25</w:t>
    </w:r>
    <w:r w:rsidR="003F06D6">
      <w:rPr>
        <w:rFonts w:ascii="Times New Roman" w:hAnsi="Times New Roman"/>
      </w:rPr>
      <w:t>0815</w:t>
    </w:r>
    <w:r w:rsidR="003F06D6" w:rsidRPr="0056620C">
      <w:rPr>
        <w:rFonts w:ascii="Times New Roman" w:hAnsi="Times New Roman"/>
      </w:rPr>
      <w:t xml:space="preserve">_LNO; Ministru kabineta </w:t>
    </w:r>
    <w:smartTag w:uri="schemas-tilde-lv/tildestengine" w:element="veidnes">
      <w:smartTagPr>
        <w:attr w:name="text" w:val="rīkojuma"/>
        <w:attr w:name="id" w:val="-1"/>
        <w:attr w:name="baseform" w:val="rīkojum|s"/>
      </w:smartTagPr>
      <w:r w:rsidR="003F06D6" w:rsidRPr="0056620C">
        <w:rPr>
          <w:rFonts w:ascii="Times New Roman" w:hAnsi="Times New Roman"/>
        </w:rPr>
        <w:t>rīkojuma</w:t>
      </w:r>
    </w:smartTag>
    <w:r w:rsidR="003F06D6" w:rsidRPr="0056620C">
      <w:rPr>
        <w:rFonts w:ascii="Times New Roman" w:hAnsi="Times New Roman"/>
      </w:rPr>
      <w:t xml:space="preserve"> projekta „Par valsts sabiedrības ar ierobežotu atbildību „Latvijas Nacionālā opera</w:t>
    </w:r>
    <w:r w:rsidR="003F06D6">
      <w:rPr>
        <w:rFonts w:ascii="Times New Roman" w:hAnsi="Times New Roman"/>
      </w:rPr>
      <w:t xml:space="preserve"> un balets</w:t>
    </w:r>
    <w:r w:rsidR="003F06D6" w:rsidRPr="0056620C">
      <w:rPr>
        <w:rFonts w:ascii="Times New Roman" w:hAnsi="Times New Roman"/>
      </w:rPr>
      <w:t xml:space="preserve">” statūtu apstiprināšanu” sākotnējās ietekmes novērtējuma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="003F06D6" w:rsidRPr="0056620C">
        <w:rPr>
          <w:rFonts w:ascii="Times New Roman" w:hAnsi="Times New Roman"/>
        </w:rPr>
        <w:t>ziņojums (anotācija)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D6" w:rsidRDefault="003F06D6" w:rsidP="005F59B9">
      <w:pPr>
        <w:spacing w:after="0" w:line="240" w:lineRule="auto"/>
      </w:pPr>
      <w:r>
        <w:separator/>
      </w:r>
    </w:p>
  </w:footnote>
  <w:footnote w:type="continuationSeparator" w:id="0">
    <w:p w:rsidR="003F06D6" w:rsidRDefault="003F06D6" w:rsidP="005F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D6" w:rsidRPr="00844DF8" w:rsidRDefault="000837BB">
    <w:pPr>
      <w:pStyle w:val="Galvene"/>
      <w:jc w:val="center"/>
      <w:rPr>
        <w:rFonts w:ascii="Times New Roman" w:hAnsi="Times New Roman"/>
      </w:rPr>
    </w:pPr>
    <w:r w:rsidRPr="00844DF8">
      <w:rPr>
        <w:rFonts w:ascii="Times New Roman" w:hAnsi="Times New Roman"/>
      </w:rPr>
      <w:fldChar w:fldCharType="begin"/>
    </w:r>
    <w:r w:rsidR="003F06D6" w:rsidRPr="00844DF8">
      <w:rPr>
        <w:rFonts w:ascii="Times New Roman" w:hAnsi="Times New Roman"/>
      </w:rPr>
      <w:instrText xml:space="preserve"> PAGE   \* MERGEFORMAT </w:instrText>
    </w:r>
    <w:r w:rsidRPr="00844DF8">
      <w:rPr>
        <w:rFonts w:ascii="Times New Roman" w:hAnsi="Times New Roman"/>
      </w:rPr>
      <w:fldChar w:fldCharType="separate"/>
    </w:r>
    <w:r w:rsidR="00510C2A">
      <w:rPr>
        <w:rFonts w:ascii="Times New Roman" w:hAnsi="Times New Roman"/>
        <w:noProof/>
      </w:rPr>
      <w:t>3</w:t>
    </w:r>
    <w:r w:rsidRPr="00844DF8">
      <w:rPr>
        <w:rFonts w:ascii="Times New Roman" w:hAnsi="Times New Roman"/>
      </w:rPr>
      <w:fldChar w:fldCharType="end"/>
    </w:r>
  </w:p>
  <w:p w:rsidR="003F06D6" w:rsidRDefault="003F06D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C0736"/>
    <w:rsid w:val="00041BCD"/>
    <w:rsid w:val="00050B36"/>
    <w:rsid w:val="00051916"/>
    <w:rsid w:val="00052BC2"/>
    <w:rsid w:val="00075183"/>
    <w:rsid w:val="0008026D"/>
    <w:rsid w:val="000837BB"/>
    <w:rsid w:val="000B3424"/>
    <w:rsid w:val="000D12ED"/>
    <w:rsid w:val="00133DB7"/>
    <w:rsid w:val="00145220"/>
    <w:rsid w:val="001658E7"/>
    <w:rsid w:val="0025474C"/>
    <w:rsid w:val="0026795C"/>
    <w:rsid w:val="002A0049"/>
    <w:rsid w:val="002A5E49"/>
    <w:rsid w:val="002B4951"/>
    <w:rsid w:val="002D1616"/>
    <w:rsid w:val="002D5BFF"/>
    <w:rsid w:val="00310488"/>
    <w:rsid w:val="0032306C"/>
    <w:rsid w:val="003443CE"/>
    <w:rsid w:val="00362927"/>
    <w:rsid w:val="0037490D"/>
    <w:rsid w:val="00376682"/>
    <w:rsid w:val="00383FAE"/>
    <w:rsid w:val="003848E6"/>
    <w:rsid w:val="0039065A"/>
    <w:rsid w:val="003C0736"/>
    <w:rsid w:val="003E3BA2"/>
    <w:rsid w:val="003F06D6"/>
    <w:rsid w:val="00432CE2"/>
    <w:rsid w:val="004423EE"/>
    <w:rsid w:val="00445067"/>
    <w:rsid w:val="004511CB"/>
    <w:rsid w:val="004652A6"/>
    <w:rsid w:val="0048157A"/>
    <w:rsid w:val="004A7CB5"/>
    <w:rsid w:val="004B4E64"/>
    <w:rsid w:val="00510C2A"/>
    <w:rsid w:val="00532B63"/>
    <w:rsid w:val="00535E39"/>
    <w:rsid w:val="0056620C"/>
    <w:rsid w:val="005E6ECD"/>
    <w:rsid w:val="005F5206"/>
    <w:rsid w:val="005F59B9"/>
    <w:rsid w:val="006315DD"/>
    <w:rsid w:val="00637234"/>
    <w:rsid w:val="00661728"/>
    <w:rsid w:val="00667D39"/>
    <w:rsid w:val="006B6546"/>
    <w:rsid w:val="00711F1E"/>
    <w:rsid w:val="0076577F"/>
    <w:rsid w:val="007A6302"/>
    <w:rsid w:val="00813FB9"/>
    <w:rsid w:val="0082299E"/>
    <w:rsid w:val="00844DF8"/>
    <w:rsid w:val="008608F1"/>
    <w:rsid w:val="00871F98"/>
    <w:rsid w:val="00935174"/>
    <w:rsid w:val="00956112"/>
    <w:rsid w:val="009621E7"/>
    <w:rsid w:val="009B5515"/>
    <w:rsid w:val="009B7E06"/>
    <w:rsid w:val="009C75C0"/>
    <w:rsid w:val="00A6670A"/>
    <w:rsid w:val="00A83102"/>
    <w:rsid w:val="00AC6D80"/>
    <w:rsid w:val="00B37F6F"/>
    <w:rsid w:val="00B5756F"/>
    <w:rsid w:val="00B803BE"/>
    <w:rsid w:val="00B811F7"/>
    <w:rsid w:val="00BB4E4F"/>
    <w:rsid w:val="00BD302E"/>
    <w:rsid w:val="00BF43C8"/>
    <w:rsid w:val="00C0519D"/>
    <w:rsid w:val="00C058FB"/>
    <w:rsid w:val="00C1429A"/>
    <w:rsid w:val="00C7484E"/>
    <w:rsid w:val="00D864EB"/>
    <w:rsid w:val="00DC6206"/>
    <w:rsid w:val="00E02483"/>
    <w:rsid w:val="00E03DD7"/>
    <w:rsid w:val="00E212F3"/>
    <w:rsid w:val="00E53CC0"/>
    <w:rsid w:val="00E66264"/>
    <w:rsid w:val="00E66709"/>
    <w:rsid w:val="00E84DF6"/>
    <w:rsid w:val="00EA2DF8"/>
    <w:rsid w:val="00EA31D7"/>
    <w:rsid w:val="00EB3087"/>
    <w:rsid w:val="00F52658"/>
    <w:rsid w:val="00FB0644"/>
    <w:rsid w:val="00FC1D8E"/>
    <w:rsid w:val="00F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C0736"/>
    <w:rPr>
      <w:rFonts w:ascii="Calibri" w:eastAsia="Calibri" w:hAnsi="Calibri" w:cs="Times New Roman"/>
    </w:rPr>
  </w:style>
  <w:style w:type="paragraph" w:styleId="Virsraksts2">
    <w:name w:val="heading 2"/>
    <w:basedOn w:val="Parastais"/>
    <w:next w:val="Parastais"/>
    <w:link w:val="Virsraksts2Rakstz"/>
    <w:qFormat/>
    <w:rsid w:val="00A831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</w:rPr>
  </w:style>
  <w:style w:type="paragraph" w:styleId="Virsraksts5">
    <w:name w:val="heading 5"/>
    <w:basedOn w:val="Parastais"/>
    <w:next w:val="Parastais"/>
    <w:link w:val="Virsraksts5Rakstz"/>
    <w:uiPriority w:val="9"/>
    <w:semiHidden/>
    <w:unhideWhenUsed/>
    <w:qFormat/>
    <w:rsid w:val="00EA31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3C0736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nhideWhenUsed/>
    <w:rsid w:val="003C0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3C0736"/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rsid w:val="003C0736"/>
    <w:rPr>
      <w:color w:val="0000FF"/>
      <w:u w:val="single"/>
    </w:rPr>
  </w:style>
  <w:style w:type="paragraph" w:customStyle="1" w:styleId="naisc">
    <w:name w:val="naisc"/>
    <w:basedOn w:val="Parastais"/>
    <w:link w:val="naiscChar"/>
    <w:rsid w:val="003C0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aiscChar">
    <w:name w:val="naisc Char"/>
    <w:basedOn w:val="Noklusjumarindkopasfonts"/>
    <w:link w:val="naisc"/>
    <w:rsid w:val="003C07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uiPriority w:val="99"/>
    <w:rsid w:val="003C073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3C0736"/>
    <w:pPr>
      <w:spacing w:after="0" w:line="240" w:lineRule="auto"/>
    </w:pPr>
    <w:rPr>
      <w:rFonts w:ascii="Calibri" w:eastAsia="Calibri" w:hAnsi="Calibri" w:cs="Times New Roman"/>
    </w:rPr>
  </w:style>
  <w:style w:type="paragraph" w:styleId="Pamatteksts">
    <w:name w:val="Body Text"/>
    <w:basedOn w:val="Parastais"/>
    <w:link w:val="PamattekstsRakstz"/>
    <w:uiPriority w:val="99"/>
    <w:semiHidden/>
    <w:unhideWhenUsed/>
    <w:rsid w:val="003C0736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C0736"/>
    <w:rPr>
      <w:rFonts w:ascii="Calibri" w:eastAsia="Calibri" w:hAnsi="Calibri" w:cs="Times New Roman"/>
    </w:rPr>
  </w:style>
  <w:style w:type="paragraph" w:styleId="Pamattekstaatkpe2">
    <w:name w:val="Body Text Indent 2"/>
    <w:basedOn w:val="Parastais"/>
    <w:link w:val="Pamattekstaatkpe2Rakstz"/>
    <w:uiPriority w:val="99"/>
    <w:rsid w:val="00C142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1429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2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2F3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21E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621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21E7"/>
    <w:rPr>
      <w:rFonts w:ascii="Calibri" w:eastAsia="Calibri" w:hAnsi="Calibri" w:cs="Times New Roman"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A83102"/>
    <w:rPr>
      <w:rFonts w:ascii="Times New Roman" w:eastAsia="Times New Roman" w:hAnsi="Times New Roman" w:cs="Times New Roman"/>
      <w:sz w:val="28"/>
      <w:szCs w:val="24"/>
    </w:rPr>
  </w:style>
  <w:style w:type="paragraph" w:customStyle="1" w:styleId="tv2131">
    <w:name w:val="tv2131"/>
    <w:basedOn w:val="Parastais"/>
    <w:rsid w:val="00041BCD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 w:bidi="lo-LA"/>
    </w:rPr>
  </w:style>
  <w:style w:type="character" w:styleId="Izteiksmgs">
    <w:name w:val="Strong"/>
    <w:basedOn w:val="Noklusjumarindkopasfonts"/>
    <w:uiPriority w:val="22"/>
    <w:qFormat/>
    <w:rsid w:val="00661728"/>
    <w:rPr>
      <w:b/>
      <w:bC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A31D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TextIndent31">
    <w:name w:val="Body Text Indent 31"/>
    <w:basedOn w:val="Parastais"/>
    <w:rsid w:val="00EA31D7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631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ris.Sumeiko@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699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2C924-B9C4-4B13-8DF6-644A5088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projekta „Par nekustamo īpašumu Kronvalda bulvārī 2B, Rīgā” sākotnējās ietekmes novērtējuma ziņojums (anotācija)</vt:lpstr>
    </vt:vector>
  </TitlesOfParts>
  <Company>LR Kultūras Ministrija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nekustamo īpašumu Kronvalda bulvārī 2B, Rīgā” sākotnējās ietekmes novērtējuma ziņojums (anotācija)</dc:title>
  <dc:subject>KMAAnot_190313_Kronvalda</dc:subject>
  <dc:creator>J.Šumeiko</dc:creator>
  <cp:keywords/>
  <dc:description>J.Šumeiko
Tālr.67330269, fakss: 67330293
Juris.Sumeiko@km.gov.lv </dc:description>
  <cp:lastModifiedBy>juriss</cp:lastModifiedBy>
  <cp:revision>53</cp:revision>
  <cp:lastPrinted>2013-04-12T12:10:00Z</cp:lastPrinted>
  <dcterms:created xsi:type="dcterms:W3CDTF">2013-01-31T10:38:00Z</dcterms:created>
  <dcterms:modified xsi:type="dcterms:W3CDTF">2015-08-25T09:52:00Z</dcterms:modified>
</cp:coreProperties>
</file>