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33732B" w:rsidRDefault="00AE2CF0" w:rsidP="00143846">
      <w:pPr>
        <w:pStyle w:val="Pamattekstaatkpe2"/>
        <w:widowControl w:val="0"/>
        <w:ind w:firstLine="0"/>
        <w:rPr>
          <w:sz w:val="24"/>
        </w:rPr>
      </w:pPr>
      <w:r w:rsidRPr="0033732B">
        <w:rPr>
          <w:sz w:val="24"/>
          <w:szCs w:val="28"/>
        </w:rPr>
        <w:t>Ministru kabineta noteikumu projekta „</w:t>
      </w:r>
      <w:r w:rsidR="00EF0F90" w:rsidRPr="0033732B">
        <w:rPr>
          <w:sz w:val="24"/>
          <w:szCs w:val="28"/>
        </w:rPr>
        <w:t>Valsts un Eiropas Savienības atbalsta piešķiršanas, administrēšanas un uzraudzības kārtība piena produktu piegādei izglītojamiem vispārējās izglītības iestādēs</w:t>
      </w:r>
      <w:r w:rsidRPr="0033732B">
        <w:rPr>
          <w:sz w:val="24"/>
          <w:szCs w:val="28"/>
        </w:rPr>
        <w:t xml:space="preserve">” </w:t>
      </w:r>
      <w:r w:rsidR="00852042" w:rsidRPr="0033732B">
        <w:rPr>
          <w:sz w:val="24"/>
          <w:szCs w:val="28"/>
        </w:rPr>
        <w:t>sākotnējā</w:t>
      </w:r>
      <w:r w:rsidR="002D3306" w:rsidRPr="0033732B">
        <w:rPr>
          <w:sz w:val="24"/>
          <w:szCs w:val="28"/>
        </w:rPr>
        <w:t>s</w:t>
      </w:r>
      <w:r w:rsidR="00852042" w:rsidRPr="0033732B">
        <w:rPr>
          <w:sz w:val="24"/>
          <w:szCs w:val="28"/>
        </w:rPr>
        <w:t xml:space="preserve"> ietekmes novērtējuma </w:t>
      </w:r>
      <w:smartTag w:uri="schemas-tilde-lv/tildestengine" w:element="veidnes">
        <w:smartTagPr>
          <w:attr w:name="id" w:val="-1"/>
          <w:attr w:name="baseform" w:val="ziņojums"/>
          <w:attr w:name="text" w:val="ziņojums"/>
        </w:smartTagPr>
        <w:r w:rsidR="00852042" w:rsidRPr="0033732B">
          <w:rPr>
            <w:sz w:val="24"/>
            <w:szCs w:val="28"/>
          </w:rPr>
          <w:t>ziņojums</w:t>
        </w:r>
      </w:smartTag>
      <w:r w:rsidR="00852042" w:rsidRPr="0033732B">
        <w:rPr>
          <w:sz w:val="24"/>
          <w:szCs w:val="28"/>
        </w:rPr>
        <w:t xml:space="preserve"> (anotācija)</w:t>
      </w:r>
    </w:p>
    <w:tbl>
      <w:tblPr>
        <w:tblpPr w:leftFromText="180" w:rightFromText="180" w:vertAnchor="text" w:horzAnchor="margin" w:tblpXSpec="center" w:tblpY="149"/>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989"/>
        <w:gridCol w:w="6130"/>
      </w:tblGrid>
      <w:tr w:rsidR="00852042" w:rsidRPr="00996A74" w:rsidTr="00A36078">
        <w:tc>
          <w:tcPr>
            <w:tcW w:w="9537" w:type="dxa"/>
            <w:gridSpan w:val="3"/>
            <w:vAlign w:val="center"/>
          </w:tcPr>
          <w:p w:rsidR="00852042" w:rsidRPr="00996A74" w:rsidRDefault="00852042" w:rsidP="006C4607">
            <w:pPr>
              <w:pStyle w:val="naisnod"/>
              <w:spacing w:before="0" w:after="0"/>
            </w:pPr>
            <w:r w:rsidRPr="00996A74">
              <w:t>I</w:t>
            </w:r>
            <w:r w:rsidR="000941C5" w:rsidRPr="00996A74">
              <w:t>.</w:t>
            </w:r>
            <w:r w:rsidRPr="00996A74">
              <w:t xml:space="preserve"> Tiesību akta </w:t>
            </w:r>
            <w:r w:rsidR="002E3FF4" w:rsidRPr="00996A74">
              <w:t xml:space="preserve">projekta </w:t>
            </w:r>
            <w:r w:rsidRPr="00996A74">
              <w:t>izstrādes nepieciešamība</w:t>
            </w:r>
          </w:p>
        </w:tc>
      </w:tr>
      <w:tr w:rsidR="00262E2B" w:rsidRPr="00996A74" w:rsidTr="00A36078">
        <w:trPr>
          <w:trHeight w:val="630"/>
        </w:trPr>
        <w:tc>
          <w:tcPr>
            <w:tcW w:w="418" w:type="dxa"/>
          </w:tcPr>
          <w:p w:rsidR="00262E2B" w:rsidRPr="00996A74" w:rsidRDefault="00262E2B" w:rsidP="006C4607">
            <w:pPr>
              <w:pStyle w:val="naiskr"/>
              <w:spacing w:before="0" w:after="0"/>
              <w:rPr>
                <w:sz w:val="22"/>
                <w:szCs w:val="22"/>
              </w:rPr>
            </w:pPr>
            <w:r w:rsidRPr="00996A74">
              <w:rPr>
                <w:sz w:val="22"/>
                <w:szCs w:val="22"/>
              </w:rPr>
              <w:t>1.</w:t>
            </w:r>
          </w:p>
        </w:tc>
        <w:tc>
          <w:tcPr>
            <w:tcW w:w="2989" w:type="dxa"/>
          </w:tcPr>
          <w:p w:rsidR="00262E2B" w:rsidRPr="00996A74" w:rsidRDefault="002D7F54" w:rsidP="006C4607">
            <w:pPr>
              <w:pStyle w:val="naiskr"/>
              <w:spacing w:before="0" w:after="0"/>
              <w:ind w:hanging="10"/>
              <w:rPr>
                <w:sz w:val="22"/>
                <w:szCs w:val="22"/>
              </w:rPr>
            </w:pPr>
            <w:r w:rsidRPr="00996A74">
              <w:rPr>
                <w:sz w:val="22"/>
                <w:szCs w:val="22"/>
              </w:rPr>
              <w:t>Pamatojums</w:t>
            </w:r>
          </w:p>
        </w:tc>
        <w:tc>
          <w:tcPr>
            <w:tcW w:w="6130" w:type="dxa"/>
          </w:tcPr>
          <w:p w:rsidR="00143846" w:rsidRPr="001802FA" w:rsidRDefault="00AE2CF0" w:rsidP="001802FA">
            <w:pPr>
              <w:ind w:left="142" w:right="142"/>
              <w:jc w:val="both"/>
            </w:pPr>
            <w:r w:rsidRPr="001802FA">
              <w:t>Ministru kabineta noteikumu projekts (turpmāk – projekts) iz</w:t>
            </w:r>
            <w:r w:rsidR="00276B31" w:rsidRPr="001802FA">
              <w:t>strādāts</w:t>
            </w:r>
            <w:r w:rsidRPr="001802FA">
              <w:t xml:space="preserve"> saskaņā ar </w:t>
            </w:r>
            <w:r w:rsidR="00953AD9" w:rsidRPr="001802FA">
              <w:t xml:space="preserve">Lauksaimniecības un lauku attīstības likuma </w:t>
            </w:r>
            <w:r w:rsidR="00143846" w:rsidRPr="001802FA">
              <w:t>5</w:t>
            </w:r>
            <w:r w:rsidR="00953AD9" w:rsidRPr="001802FA">
              <w:t xml:space="preserve">.panta </w:t>
            </w:r>
            <w:r w:rsidR="00143846" w:rsidRPr="001802FA">
              <w:t>ceturto un septīto daļu</w:t>
            </w:r>
            <w:r w:rsidR="00953AD9" w:rsidRPr="001802FA">
              <w:t>.</w:t>
            </w:r>
          </w:p>
          <w:p w:rsidR="00B73ABC" w:rsidRPr="001802FA" w:rsidRDefault="00B73ABC" w:rsidP="00B71D93">
            <w:pPr>
              <w:ind w:right="142"/>
              <w:jc w:val="both"/>
            </w:pPr>
          </w:p>
        </w:tc>
      </w:tr>
      <w:tr w:rsidR="001802FA" w:rsidRPr="00996A74" w:rsidTr="00A36078">
        <w:trPr>
          <w:trHeight w:val="472"/>
        </w:trPr>
        <w:tc>
          <w:tcPr>
            <w:tcW w:w="418" w:type="dxa"/>
          </w:tcPr>
          <w:p w:rsidR="001802FA" w:rsidRPr="00996A74" w:rsidRDefault="001802FA" w:rsidP="001802FA">
            <w:pPr>
              <w:pStyle w:val="naiskr"/>
              <w:spacing w:before="0" w:after="0"/>
              <w:rPr>
                <w:sz w:val="22"/>
                <w:szCs w:val="22"/>
              </w:rPr>
            </w:pPr>
            <w:r w:rsidRPr="00996A74">
              <w:rPr>
                <w:sz w:val="22"/>
                <w:szCs w:val="22"/>
              </w:rPr>
              <w:t>2.</w:t>
            </w:r>
          </w:p>
        </w:tc>
        <w:tc>
          <w:tcPr>
            <w:tcW w:w="2989" w:type="dxa"/>
          </w:tcPr>
          <w:p w:rsidR="001802FA" w:rsidRDefault="001802FA" w:rsidP="001802FA">
            <w:pPr>
              <w:pStyle w:val="naisf"/>
            </w:pPr>
            <w:r w:rsidRPr="00443949">
              <w:t>Pašreizējā situācija un problēmas, kuru risināšanai tiesību akta projekts izstrādāts, tiesiskā regulējuma mērķis un būtība</w:t>
            </w:r>
          </w:p>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B71D93" w:rsidP="00B71D93">
            <w:pPr>
              <w:tabs>
                <w:tab w:val="left" w:pos="1025"/>
              </w:tabs>
            </w:pPr>
            <w:r>
              <w:tab/>
            </w:r>
          </w:p>
          <w:p w:rsidR="001802FA" w:rsidRPr="00594ED5" w:rsidRDefault="001802FA" w:rsidP="001802FA"/>
          <w:p w:rsidR="001802FA" w:rsidRPr="00594ED5" w:rsidRDefault="001802FA" w:rsidP="00AA2B1F">
            <w:pPr>
              <w:ind w:firstLine="720"/>
            </w:pPr>
          </w:p>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tc>
        <w:tc>
          <w:tcPr>
            <w:tcW w:w="6130" w:type="dxa"/>
          </w:tcPr>
          <w:p w:rsidR="001802FA" w:rsidRDefault="00733036" w:rsidP="001802FA">
            <w:pPr>
              <w:ind w:left="142" w:right="142"/>
              <w:jc w:val="both"/>
            </w:pPr>
            <w:r>
              <w:t>Patlaban</w:t>
            </w:r>
            <w:r w:rsidR="001802FA">
              <w:t xml:space="preserve"> Latvijā valsts un Eiropas Savienības (turpmāk – ES) atbalsts </w:t>
            </w:r>
            <w:r w:rsidR="001802FA" w:rsidRPr="00996A74">
              <w:t>piena produktu piegādei izglītojam</w:t>
            </w:r>
            <w:r>
              <w:t>aj</w:t>
            </w:r>
            <w:r w:rsidR="001802FA" w:rsidRPr="00996A74">
              <w:t>iem vispārējās izglītības iestādēs</w:t>
            </w:r>
            <w:r w:rsidR="001802FA">
              <w:t xml:space="preserve"> jeb “Skolas piena” programmai tiek piešķirts</w:t>
            </w:r>
            <w:r>
              <w:t xml:space="preserve"> saskaņā</w:t>
            </w:r>
            <w:r w:rsidR="001802FA">
              <w:t xml:space="preserve"> ar </w:t>
            </w:r>
            <w:r w:rsidR="001802FA" w:rsidRPr="00A72B83">
              <w:t xml:space="preserve">Ministru kabineta </w:t>
            </w:r>
            <w:proofErr w:type="gramStart"/>
            <w:r w:rsidR="001802FA" w:rsidRPr="00A72B83">
              <w:t>2011.gada</w:t>
            </w:r>
            <w:proofErr w:type="gramEnd"/>
            <w:r w:rsidR="001802FA" w:rsidRPr="00A72B83">
              <w:t xml:space="preserve"> 1.februāra noteikum</w:t>
            </w:r>
            <w:r w:rsidR="001802FA">
              <w:t>iem</w:t>
            </w:r>
            <w:r w:rsidR="001802FA" w:rsidRPr="00A72B83">
              <w:t xml:space="preserve"> Nr.106 „Kārtība, kādā piešķir, administrē un uzrauga valsts un Eiropas Savienības atbalstu piena produktu piegādei izglītojamiem vispārējās izglītības iestādēs” </w:t>
            </w:r>
            <w:r w:rsidR="001802FA">
              <w:t>(turpmāk – noteikumi Nr.106).</w:t>
            </w:r>
          </w:p>
          <w:p w:rsidR="001802FA" w:rsidRDefault="00157819" w:rsidP="00157819">
            <w:pPr>
              <w:tabs>
                <w:tab w:val="left" w:pos="1860"/>
              </w:tabs>
              <w:ind w:left="142" w:right="142"/>
              <w:jc w:val="both"/>
            </w:pPr>
            <w:r>
              <w:tab/>
            </w:r>
          </w:p>
          <w:p w:rsidR="00FD6A34" w:rsidRDefault="001802FA" w:rsidP="001802FA">
            <w:pPr>
              <w:ind w:left="142" w:right="142"/>
              <w:jc w:val="both"/>
            </w:pPr>
            <w:r>
              <w:t xml:space="preserve">Tā kā </w:t>
            </w:r>
            <w:r w:rsidR="00F063E8">
              <w:t xml:space="preserve">plānotais </w:t>
            </w:r>
            <w:r w:rsidR="004D0ACC">
              <w:t xml:space="preserve">grozījumu apjoms pārsniedz pusi no noteikumu Nr.106 apjoma, </w:t>
            </w:r>
            <w:r w:rsidR="00733036">
              <w:t xml:space="preserve">ir sagatavots </w:t>
            </w:r>
            <w:r>
              <w:t>jaun</w:t>
            </w:r>
            <w:r w:rsidR="00733036">
              <w:t>s</w:t>
            </w:r>
            <w:r>
              <w:t xml:space="preserve"> normatīv</w:t>
            </w:r>
            <w:r w:rsidR="00733036">
              <w:t>ais</w:t>
            </w:r>
            <w:r>
              <w:t xml:space="preserve"> akt</w:t>
            </w:r>
            <w:r w:rsidR="00733036">
              <w:t>s</w:t>
            </w:r>
            <w:r>
              <w:t xml:space="preserve">. </w:t>
            </w:r>
          </w:p>
          <w:p w:rsidR="001802FA" w:rsidRDefault="001802FA" w:rsidP="001802FA">
            <w:pPr>
              <w:ind w:left="142" w:right="142"/>
              <w:jc w:val="both"/>
            </w:pPr>
            <w:r>
              <w:t xml:space="preserve">Normatīvā akta mērķis ir </w:t>
            </w:r>
            <w:r w:rsidR="002E12AE">
              <w:t xml:space="preserve">noteikt </w:t>
            </w:r>
            <w:r w:rsidR="00BA6435" w:rsidRPr="00BA6435">
              <w:t xml:space="preserve">tādus valsts līdzfinansējuma noteikšanas principus, kas </w:t>
            </w:r>
            <w:r w:rsidR="00733036">
              <w:t>pamatoti ar</w:t>
            </w:r>
            <w:r w:rsidR="00BA6435" w:rsidRPr="00BA6435">
              <w:t xml:space="preserve"> </w:t>
            </w:r>
            <w:r w:rsidR="00733036">
              <w:t>reālo</w:t>
            </w:r>
            <w:r w:rsidR="00BA6435" w:rsidRPr="00BA6435">
              <w:t xml:space="preserve"> </w:t>
            </w:r>
            <w:r w:rsidR="00733036" w:rsidRPr="00BA6435">
              <w:t xml:space="preserve">situāciju </w:t>
            </w:r>
            <w:r w:rsidR="00BA6435" w:rsidRPr="00BA6435">
              <w:t>pasterizēta piena ražošan</w:t>
            </w:r>
            <w:r w:rsidR="00733036">
              <w:t>ā</w:t>
            </w:r>
            <w:r w:rsidR="00BA6435" w:rsidRPr="00BA6435">
              <w:t xml:space="preserve"> un </w:t>
            </w:r>
            <w:r w:rsidR="00733036">
              <w:t xml:space="preserve">faktiskajām </w:t>
            </w:r>
            <w:r w:rsidR="00BA6435" w:rsidRPr="00BA6435">
              <w:t>piegādes izmaks</w:t>
            </w:r>
            <w:r w:rsidR="00733036">
              <w:t>ām</w:t>
            </w:r>
            <w:r w:rsidR="00BA6435" w:rsidRPr="00BA6435">
              <w:t xml:space="preserve">, tādējādi veicinot optimālu budžeta izlietojumu un rodot līdzekļus augstākām kvalitātes prasībām </w:t>
            </w:r>
            <w:r w:rsidR="00733036" w:rsidRPr="00BA6435">
              <w:t>atbilstoša</w:t>
            </w:r>
            <w:r w:rsidR="00733036">
              <w:t xml:space="preserve"> un </w:t>
            </w:r>
            <w:r w:rsidR="00733036" w:rsidRPr="00BA6435">
              <w:t>individuālai izdal</w:t>
            </w:r>
            <w:r w:rsidR="00733036">
              <w:t>īšanai vairāk</w:t>
            </w:r>
            <w:r w:rsidR="00733036" w:rsidRPr="00BA6435">
              <w:t xml:space="preserve"> piemērot</w:t>
            </w:r>
            <w:r w:rsidR="00733036">
              <w:t>a tilpuma</w:t>
            </w:r>
            <w:r w:rsidR="00733036" w:rsidRPr="00BA6435">
              <w:t xml:space="preserve"> fasēta piena </w:t>
            </w:r>
            <w:r w:rsidR="00BA6435" w:rsidRPr="00BA6435">
              <w:t>piegāde</w:t>
            </w:r>
            <w:r w:rsidR="00733036">
              <w:t>i</w:t>
            </w:r>
            <w:r w:rsidR="00BA6435" w:rsidRPr="00BA6435">
              <w:t xml:space="preserve"> programm</w:t>
            </w:r>
            <w:r w:rsidR="00733036">
              <w:t>as īstenošanas gaitā</w:t>
            </w:r>
            <w:r w:rsidR="00BA6435" w:rsidRPr="00BA6435">
              <w:t>.</w:t>
            </w:r>
          </w:p>
          <w:p w:rsidR="001802FA" w:rsidRDefault="001802FA" w:rsidP="001802FA">
            <w:pPr>
              <w:ind w:left="142" w:right="142"/>
              <w:jc w:val="both"/>
            </w:pPr>
            <w:r>
              <w:t xml:space="preserve">Normatīvā akta projektam nebūs nepieciešams finansējums papildus tam, kas ir piešķirts ar noteikumiem Nr.106. Finansiālie nosacījumi </w:t>
            </w:r>
            <w:r w:rsidR="00733036">
              <w:t>ir skaidroti</w:t>
            </w:r>
            <w:r>
              <w:t xml:space="preserve"> anotācijas III</w:t>
            </w:r>
            <w:r w:rsidR="00733036">
              <w:t> </w:t>
            </w:r>
            <w:r>
              <w:t xml:space="preserve">sadaļā. </w:t>
            </w:r>
          </w:p>
          <w:p w:rsidR="001802FA" w:rsidRDefault="001802FA" w:rsidP="001802FA">
            <w:pPr>
              <w:ind w:left="142" w:right="142"/>
              <w:jc w:val="both"/>
            </w:pPr>
          </w:p>
          <w:p w:rsidR="001802FA" w:rsidRDefault="001802FA" w:rsidP="001802FA">
            <w:pPr>
              <w:ind w:left="142" w:right="142"/>
              <w:jc w:val="both"/>
            </w:pPr>
            <w:r>
              <w:t>E</w:t>
            </w:r>
            <w:r w:rsidR="007B4838">
              <w:t xml:space="preserve">S </w:t>
            </w:r>
            <w:r>
              <w:t>atbalstu skolēnu apgādei ar piena produktiem nosaka:</w:t>
            </w:r>
          </w:p>
          <w:p w:rsidR="001802FA" w:rsidRDefault="001802FA" w:rsidP="00B71D93">
            <w:pPr>
              <w:pStyle w:val="Sarakstarindkopa"/>
              <w:numPr>
                <w:ilvl w:val="0"/>
                <w:numId w:val="28"/>
              </w:numPr>
              <w:ind w:right="142"/>
              <w:jc w:val="both"/>
            </w:pPr>
            <w:r>
              <w:t xml:space="preserve"> Eiropas Parlamenta un Padomes 2013.gada 17.decembra Regula (ES) Nr.1308/2013, ar ko izveido lauksaimniecības produktu tirgu kopīgu organizāciju un atceļ Padomes regulas (</w:t>
            </w:r>
            <w:smartTag w:uri="schemas-tilde-lv/tildestengine" w:element="currency2">
              <w:smartTagPr>
                <w:attr w:name="currency_id" w:val="14"/>
                <w:attr w:name="currency_key" w:val="EEK"/>
                <w:attr w:name="currency_value" w:val="1"/>
                <w:attr w:name="currency_text" w:val="EEK"/>
              </w:smartTagPr>
              <w:r>
                <w:t>EEK</w:t>
              </w:r>
            </w:smartTag>
            <w:r>
              <w:t>) Nr.922/72, (</w:t>
            </w:r>
            <w:smartTag w:uri="schemas-tilde-lv/tildestengine" w:element="currency2">
              <w:smartTagPr>
                <w:attr w:name="currency_id" w:val="14"/>
                <w:attr w:name="currency_key" w:val="EEK"/>
                <w:attr w:name="currency_value" w:val="1"/>
                <w:attr w:name="currency_text" w:val="EEK"/>
              </w:smartTagPr>
              <w:r>
                <w:t>EEK</w:t>
              </w:r>
            </w:smartTag>
            <w:r>
              <w:t xml:space="preserve">) Nr.1037/2001 un (EK) Nr.1234/2007 (turpmāk – regula Nr.1308/2013); </w:t>
            </w:r>
          </w:p>
          <w:p w:rsidR="001802FA" w:rsidRDefault="001802FA" w:rsidP="00B71D93">
            <w:pPr>
              <w:pStyle w:val="Sarakstarindkopa"/>
              <w:numPr>
                <w:ilvl w:val="0"/>
                <w:numId w:val="28"/>
              </w:numPr>
              <w:ind w:right="142"/>
              <w:jc w:val="both"/>
            </w:pPr>
            <w:r>
              <w:t>Padomes 2013.gada 16.decembra Regula (ES) Nr.1370/2013 par konkrēta atbalsta un kompensāciju noteikšanas pasākumiem saistībā ar lauksaimniecības produktu tirgu kopīgu organizāciju (turpmāk – regula Nr.1370/2013);</w:t>
            </w:r>
          </w:p>
          <w:p w:rsidR="001802FA" w:rsidRPr="001802FA" w:rsidRDefault="001802FA" w:rsidP="00B71D93">
            <w:pPr>
              <w:pStyle w:val="naiskr"/>
              <w:numPr>
                <w:ilvl w:val="0"/>
                <w:numId w:val="28"/>
              </w:numPr>
              <w:tabs>
                <w:tab w:val="left" w:pos="2628"/>
              </w:tabs>
              <w:spacing w:before="0" w:after="0"/>
              <w:ind w:right="141"/>
              <w:jc w:val="both"/>
              <w:rPr>
                <w:sz w:val="22"/>
                <w:szCs w:val="22"/>
              </w:rPr>
            </w:pPr>
            <w:r>
              <w:t xml:space="preserve">Komisijas 2008.gada 10.jūnija Regula (EK) Nr.657/2008, ar ko nosaka sīki izstrādātus noteikumus par to, kā piemērot Padomes regulu (EK) Nr.1234/2007 attiecībā uz Kopienas atbalstu piena un dažu piena produktu piegādē izglītības iestāžu skolēniem (turpmāk – regula Nr.657/2008). </w:t>
            </w:r>
          </w:p>
          <w:p w:rsidR="001802FA" w:rsidRPr="00674665" w:rsidRDefault="001802FA" w:rsidP="001802FA">
            <w:pPr>
              <w:pStyle w:val="naiskr"/>
              <w:tabs>
                <w:tab w:val="left" w:pos="2628"/>
              </w:tabs>
              <w:spacing w:before="0" w:after="0"/>
              <w:ind w:right="141"/>
              <w:jc w:val="both"/>
              <w:rPr>
                <w:sz w:val="22"/>
                <w:szCs w:val="22"/>
              </w:rPr>
            </w:pPr>
          </w:p>
          <w:p w:rsidR="007B4838" w:rsidRPr="00FD6A34" w:rsidRDefault="007B4838" w:rsidP="00FD6A34">
            <w:pPr>
              <w:ind w:left="142" w:right="142"/>
              <w:jc w:val="both"/>
            </w:pPr>
            <w:r w:rsidRPr="00FD6A34">
              <w:lastRenderedPageBreak/>
              <w:t>Minētie ES normatīvie akti nosaka, ka dalībvalsts var izvēlēties konkrētus produktus, par kuru piegādi izglītojamiem iespējams pretendēt uz atbalstu (Regulas Nr.1308/2013 26. panta 1.punkts</w:t>
            </w:r>
            <w:r w:rsidR="00B14D86" w:rsidRPr="00FD6A34">
              <w:t>,</w:t>
            </w:r>
            <w:r w:rsidRPr="00FD6A34">
              <w:t xml:space="preserve"> Regulas Nr.657/2008 3.panta 1.punkts</w:t>
            </w:r>
            <w:r w:rsidR="00B14D86" w:rsidRPr="00FD6A34">
              <w:t xml:space="preserve"> un I</w:t>
            </w:r>
            <w:r w:rsidR="00733036">
              <w:t> </w:t>
            </w:r>
            <w:r w:rsidR="00B14D86" w:rsidRPr="00FD6A34">
              <w:t>pielikums</w:t>
            </w:r>
            <w:r w:rsidRPr="00FD6A34">
              <w:t xml:space="preserve">). </w:t>
            </w:r>
          </w:p>
          <w:p w:rsidR="007B4838" w:rsidRPr="00FD6A34" w:rsidRDefault="00733036" w:rsidP="00FD6A34">
            <w:pPr>
              <w:ind w:left="142" w:right="142"/>
              <w:jc w:val="both"/>
            </w:pPr>
            <w:r>
              <w:t>Turklāt</w:t>
            </w:r>
            <w:r w:rsidR="007B4838" w:rsidRPr="00FD6A34">
              <w:t xml:space="preserve"> ES normatīvie akti nosaka, ka atbalsta apmērs, kas tiek finansēts no ES, ir </w:t>
            </w:r>
            <w:r w:rsidRPr="00FD6A34">
              <w:t xml:space="preserve">EUR </w:t>
            </w:r>
            <w:r w:rsidR="00B14D86" w:rsidRPr="00FD6A34">
              <w:t xml:space="preserve">18,15 par </w:t>
            </w:r>
            <w:r>
              <w:t>jebkura</w:t>
            </w:r>
            <w:r w:rsidR="00B14D86" w:rsidRPr="00FD6A34">
              <w:t xml:space="preserve"> veida pienu (regulas Nr.1370/2013 6.panta 2.punkts) un šo atbalstu piešķir par maksimālo daudzumu 0,25 litri piena ekvivalenta vienam bērnam vienā skolas dienā (Regulas Nr.1370/2013</w:t>
            </w:r>
            <w:r w:rsidR="007B4838" w:rsidRPr="00FD6A34">
              <w:t xml:space="preserve"> </w:t>
            </w:r>
            <w:r w:rsidR="00B14D86" w:rsidRPr="00FD6A34">
              <w:t>6.panta 1.punkts.). Atbalsta apmērs citiem piena produktiem, ko var piegādāt programmā, ir noteikts Regulas Nr.657/2008 II</w:t>
            </w:r>
            <w:r>
              <w:t> </w:t>
            </w:r>
            <w:r w:rsidR="00B14D86" w:rsidRPr="00FD6A34">
              <w:t xml:space="preserve">pielikumā. </w:t>
            </w:r>
          </w:p>
          <w:p w:rsidR="00B14D86" w:rsidRPr="00FD6A34" w:rsidRDefault="00B14D86" w:rsidP="00FD6A34">
            <w:pPr>
              <w:ind w:left="142" w:right="142"/>
              <w:jc w:val="both"/>
            </w:pPr>
            <w:r w:rsidRPr="00FD6A34">
              <w:t xml:space="preserve">Vienlaikus Regulas Nr.1308/2013 </w:t>
            </w:r>
            <w:proofErr w:type="gramStart"/>
            <w:r w:rsidRPr="00FD6A34">
              <w:t>26.panta</w:t>
            </w:r>
            <w:proofErr w:type="gramEnd"/>
            <w:r w:rsidRPr="00FD6A34">
              <w:t xml:space="preserve"> 5.pants nosaka, ka </w:t>
            </w:r>
            <w:r w:rsidR="00733036" w:rsidRPr="00FD6A34">
              <w:t>dalībvalsts</w:t>
            </w:r>
            <w:r w:rsidR="00733036">
              <w:t>, īstenojot</w:t>
            </w:r>
            <w:r w:rsidR="00733036" w:rsidRPr="00FD6A34">
              <w:t xml:space="preserve"> </w:t>
            </w:r>
            <w:r w:rsidR="00733036">
              <w:t>programmu</w:t>
            </w:r>
            <w:r w:rsidR="00F13DD3">
              <w:t>,</w:t>
            </w:r>
            <w:r w:rsidR="00733036" w:rsidRPr="00FD6A34">
              <w:t xml:space="preserve"> </w:t>
            </w:r>
            <w:r w:rsidRPr="00FD6A34">
              <w:t xml:space="preserve">papildus ES atbalstam var piešķirt </w:t>
            </w:r>
            <w:r w:rsidR="00733036">
              <w:t xml:space="preserve">arī </w:t>
            </w:r>
            <w:r w:rsidRPr="00FD6A34">
              <w:t xml:space="preserve">valsts atbalstu. </w:t>
            </w:r>
          </w:p>
          <w:p w:rsidR="00B14D86" w:rsidRDefault="00B14D86" w:rsidP="001802FA">
            <w:pPr>
              <w:pStyle w:val="naiskr"/>
              <w:tabs>
                <w:tab w:val="left" w:pos="2628"/>
              </w:tabs>
              <w:spacing w:before="0" w:after="0"/>
              <w:ind w:left="132" w:right="141"/>
              <w:jc w:val="both"/>
              <w:rPr>
                <w:sz w:val="22"/>
                <w:szCs w:val="22"/>
              </w:rPr>
            </w:pPr>
          </w:p>
          <w:p w:rsidR="007A3818" w:rsidRPr="00FD6A34" w:rsidRDefault="00733036" w:rsidP="00FD6A34">
            <w:pPr>
              <w:ind w:left="142" w:right="142"/>
              <w:jc w:val="both"/>
            </w:pPr>
            <w:r>
              <w:t>Patlaban</w:t>
            </w:r>
            <w:r w:rsidR="00951E36">
              <w:t>, iev</w:t>
            </w:r>
            <w:r>
              <w:t>ērojot</w:t>
            </w:r>
            <w:r w:rsidR="00B14D86" w:rsidRPr="00FD6A34">
              <w:t xml:space="preserve"> </w:t>
            </w:r>
            <w:r w:rsidR="00951E36">
              <w:t xml:space="preserve">Regulas Nr.1308/2013 </w:t>
            </w:r>
            <w:r w:rsidR="00951E36" w:rsidRPr="00FD6A34">
              <w:t>26.panta 5.pant</w:t>
            </w:r>
            <w:r>
              <w:t>a nosacījumus,</w:t>
            </w:r>
            <w:r w:rsidR="00951E36" w:rsidRPr="00FD6A34">
              <w:t xml:space="preserve"> </w:t>
            </w:r>
            <w:r w:rsidR="00B14D86" w:rsidRPr="00FD6A34">
              <w:t>noteikum</w:t>
            </w:r>
            <w:r>
              <w:t>os</w:t>
            </w:r>
            <w:r w:rsidR="00B14D86" w:rsidRPr="00FD6A34">
              <w:t xml:space="preserve"> Nr.106 no</w:t>
            </w:r>
            <w:r>
              <w:t>teikts</w:t>
            </w:r>
            <w:r w:rsidR="00B14D86" w:rsidRPr="00FD6A34">
              <w:t xml:space="preserve">, ka par termiski apstrādāta piena </w:t>
            </w:r>
            <w:r w:rsidR="00951E36">
              <w:t xml:space="preserve">bez piedevām </w:t>
            </w:r>
            <w:r w:rsidR="00B14D86" w:rsidRPr="00FD6A34">
              <w:t>piegādi pirms</w:t>
            </w:r>
            <w:r>
              <w:t>s</w:t>
            </w:r>
            <w:r w:rsidR="00B14D86" w:rsidRPr="00FD6A34">
              <w:t>kolas un 1.</w:t>
            </w:r>
            <w:r>
              <w:t>–</w:t>
            </w:r>
            <w:r w:rsidR="00B14D86" w:rsidRPr="00FD6A34">
              <w:t>9.klases izglītojamiem var pretendēt uz valsts līdzfinansējumu, ja piens ir ražots atbilstoši bioloģiskās lauksaimniecības shēmai vai nacionālās pārtikas kvalitātes shēmai, transportēts ne tālāk par 250 km līdz izglītības iestādei un ja par pienu no izglītojamiem vai viņu vecākiem vai aizbildņiem net</w:t>
            </w:r>
            <w:r w:rsidR="00951E36">
              <w:t>i</w:t>
            </w:r>
            <w:r w:rsidR="00B14D86" w:rsidRPr="00FD6A34">
              <w:t xml:space="preserve">ek prasīta samaksa, t.i., ja piens tiek piegādāts bez maksas. </w:t>
            </w:r>
          </w:p>
          <w:p w:rsidR="007A3818" w:rsidRDefault="007A3818" w:rsidP="001802FA">
            <w:pPr>
              <w:pStyle w:val="naiskr"/>
              <w:tabs>
                <w:tab w:val="left" w:pos="2628"/>
              </w:tabs>
              <w:spacing w:before="0" w:after="0"/>
              <w:ind w:left="132" w:right="141"/>
              <w:jc w:val="both"/>
              <w:rPr>
                <w:sz w:val="22"/>
                <w:szCs w:val="22"/>
              </w:rPr>
            </w:pPr>
          </w:p>
          <w:p w:rsidR="00A105DA" w:rsidRDefault="00733036" w:rsidP="0056021D">
            <w:pPr>
              <w:ind w:left="142" w:right="142"/>
              <w:jc w:val="both"/>
            </w:pPr>
            <w:r>
              <w:t>Pašreizējais</w:t>
            </w:r>
            <w:r w:rsidR="00A105DA">
              <w:t xml:space="preserve"> v</w:t>
            </w:r>
            <w:r w:rsidR="00951E36" w:rsidRPr="0056021D">
              <w:t>alsts līdzfinansējum</w:t>
            </w:r>
            <w:r>
              <w:t>s</w:t>
            </w:r>
            <w:r w:rsidR="00951E36" w:rsidRPr="0056021D">
              <w:t xml:space="preserve"> saskaņā ar noteikumu Nr.106 3.pielikuma B daļu ir</w:t>
            </w:r>
            <w:r w:rsidRPr="0056021D">
              <w:t xml:space="preserve"> EUR </w:t>
            </w:r>
            <w:r w:rsidR="00951E36" w:rsidRPr="0056021D">
              <w:t xml:space="preserve">0,54 </w:t>
            </w:r>
            <w:r w:rsidR="0056021D" w:rsidRPr="0056021D">
              <w:t xml:space="preserve">par litru pasterizēta piena, </w:t>
            </w:r>
            <w:r>
              <w:t>tātad</w:t>
            </w:r>
            <w:r w:rsidR="0056021D" w:rsidRPr="0056021D">
              <w:t xml:space="preserve"> valsts un ES atbalsta kopējais apmērs ir aptuveni </w:t>
            </w:r>
            <w:r w:rsidRPr="0056021D">
              <w:t xml:space="preserve">EUR </w:t>
            </w:r>
            <w:r w:rsidR="0056021D" w:rsidRPr="0056021D">
              <w:t xml:space="preserve">0,72 </w:t>
            </w:r>
            <w:r>
              <w:t xml:space="preserve">par </w:t>
            </w:r>
            <w:r w:rsidR="0056021D" w:rsidRPr="0056021D">
              <w:t xml:space="preserve">litru. </w:t>
            </w:r>
            <w:r w:rsidR="00951E36" w:rsidRPr="0056021D">
              <w:t xml:space="preserve">Šādu likmi saņem pretendents par visu pienu, kas piegādāts saskaņā ar </w:t>
            </w:r>
            <w:r w:rsidR="00A105DA">
              <w:t xml:space="preserve">valsts </w:t>
            </w:r>
            <w:r w:rsidR="00951E36" w:rsidRPr="0056021D">
              <w:t>līdzfinansējuma nosacījumiem. Šād</w:t>
            </w:r>
            <w:r>
              <w:t>ā</w:t>
            </w:r>
            <w:r w:rsidR="00951E36" w:rsidRPr="0056021D">
              <w:t xml:space="preserve"> valsts līdzfinansējuma </w:t>
            </w:r>
            <w:r>
              <w:t>kārtībā</w:t>
            </w:r>
            <w:r w:rsidR="00951E36" w:rsidRPr="0056021D">
              <w:t xml:space="preserve"> n</w:t>
            </w:r>
            <w:r>
              <w:t>av ņemti</w:t>
            </w:r>
            <w:r w:rsidR="00951E36" w:rsidRPr="0056021D">
              <w:t xml:space="preserve"> vērā </w:t>
            </w:r>
            <w:r>
              <w:t>četri</w:t>
            </w:r>
            <w:r w:rsidR="00BA6435">
              <w:t xml:space="preserve"> </w:t>
            </w:r>
            <w:r w:rsidR="00A105DA">
              <w:t>faktor</w:t>
            </w:r>
            <w:r>
              <w:t>i</w:t>
            </w:r>
            <w:r w:rsidR="00A105DA">
              <w:t>:</w:t>
            </w:r>
          </w:p>
          <w:p w:rsidR="00951E36" w:rsidRPr="0056021D" w:rsidRDefault="00A105DA" w:rsidP="0056021D">
            <w:pPr>
              <w:ind w:left="142" w:right="142"/>
              <w:jc w:val="both"/>
            </w:pPr>
            <w:r>
              <w:t xml:space="preserve">1) </w:t>
            </w:r>
            <w:r w:rsidR="00951E36" w:rsidRPr="0056021D">
              <w:t>ražošanas izmaksas pienam</w:t>
            </w:r>
            <w:r>
              <w:t>, kas fasēts</w:t>
            </w:r>
            <w:r w:rsidR="00951E36" w:rsidRPr="0056021D">
              <w:t xml:space="preserve"> mazā 1 porcijas iepakojumā (</w:t>
            </w:r>
            <w:r w:rsidR="00733036">
              <w:t>ne vairāk par</w:t>
            </w:r>
            <w:r w:rsidR="00951E36" w:rsidRPr="0056021D">
              <w:t xml:space="preserve"> 250 ml)</w:t>
            </w:r>
            <w:r w:rsidR="00C21B64">
              <w:t>,</w:t>
            </w:r>
            <w:r w:rsidR="00951E36" w:rsidRPr="0056021D">
              <w:t xml:space="preserve"> ir </w:t>
            </w:r>
            <w:r w:rsidR="00733036">
              <w:t>liel</w:t>
            </w:r>
            <w:r w:rsidR="00951E36" w:rsidRPr="0056021D">
              <w:t>ākas nekā pienam, kas pildīts iepakojumā, no kura var iegūt vairākas porcijas (v</w:t>
            </w:r>
            <w:r w:rsidR="00733036">
              <w:t>airāk par</w:t>
            </w:r>
            <w:r w:rsidR="00951E36" w:rsidRPr="0056021D">
              <w:t xml:space="preserve"> 250 ml). Tādējādi </w:t>
            </w:r>
            <w:r w:rsidR="00733036">
              <w:t>ar</w:t>
            </w:r>
            <w:r w:rsidR="00951E36" w:rsidRPr="0056021D">
              <w:t xml:space="preserve"> pašreizēj</w:t>
            </w:r>
            <w:r w:rsidR="00733036">
              <w:t>o</w:t>
            </w:r>
            <w:r w:rsidR="00951E36" w:rsidRPr="0056021D">
              <w:t xml:space="preserve"> līdzfinansējuma likm</w:t>
            </w:r>
            <w:r w:rsidR="00733036">
              <w:t>i</w:t>
            </w:r>
            <w:r w:rsidR="00951E36" w:rsidRPr="0056021D">
              <w:t xml:space="preserve"> tie uzņēmumi, kas programmā piegādāja pienu mazos iepakojumos, vairākkārt nonāca situācijā, kad valsts un ES atbalsts programmā nesedza piena ražošanas izmaksas (ieskaitot transportu un izmaksas izdal</w:t>
            </w:r>
            <w:r w:rsidR="00CF1F16">
              <w:t>īšanai</w:t>
            </w:r>
            <w:r w:rsidR="00951E36" w:rsidRPr="0056021D">
              <w:t xml:space="preserve"> skolā), bet nosacījums, ka par šo pienu nedrīkst prasīt samaksu no izglītojam</w:t>
            </w:r>
            <w:r w:rsidR="00CF1F16">
              <w:t>aj</w:t>
            </w:r>
            <w:r w:rsidR="00951E36" w:rsidRPr="0056021D">
              <w:t xml:space="preserve">iem, </w:t>
            </w:r>
            <w:r w:rsidR="00CF1F16" w:rsidRPr="0056021D">
              <w:t xml:space="preserve">uzņēmumiem </w:t>
            </w:r>
            <w:r w:rsidR="00951E36" w:rsidRPr="0056021D">
              <w:t>radīja zaudējumus. Šādas situācijas veidojās galvenokārt laikposmos, kad būtiski p</w:t>
            </w:r>
            <w:r w:rsidR="00CF1F16">
              <w:t>alielinājās</w:t>
            </w:r>
            <w:r w:rsidR="00951E36" w:rsidRPr="0056021D">
              <w:t xml:space="preserve"> svaigpiena iepirkuma cena (kas veido 30</w:t>
            </w:r>
            <w:r w:rsidR="00CF1F16">
              <w:t> </w:t>
            </w:r>
            <w:r w:rsidR="00951E36" w:rsidRPr="0056021D">
              <w:t>līdz 50</w:t>
            </w:r>
            <w:r w:rsidR="00CF1F16">
              <w:t> </w:t>
            </w:r>
            <w:r w:rsidR="00951E36" w:rsidRPr="0056021D">
              <w:t>% no pasterizēta piena ražošanas izmaksām).</w:t>
            </w:r>
          </w:p>
          <w:p w:rsidR="007A3818" w:rsidRDefault="00CF1F16" w:rsidP="0056021D">
            <w:pPr>
              <w:ind w:left="142" w:right="142"/>
              <w:jc w:val="both"/>
            </w:pPr>
            <w:r>
              <w:t>Tas nozīmē,</w:t>
            </w:r>
            <w:r w:rsidR="00951E36" w:rsidRPr="0056021D">
              <w:t xml:space="preserve"> ka noteikumos Nr.106 ietvertie valsts līdzfinansējuma nosacījumi neveicina porcij</w:t>
            </w:r>
            <w:r>
              <w:t>ās</w:t>
            </w:r>
            <w:r w:rsidR="00A105DA">
              <w:t xml:space="preserve"> fasēta piena izdal</w:t>
            </w:r>
            <w:r>
              <w:t>īšanu</w:t>
            </w:r>
            <w:r w:rsidR="00A105DA">
              <w:t xml:space="preserve"> programmā;</w:t>
            </w:r>
          </w:p>
          <w:p w:rsidR="00E14DB5" w:rsidRDefault="00A105DA" w:rsidP="0056021D">
            <w:pPr>
              <w:ind w:left="142" w:right="142"/>
              <w:jc w:val="both"/>
            </w:pPr>
            <w:r>
              <w:lastRenderedPageBreak/>
              <w:t xml:space="preserve">2) </w:t>
            </w:r>
            <w:r w:rsidR="00E14DB5" w:rsidRPr="0056021D">
              <w:t>no izdal</w:t>
            </w:r>
            <w:r w:rsidR="00CF1F16">
              <w:t>īšanas</w:t>
            </w:r>
            <w:r w:rsidR="00E14DB5" w:rsidRPr="0056021D">
              <w:t xml:space="preserve"> ērtuma </w:t>
            </w:r>
            <w:r w:rsidR="00CF1F16">
              <w:t xml:space="preserve">un </w:t>
            </w:r>
            <w:r w:rsidR="00E14DB5" w:rsidRPr="0056021D">
              <w:t>no sanitāro prasību aspekta maz</w:t>
            </w:r>
            <w:r w:rsidR="00CF1F16">
              <w:t>ā</w:t>
            </w:r>
            <w:r w:rsidR="00E14DB5" w:rsidRPr="0056021D">
              <w:t>s porcij</w:t>
            </w:r>
            <w:r w:rsidR="00CF1F16">
              <w:t>ās</w:t>
            </w:r>
            <w:r w:rsidR="00E14DB5" w:rsidRPr="0056021D">
              <w:t xml:space="preserve"> fasēts piens ir </w:t>
            </w:r>
            <w:r w:rsidR="00CF1F16">
              <w:t xml:space="preserve">vairāk </w:t>
            </w:r>
            <w:r w:rsidR="00E14DB5" w:rsidRPr="0056021D">
              <w:t>piemērots nekā lielos iepakojumos fasēts piens, kur</w:t>
            </w:r>
            <w:r w:rsidR="00CF1F16">
              <w:t>am</w:t>
            </w:r>
            <w:r w:rsidR="00E14DB5" w:rsidRPr="0056021D">
              <w:t xml:space="preserve"> vēl ir nepieciešams sagatavot glāzes (</w:t>
            </w:r>
            <w:r w:rsidR="00F13DD3">
              <w:t>tostarp mazgāt</w:t>
            </w:r>
            <w:r w:rsidR="00E14DB5" w:rsidRPr="0056021D">
              <w:t xml:space="preserve"> izlietot</w:t>
            </w:r>
            <w:r w:rsidR="00F13DD3">
              <w:t>ās</w:t>
            </w:r>
            <w:r w:rsidR="00E14DB5" w:rsidRPr="0056021D">
              <w:t xml:space="preserve"> glā</w:t>
            </w:r>
            <w:r w:rsidR="00F13DD3">
              <w:t>zes</w:t>
            </w:r>
            <w:r w:rsidR="00E14DB5" w:rsidRPr="0056021D">
              <w:t>) vai, piemēram, uzturēt un kopt pien</w:t>
            </w:r>
            <w:r>
              <w:t>a izdales automātu;</w:t>
            </w:r>
          </w:p>
          <w:p w:rsidR="00C21B64" w:rsidRDefault="00A105DA" w:rsidP="00C21B64">
            <w:pPr>
              <w:ind w:left="142" w:right="142"/>
              <w:jc w:val="both"/>
            </w:pPr>
            <w:r>
              <w:t>3) nemainīga valsts līdzfinansējuma likme n</w:t>
            </w:r>
            <w:r w:rsidR="00CF1F16">
              <w:t xml:space="preserve">av </w:t>
            </w:r>
            <w:r>
              <w:t>pielāgoja</w:t>
            </w:r>
            <w:r w:rsidR="00CF1F16">
              <w:t>ma</w:t>
            </w:r>
            <w:r>
              <w:t xml:space="preserve"> reāla</w:t>
            </w:r>
            <w:r w:rsidR="00CF1F16">
              <w:t>ja</w:t>
            </w:r>
            <w:r>
              <w:t xml:space="preserve">i tirgus situācijai, </w:t>
            </w:r>
            <w:r w:rsidR="00CF1F16">
              <w:t xml:space="preserve">jo </w:t>
            </w:r>
            <w:r>
              <w:t>svaigpiena iepirkuma cena, kas</w:t>
            </w:r>
            <w:r w:rsidR="00CF1F16">
              <w:t xml:space="preserve"> pasterizēta piena ražošanā veido </w:t>
            </w:r>
            <w:r>
              <w:t>galven</w:t>
            </w:r>
            <w:r w:rsidR="00CF1F16">
              <w:t>ās</w:t>
            </w:r>
            <w:r>
              <w:t xml:space="preserve"> izmaks</w:t>
            </w:r>
            <w:r w:rsidR="00CF1F16">
              <w:t>a</w:t>
            </w:r>
            <w:r>
              <w:t xml:space="preserve">s, gada </w:t>
            </w:r>
            <w:r w:rsidR="00CF1F16">
              <w:t xml:space="preserve">laikā </w:t>
            </w:r>
            <w:r>
              <w:t>svārstās ražošanas sezonalitātes ietekmē (pavasar</w:t>
            </w:r>
            <w:r w:rsidR="00CF1F16">
              <w:t>ī</w:t>
            </w:r>
            <w:r>
              <w:t xml:space="preserve"> un vasar</w:t>
            </w:r>
            <w:r w:rsidR="00CF1F16">
              <w:t>ā</w:t>
            </w:r>
            <w:r>
              <w:t xml:space="preserve"> piens tiek slaukts vairāk, tādēļ cena ir zemāka, savukārt ruden</w:t>
            </w:r>
            <w:r w:rsidR="00CF1F16">
              <w:t>ī</w:t>
            </w:r>
            <w:r>
              <w:t xml:space="preserve"> un ziem</w:t>
            </w:r>
            <w:r w:rsidR="00CF1F16">
              <w:t>ā</w:t>
            </w:r>
            <w:r>
              <w:t xml:space="preserve"> izslaukum</w:t>
            </w:r>
            <w:r w:rsidR="00CF1F16">
              <w:t>s</w:t>
            </w:r>
            <w:r>
              <w:t xml:space="preserve"> samazinās, tādēļ iepirkuma cena pieaug).</w:t>
            </w:r>
            <w:r w:rsidR="00C21B64">
              <w:t xml:space="preserve"> P</w:t>
            </w:r>
            <w:r w:rsidR="009D7702" w:rsidRPr="0056021D">
              <w:t xml:space="preserve">ašreizējā valsts līdzfinansējuma likme 0,54 </w:t>
            </w:r>
            <w:proofErr w:type="spellStart"/>
            <w:r w:rsidR="009D7702" w:rsidRPr="00B71D93">
              <w:rPr>
                <w:i/>
              </w:rPr>
              <w:t>euro</w:t>
            </w:r>
            <w:proofErr w:type="spellEnd"/>
            <w:r w:rsidR="009D7702" w:rsidRPr="0056021D">
              <w:t xml:space="preserve"> tika noteikta 2014.gada februārī, kad svaigpiena vidējā iepirkuma cena Latvijā bija 0,348 EUR/kg, savukārt līdz 2015.gada maijam dažādu tirgus faktoru ietekmē cena ir samazinājusies līdz 0,224 EUR/kg. </w:t>
            </w:r>
            <w:r w:rsidR="00CD189E">
              <w:t>Turklāt</w:t>
            </w:r>
            <w:r w:rsidR="009D7702" w:rsidRPr="0056021D">
              <w:t xml:space="preserve"> speciālistu prognozes liecina, ka vismaz līdz 2015.gada beigām būtiskas cenu augšupejas nebūs.</w:t>
            </w:r>
            <w:r w:rsidR="0056021D">
              <w:t xml:space="preserve"> Tādējādi </w:t>
            </w:r>
            <w:r w:rsidR="00CD189E">
              <w:t>ir</w:t>
            </w:r>
            <w:r w:rsidR="0056021D">
              <w:t xml:space="preserve"> izveidojusies situācija, kad programmā iesaistītajiem pretendentiem izmaksātā atbalsta apmērs pārsniedz faktiskās produkta saražošanas un piegādes izmaksas, veicinot neoptimālu pieejamā budžeta izlietojumu</w:t>
            </w:r>
            <w:r w:rsidR="00C21B64">
              <w:t>;</w:t>
            </w:r>
          </w:p>
          <w:p w:rsidR="00C21B64" w:rsidRDefault="00C21B64" w:rsidP="00C21B64">
            <w:pPr>
              <w:ind w:left="142" w:right="142"/>
              <w:jc w:val="both"/>
            </w:pPr>
            <w:r>
              <w:t>4) saskaņā ar Latvijas bioloģiskās lauksaimniecības asociācijas mājaslapā (</w:t>
            </w:r>
            <w:hyperlink r:id="rId8" w:history="1">
              <w:r w:rsidRPr="007F4953">
                <w:rPr>
                  <w:rStyle w:val="Hipersaite"/>
                </w:rPr>
                <w:t>www.lbla.lv</w:t>
              </w:r>
            </w:hyperlink>
            <w:r>
              <w:t>) publicēto informāciju, b</w:t>
            </w:r>
            <w:r w:rsidRPr="00EA2C5D">
              <w:t xml:space="preserve">ioloģiski ražotos produktus iegūst, saimniekojot ar dabiskām bioloģiskām metodēm, </w:t>
            </w:r>
            <w:r>
              <w:t xml:space="preserve">un </w:t>
            </w:r>
            <w:r w:rsidRPr="00EA2C5D">
              <w:t>vides piesārņojuma samazināšanu panāk</w:t>
            </w:r>
            <w:r>
              <w:t>,</w:t>
            </w:r>
            <w:r w:rsidRPr="00EA2C5D">
              <w:t xml:space="preserve"> ierobežojot mājlopu skaitu un kūtsmēslu daudzumu uz zemes platības vienību.</w:t>
            </w:r>
            <w:r w:rsidRPr="00EA2C5D">
              <w:br/>
              <w:t>Dabas daudzveidības saglabāšanai bioloģiskajā lauksaimniecībā iesaka audzēt vietējo šķirņu kultūraugus un mājdzīvniekus, jo tie atrodas vislabākajā saderībā arī ar vietējiem mikroorganismiem un dod vietējiem iedzīvotājiem vis</w:t>
            </w:r>
            <w:r>
              <w:t xml:space="preserve">vairāk </w:t>
            </w:r>
            <w:r w:rsidRPr="00EA2C5D">
              <w:t>piemēroto pārtiku.</w:t>
            </w:r>
            <w:r>
              <w:t xml:space="preserve"> Tādēļ </w:t>
            </w:r>
            <w:r w:rsidR="00CD189E">
              <w:t xml:space="preserve">tāda </w:t>
            </w:r>
            <w:r>
              <w:t>piena</w:t>
            </w:r>
            <w:r w:rsidR="00CD189E">
              <w:t xml:space="preserve"> piegāde</w:t>
            </w:r>
            <w:r>
              <w:t xml:space="preserve">, kas ražots atbilstoši bioloģiskās lauksaimniecības shēmas prasībām, programmā būtu īpaši veicināma ar </w:t>
            </w:r>
            <w:r w:rsidR="00CD189E">
              <w:t>liel</w:t>
            </w:r>
            <w:r>
              <w:t>āku līdzfinansējuma apmēru.</w:t>
            </w:r>
          </w:p>
          <w:p w:rsidR="00C21B64" w:rsidRDefault="00C21B64" w:rsidP="00C21B64">
            <w:pPr>
              <w:ind w:left="142" w:right="142"/>
              <w:jc w:val="both"/>
            </w:pPr>
          </w:p>
          <w:p w:rsidR="00C21B64" w:rsidRDefault="00CD189E" w:rsidP="00C21B64">
            <w:pPr>
              <w:ind w:left="142" w:right="142"/>
              <w:jc w:val="both"/>
            </w:pPr>
            <w:r>
              <w:t>Ievērojot iepriekšminēto</w:t>
            </w:r>
            <w:r w:rsidR="005C4C75">
              <w:t>,</w:t>
            </w:r>
            <w:r w:rsidR="002B69E0">
              <w:t xml:space="preserve"> projekts paredz</w:t>
            </w:r>
            <w:r w:rsidR="004E4BA7">
              <w:t>, ka</w:t>
            </w:r>
            <w:r w:rsidR="002B69E0">
              <w:t>:</w:t>
            </w:r>
          </w:p>
          <w:p w:rsidR="00F13DD3" w:rsidRDefault="002B69E0" w:rsidP="005C4C75">
            <w:pPr>
              <w:pStyle w:val="naiskr"/>
              <w:spacing w:before="0" w:after="0"/>
              <w:ind w:left="132" w:right="141"/>
              <w:jc w:val="both"/>
              <w:rPr>
                <w:szCs w:val="28"/>
              </w:rPr>
            </w:pPr>
            <w:r>
              <w:t xml:space="preserve">1) </w:t>
            </w:r>
            <w:r w:rsidR="005C4C75">
              <w:t>v</w:t>
            </w:r>
            <w:r w:rsidR="002461AD">
              <w:t>alsts līdzfinansējuma likme būs mainīga</w:t>
            </w:r>
            <w:r w:rsidR="00BF1CD8">
              <w:t>,</w:t>
            </w:r>
            <w:r w:rsidR="002461AD">
              <w:t xml:space="preserve"> un n</w:t>
            </w:r>
            <w:r w:rsidR="004F3CBD">
              <w:t xml:space="preserve">oteicošais </w:t>
            </w:r>
            <w:r w:rsidR="00375DC6" w:rsidRPr="00375DC6">
              <w:t>faktor</w:t>
            </w:r>
            <w:r w:rsidR="004F3CBD">
              <w:t>s</w:t>
            </w:r>
            <w:r w:rsidR="00375DC6" w:rsidRPr="00375DC6">
              <w:t xml:space="preserve"> valsts līdzfinansējuma apmēra aprēķināšanai </w:t>
            </w:r>
            <w:r w:rsidR="004F3CBD">
              <w:t xml:space="preserve">būs svaigpiena iepirkuma cena kā mainīgais elements. Šai cenai pieskaitot </w:t>
            </w:r>
            <w:r w:rsidR="00375DC6" w:rsidRPr="00375DC6">
              <w:t>pārējās izmaksas, kas saistītas ar gatava produkta nogādāšanu līdz izglītojam</w:t>
            </w:r>
            <w:r w:rsidR="005C4C75">
              <w:t>aj</w:t>
            </w:r>
            <w:r w:rsidR="00375DC6" w:rsidRPr="00375DC6">
              <w:t>iem</w:t>
            </w:r>
            <w:r w:rsidR="004F3CBD">
              <w:t xml:space="preserve"> un kas </w:t>
            </w:r>
            <w:r w:rsidR="005C4C75">
              <w:t xml:space="preserve">mācību gada laikā </w:t>
            </w:r>
            <w:r w:rsidR="004F3CBD">
              <w:t>nemainī</w:t>
            </w:r>
            <w:r w:rsidR="005C4C75">
              <w:t>sies</w:t>
            </w:r>
            <w:r w:rsidR="00375DC6">
              <w:t xml:space="preserve">, </w:t>
            </w:r>
            <w:r w:rsidR="004F3CBD">
              <w:t xml:space="preserve">un </w:t>
            </w:r>
            <w:r w:rsidR="005C4C75">
              <w:t>no šīs summas atņemot</w:t>
            </w:r>
            <w:r w:rsidR="004F3CBD">
              <w:t xml:space="preserve"> Eiropas Savienības atbalsta apmēru (0,1815 EUR/kg</w:t>
            </w:r>
            <w:r w:rsidR="00BF1CD8">
              <w:t xml:space="preserve">, </w:t>
            </w:r>
            <w:r w:rsidR="00BF1CD8" w:rsidRPr="00BF1CD8">
              <w:rPr>
                <w:b/>
              </w:rPr>
              <w:t>pārrēķinātu uz litriem</w:t>
            </w:r>
            <w:r w:rsidR="004F3CBD">
              <w:t xml:space="preserve">), tiks </w:t>
            </w:r>
            <w:r w:rsidR="005C4C75">
              <w:t>aprēķināta</w:t>
            </w:r>
            <w:r w:rsidR="004F3CBD">
              <w:t xml:space="preserve"> valsts līdzfinansējuma likme par </w:t>
            </w:r>
            <w:r w:rsidR="005C4C75">
              <w:t>vienu produkta</w:t>
            </w:r>
            <w:r w:rsidR="004F3CBD">
              <w:t xml:space="preserve"> </w:t>
            </w:r>
            <w:r w:rsidR="00BF1CD8" w:rsidRPr="00BF1CD8">
              <w:rPr>
                <w:b/>
              </w:rPr>
              <w:t>litru</w:t>
            </w:r>
            <w:r w:rsidR="00375DC6" w:rsidRPr="00375DC6">
              <w:t>.</w:t>
            </w:r>
            <w:r w:rsidR="00375DC6">
              <w:t xml:space="preserve"> Lai n</w:t>
            </w:r>
            <w:r w:rsidR="005C4C75">
              <w:t>ovērstu</w:t>
            </w:r>
            <w:r w:rsidR="00375DC6">
              <w:t xml:space="preserve"> nevajadzīgu administratīvo slogu, valsts līdzfinansējuma aprēķināšanā </w:t>
            </w:r>
            <w:r w:rsidR="005C4C75">
              <w:t xml:space="preserve">tiks ņemta vērā vidējā </w:t>
            </w:r>
            <w:r w:rsidR="00375DC6">
              <w:t xml:space="preserve">svaigpiena iepirkuma cena </w:t>
            </w:r>
            <w:r w:rsidR="005C4C75">
              <w:t xml:space="preserve">ceturksnī, </w:t>
            </w:r>
            <w:r w:rsidR="00375DC6">
              <w:t>nevis mēnes</w:t>
            </w:r>
            <w:r w:rsidR="005C4C75">
              <w:t>ī</w:t>
            </w:r>
            <w:r w:rsidR="00375DC6">
              <w:t xml:space="preserve">. </w:t>
            </w:r>
            <w:r w:rsidR="00375DC6">
              <w:rPr>
                <w:szCs w:val="28"/>
              </w:rPr>
              <w:t>V</w:t>
            </w:r>
            <w:r w:rsidR="00375DC6" w:rsidRPr="0056021D">
              <w:rPr>
                <w:szCs w:val="28"/>
              </w:rPr>
              <w:t>idēj</w:t>
            </w:r>
            <w:r w:rsidR="004F3CBD">
              <w:rPr>
                <w:szCs w:val="28"/>
              </w:rPr>
              <w:t>o</w:t>
            </w:r>
            <w:r w:rsidR="00375DC6" w:rsidRPr="0056021D">
              <w:rPr>
                <w:szCs w:val="28"/>
              </w:rPr>
              <w:t xml:space="preserve"> svaigpiena iepirkuma cen</w:t>
            </w:r>
            <w:r w:rsidR="004F3CBD">
              <w:rPr>
                <w:szCs w:val="28"/>
              </w:rPr>
              <w:t>u</w:t>
            </w:r>
            <w:r w:rsidR="00375DC6" w:rsidRPr="0056021D">
              <w:rPr>
                <w:szCs w:val="28"/>
              </w:rPr>
              <w:t xml:space="preserve"> kārtējam ceturksnim</w:t>
            </w:r>
            <w:r w:rsidR="00375DC6">
              <w:rPr>
                <w:szCs w:val="28"/>
              </w:rPr>
              <w:t xml:space="preserve"> </w:t>
            </w:r>
            <w:r w:rsidR="005C4C75">
              <w:rPr>
                <w:szCs w:val="28"/>
              </w:rPr>
              <w:t>četras</w:t>
            </w:r>
            <w:r w:rsidR="004F3CBD">
              <w:rPr>
                <w:szCs w:val="28"/>
              </w:rPr>
              <w:t xml:space="preserve"> reizes gadā aprēķinās Lauksaimniecības datu centrs (turpmāk </w:t>
            </w:r>
            <w:r w:rsidR="004F3CBD">
              <w:rPr>
                <w:szCs w:val="28"/>
              </w:rPr>
              <w:lastRenderedPageBreak/>
              <w:t xml:space="preserve">– LDC) </w:t>
            </w:r>
            <w:r w:rsidR="00375DC6">
              <w:rPr>
                <w:szCs w:val="28"/>
              </w:rPr>
              <w:t xml:space="preserve">no </w:t>
            </w:r>
            <w:r w:rsidR="00375DC6" w:rsidRPr="00414F36">
              <w:rPr>
                <w:szCs w:val="28"/>
              </w:rPr>
              <w:t xml:space="preserve">to trīs iepriekšējo mēnešu svaigpiena iepirkuma cenām, </w:t>
            </w:r>
            <w:r w:rsidR="004F3CBD">
              <w:rPr>
                <w:szCs w:val="28"/>
              </w:rPr>
              <w:t xml:space="preserve">kas apkopotas saskaņā ar normatīvajiem aktiem par kārtību, </w:t>
            </w:r>
            <w:r w:rsidR="00375DC6" w:rsidRPr="00414F36">
              <w:rPr>
                <w:szCs w:val="28"/>
              </w:rPr>
              <w:t>kādā tiek vākta un apkopota informācija par lauksaimniecības produktu cenām un tirdzniecības apjomiem noteiktā pārskata periodā</w:t>
            </w:r>
            <w:r w:rsidR="004F3CBD">
              <w:rPr>
                <w:szCs w:val="28"/>
              </w:rPr>
              <w:t>. Aprēķināto vidējo svaigpiena cenu ceturksnim LDC nosūtīs L</w:t>
            </w:r>
            <w:r w:rsidR="002E12AE">
              <w:rPr>
                <w:szCs w:val="28"/>
              </w:rPr>
              <w:t>auku atbalsta dienestam (turpmāk – L</w:t>
            </w:r>
            <w:r w:rsidR="004F3CBD">
              <w:rPr>
                <w:szCs w:val="28"/>
              </w:rPr>
              <w:t>AD</w:t>
            </w:r>
            <w:r w:rsidR="002E12AE">
              <w:rPr>
                <w:szCs w:val="28"/>
              </w:rPr>
              <w:t>)</w:t>
            </w:r>
            <w:r w:rsidR="004F3CBD">
              <w:rPr>
                <w:szCs w:val="28"/>
              </w:rPr>
              <w:t xml:space="preserve">, kas </w:t>
            </w:r>
            <w:r w:rsidR="005C4C75">
              <w:rPr>
                <w:szCs w:val="28"/>
              </w:rPr>
              <w:t>savukārt aprēķinā</w:t>
            </w:r>
            <w:r w:rsidR="004F3CBD">
              <w:rPr>
                <w:szCs w:val="28"/>
              </w:rPr>
              <w:t>s valsts līdzfinansējuma likm</w:t>
            </w:r>
            <w:r w:rsidR="005C4C75">
              <w:rPr>
                <w:szCs w:val="28"/>
              </w:rPr>
              <w:t>i</w:t>
            </w:r>
            <w:r w:rsidR="004F3CBD">
              <w:rPr>
                <w:szCs w:val="28"/>
              </w:rPr>
              <w:t xml:space="preserve"> kārtējam ceturksnim, pieskaitot </w:t>
            </w:r>
            <w:r w:rsidR="005C4C75">
              <w:rPr>
                <w:szCs w:val="28"/>
              </w:rPr>
              <w:t xml:space="preserve">arī </w:t>
            </w:r>
            <w:r w:rsidR="004F3CBD">
              <w:rPr>
                <w:szCs w:val="28"/>
              </w:rPr>
              <w:t>pārējās izmaksas. LAD aprēķināt</w:t>
            </w:r>
            <w:r w:rsidR="005C4C75">
              <w:rPr>
                <w:szCs w:val="28"/>
              </w:rPr>
              <w:t>ā</w:t>
            </w:r>
            <w:r w:rsidR="004F3CBD">
              <w:rPr>
                <w:szCs w:val="28"/>
              </w:rPr>
              <w:t xml:space="preserve"> valsts līdzfinansējuma likmi katram </w:t>
            </w:r>
            <w:r w:rsidR="005C4C75">
              <w:rPr>
                <w:szCs w:val="28"/>
              </w:rPr>
              <w:t xml:space="preserve">nākamajam </w:t>
            </w:r>
            <w:r w:rsidR="004F3CBD">
              <w:rPr>
                <w:szCs w:val="28"/>
              </w:rPr>
              <w:t xml:space="preserve">ceturksnim </w:t>
            </w:r>
            <w:r w:rsidR="005C4C75">
              <w:rPr>
                <w:szCs w:val="28"/>
              </w:rPr>
              <w:t xml:space="preserve">tiks </w:t>
            </w:r>
            <w:r w:rsidR="004F3CBD">
              <w:rPr>
                <w:szCs w:val="28"/>
              </w:rPr>
              <w:t>publicē</w:t>
            </w:r>
            <w:r w:rsidR="005C4C75">
              <w:rPr>
                <w:szCs w:val="28"/>
              </w:rPr>
              <w:t>ta</w:t>
            </w:r>
            <w:r w:rsidR="004F3CBD">
              <w:rPr>
                <w:szCs w:val="28"/>
              </w:rPr>
              <w:t xml:space="preserve"> laikrakstā “Latvijas Vēstnesis”</w:t>
            </w:r>
            <w:r w:rsidR="0035066C">
              <w:rPr>
                <w:szCs w:val="28"/>
              </w:rPr>
              <w:t xml:space="preserve"> līdz iepriekšējā ceturkšņa pēdējā mēneša 25.datumam</w:t>
            </w:r>
            <w:r w:rsidR="005C4C75">
              <w:rPr>
                <w:szCs w:val="28"/>
              </w:rPr>
              <w:t>;</w:t>
            </w:r>
            <w:r w:rsidR="004F3CBD">
              <w:rPr>
                <w:szCs w:val="28"/>
              </w:rPr>
              <w:t xml:space="preserve"> </w:t>
            </w:r>
          </w:p>
          <w:p w:rsidR="0035066C" w:rsidRDefault="004E4BA7" w:rsidP="00375DC6">
            <w:pPr>
              <w:pStyle w:val="naiskr"/>
              <w:spacing w:before="0" w:after="0"/>
              <w:ind w:left="132" w:right="141"/>
              <w:jc w:val="both"/>
              <w:rPr>
                <w:szCs w:val="28"/>
              </w:rPr>
            </w:pPr>
            <w:r>
              <w:rPr>
                <w:szCs w:val="28"/>
              </w:rPr>
              <w:t xml:space="preserve">2) </w:t>
            </w:r>
            <w:r w:rsidR="005C4C75">
              <w:rPr>
                <w:szCs w:val="28"/>
              </w:rPr>
              <w:t>p</w:t>
            </w:r>
            <w:r w:rsidR="00375DC6">
              <w:rPr>
                <w:szCs w:val="28"/>
              </w:rPr>
              <w:t>ārējās piena pārstrādes izmaksas</w:t>
            </w:r>
            <w:r w:rsidR="003B5C50">
              <w:rPr>
                <w:szCs w:val="28"/>
              </w:rPr>
              <w:t>, k</w:t>
            </w:r>
            <w:r w:rsidR="005C4C75">
              <w:rPr>
                <w:szCs w:val="28"/>
              </w:rPr>
              <w:t>as</w:t>
            </w:r>
            <w:r w:rsidR="003B5C50">
              <w:rPr>
                <w:szCs w:val="28"/>
              </w:rPr>
              <w:t xml:space="preserve"> var ietvert piemaksu par pienu, k</w:t>
            </w:r>
            <w:r w:rsidR="005C4C75">
              <w:rPr>
                <w:szCs w:val="28"/>
              </w:rPr>
              <w:t>urš</w:t>
            </w:r>
            <w:r w:rsidR="003B5C50">
              <w:rPr>
                <w:szCs w:val="28"/>
              </w:rPr>
              <w:t xml:space="preserve"> ražots atbilstoši bioloģiskās lauksaimniecības prasībām,</w:t>
            </w:r>
            <w:r w:rsidR="00375DC6">
              <w:rPr>
                <w:szCs w:val="28"/>
              </w:rPr>
              <w:t xml:space="preserve"> </w:t>
            </w:r>
            <w:r w:rsidR="005C4C75">
              <w:rPr>
                <w:szCs w:val="28"/>
              </w:rPr>
              <w:t xml:space="preserve">katru gadu noteiks īpaša zemkopības ministra izveidota komisija, kuras sastāvā ir </w:t>
            </w:r>
            <w:r w:rsidR="005C4C75" w:rsidRPr="004F3CBD">
              <w:rPr>
                <w:szCs w:val="28"/>
              </w:rPr>
              <w:t>Zemkopības ministrijas, Lauku atbalsta dienesta, Veselības ministrijas, Slimību profilakses un kontroles centra un Izglītības un zinātnes ministrijas</w:t>
            </w:r>
            <w:r w:rsidR="005C4C75">
              <w:rPr>
                <w:szCs w:val="28"/>
              </w:rPr>
              <w:t xml:space="preserve"> (turpmāk – komisija) pārstāvji;</w:t>
            </w:r>
          </w:p>
          <w:p w:rsidR="00F13DD3" w:rsidRDefault="0035066C" w:rsidP="00375DC6">
            <w:pPr>
              <w:pStyle w:val="naiskr"/>
              <w:spacing w:before="0" w:after="0"/>
              <w:ind w:left="132" w:right="141"/>
              <w:jc w:val="both"/>
            </w:pPr>
            <w:r>
              <w:rPr>
                <w:szCs w:val="28"/>
              </w:rPr>
              <w:t xml:space="preserve">3) </w:t>
            </w:r>
            <w:r w:rsidR="00162FE7">
              <w:rPr>
                <w:szCs w:val="28"/>
              </w:rPr>
              <w:t xml:space="preserve">ir dažādas valsts līdzfinansējuma likmes pienam ne vairāk kā 250 ml lielā iepakojumā un pienam vairāk nekā 250 ml lielā iepakojumā, jo </w:t>
            </w:r>
            <w:r>
              <w:rPr>
                <w:szCs w:val="28"/>
              </w:rPr>
              <w:t>mazos iepakojumos fasēta piena ražošanas</w:t>
            </w:r>
            <w:r w:rsidR="00162FE7">
              <w:rPr>
                <w:szCs w:val="28"/>
              </w:rPr>
              <w:t xml:space="preserve">, īpaši tā pārstrādes, </w:t>
            </w:r>
            <w:r>
              <w:rPr>
                <w:szCs w:val="28"/>
              </w:rPr>
              <w:t>izmaksas ir lielākas nekā liel</w:t>
            </w:r>
            <w:r w:rsidR="00162FE7">
              <w:rPr>
                <w:szCs w:val="28"/>
              </w:rPr>
              <w:t>ā</w:t>
            </w:r>
            <w:r>
              <w:rPr>
                <w:szCs w:val="28"/>
              </w:rPr>
              <w:t xml:space="preserve"> iepakojum</w:t>
            </w:r>
            <w:r w:rsidR="00162FE7">
              <w:rPr>
                <w:szCs w:val="28"/>
              </w:rPr>
              <w:t>ā</w:t>
            </w:r>
            <w:r>
              <w:rPr>
                <w:szCs w:val="28"/>
              </w:rPr>
              <w:t xml:space="preserve"> (no kur</w:t>
            </w:r>
            <w:r w:rsidR="00162FE7">
              <w:rPr>
                <w:szCs w:val="28"/>
              </w:rPr>
              <w:t>a iespējams</w:t>
            </w:r>
            <w:r>
              <w:rPr>
                <w:szCs w:val="28"/>
              </w:rPr>
              <w:t xml:space="preserve"> iegūt vairāk </w:t>
            </w:r>
            <w:r w:rsidR="00162FE7">
              <w:rPr>
                <w:szCs w:val="28"/>
              </w:rPr>
              <w:t>nekā</w:t>
            </w:r>
            <w:r>
              <w:rPr>
                <w:szCs w:val="28"/>
              </w:rPr>
              <w:t xml:space="preserve"> 1 porciju) fasētam pienam</w:t>
            </w:r>
            <w:r w:rsidR="00162FE7">
              <w:rPr>
                <w:szCs w:val="28"/>
              </w:rPr>
              <w:t>.</w:t>
            </w:r>
            <w:r>
              <w:rPr>
                <w:szCs w:val="28"/>
              </w:rPr>
              <w:t xml:space="preserve"> </w:t>
            </w:r>
            <w:r w:rsidR="00162FE7">
              <w:t>I</w:t>
            </w:r>
            <w:r w:rsidR="002E12AE">
              <w:t>zmantojot mainīgas valsts līdzfinansējuma likmes principu</w:t>
            </w:r>
            <w:r w:rsidR="00162FE7">
              <w:t>,</w:t>
            </w:r>
            <w:r w:rsidR="002E12AE">
              <w:t xml:space="preserve"> </w:t>
            </w:r>
            <w:r w:rsidR="00162FE7">
              <w:t xml:space="preserve">valsts budžetā tiks </w:t>
            </w:r>
            <w:r w:rsidR="002E12AE">
              <w:t>ietaup</w:t>
            </w:r>
            <w:r w:rsidR="00162FE7">
              <w:t>īti</w:t>
            </w:r>
            <w:r w:rsidR="002E12AE">
              <w:t xml:space="preserve"> līdzekļ</w:t>
            </w:r>
            <w:r w:rsidR="00162FE7">
              <w:t>i</w:t>
            </w:r>
            <w:r w:rsidR="002E12AE">
              <w:t xml:space="preserve">. </w:t>
            </w:r>
            <w:r w:rsidR="00162FE7">
              <w:t xml:space="preserve">Ņemot vērā </w:t>
            </w:r>
            <w:r w:rsidR="002E12AE">
              <w:t xml:space="preserve">piena pārstrādes uzņēmumu līdz šim sniegto pasterizēta piena (dažādos iepakojumos) ražošanas un piegādes izmaksu apmēru un struktūru, kā arī pēdējo 12 mēnešu vidējo svaigpiena iepirkuma cenu, </w:t>
            </w:r>
            <w:r w:rsidR="00162FE7">
              <w:t xml:space="preserve">var pieņemt, ka </w:t>
            </w:r>
            <w:r w:rsidR="002E12AE">
              <w:t xml:space="preserve">valsts līdzfinansējuma </w:t>
            </w:r>
            <w:r w:rsidR="00F40437">
              <w:t xml:space="preserve">provizoriskā </w:t>
            </w:r>
            <w:r w:rsidR="002E12AE">
              <w:t xml:space="preserve">likme pienam </w:t>
            </w:r>
            <w:r w:rsidR="00F40437">
              <w:rPr>
                <w:szCs w:val="28"/>
              </w:rPr>
              <w:t>ne vairāk kā 250</w:t>
            </w:r>
            <w:r w:rsidR="002B5198">
              <w:rPr>
                <w:szCs w:val="28"/>
              </w:rPr>
              <w:t> </w:t>
            </w:r>
            <w:r w:rsidR="00F40437">
              <w:rPr>
                <w:szCs w:val="28"/>
              </w:rPr>
              <w:t xml:space="preserve">ml lielā </w:t>
            </w:r>
            <w:r w:rsidR="002E12AE">
              <w:t xml:space="preserve">iepakojumā varētu sasniegt </w:t>
            </w:r>
            <w:r w:rsidR="00F40437">
              <w:t xml:space="preserve">EUR </w:t>
            </w:r>
            <w:r w:rsidR="002E12AE">
              <w:t>0,71 par 1</w:t>
            </w:r>
            <w:r w:rsidR="002B5198">
              <w:t> </w:t>
            </w:r>
            <w:r w:rsidR="002E12AE">
              <w:t>kilogramu (t.i., par 4</w:t>
            </w:r>
            <w:r w:rsidR="00F40437">
              <w:t>–</w:t>
            </w:r>
            <w:r w:rsidR="002E12AE">
              <w:t>5 mazajām paciņām), bet pienam</w:t>
            </w:r>
            <w:r w:rsidR="00F40437">
              <w:rPr>
                <w:szCs w:val="28"/>
              </w:rPr>
              <w:t xml:space="preserve"> vairāk nekā 250 ml lielā</w:t>
            </w:r>
            <w:r w:rsidR="00F40437">
              <w:t xml:space="preserve"> </w:t>
            </w:r>
            <w:r w:rsidR="002E12AE">
              <w:t xml:space="preserve">iepakojumā – </w:t>
            </w:r>
            <w:r w:rsidR="00F40437">
              <w:t xml:space="preserve">EUR </w:t>
            </w:r>
            <w:r w:rsidR="002E12AE">
              <w:t>0,50 par 1</w:t>
            </w:r>
            <w:r w:rsidR="002B5198">
              <w:t> </w:t>
            </w:r>
            <w:r w:rsidR="002E12AE">
              <w:t>kilogramu</w:t>
            </w:r>
            <w:r w:rsidR="00F40437">
              <w:t>;</w:t>
            </w:r>
          </w:p>
          <w:p w:rsidR="00F13DD3" w:rsidRDefault="002E12AE" w:rsidP="00375DC6">
            <w:pPr>
              <w:pStyle w:val="naiskr"/>
              <w:spacing w:before="0" w:after="0"/>
              <w:ind w:left="132" w:right="141"/>
              <w:jc w:val="both"/>
              <w:rPr>
                <w:szCs w:val="28"/>
              </w:rPr>
            </w:pPr>
            <w:r>
              <w:t xml:space="preserve">4) </w:t>
            </w:r>
            <w:r w:rsidR="002B5198">
              <w:rPr>
                <w:szCs w:val="28"/>
              </w:rPr>
              <w:t>pienam, kas ražots atbilstoši bioloģiskās lauksaimniecības shēmas prasībām, pēc nepieciešamības tiks noteikta a</w:t>
            </w:r>
            <w:r>
              <w:rPr>
                <w:szCs w:val="28"/>
              </w:rPr>
              <w:t xml:space="preserve">tsevišķa likme katra veida iepakojumam un </w:t>
            </w:r>
            <w:r w:rsidR="002B5198">
              <w:rPr>
                <w:szCs w:val="28"/>
              </w:rPr>
              <w:t xml:space="preserve">lielāks pārējo izmaksu apmērs, bet nepārsniedzot </w:t>
            </w:r>
            <w:r>
              <w:rPr>
                <w:szCs w:val="28"/>
              </w:rPr>
              <w:t>pieejam</w:t>
            </w:r>
            <w:r w:rsidR="002B5198">
              <w:rPr>
                <w:szCs w:val="28"/>
              </w:rPr>
              <w:t>o</w:t>
            </w:r>
            <w:r>
              <w:rPr>
                <w:szCs w:val="28"/>
              </w:rPr>
              <w:t xml:space="preserve"> budžeta</w:t>
            </w:r>
            <w:r w:rsidR="002B5198">
              <w:rPr>
                <w:szCs w:val="28"/>
              </w:rPr>
              <w:t>;</w:t>
            </w:r>
          </w:p>
          <w:p w:rsidR="004E4BA7" w:rsidRPr="00B94871" w:rsidRDefault="002E12AE" w:rsidP="00375DC6">
            <w:pPr>
              <w:pStyle w:val="naiskr"/>
              <w:spacing w:before="0" w:after="0"/>
              <w:ind w:left="132" w:right="141"/>
              <w:jc w:val="both"/>
              <w:rPr>
                <w:szCs w:val="28"/>
              </w:rPr>
            </w:pPr>
            <w:r>
              <w:rPr>
                <w:szCs w:val="28"/>
              </w:rPr>
              <w:t>5</w:t>
            </w:r>
            <w:r w:rsidR="004E4BA7">
              <w:rPr>
                <w:szCs w:val="28"/>
              </w:rPr>
              <w:t xml:space="preserve">) </w:t>
            </w:r>
            <w:r w:rsidR="0035066C">
              <w:rPr>
                <w:szCs w:val="28"/>
              </w:rPr>
              <w:t>valsts līdzfinansējuma un Eiropas Savienības atbalsta summa par 1</w:t>
            </w:r>
            <w:r w:rsidR="002B5198">
              <w:rPr>
                <w:szCs w:val="28"/>
              </w:rPr>
              <w:t> </w:t>
            </w:r>
            <w:r w:rsidR="00BF1CD8">
              <w:rPr>
                <w:szCs w:val="28"/>
              </w:rPr>
              <w:t>litru</w:t>
            </w:r>
            <w:r w:rsidR="0035066C">
              <w:rPr>
                <w:szCs w:val="28"/>
              </w:rPr>
              <w:t xml:space="preserve"> piena nedrīkst pārsniegt noteiktu apmēru</w:t>
            </w:r>
            <w:r w:rsidR="002B5198">
              <w:rPr>
                <w:szCs w:val="28"/>
              </w:rPr>
              <w:t>, tā nodrošinot optimālu budžeta izlietošanu, t</w:t>
            </w:r>
            <w:r w:rsidR="0035066C">
              <w:rPr>
                <w:szCs w:val="28"/>
              </w:rPr>
              <w:t>ā</w:t>
            </w:r>
            <w:r w:rsidR="002B5198">
              <w:rPr>
                <w:szCs w:val="28"/>
              </w:rPr>
              <w:t>pēc</w:t>
            </w:r>
            <w:r w:rsidR="0035066C">
              <w:rPr>
                <w:szCs w:val="28"/>
              </w:rPr>
              <w:t xml:space="preserve"> komisija</w:t>
            </w:r>
            <w:r w:rsidR="002B5198">
              <w:rPr>
                <w:szCs w:val="28"/>
              </w:rPr>
              <w:t>i</w:t>
            </w:r>
            <w:r w:rsidR="0035066C">
              <w:rPr>
                <w:szCs w:val="28"/>
              </w:rPr>
              <w:t xml:space="preserve"> katru gadu līdz 10.</w:t>
            </w:r>
            <w:r w:rsidR="003B5C50">
              <w:rPr>
                <w:szCs w:val="28"/>
              </w:rPr>
              <w:t>jūlijam</w:t>
            </w:r>
            <w:r w:rsidR="0035066C">
              <w:rPr>
                <w:szCs w:val="28"/>
              </w:rPr>
              <w:t xml:space="preserve"> </w:t>
            </w:r>
            <w:r w:rsidR="002B5198">
              <w:rPr>
                <w:szCs w:val="28"/>
              </w:rPr>
              <w:t>būs jā</w:t>
            </w:r>
            <w:r w:rsidR="0035066C">
              <w:rPr>
                <w:szCs w:val="28"/>
              </w:rPr>
              <w:t>nosaka arī nākamajam mācību gadam piemērojam</w:t>
            </w:r>
            <w:r w:rsidR="002B5198">
              <w:rPr>
                <w:szCs w:val="28"/>
              </w:rPr>
              <w:t>ais</w:t>
            </w:r>
            <w:r w:rsidR="0035066C">
              <w:rPr>
                <w:szCs w:val="28"/>
              </w:rPr>
              <w:t xml:space="preserve"> maksimāl</w:t>
            </w:r>
            <w:r w:rsidR="002B5198">
              <w:rPr>
                <w:szCs w:val="28"/>
              </w:rPr>
              <w:t>ais</w:t>
            </w:r>
            <w:r w:rsidR="0035066C">
              <w:rPr>
                <w:szCs w:val="28"/>
              </w:rPr>
              <w:t xml:space="preserve"> atbalst</w:t>
            </w:r>
            <w:r w:rsidR="002B5198">
              <w:rPr>
                <w:szCs w:val="28"/>
              </w:rPr>
              <w:t>s</w:t>
            </w:r>
            <w:r w:rsidR="0035066C">
              <w:rPr>
                <w:szCs w:val="28"/>
              </w:rPr>
              <w:t xml:space="preserve">. </w:t>
            </w:r>
            <w:r w:rsidR="002B5198">
              <w:rPr>
                <w:szCs w:val="28"/>
              </w:rPr>
              <w:t>Pēc n</w:t>
            </w:r>
            <w:r w:rsidR="0035066C">
              <w:rPr>
                <w:szCs w:val="28"/>
              </w:rPr>
              <w:t xml:space="preserve">epieciešamības LAD aprēķinātā </w:t>
            </w:r>
            <w:r w:rsidR="004E4BA7">
              <w:rPr>
                <w:szCs w:val="28"/>
              </w:rPr>
              <w:t>valsts līdzfinansējuma likme tiks samazināta p</w:t>
            </w:r>
            <w:r w:rsidR="00950297">
              <w:rPr>
                <w:szCs w:val="28"/>
              </w:rPr>
              <w:t>a</w:t>
            </w:r>
            <w:r w:rsidR="004E4BA7">
              <w:rPr>
                <w:szCs w:val="28"/>
              </w:rPr>
              <w:t>r pārsnieg</w:t>
            </w:r>
            <w:r w:rsidR="002B5198">
              <w:rPr>
                <w:szCs w:val="28"/>
              </w:rPr>
              <w:t>to</w:t>
            </w:r>
            <w:r w:rsidR="004E4BA7">
              <w:rPr>
                <w:szCs w:val="28"/>
              </w:rPr>
              <w:t xml:space="preserve"> </w:t>
            </w:r>
            <w:r w:rsidR="002B5198">
              <w:rPr>
                <w:szCs w:val="28"/>
              </w:rPr>
              <w:t>daļ</w:t>
            </w:r>
            <w:r w:rsidR="004E4BA7">
              <w:rPr>
                <w:szCs w:val="28"/>
              </w:rPr>
              <w:t>u</w:t>
            </w:r>
            <w:r w:rsidR="002B5198">
              <w:rPr>
                <w:szCs w:val="28"/>
              </w:rPr>
              <w:t>;</w:t>
            </w:r>
          </w:p>
          <w:p w:rsidR="004E4BA7" w:rsidRDefault="002E12AE" w:rsidP="00375DC6">
            <w:pPr>
              <w:ind w:left="142" w:right="142"/>
              <w:jc w:val="both"/>
            </w:pPr>
            <w:r>
              <w:rPr>
                <w:szCs w:val="28"/>
              </w:rPr>
              <w:t>6</w:t>
            </w:r>
            <w:r w:rsidR="004E4BA7">
              <w:rPr>
                <w:szCs w:val="28"/>
              </w:rPr>
              <w:t xml:space="preserve">) </w:t>
            </w:r>
            <w:r w:rsidR="002B5198">
              <w:rPr>
                <w:szCs w:val="28"/>
              </w:rPr>
              <w:t>k</w:t>
            </w:r>
            <w:r w:rsidR="004E4BA7">
              <w:rPr>
                <w:szCs w:val="28"/>
              </w:rPr>
              <w:t>omis</w:t>
            </w:r>
            <w:r>
              <w:rPr>
                <w:szCs w:val="28"/>
              </w:rPr>
              <w:t>ijas noteiktās pārējās izmaksas un</w:t>
            </w:r>
            <w:r w:rsidR="004E4BA7">
              <w:rPr>
                <w:szCs w:val="28"/>
              </w:rPr>
              <w:t xml:space="preserve"> </w:t>
            </w:r>
            <w:r w:rsidR="00375DC6">
              <w:rPr>
                <w:szCs w:val="28"/>
              </w:rPr>
              <w:t>maksimālo atbalst</w:t>
            </w:r>
            <w:r w:rsidR="004E4BA7">
              <w:rPr>
                <w:szCs w:val="28"/>
              </w:rPr>
              <w:t>u</w:t>
            </w:r>
            <w:r w:rsidR="00375DC6">
              <w:rPr>
                <w:szCs w:val="28"/>
              </w:rPr>
              <w:t xml:space="preserve"> LAD publicēs </w:t>
            </w:r>
            <w:r w:rsidR="00375DC6" w:rsidRPr="00971B83">
              <w:rPr>
                <w:szCs w:val="28"/>
              </w:rPr>
              <w:t>laikrakstā “Latvijas Vēstnesis”</w:t>
            </w:r>
            <w:r w:rsidR="00375DC6">
              <w:rPr>
                <w:szCs w:val="28"/>
              </w:rPr>
              <w:t xml:space="preserve"> </w:t>
            </w:r>
            <w:r w:rsidR="004E4BA7">
              <w:rPr>
                <w:szCs w:val="28"/>
              </w:rPr>
              <w:t xml:space="preserve">katru gadu </w:t>
            </w:r>
            <w:r w:rsidR="00375DC6">
              <w:rPr>
                <w:szCs w:val="28"/>
              </w:rPr>
              <w:t>līdz 15.</w:t>
            </w:r>
            <w:r w:rsidR="003B5C50">
              <w:rPr>
                <w:szCs w:val="28"/>
              </w:rPr>
              <w:t>jūlijam</w:t>
            </w:r>
            <w:r w:rsidR="00ED11D9">
              <w:rPr>
                <w:szCs w:val="28"/>
              </w:rPr>
              <w:t>;</w:t>
            </w:r>
            <w:r w:rsidR="00375DC6">
              <w:t xml:space="preserve"> </w:t>
            </w:r>
          </w:p>
          <w:p w:rsidR="003B5C50" w:rsidRDefault="002E12AE" w:rsidP="00DD5F81">
            <w:pPr>
              <w:ind w:left="142" w:right="142"/>
              <w:jc w:val="both"/>
            </w:pPr>
            <w:r>
              <w:t>7</w:t>
            </w:r>
            <w:r w:rsidR="003B5C50">
              <w:t xml:space="preserve">) </w:t>
            </w:r>
            <w:r w:rsidR="00ED11D9">
              <w:t>s</w:t>
            </w:r>
            <w:r w:rsidR="00DD5F81">
              <w:t>kolu ēdināšanas uzņēmums par produktu uzglabāšanu, sagatavošanu izdal</w:t>
            </w:r>
            <w:r w:rsidR="00ED11D9">
              <w:t>īšanai</w:t>
            </w:r>
            <w:r w:rsidR="00DD5F81">
              <w:t xml:space="preserve"> un izdal</w:t>
            </w:r>
            <w:r w:rsidR="00ED11D9">
              <w:t>īšanu</w:t>
            </w:r>
            <w:r w:rsidR="00DD5F81">
              <w:t xml:space="preserve"> no kopējās pieteiktās at</w:t>
            </w:r>
            <w:r w:rsidR="003B5C50">
              <w:t xml:space="preserve">balsta summas (neietverot PVN) </w:t>
            </w:r>
            <w:r w:rsidR="00DD5F81">
              <w:t xml:space="preserve">varēs saņemt ne vairāk kā </w:t>
            </w:r>
            <w:r w:rsidR="00DD5F81">
              <w:lastRenderedPageBreak/>
              <w:t>3% par pienu</w:t>
            </w:r>
            <w:r w:rsidR="00ED11D9">
              <w:t xml:space="preserve"> </w:t>
            </w:r>
            <w:r w:rsidR="00ED11D9">
              <w:rPr>
                <w:szCs w:val="28"/>
              </w:rPr>
              <w:t>ne vairāk kā 250 ml lielā</w:t>
            </w:r>
            <w:r w:rsidR="00ED11D9">
              <w:t xml:space="preserve"> </w:t>
            </w:r>
            <w:r w:rsidR="00DD5F81">
              <w:t xml:space="preserve">iepakojumā vai ne vairāk kā 7% par pienu </w:t>
            </w:r>
            <w:r w:rsidR="00ED11D9">
              <w:rPr>
                <w:szCs w:val="28"/>
              </w:rPr>
              <w:t>vairāk nekā 250 ml lielā</w:t>
            </w:r>
            <w:r w:rsidR="00ED11D9">
              <w:t xml:space="preserve"> </w:t>
            </w:r>
            <w:r w:rsidR="00DD5F81">
              <w:t>iepakojumā,</w:t>
            </w:r>
            <w:r w:rsidR="00ED11D9">
              <w:t xml:space="preserve"> tāpēc</w:t>
            </w:r>
            <w:r w:rsidR="00DD5F81">
              <w:t xml:space="preserve"> ka pienam maz</w:t>
            </w:r>
            <w:r w:rsidR="00ED11D9">
              <w:t>ā</w:t>
            </w:r>
            <w:r w:rsidR="00DD5F81">
              <w:t xml:space="preserve"> iepakojum</w:t>
            </w:r>
            <w:r w:rsidR="00ED11D9">
              <w:t>ā</w:t>
            </w:r>
            <w:r w:rsidR="00DD5F81">
              <w:t xml:space="preserve"> ar </w:t>
            </w:r>
            <w:r w:rsidR="00ED11D9">
              <w:t xml:space="preserve">tā </w:t>
            </w:r>
            <w:r w:rsidR="00DD5F81">
              <w:t>izdal</w:t>
            </w:r>
            <w:r w:rsidR="00ED11D9">
              <w:t>īšanu</w:t>
            </w:r>
            <w:r w:rsidR="00DD5F81">
              <w:t xml:space="preserve"> saistītās izmaksas un </w:t>
            </w:r>
            <w:r w:rsidR="00ED11D9">
              <w:t xml:space="preserve">līdz ar to </w:t>
            </w:r>
            <w:r w:rsidR="00DD5F81">
              <w:t>ieguldītais darbs ir mazāks nekā pienam liel</w:t>
            </w:r>
            <w:r w:rsidR="00ED11D9">
              <w:t>ā</w:t>
            </w:r>
            <w:r w:rsidR="00DD5F81">
              <w:t xml:space="preserve"> iepakojum</w:t>
            </w:r>
            <w:r w:rsidR="00ED11D9">
              <w:t>ā;</w:t>
            </w:r>
          </w:p>
          <w:p w:rsidR="003B5C50" w:rsidRDefault="003B5C50" w:rsidP="00DD5F81">
            <w:pPr>
              <w:ind w:left="142" w:right="142"/>
              <w:jc w:val="both"/>
            </w:pPr>
            <w:r>
              <w:t>8) atbalsta pretendent</w:t>
            </w:r>
            <w:r w:rsidR="00ED11D9">
              <w:t>am, kas</w:t>
            </w:r>
            <w:r>
              <w:t xml:space="preserve"> ir publiska persona, produkt</w:t>
            </w:r>
            <w:r w:rsidR="00ED11D9">
              <w:t>i ir jā</w:t>
            </w:r>
            <w:r>
              <w:t>piegād</w:t>
            </w:r>
            <w:r w:rsidR="00ED11D9">
              <w:t>ā</w:t>
            </w:r>
            <w:r>
              <w:t xml:space="preserve"> atbilstoši normatīvajiem aktiem publisko iepirkumu jomā. </w:t>
            </w:r>
          </w:p>
          <w:p w:rsidR="00DD5F81" w:rsidRDefault="00DD5F81" w:rsidP="00DD5F81">
            <w:pPr>
              <w:ind w:left="142" w:right="142"/>
              <w:jc w:val="both"/>
            </w:pPr>
          </w:p>
          <w:p w:rsidR="002A423D" w:rsidRDefault="00ED11D9" w:rsidP="002A423D">
            <w:pPr>
              <w:ind w:left="142" w:right="142"/>
              <w:jc w:val="both"/>
            </w:pPr>
            <w:r>
              <w:t>M</w:t>
            </w:r>
            <w:r w:rsidR="002A423D">
              <w:t xml:space="preserve">inētie nosacījumi </w:t>
            </w:r>
            <w:r>
              <w:t>ietverti noteikumu projekta</w:t>
            </w:r>
            <w:r w:rsidR="002A423D">
              <w:t xml:space="preserve"> </w:t>
            </w:r>
            <w:r w:rsidR="003B5C50">
              <w:t>6</w:t>
            </w:r>
            <w:r w:rsidR="002A423D">
              <w:t>.</w:t>
            </w:r>
            <w:r>
              <w:t>–</w:t>
            </w:r>
            <w:r w:rsidR="002A423D">
              <w:t xml:space="preserve">15.punktā un 2.pielikumā. </w:t>
            </w:r>
          </w:p>
          <w:p w:rsidR="002A423D" w:rsidRDefault="002A423D" w:rsidP="002A423D">
            <w:pPr>
              <w:ind w:left="142" w:right="142"/>
              <w:jc w:val="both"/>
            </w:pPr>
          </w:p>
          <w:p w:rsidR="00A36078" w:rsidRDefault="00A36078" w:rsidP="00DD5F81">
            <w:pPr>
              <w:ind w:left="142" w:right="142"/>
              <w:jc w:val="both"/>
            </w:pPr>
            <w:r>
              <w:t xml:space="preserve">Projekts paredz, ka </w:t>
            </w:r>
            <w:r w:rsidR="003B5C50">
              <w:t xml:space="preserve">noteikumi stājas spēkā no 2015.gada 1.oktobra, </w:t>
            </w:r>
            <w:r>
              <w:t xml:space="preserve">lai LAD tiktu dots pietiekams laiks nepieciešamo administratīvo procedūru sakārtošanai. </w:t>
            </w:r>
          </w:p>
          <w:p w:rsidR="00C21B64" w:rsidRPr="0056021D" w:rsidRDefault="00C21B64" w:rsidP="007666BD">
            <w:pPr>
              <w:ind w:right="142"/>
              <w:jc w:val="both"/>
            </w:pPr>
          </w:p>
        </w:tc>
      </w:tr>
      <w:tr w:rsidR="007A3818" w:rsidRPr="00996A74" w:rsidTr="00A36078">
        <w:trPr>
          <w:trHeight w:val="649"/>
        </w:trPr>
        <w:tc>
          <w:tcPr>
            <w:tcW w:w="418" w:type="dxa"/>
          </w:tcPr>
          <w:p w:rsidR="007A3818" w:rsidRPr="00996A74" w:rsidRDefault="007A3818" w:rsidP="007A3818">
            <w:pPr>
              <w:pStyle w:val="naiskr"/>
              <w:spacing w:before="0" w:after="0"/>
              <w:rPr>
                <w:sz w:val="22"/>
                <w:szCs w:val="22"/>
              </w:rPr>
            </w:pPr>
            <w:r w:rsidRPr="00996A74">
              <w:rPr>
                <w:sz w:val="22"/>
                <w:szCs w:val="22"/>
              </w:rPr>
              <w:lastRenderedPageBreak/>
              <w:t>3.</w:t>
            </w:r>
          </w:p>
        </w:tc>
        <w:tc>
          <w:tcPr>
            <w:tcW w:w="2989" w:type="dxa"/>
          </w:tcPr>
          <w:p w:rsidR="007A3818" w:rsidRPr="00EA2C5D" w:rsidRDefault="007A3818" w:rsidP="007A3818">
            <w:pPr>
              <w:pStyle w:val="naisf"/>
              <w:ind w:firstLine="3"/>
            </w:pPr>
            <w:r w:rsidRPr="00EA2C5D">
              <w:t>Projekta izstrādē iesaistītās institūcijas</w:t>
            </w:r>
          </w:p>
        </w:tc>
        <w:tc>
          <w:tcPr>
            <w:tcW w:w="6130" w:type="dxa"/>
          </w:tcPr>
          <w:p w:rsidR="007A3818" w:rsidRPr="00EA2C5D" w:rsidRDefault="007A3818" w:rsidP="002E12AE">
            <w:pPr>
              <w:pStyle w:val="naisf"/>
              <w:ind w:left="132" w:firstLine="0"/>
            </w:pPr>
            <w:r w:rsidRPr="00EA2C5D">
              <w:t>LAD</w:t>
            </w:r>
            <w:r>
              <w:t>,</w:t>
            </w:r>
            <w:r w:rsidRPr="00EA2C5D">
              <w:t xml:space="preserve"> </w:t>
            </w:r>
            <w:r w:rsidR="002E12AE">
              <w:t>LDC</w:t>
            </w:r>
            <w:r w:rsidR="00DE7B33">
              <w:t xml:space="preserve"> un</w:t>
            </w:r>
            <w:r w:rsidR="002E12AE">
              <w:t xml:space="preserve"> </w:t>
            </w:r>
            <w:r>
              <w:t>Pārtikas un veterinārais dienests</w:t>
            </w:r>
            <w:r w:rsidR="00375DC6">
              <w:t>.</w:t>
            </w:r>
          </w:p>
        </w:tc>
      </w:tr>
      <w:tr w:rsidR="001802FA" w:rsidRPr="00996A74" w:rsidTr="00A36078">
        <w:trPr>
          <w:trHeight w:val="384"/>
        </w:trPr>
        <w:tc>
          <w:tcPr>
            <w:tcW w:w="418" w:type="dxa"/>
          </w:tcPr>
          <w:p w:rsidR="001802FA" w:rsidRPr="00996A74" w:rsidRDefault="001802FA" w:rsidP="001802FA">
            <w:pPr>
              <w:pStyle w:val="naiskr"/>
              <w:spacing w:before="0" w:after="0"/>
              <w:rPr>
                <w:sz w:val="22"/>
                <w:szCs w:val="22"/>
              </w:rPr>
            </w:pPr>
            <w:r w:rsidRPr="00996A74">
              <w:rPr>
                <w:sz w:val="22"/>
                <w:szCs w:val="22"/>
              </w:rPr>
              <w:t>4.</w:t>
            </w:r>
          </w:p>
        </w:tc>
        <w:tc>
          <w:tcPr>
            <w:tcW w:w="2989" w:type="dxa"/>
          </w:tcPr>
          <w:p w:rsidR="001802FA" w:rsidRPr="00996A74" w:rsidRDefault="00A36078" w:rsidP="00A36078">
            <w:pPr>
              <w:pStyle w:val="naiskr"/>
              <w:spacing w:before="0" w:after="0"/>
              <w:rPr>
                <w:sz w:val="22"/>
                <w:szCs w:val="22"/>
              </w:rPr>
            </w:pPr>
            <w:r>
              <w:rPr>
                <w:sz w:val="22"/>
                <w:szCs w:val="22"/>
              </w:rPr>
              <w:t>Cita informācija</w:t>
            </w:r>
          </w:p>
        </w:tc>
        <w:tc>
          <w:tcPr>
            <w:tcW w:w="6130" w:type="dxa"/>
          </w:tcPr>
          <w:p w:rsidR="00414F36" w:rsidRPr="00A014AF" w:rsidRDefault="00A36078" w:rsidP="00950297">
            <w:pPr>
              <w:pStyle w:val="naiskr"/>
              <w:spacing w:before="0" w:after="0"/>
              <w:ind w:left="132" w:right="141"/>
              <w:jc w:val="both"/>
              <w:rPr>
                <w:iCs/>
                <w:sz w:val="22"/>
                <w:szCs w:val="22"/>
              </w:rPr>
            </w:pPr>
            <w:r>
              <w:rPr>
                <w:iCs/>
                <w:sz w:val="22"/>
                <w:szCs w:val="22"/>
              </w:rPr>
              <w:t>Nav.</w:t>
            </w:r>
          </w:p>
        </w:tc>
      </w:tr>
    </w:tbl>
    <w:p w:rsidR="00852042" w:rsidRPr="00996A74" w:rsidRDefault="00852042" w:rsidP="00A36078">
      <w:pPr>
        <w:pStyle w:val="naisf"/>
        <w:spacing w:before="0" w:after="0"/>
        <w:ind w:firstLine="0"/>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649"/>
      </w:tblGrid>
      <w:tr w:rsidR="0062298A" w:rsidRPr="00996A74">
        <w:tc>
          <w:tcPr>
            <w:tcW w:w="9905" w:type="dxa"/>
            <w:gridSpan w:val="3"/>
            <w:vAlign w:val="center"/>
          </w:tcPr>
          <w:p w:rsidR="0062298A" w:rsidRPr="00996A74" w:rsidRDefault="0062298A" w:rsidP="006C4607">
            <w:pPr>
              <w:pStyle w:val="naisnod"/>
              <w:spacing w:before="0" w:after="0"/>
            </w:pPr>
            <w:r w:rsidRPr="00996A74">
              <w:t>II</w:t>
            </w:r>
            <w:r w:rsidR="000941C5" w:rsidRPr="00996A74">
              <w:t>.</w:t>
            </w:r>
            <w:r w:rsidRPr="00996A74">
              <w:t xml:space="preserve"> </w:t>
            </w:r>
            <w:r w:rsidR="00A36078" w:rsidRPr="00EA2C5D">
              <w:t xml:space="preserve"> Tiesību akta projekta ietekme uz sabiedrību, tautsaimniecības attīstību un administratīvo slogu</w:t>
            </w:r>
          </w:p>
        </w:tc>
      </w:tr>
      <w:tr w:rsidR="00777277" w:rsidRPr="00996A74" w:rsidTr="00A36078">
        <w:trPr>
          <w:trHeight w:val="467"/>
        </w:trPr>
        <w:tc>
          <w:tcPr>
            <w:tcW w:w="550" w:type="dxa"/>
          </w:tcPr>
          <w:p w:rsidR="00777277" w:rsidRPr="00996A74" w:rsidRDefault="00777277" w:rsidP="00777277">
            <w:pPr>
              <w:pStyle w:val="naiskr"/>
              <w:spacing w:before="0" w:after="0"/>
              <w:rPr>
                <w:sz w:val="22"/>
                <w:szCs w:val="22"/>
              </w:rPr>
            </w:pPr>
            <w:r w:rsidRPr="00996A74">
              <w:rPr>
                <w:sz w:val="22"/>
                <w:szCs w:val="22"/>
              </w:rPr>
              <w:t>1.</w:t>
            </w:r>
          </w:p>
        </w:tc>
        <w:tc>
          <w:tcPr>
            <w:tcW w:w="2706" w:type="dxa"/>
          </w:tcPr>
          <w:p w:rsidR="00777277" w:rsidRPr="00996A74" w:rsidRDefault="00777277" w:rsidP="00777277">
            <w:pPr>
              <w:pStyle w:val="naiskr"/>
              <w:spacing w:before="0" w:after="0"/>
              <w:rPr>
                <w:sz w:val="22"/>
                <w:szCs w:val="22"/>
              </w:rPr>
            </w:pPr>
            <w:r w:rsidRPr="00EA2C5D">
              <w:t>Sabiedrības mērķa grupas, kuras tiesiskais regulējums ietekmē vai varētu ietekmēt</w:t>
            </w:r>
          </w:p>
        </w:tc>
        <w:tc>
          <w:tcPr>
            <w:tcW w:w="6649" w:type="dxa"/>
          </w:tcPr>
          <w:p w:rsidR="00777277" w:rsidRPr="00EA2C5D" w:rsidRDefault="00777277" w:rsidP="00777277">
            <w:pPr>
              <w:pStyle w:val="naiskr"/>
              <w:spacing w:before="0" w:after="0"/>
              <w:ind w:left="141" w:right="129"/>
              <w:jc w:val="both"/>
              <w:rPr>
                <w:iCs/>
              </w:rPr>
            </w:pPr>
            <w:r w:rsidRPr="00497DA6">
              <w:rPr>
                <w:iCs/>
              </w:rPr>
              <w:t>Mērķgrupa, uz kuru attiecināms projekta tiesiskais regulējums, ir:</w:t>
            </w:r>
          </w:p>
          <w:p w:rsidR="00777277" w:rsidRPr="00EA2C5D" w:rsidRDefault="00777277" w:rsidP="00777277">
            <w:pPr>
              <w:pStyle w:val="naiskr"/>
              <w:spacing w:before="0" w:after="0"/>
              <w:ind w:left="141" w:right="129"/>
              <w:jc w:val="both"/>
              <w:rPr>
                <w:iCs/>
              </w:rPr>
            </w:pPr>
            <w:r w:rsidRPr="00497DA6">
              <w:rPr>
                <w:b/>
                <w:iCs/>
              </w:rPr>
              <w:t xml:space="preserve">1) piena produktu ražotāji </w:t>
            </w:r>
            <w:r w:rsidRPr="00497DA6">
              <w:rPr>
                <w:iCs/>
              </w:rPr>
              <w:t>kā atbalsta pretendenti (kas piegādā piena produktus izglītības iestādēm);</w:t>
            </w:r>
          </w:p>
          <w:p w:rsidR="00777277" w:rsidRPr="00EA2C5D" w:rsidRDefault="00777277" w:rsidP="00777277">
            <w:pPr>
              <w:pStyle w:val="naiskr"/>
              <w:spacing w:before="0" w:after="0"/>
              <w:ind w:left="141" w:right="129"/>
              <w:jc w:val="both"/>
              <w:rPr>
                <w:iCs/>
              </w:rPr>
            </w:pPr>
            <w:r w:rsidRPr="00497DA6">
              <w:rPr>
                <w:b/>
                <w:iCs/>
              </w:rPr>
              <w:t xml:space="preserve">2) pašvaldības </w:t>
            </w:r>
            <w:r w:rsidRPr="00497DA6">
              <w:rPr>
                <w:iCs/>
              </w:rPr>
              <w:t>kā atbalsta pretendenti (kas saistībā ar programmu organizē piena produktu piegādi vairākām savā pārziņā esošām izglītības iestādēm);</w:t>
            </w:r>
          </w:p>
          <w:p w:rsidR="00777277" w:rsidRDefault="00777277" w:rsidP="00777277">
            <w:pPr>
              <w:pStyle w:val="naiskr"/>
              <w:spacing w:before="0" w:after="0"/>
              <w:ind w:left="141" w:right="129"/>
              <w:jc w:val="both"/>
              <w:rPr>
                <w:b/>
                <w:iCs/>
              </w:rPr>
            </w:pPr>
            <w:r w:rsidRPr="00497DA6">
              <w:rPr>
                <w:b/>
                <w:iCs/>
              </w:rPr>
              <w:t>3)</w:t>
            </w:r>
            <w:r w:rsidRPr="00497DA6">
              <w:rPr>
                <w:iCs/>
              </w:rPr>
              <w:t xml:space="preserve"> </w:t>
            </w:r>
            <w:r w:rsidRPr="00497DA6">
              <w:rPr>
                <w:b/>
                <w:iCs/>
              </w:rPr>
              <w:t>Latvijas vispārējās izglītības iestādes (</w:t>
            </w:r>
            <w:r>
              <w:rPr>
                <w:b/>
                <w:iCs/>
              </w:rPr>
              <w:t>t.sk.</w:t>
            </w:r>
            <w:r w:rsidRPr="00497DA6">
              <w:rPr>
                <w:b/>
                <w:iCs/>
              </w:rPr>
              <w:t xml:space="preserve"> pirmsskolas) </w:t>
            </w:r>
            <w:r w:rsidRPr="00497DA6">
              <w:rPr>
                <w:iCs/>
              </w:rPr>
              <w:t>kā atbalsta pretendenti un atbalsta produktu realizācijas vietas</w:t>
            </w:r>
            <w:r w:rsidRPr="00497DA6">
              <w:rPr>
                <w:b/>
                <w:iCs/>
              </w:rPr>
              <w:t>;</w:t>
            </w:r>
          </w:p>
          <w:p w:rsidR="00752C9B" w:rsidRPr="001A2127" w:rsidRDefault="00752C9B" w:rsidP="00777277">
            <w:pPr>
              <w:pStyle w:val="naiskr"/>
              <w:spacing w:before="0" w:after="0"/>
              <w:ind w:left="141" w:right="129"/>
              <w:jc w:val="both"/>
              <w:rPr>
                <w:iCs/>
              </w:rPr>
            </w:pPr>
            <w:r>
              <w:rPr>
                <w:b/>
                <w:iCs/>
              </w:rPr>
              <w:t xml:space="preserve">4) </w:t>
            </w:r>
            <w:r w:rsidR="001A2127">
              <w:rPr>
                <w:b/>
                <w:iCs/>
              </w:rPr>
              <w:t>saimnieciskās darbības veicēji, kas nodrošina ēdināšanu vispārējās izglītības iestādēs</w:t>
            </w:r>
            <w:r w:rsidR="00ED11D9">
              <w:rPr>
                <w:b/>
                <w:iCs/>
              </w:rPr>
              <w:t>,</w:t>
            </w:r>
            <w:r w:rsidR="001A2127">
              <w:rPr>
                <w:b/>
                <w:iCs/>
              </w:rPr>
              <w:t xml:space="preserve"> </w:t>
            </w:r>
            <w:r w:rsidR="001A2127">
              <w:rPr>
                <w:iCs/>
              </w:rPr>
              <w:t>– kā atbalsta pretendenti un arī kā produktu izdal</w:t>
            </w:r>
            <w:r w:rsidR="00ED11D9">
              <w:rPr>
                <w:iCs/>
              </w:rPr>
              <w:t>īšanas</w:t>
            </w:r>
            <w:r w:rsidR="001A2127">
              <w:rPr>
                <w:iCs/>
              </w:rPr>
              <w:t xml:space="preserve"> nodrošinātāji;</w:t>
            </w:r>
          </w:p>
          <w:p w:rsidR="00777277" w:rsidRPr="00EA2C5D" w:rsidRDefault="004274E4" w:rsidP="00777277">
            <w:pPr>
              <w:pStyle w:val="naiskr"/>
              <w:spacing w:before="0" w:after="0"/>
              <w:ind w:left="141" w:right="129"/>
              <w:jc w:val="both"/>
              <w:rPr>
                <w:iCs/>
              </w:rPr>
            </w:pPr>
            <w:r>
              <w:rPr>
                <w:b/>
                <w:iCs/>
              </w:rPr>
              <w:t>5</w:t>
            </w:r>
            <w:r w:rsidR="00777277" w:rsidRPr="00497DA6">
              <w:rPr>
                <w:b/>
                <w:iCs/>
              </w:rPr>
              <w:t xml:space="preserve">) Latvijas pirmskolas </w:t>
            </w:r>
            <w:r w:rsidR="00777277">
              <w:rPr>
                <w:b/>
                <w:iCs/>
              </w:rPr>
              <w:t xml:space="preserve">izglītības iestāžu </w:t>
            </w:r>
            <w:r w:rsidR="00777277" w:rsidRPr="00497DA6">
              <w:rPr>
                <w:b/>
                <w:iCs/>
              </w:rPr>
              <w:t>un vispārējās izglītības iestāžu 1.–9.klases izglītojamie</w:t>
            </w:r>
            <w:r w:rsidR="00777277" w:rsidRPr="00497DA6">
              <w:rPr>
                <w:iCs/>
              </w:rPr>
              <w:t xml:space="preserve">, kas saskaņā ar </w:t>
            </w:r>
            <w:r w:rsidR="00777277" w:rsidRPr="00497DA6">
              <w:t xml:space="preserve">regulas Nr.657/2008 </w:t>
            </w:r>
            <w:r w:rsidR="00777277" w:rsidRPr="00497DA6">
              <w:rPr>
                <w:iCs/>
              </w:rPr>
              <w:t xml:space="preserve">2.panta un </w:t>
            </w:r>
            <w:r w:rsidR="00777277">
              <w:rPr>
                <w:iCs/>
              </w:rPr>
              <w:t>projekta</w:t>
            </w:r>
            <w:r w:rsidR="00777277" w:rsidRPr="00497DA6">
              <w:rPr>
                <w:iCs/>
              </w:rPr>
              <w:t xml:space="preserve"> 3.punkta nosacījumiem ir valsts un Eiropas Savienības atbalsta valsts līdzfinansējuma daļas labuma guvēji, </w:t>
            </w:r>
            <w:r w:rsidR="00ED11D9">
              <w:rPr>
                <w:iCs/>
              </w:rPr>
              <w:t xml:space="preserve">kuri </w:t>
            </w:r>
            <w:r w:rsidR="00777277" w:rsidRPr="00497DA6">
              <w:rPr>
                <w:iCs/>
              </w:rPr>
              <w:t xml:space="preserve">katru mācību dienu bez maksas saņem līdz 250 ml pasterizēta piena. </w:t>
            </w:r>
          </w:p>
          <w:p w:rsidR="00777277" w:rsidRPr="00443949" w:rsidRDefault="00777277" w:rsidP="00777277">
            <w:pPr>
              <w:pStyle w:val="naiskr"/>
              <w:spacing w:before="0" w:after="0"/>
              <w:ind w:left="141" w:right="129"/>
              <w:jc w:val="both"/>
              <w:rPr>
                <w:iCs/>
              </w:rPr>
            </w:pPr>
          </w:p>
          <w:p w:rsidR="00777277" w:rsidRPr="00EA2C5D" w:rsidRDefault="00777277" w:rsidP="00777277">
            <w:pPr>
              <w:pStyle w:val="naiskr"/>
              <w:spacing w:before="0" w:after="0"/>
              <w:ind w:left="141" w:right="129"/>
              <w:jc w:val="both"/>
              <w:rPr>
                <w:iCs/>
              </w:rPr>
            </w:pPr>
            <w:r w:rsidRPr="00497DA6">
              <w:rPr>
                <w:iCs/>
              </w:rPr>
              <w:t>Pēc LAD informācijas, 201</w:t>
            </w:r>
            <w:r>
              <w:rPr>
                <w:iCs/>
              </w:rPr>
              <w:t>4</w:t>
            </w:r>
            <w:r w:rsidRPr="00497DA6">
              <w:rPr>
                <w:iCs/>
              </w:rPr>
              <w:t>./201</w:t>
            </w:r>
            <w:r>
              <w:rPr>
                <w:iCs/>
              </w:rPr>
              <w:t>5</w:t>
            </w:r>
            <w:r w:rsidRPr="00497DA6">
              <w:rPr>
                <w:iCs/>
              </w:rPr>
              <w:t xml:space="preserve">.mācību gadā </w:t>
            </w:r>
            <w:r>
              <w:rPr>
                <w:iCs/>
              </w:rPr>
              <w:t xml:space="preserve">“Skolas piena” </w:t>
            </w:r>
            <w:r w:rsidRPr="00497DA6">
              <w:rPr>
                <w:iCs/>
              </w:rPr>
              <w:t xml:space="preserve">programmā </w:t>
            </w:r>
            <w:r>
              <w:rPr>
                <w:iCs/>
              </w:rPr>
              <w:t>piedalījās 217,6</w:t>
            </w:r>
            <w:r w:rsidRPr="00497DA6">
              <w:rPr>
                <w:iCs/>
              </w:rPr>
              <w:t xml:space="preserve"> tūkstoši pirmsskolas un 1.–12.klases izglītojamo </w:t>
            </w:r>
            <w:r>
              <w:rPr>
                <w:iCs/>
              </w:rPr>
              <w:t>974</w:t>
            </w:r>
            <w:r w:rsidRPr="00497DA6">
              <w:rPr>
                <w:iCs/>
              </w:rPr>
              <w:t xml:space="preserve"> izglītības iestādēs. </w:t>
            </w:r>
            <w:r>
              <w:rPr>
                <w:iCs/>
              </w:rPr>
              <w:t>P</w:t>
            </w:r>
            <w:r w:rsidRPr="00497DA6">
              <w:rPr>
                <w:iCs/>
              </w:rPr>
              <w:t xml:space="preserve">rogrammā </w:t>
            </w:r>
            <w:r>
              <w:rPr>
                <w:iCs/>
              </w:rPr>
              <w:t xml:space="preserve">kopumā </w:t>
            </w:r>
            <w:r w:rsidRPr="00497DA6">
              <w:rPr>
                <w:iCs/>
              </w:rPr>
              <w:t>piedalījās 11</w:t>
            </w:r>
            <w:r>
              <w:rPr>
                <w:iCs/>
              </w:rPr>
              <w:t>5</w:t>
            </w:r>
            <w:r w:rsidRPr="00497DA6">
              <w:rPr>
                <w:iCs/>
              </w:rPr>
              <w:t xml:space="preserve"> atbalsta pretendentu. </w:t>
            </w:r>
          </w:p>
          <w:p w:rsidR="00777277" w:rsidRPr="001A2127" w:rsidRDefault="00777277" w:rsidP="002E12AE">
            <w:pPr>
              <w:pStyle w:val="naiskr"/>
              <w:spacing w:before="0" w:after="0"/>
              <w:ind w:left="141" w:right="129"/>
              <w:jc w:val="both"/>
              <w:rPr>
                <w:iCs/>
              </w:rPr>
            </w:pPr>
            <w:r w:rsidRPr="00497DA6">
              <w:rPr>
                <w:iCs/>
              </w:rPr>
              <w:t xml:space="preserve">Pēc Izglītības un zinātnes ministrijas </w:t>
            </w:r>
            <w:r w:rsidR="00752C9B">
              <w:rPr>
                <w:iCs/>
              </w:rPr>
              <w:t xml:space="preserve">un Centrālās statistikas pārvaldes </w:t>
            </w:r>
            <w:r w:rsidRPr="00497DA6">
              <w:rPr>
                <w:iCs/>
              </w:rPr>
              <w:t>tīmekļa vietnē</w:t>
            </w:r>
            <w:r w:rsidR="00752C9B">
              <w:rPr>
                <w:iCs/>
              </w:rPr>
              <w:t>s</w:t>
            </w:r>
            <w:r w:rsidRPr="00497DA6">
              <w:rPr>
                <w:iCs/>
              </w:rPr>
              <w:t xml:space="preserve"> ievietotās informācijas, 201</w:t>
            </w:r>
            <w:r>
              <w:rPr>
                <w:iCs/>
              </w:rPr>
              <w:t>4</w:t>
            </w:r>
            <w:r w:rsidRPr="00497DA6">
              <w:rPr>
                <w:iCs/>
              </w:rPr>
              <w:t>./201</w:t>
            </w:r>
            <w:r>
              <w:rPr>
                <w:iCs/>
              </w:rPr>
              <w:t>5</w:t>
            </w:r>
            <w:r w:rsidRPr="00497DA6">
              <w:rPr>
                <w:iCs/>
              </w:rPr>
              <w:t>.mācību gadā Latvijas pirmsskolas un vispārējās izglītības iestāžu 1.–</w:t>
            </w:r>
            <w:proofErr w:type="gramStart"/>
            <w:r w:rsidRPr="00497DA6">
              <w:rPr>
                <w:iCs/>
              </w:rPr>
              <w:t>9.klases</w:t>
            </w:r>
            <w:proofErr w:type="gramEnd"/>
            <w:r w:rsidRPr="00497DA6">
              <w:rPr>
                <w:iCs/>
              </w:rPr>
              <w:t xml:space="preserve"> izglītojamo kopējais skaits bija </w:t>
            </w:r>
            <w:r w:rsidR="00752C9B">
              <w:rPr>
                <w:iCs/>
              </w:rPr>
              <w:t>aptuveni 264</w:t>
            </w:r>
            <w:r w:rsidRPr="00497DA6">
              <w:rPr>
                <w:iCs/>
              </w:rPr>
              <w:t xml:space="preserve"> tūkstoši</w:t>
            </w:r>
            <w:r w:rsidR="00752C9B">
              <w:rPr>
                <w:iCs/>
              </w:rPr>
              <w:t xml:space="preserve"> (pirms</w:t>
            </w:r>
            <w:r w:rsidR="00ED11D9">
              <w:rPr>
                <w:iCs/>
              </w:rPr>
              <w:t>s</w:t>
            </w:r>
            <w:r w:rsidR="00752C9B">
              <w:rPr>
                <w:iCs/>
              </w:rPr>
              <w:t xml:space="preserve">kolas izglītojamo skaits par </w:t>
            </w:r>
            <w:r w:rsidR="00752C9B">
              <w:rPr>
                <w:iCs/>
              </w:rPr>
              <w:lastRenderedPageBreak/>
              <w:t>2013</w:t>
            </w:r>
            <w:r w:rsidR="00ED11D9">
              <w:rPr>
                <w:iCs/>
              </w:rPr>
              <w:t>.</w:t>
            </w:r>
            <w:r w:rsidR="00752C9B">
              <w:rPr>
                <w:iCs/>
              </w:rPr>
              <w:t>/2014.m.</w:t>
            </w:r>
            <w:r w:rsidR="00757B5E">
              <w:rPr>
                <w:iCs/>
              </w:rPr>
              <w:t xml:space="preserve"> </w:t>
            </w:r>
            <w:r w:rsidR="00752C9B">
              <w:rPr>
                <w:iCs/>
              </w:rPr>
              <w:t>g</w:t>
            </w:r>
            <w:r w:rsidR="00757B5E">
              <w:rPr>
                <w:iCs/>
              </w:rPr>
              <w:t>.</w:t>
            </w:r>
            <w:r w:rsidR="00752C9B">
              <w:rPr>
                <w:iCs/>
              </w:rPr>
              <w:t>)</w:t>
            </w:r>
            <w:r w:rsidRPr="00497DA6">
              <w:rPr>
                <w:iCs/>
              </w:rPr>
              <w:t xml:space="preserve">, tātad bezmaksas pienu saņēma aptuveni </w:t>
            </w:r>
            <w:r w:rsidR="00752C9B">
              <w:rPr>
                <w:iCs/>
              </w:rPr>
              <w:t>82</w:t>
            </w:r>
            <w:r w:rsidRPr="00757679">
              <w:rPr>
                <w:iCs/>
              </w:rPr>
              <w:t>% šo</w:t>
            </w:r>
            <w:r w:rsidRPr="00497DA6">
              <w:rPr>
                <w:iCs/>
              </w:rPr>
              <w:t xml:space="preserve"> izglītojamo. </w:t>
            </w:r>
          </w:p>
        </w:tc>
      </w:tr>
      <w:tr w:rsidR="00777277" w:rsidRPr="00996A74" w:rsidTr="00A36078">
        <w:trPr>
          <w:trHeight w:val="523"/>
        </w:trPr>
        <w:tc>
          <w:tcPr>
            <w:tcW w:w="550" w:type="dxa"/>
          </w:tcPr>
          <w:p w:rsidR="00777277" w:rsidRPr="00996A74" w:rsidRDefault="00777277" w:rsidP="00777277">
            <w:pPr>
              <w:pStyle w:val="naiskr"/>
              <w:spacing w:before="0" w:after="0"/>
              <w:rPr>
                <w:sz w:val="22"/>
                <w:szCs w:val="22"/>
              </w:rPr>
            </w:pPr>
            <w:r w:rsidRPr="00996A74">
              <w:rPr>
                <w:sz w:val="22"/>
                <w:szCs w:val="22"/>
              </w:rPr>
              <w:lastRenderedPageBreak/>
              <w:t>2.</w:t>
            </w:r>
          </w:p>
        </w:tc>
        <w:tc>
          <w:tcPr>
            <w:tcW w:w="2706" w:type="dxa"/>
          </w:tcPr>
          <w:p w:rsidR="00777277" w:rsidRPr="00996A74" w:rsidRDefault="00777277" w:rsidP="00777277">
            <w:pPr>
              <w:pStyle w:val="naiskr"/>
              <w:spacing w:before="0" w:after="0"/>
              <w:rPr>
                <w:sz w:val="22"/>
                <w:szCs w:val="22"/>
              </w:rPr>
            </w:pPr>
            <w:r w:rsidRPr="00443949">
              <w:t>Tiesiskā regulējuma ietekme uz tautsaimniecību un administratīvo slogu</w:t>
            </w:r>
          </w:p>
        </w:tc>
        <w:tc>
          <w:tcPr>
            <w:tcW w:w="6649" w:type="dxa"/>
          </w:tcPr>
          <w:p w:rsidR="00777277" w:rsidRPr="00950297" w:rsidRDefault="001A2127" w:rsidP="00950297">
            <w:pPr>
              <w:ind w:left="142" w:right="142"/>
              <w:jc w:val="both"/>
            </w:pPr>
            <w:r w:rsidRPr="00950297">
              <w:t>Projekts paredz administratīvā sloga p</w:t>
            </w:r>
            <w:r w:rsidR="00ED11D9">
              <w:t>alielināšanos</w:t>
            </w:r>
            <w:r w:rsidRPr="00950297">
              <w:t xml:space="preserve"> L</w:t>
            </w:r>
            <w:r w:rsidR="00045757">
              <w:t>DC</w:t>
            </w:r>
            <w:r w:rsidRPr="00950297">
              <w:t xml:space="preserve">, </w:t>
            </w:r>
            <w:r w:rsidR="00ED11D9">
              <w:t xml:space="preserve">jo tam </w:t>
            </w:r>
            <w:r w:rsidRPr="00950297">
              <w:t xml:space="preserve">4 reizes gadā </w:t>
            </w:r>
            <w:r w:rsidR="00ED11D9">
              <w:t>būs jā</w:t>
            </w:r>
            <w:r w:rsidRPr="00950297">
              <w:t>rēķin</w:t>
            </w:r>
            <w:r w:rsidR="00ED11D9">
              <w:t>a</w:t>
            </w:r>
            <w:r w:rsidRPr="00950297">
              <w:t xml:space="preserve"> ceturkšņa vidējā svaigpiena iepirkuma cena, </w:t>
            </w:r>
            <w:r w:rsidR="00ED11D9">
              <w:t>savukārt</w:t>
            </w:r>
            <w:r w:rsidR="00045757">
              <w:t xml:space="preserve"> LAD</w:t>
            </w:r>
            <w:r w:rsidRPr="00950297">
              <w:t xml:space="preserve"> 4 reizes gadā </w:t>
            </w:r>
            <w:r w:rsidR="00ED11D9">
              <w:t>būs jā</w:t>
            </w:r>
            <w:r w:rsidRPr="00950297">
              <w:t>sagatavo informācija publicēšan</w:t>
            </w:r>
            <w:r w:rsidR="00ED11D9">
              <w:t>a</w:t>
            </w:r>
            <w:r w:rsidRPr="00950297">
              <w:t xml:space="preserve"> </w:t>
            </w:r>
            <w:r w:rsidR="00ED11D9">
              <w:t>oficiālajā izdevumā</w:t>
            </w:r>
            <w:r w:rsidRPr="00950297">
              <w:t xml:space="preserve"> “Latvijas Vēstnesis”</w:t>
            </w:r>
          </w:p>
          <w:p w:rsidR="001A2127" w:rsidRPr="00996A74" w:rsidRDefault="007666BD" w:rsidP="007666BD">
            <w:pPr>
              <w:ind w:left="142" w:right="142"/>
              <w:jc w:val="both"/>
              <w:rPr>
                <w:iCs/>
                <w:sz w:val="22"/>
                <w:szCs w:val="22"/>
              </w:rPr>
            </w:pPr>
            <w:r>
              <w:t xml:space="preserve">1.punktā minētām sabiedrības mērķgrupām projekts tiesības un pienākumus nemaina.  </w:t>
            </w:r>
            <w:r w:rsidR="001A2127">
              <w:rPr>
                <w:iCs/>
                <w:sz w:val="22"/>
                <w:szCs w:val="22"/>
              </w:rPr>
              <w:t xml:space="preserve"> </w:t>
            </w:r>
          </w:p>
        </w:tc>
      </w:tr>
      <w:tr w:rsidR="00777277" w:rsidRPr="00996A74" w:rsidTr="00A36078">
        <w:trPr>
          <w:trHeight w:val="517"/>
        </w:trPr>
        <w:tc>
          <w:tcPr>
            <w:tcW w:w="550" w:type="dxa"/>
          </w:tcPr>
          <w:p w:rsidR="00777277" w:rsidRPr="00996A74" w:rsidRDefault="00777277" w:rsidP="00777277">
            <w:pPr>
              <w:pStyle w:val="naiskr"/>
              <w:spacing w:before="0" w:after="0"/>
              <w:rPr>
                <w:sz w:val="22"/>
                <w:szCs w:val="22"/>
              </w:rPr>
            </w:pPr>
            <w:r w:rsidRPr="00996A74">
              <w:rPr>
                <w:sz w:val="22"/>
                <w:szCs w:val="22"/>
              </w:rPr>
              <w:t>3.</w:t>
            </w:r>
          </w:p>
        </w:tc>
        <w:tc>
          <w:tcPr>
            <w:tcW w:w="2706" w:type="dxa"/>
          </w:tcPr>
          <w:p w:rsidR="00777277" w:rsidRPr="00EA2C5D" w:rsidRDefault="00777277" w:rsidP="00777277">
            <w:pPr>
              <w:pStyle w:val="naiskr"/>
              <w:spacing w:before="0" w:after="0"/>
            </w:pPr>
            <w:r w:rsidRPr="00443949">
              <w:t>Administratīvo izmaksu monetārs novērtējums</w:t>
            </w:r>
          </w:p>
        </w:tc>
        <w:tc>
          <w:tcPr>
            <w:tcW w:w="6649" w:type="dxa"/>
          </w:tcPr>
          <w:p w:rsidR="00777277" w:rsidRDefault="007666BD" w:rsidP="000E7F58">
            <w:pPr>
              <w:pStyle w:val="naiskr"/>
              <w:spacing w:before="0" w:after="0"/>
              <w:ind w:left="141" w:right="129"/>
              <w:jc w:val="both"/>
              <w:rPr>
                <w:sz w:val="22"/>
                <w:szCs w:val="22"/>
              </w:rPr>
            </w:pPr>
            <w:r>
              <w:rPr>
                <w:sz w:val="22"/>
                <w:szCs w:val="22"/>
              </w:rPr>
              <w:t>Ceturkšņa vidēj</w:t>
            </w:r>
            <w:r w:rsidR="00ED11D9">
              <w:rPr>
                <w:sz w:val="22"/>
                <w:szCs w:val="22"/>
              </w:rPr>
              <w:t>o</w:t>
            </w:r>
            <w:r>
              <w:rPr>
                <w:sz w:val="22"/>
                <w:szCs w:val="22"/>
              </w:rPr>
              <w:t xml:space="preserve"> svaigpiena iepirkuma cen</w:t>
            </w:r>
            <w:r w:rsidR="00ED11D9">
              <w:rPr>
                <w:sz w:val="22"/>
                <w:szCs w:val="22"/>
              </w:rPr>
              <w:t>u</w:t>
            </w:r>
            <w:r>
              <w:rPr>
                <w:sz w:val="22"/>
                <w:szCs w:val="22"/>
              </w:rPr>
              <w:t xml:space="preserve"> L</w:t>
            </w:r>
            <w:r w:rsidR="00AA2B1F">
              <w:rPr>
                <w:sz w:val="22"/>
                <w:szCs w:val="22"/>
              </w:rPr>
              <w:t>DC</w:t>
            </w:r>
            <w:r>
              <w:rPr>
                <w:sz w:val="22"/>
                <w:szCs w:val="22"/>
              </w:rPr>
              <w:t xml:space="preserve"> </w:t>
            </w:r>
            <w:r w:rsidR="00ED11D9">
              <w:rPr>
                <w:sz w:val="22"/>
                <w:szCs w:val="22"/>
              </w:rPr>
              <w:t>aprēķinā</w:t>
            </w:r>
            <w:r>
              <w:rPr>
                <w:sz w:val="22"/>
                <w:szCs w:val="22"/>
              </w:rPr>
              <w:t xml:space="preserve">s 1 cilvēks, </w:t>
            </w:r>
            <w:r w:rsidR="000E7F58">
              <w:rPr>
                <w:sz w:val="22"/>
                <w:szCs w:val="22"/>
              </w:rPr>
              <w:t xml:space="preserve">4 reizes gadā </w:t>
            </w:r>
            <w:r w:rsidR="00ED11D9">
              <w:rPr>
                <w:sz w:val="22"/>
                <w:szCs w:val="22"/>
              </w:rPr>
              <w:t xml:space="preserve">tam </w:t>
            </w:r>
            <w:r>
              <w:rPr>
                <w:sz w:val="22"/>
                <w:szCs w:val="22"/>
              </w:rPr>
              <w:t xml:space="preserve">patērējot 3 stundas </w:t>
            </w:r>
            <w:r w:rsidR="000E7F58">
              <w:rPr>
                <w:sz w:val="22"/>
                <w:szCs w:val="22"/>
              </w:rPr>
              <w:t xml:space="preserve">katru </w:t>
            </w:r>
            <w:r>
              <w:rPr>
                <w:sz w:val="22"/>
                <w:szCs w:val="22"/>
              </w:rPr>
              <w:t>ceturksn</w:t>
            </w:r>
            <w:r w:rsidR="000E7F58">
              <w:rPr>
                <w:sz w:val="22"/>
                <w:szCs w:val="22"/>
              </w:rPr>
              <w:t>i. Vienas stundas izmaksa</w:t>
            </w:r>
            <w:r w:rsidR="00ED11D9">
              <w:rPr>
                <w:sz w:val="22"/>
                <w:szCs w:val="22"/>
              </w:rPr>
              <w:t>s</w:t>
            </w:r>
            <w:r w:rsidR="000E7F58">
              <w:rPr>
                <w:sz w:val="22"/>
                <w:szCs w:val="22"/>
              </w:rPr>
              <w:t xml:space="preserve"> ir </w:t>
            </w:r>
            <w:r w:rsidR="00ED11D9">
              <w:rPr>
                <w:sz w:val="22"/>
                <w:szCs w:val="22"/>
              </w:rPr>
              <w:t xml:space="preserve">EUR </w:t>
            </w:r>
            <w:r w:rsidR="000E7F58">
              <w:rPr>
                <w:sz w:val="22"/>
                <w:szCs w:val="22"/>
              </w:rPr>
              <w:t>5,7. Tādējādi gada izmaksas ceturkšņa vidējās svaigpiena cenas aprēķināšanai ir:</w:t>
            </w:r>
          </w:p>
          <w:p w:rsidR="000E7F58" w:rsidRDefault="000E7F58" w:rsidP="000E7F58">
            <w:pPr>
              <w:pStyle w:val="naiskr"/>
              <w:spacing w:before="0" w:after="0"/>
              <w:ind w:left="283" w:right="129" w:hanging="142"/>
              <w:jc w:val="both"/>
              <w:rPr>
                <w:b/>
                <w:sz w:val="22"/>
                <w:szCs w:val="22"/>
              </w:rPr>
            </w:pPr>
            <w:r w:rsidRPr="000E7F58">
              <w:rPr>
                <w:b/>
                <w:sz w:val="22"/>
                <w:szCs w:val="22"/>
              </w:rPr>
              <w:t>1</w:t>
            </w:r>
            <w:r w:rsidR="00ED11D9">
              <w:rPr>
                <w:b/>
                <w:sz w:val="22"/>
                <w:szCs w:val="22"/>
              </w:rPr>
              <w:t xml:space="preserve"> </w:t>
            </w:r>
            <w:proofErr w:type="spellStart"/>
            <w:r>
              <w:rPr>
                <w:b/>
                <w:sz w:val="22"/>
                <w:szCs w:val="22"/>
              </w:rPr>
              <w:t>cilv</w:t>
            </w:r>
            <w:proofErr w:type="spellEnd"/>
            <w:r w:rsidR="00ED11D9">
              <w:rPr>
                <w:b/>
                <w:sz w:val="22"/>
                <w:szCs w:val="22"/>
              </w:rPr>
              <w:t>.</w:t>
            </w:r>
            <w:r w:rsidRPr="000E7F58">
              <w:rPr>
                <w:b/>
                <w:sz w:val="22"/>
                <w:szCs w:val="22"/>
              </w:rPr>
              <w:t xml:space="preserve"> </w:t>
            </w:r>
            <w:r>
              <w:rPr>
                <w:b/>
                <w:sz w:val="22"/>
                <w:szCs w:val="22"/>
              </w:rPr>
              <w:t>*</w:t>
            </w:r>
            <w:r w:rsidRPr="000E7F58">
              <w:rPr>
                <w:b/>
                <w:sz w:val="22"/>
                <w:szCs w:val="22"/>
              </w:rPr>
              <w:t xml:space="preserve"> 3</w:t>
            </w:r>
            <w:r w:rsidR="00ED11D9">
              <w:rPr>
                <w:b/>
                <w:sz w:val="22"/>
                <w:szCs w:val="22"/>
              </w:rPr>
              <w:t xml:space="preserve"> </w:t>
            </w:r>
            <w:r>
              <w:rPr>
                <w:b/>
                <w:sz w:val="22"/>
                <w:szCs w:val="22"/>
              </w:rPr>
              <w:t>h</w:t>
            </w:r>
            <w:r w:rsidRPr="000E7F58">
              <w:rPr>
                <w:b/>
                <w:sz w:val="22"/>
                <w:szCs w:val="22"/>
              </w:rPr>
              <w:t xml:space="preserve"> </w:t>
            </w:r>
            <w:r>
              <w:rPr>
                <w:b/>
                <w:sz w:val="22"/>
                <w:szCs w:val="22"/>
              </w:rPr>
              <w:t>*</w:t>
            </w:r>
            <w:r w:rsidRPr="000E7F58">
              <w:rPr>
                <w:b/>
                <w:sz w:val="22"/>
                <w:szCs w:val="22"/>
              </w:rPr>
              <w:t xml:space="preserve"> 4</w:t>
            </w:r>
            <w:r>
              <w:rPr>
                <w:b/>
                <w:sz w:val="22"/>
                <w:szCs w:val="22"/>
              </w:rPr>
              <w:t>x *</w:t>
            </w:r>
            <w:proofErr w:type="gramStart"/>
            <w:r>
              <w:rPr>
                <w:b/>
                <w:sz w:val="22"/>
                <w:szCs w:val="22"/>
              </w:rPr>
              <w:t xml:space="preserve"> </w:t>
            </w:r>
            <w:r w:rsidR="00ED11D9">
              <w:rPr>
                <w:b/>
                <w:sz w:val="22"/>
                <w:szCs w:val="22"/>
              </w:rPr>
              <w:t xml:space="preserve"> </w:t>
            </w:r>
            <w:proofErr w:type="gramEnd"/>
            <w:r w:rsidR="00ED11D9">
              <w:rPr>
                <w:b/>
                <w:sz w:val="22"/>
                <w:szCs w:val="22"/>
              </w:rPr>
              <w:t xml:space="preserve">EUR </w:t>
            </w:r>
            <w:r>
              <w:rPr>
                <w:b/>
                <w:sz w:val="22"/>
                <w:szCs w:val="22"/>
              </w:rPr>
              <w:t>5,7</w:t>
            </w:r>
            <w:r w:rsidR="00ED11D9">
              <w:rPr>
                <w:b/>
                <w:sz w:val="22"/>
                <w:szCs w:val="22"/>
              </w:rPr>
              <w:t xml:space="preserve"> </w:t>
            </w:r>
            <w:r w:rsidRPr="000E7F58">
              <w:rPr>
                <w:b/>
                <w:sz w:val="22"/>
                <w:szCs w:val="22"/>
              </w:rPr>
              <w:t xml:space="preserve">= </w:t>
            </w:r>
            <w:r w:rsidR="00ED11D9" w:rsidRPr="000E7F58">
              <w:rPr>
                <w:b/>
                <w:sz w:val="22"/>
                <w:szCs w:val="22"/>
              </w:rPr>
              <w:t xml:space="preserve"> EUR </w:t>
            </w:r>
            <w:r w:rsidRPr="000E7F58">
              <w:rPr>
                <w:b/>
                <w:sz w:val="22"/>
                <w:szCs w:val="22"/>
              </w:rPr>
              <w:t>68</w:t>
            </w:r>
            <w:r>
              <w:rPr>
                <w:b/>
                <w:sz w:val="22"/>
                <w:szCs w:val="22"/>
              </w:rPr>
              <w:t>.</w:t>
            </w:r>
          </w:p>
          <w:p w:rsidR="000E7F58" w:rsidRDefault="000E7F58" w:rsidP="000E7F58">
            <w:pPr>
              <w:pStyle w:val="naiskr"/>
              <w:spacing w:before="0" w:after="0"/>
              <w:ind w:left="283" w:right="129" w:hanging="142"/>
              <w:jc w:val="both"/>
              <w:rPr>
                <w:b/>
                <w:sz w:val="22"/>
                <w:szCs w:val="22"/>
              </w:rPr>
            </w:pPr>
          </w:p>
          <w:p w:rsidR="000E7F58" w:rsidRPr="000E7F58" w:rsidRDefault="000E7F58" w:rsidP="000E7F58">
            <w:pPr>
              <w:pStyle w:val="naiskr"/>
              <w:spacing w:before="0" w:after="0"/>
              <w:ind w:left="141" w:right="129"/>
              <w:jc w:val="both"/>
              <w:rPr>
                <w:sz w:val="22"/>
                <w:szCs w:val="22"/>
              </w:rPr>
            </w:pPr>
            <w:r w:rsidRPr="000E7F58">
              <w:rPr>
                <w:sz w:val="22"/>
                <w:szCs w:val="22"/>
              </w:rPr>
              <w:t xml:space="preserve">Informāciju publicēšanai </w:t>
            </w:r>
            <w:r w:rsidR="00ED11D9">
              <w:rPr>
                <w:sz w:val="22"/>
                <w:szCs w:val="22"/>
              </w:rPr>
              <w:t>oficiālajā izdevumā</w:t>
            </w:r>
            <w:r w:rsidRPr="000E7F58">
              <w:rPr>
                <w:sz w:val="22"/>
                <w:szCs w:val="22"/>
              </w:rPr>
              <w:t xml:space="preserve"> “Latvijas Vēstnesis” LAD </w:t>
            </w:r>
            <w:r w:rsidR="00ED11D9">
              <w:rPr>
                <w:sz w:val="22"/>
                <w:szCs w:val="22"/>
              </w:rPr>
              <w:t>sagatavos</w:t>
            </w:r>
            <w:r w:rsidRPr="000E7F58">
              <w:rPr>
                <w:sz w:val="22"/>
                <w:szCs w:val="22"/>
              </w:rPr>
              <w:t xml:space="preserve"> 1 cilvēks, </w:t>
            </w:r>
            <w:r>
              <w:rPr>
                <w:sz w:val="22"/>
                <w:szCs w:val="22"/>
              </w:rPr>
              <w:t xml:space="preserve">4 reizes gadā </w:t>
            </w:r>
            <w:r w:rsidRPr="000E7F58">
              <w:rPr>
                <w:sz w:val="22"/>
                <w:szCs w:val="22"/>
              </w:rPr>
              <w:t xml:space="preserve">patērējot </w:t>
            </w:r>
            <w:r>
              <w:rPr>
                <w:sz w:val="22"/>
                <w:szCs w:val="22"/>
              </w:rPr>
              <w:t>tam 3 stundas katru ceturksni. Vienas stundas izmaksa ir EUR</w:t>
            </w:r>
            <w:r w:rsidR="00ED11D9">
              <w:rPr>
                <w:sz w:val="22"/>
                <w:szCs w:val="22"/>
              </w:rPr>
              <w:t xml:space="preserve"> 5,7</w:t>
            </w:r>
            <w:r>
              <w:rPr>
                <w:sz w:val="22"/>
                <w:szCs w:val="22"/>
              </w:rPr>
              <w:t>. Tādējādi gada izmaksas ceturkšņa vidējās svaigpiena cenas aprēķināšanai ir:</w:t>
            </w:r>
          </w:p>
          <w:p w:rsidR="000E7F58" w:rsidRDefault="000E7F58" w:rsidP="000E7F58">
            <w:pPr>
              <w:pStyle w:val="naiskr"/>
              <w:spacing w:before="0" w:after="0"/>
              <w:ind w:left="283" w:right="129" w:hanging="142"/>
              <w:jc w:val="both"/>
              <w:rPr>
                <w:b/>
                <w:sz w:val="22"/>
                <w:szCs w:val="22"/>
              </w:rPr>
            </w:pPr>
            <w:r w:rsidRPr="000E7F58">
              <w:rPr>
                <w:b/>
                <w:sz w:val="22"/>
                <w:szCs w:val="22"/>
              </w:rPr>
              <w:t>1</w:t>
            </w:r>
            <w:r w:rsidR="00ED11D9">
              <w:rPr>
                <w:b/>
                <w:sz w:val="22"/>
                <w:szCs w:val="22"/>
              </w:rPr>
              <w:t xml:space="preserve"> </w:t>
            </w:r>
            <w:proofErr w:type="spellStart"/>
            <w:r>
              <w:rPr>
                <w:b/>
                <w:sz w:val="22"/>
                <w:szCs w:val="22"/>
              </w:rPr>
              <w:t>cilv</w:t>
            </w:r>
            <w:proofErr w:type="spellEnd"/>
            <w:r w:rsidR="00ED11D9">
              <w:rPr>
                <w:b/>
                <w:sz w:val="22"/>
                <w:szCs w:val="22"/>
              </w:rPr>
              <w:t>.</w:t>
            </w:r>
            <w:r w:rsidRPr="000E7F58">
              <w:rPr>
                <w:b/>
                <w:sz w:val="22"/>
                <w:szCs w:val="22"/>
              </w:rPr>
              <w:t xml:space="preserve"> </w:t>
            </w:r>
            <w:r>
              <w:rPr>
                <w:b/>
                <w:sz w:val="22"/>
                <w:szCs w:val="22"/>
              </w:rPr>
              <w:t>*</w:t>
            </w:r>
            <w:proofErr w:type="gramStart"/>
            <w:r w:rsidRPr="000E7F58">
              <w:rPr>
                <w:b/>
                <w:sz w:val="22"/>
                <w:szCs w:val="22"/>
              </w:rPr>
              <w:t xml:space="preserve"> </w:t>
            </w:r>
            <w:r w:rsidR="00ED11D9">
              <w:rPr>
                <w:b/>
                <w:sz w:val="22"/>
                <w:szCs w:val="22"/>
              </w:rPr>
              <w:t xml:space="preserve"> </w:t>
            </w:r>
            <w:proofErr w:type="gramEnd"/>
            <w:r w:rsidRPr="000E7F58">
              <w:rPr>
                <w:b/>
                <w:sz w:val="22"/>
                <w:szCs w:val="22"/>
              </w:rPr>
              <w:t>3</w:t>
            </w:r>
            <w:r>
              <w:rPr>
                <w:b/>
                <w:sz w:val="22"/>
                <w:szCs w:val="22"/>
              </w:rPr>
              <w:t>h</w:t>
            </w:r>
            <w:r w:rsidRPr="000E7F58">
              <w:rPr>
                <w:b/>
                <w:sz w:val="22"/>
                <w:szCs w:val="22"/>
              </w:rPr>
              <w:t xml:space="preserve"> </w:t>
            </w:r>
            <w:r>
              <w:rPr>
                <w:b/>
                <w:sz w:val="22"/>
                <w:szCs w:val="22"/>
              </w:rPr>
              <w:t>*</w:t>
            </w:r>
            <w:r w:rsidRPr="000E7F58">
              <w:rPr>
                <w:b/>
                <w:sz w:val="22"/>
                <w:szCs w:val="22"/>
              </w:rPr>
              <w:t xml:space="preserve"> 4</w:t>
            </w:r>
            <w:r>
              <w:rPr>
                <w:b/>
                <w:sz w:val="22"/>
                <w:szCs w:val="22"/>
              </w:rPr>
              <w:t xml:space="preserve">x * </w:t>
            </w:r>
            <w:r w:rsidR="00ED11D9">
              <w:rPr>
                <w:b/>
                <w:sz w:val="22"/>
                <w:szCs w:val="22"/>
              </w:rPr>
              <w:t xml:space="preserve">EUR </w:t>
            </w:r>
            <w:r>
              <w:rPr>
                <w:b/>
                <w:sz w:val="22"/>
                <w:szCs w:val="22"/>
              </w:rPr>
              <w:t>5,7</w:t>
            </w:r>
            <w:r w:rsidR="00ED11D9">
              <w:rPr>
                <w:b/>
                <w:sz w:val="22"/>
                <w:szCs w:val="22"/>
              </w:rPr>
              <w:t xml:space="preserve"> </w:t>
            </w:r>
            <w:r w:rsidRPr="000E7F58">
              <w:rPr>
                <w:b/>
                <w:sz w:val="22"/>
                <w:szCs w:val="22"/>
              </w:rPr>
              <w:t xml:space="preserve">= </w:t>
            </w:r>
            <w:r w:rsidR="00ED11D9" w:rsidRPr="000E7F58">
              <w:rPr>
                <w:b/>
                <w:sz w:val="22"/>
                <w:szCs w:val="22"/>
              </w:rPr>
              <w:t xml:space="preserve"> EUR </w:t>
            </w:r>
            <w:r w:rsidRPr="000E7F58">
              <w:rPr>
                <w:b/>
                <w:sz w:val="22"/>
                <w:szCs w:val="22"/>
              </w:rPr>
              <w:t>68</w:t>
            </w:r>
            <w:r>
              <w:rPr>
                <w:b/>
                <w:sz w:val="22"/>
                <w:szCs w:val="22"/>
              </w:rPr>
              <w:t>.</w:t>
            </w:r>
          </w:p>
          <w:p w:rsidR="000E7F58" w:rsidRPr="000E7F58" w:rsidRDefault="000E7F58" w:rsidP="008E128A">
            <w:pPr>
              <w:pStyle w:val="naiskr"/>
              <w:spacing w:before="0" w:after="0"/>
              <w:ind w:right="129"/>
              <w:jc w:val="both"/>
              <w:rPr>
                <w:sz w:val="22"/>
                <w:szCs w:val="22"/>
              </w:rPr>
            </w:pPr>
          </w:p>
        </w:tc>
      </w:tr>
      <w:tr w:rsidR="00777277" w:rsidRPr="00996A74" w:rsidTr="00A36078">
        <w:tc>
          <w:tcPr>
            <w:tcW w:w="550" w:type="dxa"/>
          </w:tcPr>
          <w:p w:rsidR="00777277" w:rsidRPr="00996A74" w:rsidRDefault="00777277" w:rsidP="00777277">
            <w:pPr>
              <w:pStyle w:val="naiskr"/>
              <w:spacing w:before="0" w:after="0"/>
              <w:rPr>
                <w:sz w:val="22"/>
                <w:szCs w:val="22"/>
              </w:rPr>
            </w:pPr>
            <w:r>
              <w:rPr>
                <w:sz w:val="22"/>
                <w:szCs w:val="22"/>
              </w:rPr>
              <w:t>4</w:t>
            </w:r>
            <w:r w:rsidRPr="00996A74">
              <w:rPr>
                <w:sz w:val="22"/>
                <w:szCs w:val="22"/>
              </w:rPr>
              <w:t>.</w:t>
            </w:r>
          </w:p>
        </w:tc>
        <w:tc>
          <w:tcPr>
            <w:tcW w:w="2706" w:type="dxa"/>
          </w:tcPr>
          <w:p w:rsidR="00777277" w:rsidRPr="00996A74" w:rsidRDefault="00777277" w:rsidP="00777277">
            <w:pPr>
              <w:pStyle w:val="naiskr"/>
              <w:spacing w:before="0" w:after="0"/>
              <w:rPr>
                <w:sz w:val="22"/>
                <w:szCs w:val="22"/>
              </w:rPr>
            </w:pPr>
            <w:r w:rsidRPr="00996A74">
              <w:rPr>
                <w:sz w:val="22"/>
                <w:szCs w:val="22"/>
              </w:rPr>
              <w:t>Cita informācija</w:t>
            </w:r>
          </w:p>
        </w:tc>
        <w:tc>
          <w:tcPr>
            <w:tcW w:w="6649" w:type="dxa"/>
          </w:tcPr>
          <w:p w:rsidR="00777277" w:rsidRPr="00996A74" w:rsidRDefault="00777277" w:rsidP="00777277">
            <w:pPr>
              <w:pStyle w:val="naiskr"/>
              <w:spacing w:before="0" w:after="0"/>
              <w:rPr>
                <w:sz w:val="22"/>
                <w:szCs w:val="22"/>
              </w:rPr>
            </w:pPr>
            <w:r w:rsidRPr="00996A74">
              <w:rPr>
                <w:sz w:val="22"/>
                <w:szCs w:val="22"/>
              </w:rPr>
              <w:t>Nav</w:t>
            </w:r>
          </w:p>
        </w:tc>
      </w:tr>
    </w:tbl>
    <w:p w:rsidR="008C5649" w:rsidRDefault="008C5649" w:rsidP="006C4607">
      <w:pPr>
        <w:pStyle w:val="naisf"/>
        <w:spacing w:before="0" w:after="0"/>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533"/>
        <w:gridCol w:w="1559"/>
        <w:gridCol w:w="1134"/>
        <w:gridCol w:w="1418"/>
        <w:gridCol w:w="1701"/>
      </w:tblGrid>
      <w:tr w:rsidR="00711156" w:rsidRPr="00DD3CA9" w:rsidTr="00536AD6">
        <w:trPr>
          <w:trHeight w:val="652"/>
          <w:jc w:val="center"/>
        </w:trPr>
        <w:tc>
          <w:tcPr>
            <w:tcW w:w="10060" w:type="dxa"/>
            <w:gridSpan w:val="6"/>
            <w:tcBorders>
              <w:top w:val="single" w:sz="4" w:space="0" w:color="auto"/>
              <w:left w:val="single" w:sz="4" w:space="0" w:color="auto"/>
              <w:bottom w:val="single" w:sz="4" w:space="0" w:color="auto"/>
              <w:right w:val="single" w:sz="4" w:space="0" w:color="auto"/>
            </w:tcBorders>
          </w:tcPr>
          <w:p w:rsidR="00711156" w:rsidRPr="00192B94" w:rsidRDefault="00711156" w:rsidP="00536AD6">
            <w:pPr>
              <w:pStyle w:val="naisnod"/>
              <w:rPr>
                <w:sz w:val="22"/>
                <w:szCs w:val="22"/>
              </w:rPr>
            </w:pPr>
            <w:r w:rsidRPr="00192B94">
              <w:rPr>
                <w:sz w:val="22"/>
                <w:szCs w:val="22"/>
              </w:rPr>
              <w:t>III. Tiesību akta projekta ietekme uz valsts budžetu un pašvaldību budžetiem</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val="restart"/>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rPr>
                <w:b/>
                <w:bCs/>
              </w:rPr>
            </w:pPr>
            <w:r w:rsidRPr="003B78CD">
              <w:rPr>
                <w:b/>
                <w:bCs/>
              </w:rPr>
              <w:t>Rādītāji</w:t>
            </w:r>
          </w:p>
        </w:tc>
        <w:tc>
          <w:tcPr>
            <w:tcW w:w="3092"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rPr>
                <w:b/>
                <w:bCs/>
              </w:rPr>
            </w:pPr>
            <w:r w:rsidRPr="003B78CD">
              <w:rPr>
                <w:b/>
                <w:bCs/>
              </w:rPr>
              <w:t>201</w:t>
            </w:r>
            <w:r>
              <w:rPr>
                <w:b/>
                <w:bCs/>
              </w:rPr>
              <w:t>5</w:t>
            </w:r>
            <w:r w:rsidRPr="003B78CD">
              <w:rPr>
                <w:b/>
                <w:bCs/>
              </w:rPr>
              <w:t>.</w:t>
            </w:r>
          </w:p>
        </w:tc>
        <w:tc>
          <w:tcPr>
            <w:tcW w:w="4253" w:type="dxa"/>
            <w:gridSpan w:val="3"/>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Turpmākie trīs gadi (</w:t>
            </w:r>
            <w:proofErr w:type="spellStart"/>
            <w:r w:rsidRPr="003B78CD">
              <w:rPr>
                <w:i/>
                <w:iCs/>
              </w:rPr>
              <w:t>euro</w:t>
            </w:r>
            <w:proofErr w:type="spellEnd"/>
            <w:r w:rsidRPr="003B78CD">
              <w:t>)</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rPr>
                <w:b/>
                <w:bCs/>
              </w:rPr>
            </w:pPr>
          </w:p>
        </w:tc>
        <w:tc>
          <w:tcPr>
            <w:tcW w:w="3092" w:type="dxa"/>
            <w:gridSpan w:val="2"/>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rPr>
                <w:b/>
                <w:bCs/>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rPr>
                <w:b/>
                <w:bCs/>
              </w:rPr>
            </w:pPr>
            <w:r w:rsidRPr="003B78CD">
              <w:rPr>
                <w:b/>
                <w:bCs/>
              </w:rPr>
              <w:t>201</w:t>
            </w:r>
            <w:r>
              <w:rPr>
                <w:b/>
                <w:bCs/>
              </w:rPr>
              <w:t>6</w:t>
            </w:r>
            <w:r w:rsidRPr="003B78CD">
              <w:rPr>
                <w:b/>
                <w:bCs/>
              </w:rPr>
              <w:t>.</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rPr>
                <w:b/>
                <w:bCs/>
              </w:rPr>
            </w:pPr>
            <w:r w:rsidRPr="003B78CD">
              <w:rPr>
                <w:b/>
                <w:bCs/>
              </w:rPr>
              <w:t>201</w:t>
            </w:r>
            <w:r>
              <w:rPr>
                <w:b/>
                <w:bCs/>
              </w:rPr>
              <w:t>7</w:t>
            </w:r>
            <w:r w:rsidRPr="003B78CD">
              <w:rPr>
                <w:b/>
                <w:bCs/>
              </w:rPr>
              <w:t>.</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rPr>
                <w:b/>
                <w:bCs/>
              </w:rPr>
            </w:pPr>
            <w:r w:rsidRPr="003B78CD">
              <w:rPr>
                <w:b/>
                <w:bCs/>
              </w:rPr>
              <w:t>201</w:t>
            </w:r>
            <w:r>
              <w:rPr>
                <w:b/>
                <w:bCs/>
              </w:rPr>
              <w:t>8</w:t>
            </w:r>
            <w:r w:rsidRPr="003B78CD">
              <w:rPr>
                <w:b/>
                <w:bCs/>
              </w:rPr>
              <w:t>.</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rPr>
                <w:b/>
                <w:bCs/>
              </w:rPr>
            </w:pPr>
          </w:p>
        </w:tc>
        <w:tc>
          <w:tcPr>
            <w:tcW w:w="1533"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saskaņā ar valsts budžetu kārtējam gadam</w:t>
            </w:r>
          </w:p>
        </w:tc>
        <w:tc>
          <w:tcPr>
            <w:tcW w:w="1559"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izmaiņas kārtējā gadā, salīdzinot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izmaiņas, salīdzinot ar kārtējo (n) gadu</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izmaiņas, salīdzinot ar kārtējo (n) gadu</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izmaiņas, salīdzinot ar kārtējo (n) gadu</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1</w:t>
            </w:r>
          </w:p>
        </w:tc>
        <w:tc>
          <w:tcPr>
            <w:tcW w:w="1533"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2</w:t>
            </w:r>
          </w:p>
        </w:tc>
        <w:tc>
          <w:tcPr>
            <w:tcW w:w="1559"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4</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5</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pPr>
              <w:pStyle w:val="tvhtml"/>
              <w:spacing w:before="0" w:beforeAutospacing="0" w:after="0" w:afterAutospacing="0"/>
              <w:jc w:val="center"/>
            </w:pPr>
            <w:r w:rsidRPr="003B78CD">
              <w:t>6</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1. Budžeta ieņēmumi:</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r>
              <w:t>580 532</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1.1. valsts pamatbudžets, tai skaitā ieņēmumi no maksas pakalpojumiem un citi pašu ieņēmumi</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r>
              <w:t>580 532</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1.2. valsts speciālais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1.3. pašvaldību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2. Budžeta izdevumi:</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711156">
            <w:pPr>
              <w:jc w:val="center"/>
            </w:pPr>
            <w:r>
              <w:t>2 556 050</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2.1. valsts pamatbudžets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711156">
            <w:pPr>
              <w:jc w:val="center"/>
            </w:pPr>
            <w:r>
              <w:t>2 556 050</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2.2. valsts speciālais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2.3. pašvaldību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3. Finansiālā ietekme:</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r>
              <w:t>1 975 518</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3.1. valsts pamatbudžets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pPr>
              <w:jc w:val="center"/>
            </w:pPr>
            <w:r>
              <w:t>1 975 518</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r w:rsidRPr="003B78CD">
              <w:t>0</w:t>
            </w:r>
            <w:r>
              <w:t>,00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lastRenderedPageBreak/>
              <w:t>3.2. speciālais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3.3. pašvaldību budžets</w:t>
            </w:r>
          </w:p>
        </w:tc>
        <w:tc>
          <w:tcPr>
            <w:tcW w:w="1533"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val="restart"/>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4. Finanšu līdzekļi papildu izdevumu finansēšanai (kompensējošu izdevumu samazinājumu norāda ar "+" zīmi)</w:t>
            </w:r>
          </w:p>
        </w:tc>
        <w:tc>
          <w:tcPr>
            <w:tcW w:w="1533" w:type="dxa"/>
            <w:vMerge w:val="restart"/>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pPr>
              <w:pStyle w:val="tvhtml"/>
              <w:spacing w:before="0" w:beforeAutospacing="0" w:after="0" w:afterAutospacing="0"/>
              <w:jc w:val="center"/>
            </w:pPr>
            <w:r w:rsidRPr="003B78CD">
              <w:t>X</w:t>
            </w:r>
          </w:p>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33"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33" w:type="dxa"/>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5. Precizēta finansiālā ietekme:</w:t>
            </w:r>
          </w:p>
        </w:tc>
        <w:tc>
          <w:tcPr>
            <w:tcW w:w="1533" w:type="dxa"/>
            <w:tcBorders>
              <w:top w:val="outset" w:sz="6" w:space="0" w:color="414142"/>
              <w:left w:val="outset" w:sz="6" w:space="0" w:color="414142"/>
              <w:bottom w:val="outset" w:sz="6" w:space="0" w:color="414142"/>
              <w:right w:val="outset" w:sz="6" w:space="0" w:color="414142"/>
            </w:tcBorders>
            <w:hideMark/>
          </w:tcPr>
          <w:p w:rsidR="00711156" w:rsidRPr="00285DE5" w:rsidRDefault="00711156" w:rsidP="00536AD6">
            <w:pPr>
              <w:jc w:val="center"/>
            </w:pPr>
            <w:r w:rsidRPr="00285DE5">
              <w:t>1 975 518</w:t>
            </w:r>
          </w:p>
        </w:tc>
        <w:tc>
          <w:tcPr>
            <w:tcW w:w="1559"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134"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418"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701"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5.1. valsts pamatbudžets</w:t>
            </w:r>
          </w:p>
        </w:tc>
        <w:tc>
          <w:tcPr>
            <w:tcW w:w="1533" w:type="dxa"/>
            <w:tcBorders>
              <w:top w:val="outset" w:sz="6" w:space="0" w:color="414142"/>
              <w:left w:val="outset" w:sz="6" w:space="0" w:color="414142"/>
              <w:bottom w:val="outset" w:sz="6" w:space="0" w:color="414142"/>
              <w:right w:val="outset" w:sz="6" w:space="0" w:color="414142"/>
            </w:tcBorders>
            <w:hideMark/>
          </w:tcPr>
          <w:p w:rsidR="00711156" w:rsidRDefault="00711156" w:rsidP="00536AD6">
            <w:pPr>
              <w:jc w:val="center"/>
            </w:pPr>
            <w:r w:rsidRPr="00285DE5">
              <w:t>1 975 518</w:t>
            </w:r>
          </w:p>
        </w:tc>
        <w:tc>
          <w:tcPr>
            <w:tcW w:w="1559"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134"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418" w:type="dxa"/>
            <w:tcBorders>
              <w:top w:val="outset" w:sz="6" w:space="0" w:color="414142"/>
              <w:left w:val="outset" w:sz="6" w:space="0" w:color="414142"/>
              <w:bottom w:val="outset" w:sz="6" w:space="0" w:color="414142"/>
              <w:right w:val="outset" w:sz="6" w:space="0" w:color="414142"/>
            </w:tcBorders>
          </w:tcPr>
          <w:p w:rsidR="00711156" w:rsidRPr="00B244B6" w:rsidRDefault="00711156" w:rsidP="00536AD6">
            <w:r w:rsidRPr="00B244B6">
              <w:t>0,00</w:t>
            </w:r>
          </w:p>
        </w:tc>
        <w:tc>
          <w:tcPr>
            <w:tcW w:w="1701" w:type="dxa"/>
            <w:tcBorders>
              <w:top w:val="outset" w:sz="6" w:space="0" w:color="414142"/>
              <w:left w:val="outset" w:sz="6" w:space="0" w:color="414142"/>
              <w:bottom w:val="outset" w:sz="6" w:space="0" w:color="414142"/>
              <w:right w:val="outset" w:sz="6" w:space="0" w:color="414142"/>
            </w:tcBorders>
          </w:tcPr>
          <w:p w:rsidR="00711156" w:rsidRDefault="00711156" w:rsidP="00536AD6">
            <w:r w:rsidRPr="00B244B6">
              <w:t>0,00</w:t>
            </w: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5.2. speciālais budžets</w:t>
            </w:r>
          </w:p>
        </w:tc>
        <w:tc>
          <w:tcPr>
            <w:tcW w:w="1533"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5.3. pašvaldību budžets</w:t>
            </w:r>
          </w:p>
        </w:tc>
        <w:tc>
          <w:tcPr>
            <w:tcW w:w="1533" w:type="dxa"/>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c>
          <w:tcPr>
            <w:tcW w:w="1559"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134"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418"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c>
          <w:tcPr>
            <w:tcW w:w="1701" w:type="dxa"/>
            <w:tcBorders>
              <w:top w:val="outset" w:sz="6" w:space="0" w:color="414142"/>
              <w:left w:val="outset" w:sz="6" w:space="0" w:color="414142"/>
              <w:bottom w:val="outset" w:sz="6" w:space="0" w:color="414142"/>
              <w:right w:val="outset" w:sz="6" w:space="0" w:color="414142"/>
            </w:tcBorders>
          </w:tcPr>
          <w:p w:rsidR="00711156" w:rsidRPr="003B78CD" w:rsidRDefault="00711156" w:rsidP="00536AD6"/>
        </w:tc>
      </w:tr>
      <w:tr w:rsidR="00711156" w:rsidRPr="009D71BA"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6. Detalizēts ieņēmumu un izdevumu aprēķins (ja nepieciešams, detalizētu ieņēmumu un izdevumu aprēķinu var pievienot anotācijas pielikumā):</w:t>
            </w:r>
          </w:p>
        </w:tc>
        <w:tc>
          <w:tcPr>
            <w:tcW w:w="7345" w:type="dxa"/>
            <w:gridSpan w:val="5"/>
            <w:vMerge w:val="restart"/>
            <w:tcBorders>
              <w:top w:val="outset" w:sz="6" w:space="0" w:color="414142"/>
              <w:left w:val="outset" w:sz="6" w:space="0" w:color="414142"/>
              <w:bottom w:val="outset" w:sz="6" w:space="0" w:color="414142"/>
              <w:right w:val="outset" w:sz="6" w:space="0" w:color="414142"/>
            </w:tcBorders>
          </w:tcPr>
          <w:p w:rsidR="00681612" w:rsidRDefault="00804423" w:rsidP="00536AD6">
            <w:pPr>
              <w:pStyle w:val="tvhtml"/>
              <w:spacing w:before="0" w:beforeAutospacing="0" w:after="0" w:afterAutospacing="0"/>
              <w:jc w:val="both"/>
            </w:pPr>
            <w:r>
              <w:t>1</w:t>
            </w:r>
            <w:r w:rsidR="00EA2059">
              <w:t>.</w:t>
            </w:r>
            <w:r>
              <w:t xml:space="preserve"> </w:t>
            </w:r>
            <w:r w:rsidR="00681612">
              <w:t xml:space="preserve">Aprēķini atspoguļoti, noapaļojot rezultātus līdz </w:t>
            </w:r>
            <w:r w:rsidR="00E44D98">
              <w:t>4</w:t>
            </w:r>
            <w:r w:rsidR="00681612">
              <w:t xml:space="preserve"> cipariem aiz komata</w:t>
            </w:r>
            <w:r w:rsidR="00E44D98">
              <w:t xml:space="preserve"> (izņemot </w:t>
            </w:r>
            <w:r w:rsidR="000C7140">
              <w:t xml:space="preserve">5.punktā norādītās iepirkuma cenas, </w:t>
            </w:r>
            <w:r w:rsidR="00E44D98">
              <w:t>6.punktā norādītās izmaksas</w:t>
            </w:r>
            <w:r w:rsidR="000C7140">
              <w:t xml:space="preserve"> un 7.punktā norādītās kopējās izmaksas</w:t>
            </w:r>
            <w:r w:rsidR="00E44D98">
              <w:t>)</w:t>
            </w:r>
            <w:r w:rsidR="00681612">
              <w:t>.</w:t>
            </w:r>
          </w:p>
          <w:p w:rsidR="00681612" w:rsidRDefault="00681612" w:rsidP="00536AD6">
            <w:pPr>
              <w:pStyle w:val="tvhtml"/>
              <w:spacing w:before="0" w:beforeAutospacing="0" w:after="0" w:afterAutospacing="0"/>
              <w:jc w:val="both"/>
            </w:pPr>
          </w:p>
          <w:p w:rsidR="00536AD6" w:rsidRDefault="00681612" w:rsidP="00536AD6">
            <w:pPr>
              <w:pStyle w:val="tvhtml"/>
              <w:spacing w:before="0" w:beforeAutospacing="0" w:after="0" w:afterAutospacing="0"/>
              <w:jc w:val="both"/>
            </w:pPr>
            <w:r>
              <w:t xml:space="preserve">2. </w:t>
            </w:r>
            <w:r w:rsidR="00536AD6">
              <w:t>2013./2014.mācību gadā programmā pavisam tika piegādāti 3 650</w:t>
            </w:r>
            <w:r w:rsidR="00ED11D9">
              <w:t> </w:t>
            </w:r>
            <w:r w:rsidR="00536AD6">
              <w:t>000</w:t>
            </w:r>
            <w:r w:rsidR="00ED11D9">
              <w:t> </w:t>
            </w:r>
            <w:r w:rsidR="00536AD6">
              <w:t>kg piena (par 2014/2015.mācību gadu pil</w:t>
            </w:r>
            <w:r w:rsidR="00FC2075">
              <w:t>na statistika vēl nav pieejama). Ņemot vērā programmā piegādāto piena daudzumu dinamiku laikā no 2010./2011</w:t>
            </w:r>
            <w:r w:rsidR="00ED11D9">
              <w:t>.</w:t>
            </w:r>
            <w:r w:rsidR="00FC2075">
              <w:t>mācību gada (kad no 2011.gada tika atjaunots valsts līdzfinansējums), piena apjom</w:t>
            </w:r>
            <w:r w:rsidR="00ED11D9">
              <w:t>s</w:t>
            </w:r>
            <w:r w:rsidR="00FC2075">
              <w:t xml:space="preserve"> ik gadu ir p</w:t>
            </w:r>
            <w:r w:rsidR="00ED11D9">
              <w:t>alielinājies</w:t>
            </w:r>
            <w:r w:rsidR="00FC2075">
              <w:t xml:space="preserve">, </w:t>
            </w:r>
            <w:r w:rsidR="00ED11D9">
              <w:t xml:space="preserve">un </w:t>
            </w:r>
            <w:r w:rsidR="00FC2075">
              <w:t xml:space="preserve">arī turpmākajos mācību gados sagaidāms </w:t>
            </w:r>
            <w:r w:rsidR="00ED11D9">
              <w:t>noteikts</w:t>
            </w:r>
            <w:r w:rsidR="00FC2075">
              <w:t xml:space="preserve"> apjom</w:t>
            </w:r>
            <w:r w:rsidR="00ED11D9">
              <w:t>a</w:t>
            </w:r>
            <w:r w:rsidR="00FC2075">
              <w:t xml:space="preserve"> pieaugums, Turklāt saskaņā ar anotācijas II</w:t>
            </w:r>
            <w:r w:rsidR="00ED11D9">
              <w:t> </w:t>
            </w:r>
            <w:r w:rsidR="00FC2075">
              <w:t xml:space="preserve">sadaļas 1.punktā doto informāciju Skolas piena programmā piedalās ap 82% izglītojamo, </w:t>
            </w:r>
            <w:r w:rsidR="00EA2059">
              <w:t>tāpēc</w:t>
            </w:r>
            <w:r w:rsidR="00FC2075">
              <w:t xml:space="preserve"> pieaugum</w:t>
            </w:r>
            <w:r w:rsidR="00EA2059">
              <w:t>s ir ļoti</w:t>
            </w:r>
            <w:r w:rsidR="00FC2075">
              <w:t xml:space="preserve"> iespēja</w:t>
            </w:r>
            <w:r w:rsidR="00EA2059">
              <w:t>ms</w:t>
            </w:r>
            <w:r w:rsidR="00FC2075">
              <w:t xml:space="preserve">. </w:t>
            </w:r>
            <w:r w:rsidR="00FC2075" w:rsidRPr="00FC2075">
              <w:rPr>
                <w:b/>
              </w:rPr>
              <w:t xml:space="preserve">Aprēķins </w:t>
            </w:r>
            <w:r w:rsidR="00EA2059">
              <w:rPr>
                <w:b/>
              </w:rPr>
              <w:t>pamatots ar</w:t>
            </w:r>
            <w:r w:rsidR="00FC2075" w:rsidRPr="00FC2075">
              <w:rPr>
                <w:b/>
              </w:rPr>
              <w:t xml:space="preserve"> piegādāto piena daudzumu pieaugumu par </w:t>
            </w:r>
            <w:r w:rsidR="00EC7AAF">
              <w:rPr>
                <w:b/>
              </w:rPr>
              <w:t>1</w:t>
            </w:r>
            <w:r w:rsidR="00267988">
              <w:rPr>
                <w:b/>
              </w:rPr>
              <w:t>0</w:t>
            </w:r>
            <w:r w:rsidR="00FC2075" w:rsidRPr="00FC2075">
              <w:rPr>
                <w:b/>
              </w:rPr>
              <w:t>%</w:t>
            </w:r>
            <w:r w:rsidR="00FC2075">
              <w:t>, t.i.:</w:t>
            </w:r>
          </w:p>
          <w:p w:rsidR="00FC2075" w:rsidRPr="00FC2075" w:rsidRDefault="00FC2075" w:rsidP="00536AD6">
            <w:pPr>
              <w:pStyle w:val="tvhtml"/>
              <w:spacing w:before="0" w:beforeAutospacing="0" w:after="0" w:afterAutospacing="0"/>
              <w:jc w:val="both"/>
              <w:rPr>
                <w:b/>
              </w:rPr>
            </w:pPr>
            <w:r>
              <w:t>3 650 000 kg +</w:t>
            </w:r>
            <w:r w:rsidR="00EC7AAF">
              <w:t>10</w:t>
            </w:r>
            <w:r>
              <w:t xml:space="preserve">% = </w:t>
            </w:r>
            <w:r w:rsidR="00EC7AAF" w:rsidRPr="00EC7AAF">
              <w:rPr>
                <w:b/>
              </w:rPr>
              <w:t>4</w:t>
            </w:r>
            <w:r w:rsidR="00EC7AAF">
              <w:rPr>
                <w:b/>
              </w:rPr>
              <w:t xml:space="preserve"> </w:t>
            </w:r>
            <w:r w:rsidR="00EC7AAF" w:rsidRPr="00EC7AAF">
              <w:rPr>
                <w:b/>
              </w:rPr>
              <w:t>03</w:t>
            </w:r>
            <w:r w:rsidR="00267988">
              <w:rPr>
                <w:b/>
              </w:rPr>
              <w:t>7</w:t>
            </w:r>
            <w:r w:rsidR="00EC7AAF">
              <w:rPr>
                <w:b/>
              </w:rPr>
              <w:t xml:space="preserve"> </w:t>
            </w:r>
            <w:r w:rsidR="00267988">
              <w:rPr>
                <w:b/>
              </w:rPr>
              <w:t>269</w:t>
            </w:r>
            <w:r w:rsidRPr="00FC2075">
              <w:rPr>
                <w:b/>
              </w:rPr>
              <w:t xml:space="preserve"> kg</w:t>
            </w:r>
            <w:r w:rsidR="00A26DFD">
              <w:rPr>
                <w:b/>
              </w:rPr>
              <w:t xml:space="preserve"> ≈ 3 91</w:t>
            </w:r>
            <w:r w:rsidR="00267988">
              <w:rPr>
                <w:b/>
              </w:rPr>
              <w:t>9</w:t>
            </w:r>
            <w:r w:rsidR="00681612">
              <w:rPr>
                <w:b/>
              </w:rPr>
              <w:t> </w:t>
            </w:r>
            <w:r w:rsidR="00267988">
              <w:rPr>
                <w:b/>
              </w:rPr>
              <w:t>67</w:t>
            </w:r>
            <w:r w:rsidR="00681612">
              <w:rPr>
                <w:b/>
              </w:rPr>
              <w:t>8,58</w:t>
            </w:r>
            <w:r w:rsidR="00E44D98">
              <w:rPr>
                <w:b/>
              </w:rPr>
              <w:t>45</w:t>
            </w:r>
            <w:r w:rsidR="00A26DFD">
              <w:rPr>
                <w:b/>
              </w:rPr>
              <w:t xml:space="preserve"> </w:t>
            </w:r>
            <w:r w:rsidR="00A26DFD" w:rsidRPr="00A26DFD">
              <w:rPr>
                <w:b/>
                <w:i/>
              </w:rPr>
              <w:t>l</w:t>
            </w:r>
            <w:r w:rsidRPr="00FC2075">
              <w:rPr>
                <w:b/>
              </w:rPr>
              <w:t>.</w:t>
            </w:r>
          </w:p>
          <w:p w:rsidR="002461AD" w:rsidRDefault="002461AD" w:rsidP="00536AD6">
            <w:pPr>
              <w:pStyle w:val="tvhtml"/>
              <w:spacing w:before="0" w:beforeAutospacing="0" w:after="0" w:afterAutospacing="0"/>
              <w:jc w:val="both"/>
            </w:pPr>
          </w:p>
          <w:p w:rsidR="00536AD6" w:rsidRDefault="00681612" w:rsidP="00536AD6">
            <w:pPr>
              <w:pStyle w:val="tvhtml"/>
              <w:spacing w:before="0" w:beforeAutospacing="0" w:after="0" w:afterAutospacing="0"/>
              <w:jc w:val="both"/>
            </w:pPr>
            <w:r>
              <w:t>3</w:t>
            </w:r>
            <w:r w:rsidR="00EA2059">
              <w:t>.</w:t>
            </w:r>
            <w:r w:rsidR="00804423">
              <w:t xml:space="preserve"> </w:t>
            </w:r>
            <w:r w:rsidR="00536AD6">
              <w:t>Tā kā LAD paš</w:t>
            </w:r>
            <w:r w:rsidR="00EA2059">
              <w:t>laik</w:t>
            </w:r>
            <w:r w:rsidR="00536AD6">
              <w:t xml:space="preserve"> ne</w:t>
            </w:r>
            <w:r w:rsidR="00EA2059">
              <w:t>tiek</w:t>
            </w:r>
            <w:r w:rsidR="00536AD6">
              <w:t xml:space="preserve"> uzskait</w:t>
            </w:r>
            <w:r w:rsidR="00EA2059">
              <w:t>īts</w:t>
            </w:r>
            <w:r w:rsidR="00536AD6">
              <w:t xml:space="preserve"> piegādāt</w:t>
            </w:r>
            <w:r w:rsidR="00EA2059">
              <w:t>ā</w:t>
            </w:r>
            <w:r w:rsidR="00536AD6">
              <w:t xml:space="preserve"> piena apjom</w:t>
            </w:r>
            <w:r w:rsidR="00EA2059">
              <w:t>s</w:t>
            </w:r>
            <w:r w:rsidR="00536AD6">
              <w:t xml:space="preserve"> dažāda lieluma iepakojumos, bet ir zināms, ka no 10 Latvijas piena pārstrādes uzņēmumiem, kas</w:t>
            </w:r>
            <w:r w:rsidR="00EA2059">
              <w:t xml:space="preserve">, īstenojot programmu, </w:t>
            </w:r>
            <w:r w:rsidR="00536AD6">
              <w:t xml:space="preserve">piegādā </w:t>
            </w:r>
            <w:r w:rsidR="00EA2059">
              <w:t>produkciju</w:t>
            </w:r>
            <w:r w:rsidR="00536AD6">
              <w:t xml:space="preserve">, tikai divi uzņēmumi </w:t>
            </w:r>
            <w:r w:rsidR="00EA2059">
              <w:t xml:space="preserve">to </w:t>
            </w:r>
            <w:r w:rsidR="00536AD6">
              <w:t>piegādā mazos iepakojum</w:t>
            </w:r>
            <w:r w:rsidR="00EA2059">
              <w:t>ā, kas nav lielāks par</w:t>
            </w:r>
            <w:r w:rsidR="00536AD6">
              <w:t xml:space="preserve"> 250 ml, tiek pieņemts, ka šāds piens veidos 20%, </w:t>
            </w:r>
            <w:r w:rsidR="00FC2075">
              <w:t>bet</w:t>
            </w:r>
            <w:r w:rsidR="00536AD6">
              <w:t xml:space="preserve"> piens liel</w:t>
            </w:r>
            <w:r w:rsidR="00EA2059">
              <w:t>ā</w:t>
            </w:r>
            <w:r w:rsidR="00536AD6">
              <w:t xml:space="preserve"> iepakoju</w:t>
            </w:r>
            <w:r w:rsidR="00EA2059">
              <w:t>mā</w:t>
            </w:r>
            <w:r w:rsidR="00536AD6">
              <w:t xml:space="preserve"> </w:t>
            </w:r>
            <w:r w:rsidR="00EA2059">
              <w:t>–</w:t>
            </w:r>
            <w:r w:rsidR="00536AD6">
              <w:t xml:space="preserve"> 80% </w:t>
            </w:r>
            <w:r w:rsidR="00FC2075">
              <w:t>no visa piegādātā piena daudzuma</w:t>
            </w:r>
            <w:r w:rsidR="00EA2059">
              <w:t>.</w:t>
            </w:r>
          </w:p>
          <w:p w:rsidR="00C8480C" w:rsidRDefault="00C8480C" w:rsidP="00536AD6">
            <w:pPr>
              <w:pStyle w:val="tvhtml"/>
              <w:spacing w:before="0" w:beforeAutospacing="0" w:after="0" w:afterAutospacing="0"/>
              <w:jc w:val="both"/>
            </w:pPr>
          </w:p>
          <w:p w:rsidR="00C8480C" w:rsidRDefault="00681612" w:rsidP="00536AD6">
            <w:pPr>
              <w:pStyle w:val="tvhtml"/>
              <w:spacing w:before="0" w:beforeAutospacing="0" w:after="0" w:afterAutospacing="0"/>
              <w:jc w:val="both"/>
            </w:pPr>
            <w:r>
              <w:t>4</w:t>
            </w:r>
            <w:r w:rsidR="00EA2059">
              <w:t>.</w:t>
            </w:r>
            <w:r w:rsidR="00C8480C">
              <w:t xml:space="preserve"> </w:t>
            </w:r>
            <w:r w:rsidR="00EA2059">
              <w:t>Turklāt</w:t>
            </w:r>
            <w:r w:rsidR="00C8480C">
              <w:t xml:space="preserve"> tiek pieņemts, ka piens, kas ražots atbilstoši bioloģiskās lauksaimniecības shēmas prasībām, veidos ne vairāk kā 20% no </w:t>
            </w:r>
            <w:r w:rsidR="00EA2059">
              <w:rPr>
                <w:szCs w:val="28"/>
              </w:rPr>
              <w:t>vairāk nekā 250 ml lielā</w:t>
            </w:r>
            <w:r w:rsidR="00EA2059">
              <w:t xml:space="preserve"> </w:t>
            </w:r>
            <w:r w:rsidR="00C8480C">
              <w:t xml:space="preserve">iepakojumos piegādātā daudzuma un ne vairāk kā 5% no </w:t>
            </w:r>
            <w:r w:rsidR="00EA2059">
              <w:rPr>
                <w:szCs w:val="28"/>
              </w:rPr>
              <w:t xml:space="preserve">ne vairāk kā 250 ml lielā </w:t>
            </w:r>
            <w:r w:rsidR="00C8480C">
              <w:t>iepakojumos piegādātā daudzuma (</w:t>
            </w:r>
            <w:r w:rsidR="00C8480C" w:rsidRPr="00B71D93">
              <w:t xml:space="preserve">kaut arī </w:t>
            </w:r>
            <w:r w:rsidR="00EA2059">
              <w:t>pagaidām</w:t>
            </w:r>
            <w:r w:rsidR="00C8480C" w:rsidRPr="00B71D93">
              <w:t xml:space="preserve"> nav </w:t>
            </w:r>
            <w:r w:rsidR="00EA2059">
              <w:t>informācijas</w:t>
            </w:r>
            <w:r w:rsidR="00C8480C" w:rsidRPr="00B71D93">
              <w:t xml:space="preserve"> par to, ka “bioloģiskais” piens tiktu fasēts maz</w:t>
            </w:r>
            <w:r w:rsidR="00EA2059">
              <w:t>ā</w:t>
            </w:r>
            <w:r w:rsidR="00C8480C" w:rsidRPr="00B71D93">
              <w:t xml:space="preserve"> iepakojum</w:t>
            </w:r>
            <w:r w:rsidR="00EA2059">
              <w:t>ā</w:t>
            </w:r>
            <w:r w:rsidR="00C8480C" w:rsidRPr="00EA2059">
              <w:t>)</w:t>
            </w:r>
            <w:r w:rsidR="00C8480C">
              <w:t>.</w:t>
            </w:r>
            <w:r w:rsidR="00EA2059">
              <w:t xml:space="preserve"> Tas nozīmē</w:t>
            </w:r>
            <w:r w:rsidR="00C8480C">
              <w:t xml:space="preserve">, </w:t>
            </w:r>
            <w:r w:rsidR="00EA2059">
              <w:t xml:space="preserve">ka </w:t>
            </w:r>
            <w:r w:rsidR="00C8480C">
              <w:t>piegādā</w:t>
            </w:r>
            <w:r w:rsidR="00EA2059">
              <w:t>jumā</w:t>
            </w:r>
            <w:r w:rsidR="00C8480C">
              <w:t xml:space="preserve"> daudzum</w:t>
            </w:r>
            <w:r w:rsidR="00EA2059">
              <w:t>a</w:t>
            </w:r>
            <w:r w:rsidR="00C8480C">
              <w:t xml:space="preserve"> sadalījums provizoriski varētu būt šāds:</w:t>
            </w:r>
          </w:p>
          <w:p w:rsidR="00C8480C" w:rsidRDefault="00EA2059" w:rsidP="007F56B2">
            <w:pPr>
              <w:pStyle w:val="tvhtml"/>
              <w:numPr>
                <w:ilvl w:val="0"/>
                <w:numId w:val="26"/>
              </w:numPr>
              <w:spacing w:before="0" w:beforeAutospacing="0" w:after="0" w:afterAutospacing="0"/>
              <w:jc w:val="both"/>
            </w:pPr>
            <w:r>
              <w:t>p</w:t>
            </w:r>
            <w:r w:rsidR="00C8480C">
              <w:t xml:space="preserve">iens </w:t>
            </w:r>
            <w:r>
              <w:rPr>
                <w:szCs w:val="28"/>
              </w:rPr>
              <w:t>vairāk nekā 250 ml lielā</w:t>
            </w:r>
            <w:r>
              <w:t xml:space="preserve"> </w:t>
            </w:r>
            <w:r w:rsidR="00C8480C">
              <w:t>iepakojum</w:t>
            </w:r>
            <w:r>
              <w:t>ā</w:t>
            </w:r>
            <w:r w:rsidR="00C8480C">
              <w:t>:</w:t>
            </w:r>
          </w:p>
          <w:p w:rsidR="00C8480C" w:rsidRDefault="00C8480C" w:rsidP="007F56B2">
            <w:pPr>
              <w:pStyle w:val="tvhtml"/>
              <w:numPr>
                <w:ilvl w:val="1"/>
                <w:numId w:val="26"/>
              </w:numPr>
              <w:spacing w:before="0" w:beforeAutospacing="0" w:after="0" w:afterAutospacing="0"/>
              <w:jc w:val="both"/>
            </w:pPr>
            <w:r>
              <w:t xml:space="preserve">“bioloģiskais” – </w:t>
            </w:r>
            <w:r w:rsidR="00267988">
              <w:t>627</w:t>
            </w:r>
            <w:r w:rsidR="00681612">
              <w:t> </w:t>
            </w:r>
            <w:r w:rsidR="00267988">
              <w:t>14</w:t>
            </w:r>
            <w:r w:rsidR="00681612">
              <w:t>8,57</w:t>
            </w:r>
            <w:r w:rsidR="00E44D98">
              <w:t>35</w:t>
            </w:r>
            <w:r w:rsidR="00A26DFD">
              <w:t xml:space="preserve"> </w:t>
            </w:r>
            <w:r w:rsidR="00A26DFD" w:rsidRPr="00A26DFD">
              <w:rPr>
                <w:i/>
              </w:rPr>
              <w:t>l</w:t>
            </w:r>
            <w:r w:rsidR="00EA2059" w:rsidRPr="00A26DFD">
              <w:rPr>
                <w:i/>
              </w:rPr>
              <w:t>,</w:t>
            </w:r>
          </w:p>
          <w:p w:rsidR="00C8480C" w:rsidRDefault="00EA2059" w:rsidP="007F56B2">
            <w:pPr>
              <w:pStyle w:val="tvhtml"/>
              <w:numPr>
                <w:ilvl w:val="1"/>
                <w:numId w:val="26"/>
              </w:numPr>
              <w:spacing w:before="0" w:beforeAutospacing="0" w:after="0" w:afterAutospacing="0"/>
              <w:jc w:val="both"/>
            </w:pPr>
            <w:r>
              <w:t>p</w:t>
            </w:r>
            <w:r w:rsidR="00C8480C">
              <w:t>ārējais – 2</w:t>
            </w:r>
            <w:r w:rsidR="00FC2075">
              <w:t> </w:t>
            </w:r>
            <w:r w:rsidR="00C5696F">
              <w:t>5</w:t>
            </w:r>
            <w:r w:rsidR="00267988">
              <w:t>08</w:t>
            </w:r>
            <w:r w:rsidR="00681612">
              <w:t> </w:t>
            </w:r>
            <w:r w:rsidR="00267988">
              <w:t>594</w:t>
            </w:r>
            <w:r w:rsidR="00681612">
              <w:t>,29</w:t>
            </w:r>
            <w:r w:rsidR="00E44D98">
              <w:t>41</w:t>
            </w:r>
            <w:r w:rsidR="00A26DFD">
              <w:t xml:space="preserve"> </w:t>
            </w:r>
            <w:r w:rsidR="00267988">
              <w:rPr>
                <w:i/>
              </w:rPr>
              <w:t>l</w:t>
            </w:r>
          </w:p>
          <w:p w:rsidR="00C8480C" w:rsidRDefault="00EA2059" w:rsidP="007F56B2">
            <w:pPr>
              <w:pStyle w:val="tvhtml"/>
              <w:numPr>
                <w:ilvl w:val="0"/>
                <w:numId w:val="26"/>
              </w:numPr>
              <w:spacing w:before="0" w:beforeAutospacing="0" w:after="0" w:afterAutospacing="0"/>
              <w:jc w:val="both"/>
            </w:pPr>
            <w:r>
              <w:t>p</w:t>
            </w:r>
            <w:r w:rsidR="00C8480C">
              <w:t xml:space="preserve">iens </w:t>
            </w:r>
            <w:r>
              <w:rPr>
                <w:szCs w:val="28"/>
              </w:rPr>
              <w:t xml:space="preserve">ne vairāk kā 250 ml lielā </w:t>
            </w:r>
            <w:r w:rsidR="00C8480C">
              <w:t>iepakojum</w:t>
            </w:r>
            <w:r>
              <w:t>ā</w:t>
            </w:r>
            <w:r w:rsidR="00C8480C">
              <w:t>:</w:t>
            </w:r>
          </w:p>
          <w:p w:rsidR="00C8480C" w:rsidRDefault="00C8480C" w:rsidP="007F56B2">
            <w:pPr>
              <w:pStyle w:val="tvhtml"/>
              <w:numPr>
                <w:ilvl w:val="1"/>
                <w:numId w:val="26"/>
              </w:numPr>
              <w:spacing w:before="0" w:beforeAutospacing="0" w:after="0" w:afterAutospacing="0"/>
              <w:jc w:val="both"/>
            </w:pPr>
            <w:r>
              <w:t>“bioloģiskais” –</w:t>
            </w:r>
            <w:r w:rsidR="00267988">
              <w:t xml:space="preserve"> </w:t>
            </w:r>
            <w:r w:rsidR="00A26DFD">
              <w:t>39</w:t>
            </w:r>
            <w:r w:rsidR="00681612">
              <w:t> </w:t>
            </w:r>
            <w:r w:rsidR="00A26DFD">
              <w:t>1</w:t>
            </w:r>
            <w:r w:rsidR="00267988">
              <w:t>9</w:t>
            </w:r>
            <w:r w:rsidR="00E44D98">
              <w:t>6,7858</w:t>
            </w:r>
            <w:r w:rsidR="00A26DFD">
              <w:t xml:space="preserve"> </w:t>
            </w:r>
            <w:r w:rsidR="00A26DFD" w:rsidRPr="00A26DFD">
              <w:rPr>
                <w:i/>
              </w:rPr>
              <w:t>l</w:t>
            </w:r>
            <w:r w:rsidR="00EA2059">
              <w:t>,</w:t>
            </w:r>
          </w:p>
          <w:p w:rsidR="00C8480C" w:rsidRDefault="00EA2059" w:rsidP="007F56B2">
            <w:pPr>
              <w:pStyle w:val="tvhtml"/>
              <w:numPr>
                <w:ilvl w:val="1"/>
                <w:numId w:val="26"/>
              </w:numPr>
              <w:spacing w:before="0" w:beforeAutospacing="0" w:after="0" w:afterAutospacing="0"/>
              <w:jc w:val="both"/>
            </w:pPr>
            <w:r>
              <w:t>p</w:t>
            </w:r>
            <w:r w:rsidR="00C8480C">
              <w:t xml:space="preserve">ārējais – </w:t>
            </w:r>
            <w:r w:rsidR="00AB0583">
              <w:t>7</w:t>
            </w:r>
            <w:r w:rsidR="00267988">
              <w:t>44</w:t>
            </w:r>
            <w:r w:rsidR="00681612">
              <w:t> </w:t>
            </w:r>
            <w:r w:rsidR="00C5696F">
              <w:t>7</w:t>
            </w:r>
            <w:r w:rsidR="00267988">
              <w:t>3</w:t>
            </w:r>
            <w:r w:rsidR="00681612">
              <w:t>8,93</w:t>
            </w:r>
            <w:r w:rsidR="00E44D98">
              <w:t>10</w:t>
            </w:r>
            <w:r w:rsidR="00C8480C">
              <w:t xml:space="preserve"> </w:t>
            </w:r>
            <w:r w:rsidR="00A26DFD" w:rsidRPr="00A26DFD">
              <w:rPr>
                <w:i/>
              </w:rPr>
              <w:t>l</w:t>
            </w:r>
            <w:r w:rsidR="00C8480C">
              <w:t>.</w:t>
            </w:r>
          </w:p>
          <w:p w:rsidR="00C8480C" w:rsidRDefault="00C8480C" w:rsidP="00C8480C">
            <w:pPr>
              <w:pStyle w:val="tvhtml"/>
              <w:spacing w:before="0" w:beforeAutospacing="0" w:after="0" w:afterAutospacing="0"/>
              <w:ind w:left="1500"/>
              <w:jc w:val="both"/>
            </w:pPr>
          </w:p>
          <w:p w:rsidR="00711156" w:rsidRPr="00EC7AAF" w:rsidRDefault="00681612" w:rsidP="00536AD6">
            <w:pPr>
              <w:pStyle w:val="tvhtml"/>
              <w:spacing w:before="0" w:beforeAutospacing="0" w:after="0" w:afterAutospacing="0"/>
              <w:jc w:val="both"/>
              <w:rPr>
                <w:b/>
              </w:rPr>
            </w:pPr>
            <w:r>
              <w:lastRenderedPageBreak/>
              <w:t>5</w:t>
            </w:r>
            <w:r w:rsidR="007C1ABB">
              <w:t>.</w:t>
            </w:r>
            <w:r w:rsidR="00536AD6">
              <w:t xml:space="preserve"> Izmantojot LDC apkopotās vidējās svaigpiena iepirkuma cenas un aprēķinot </w:t>
            </w:r>
            <w:r w:rsidR="007C1ABB">
              <w:t xml:space="preserve">konkrēto </w:t>
            </w:r>
            <w:r w:rsidR="00536AD6">
              <w:t>3 mēnešu vidēj</w:t>
            </w:r>
            <w:r w:rsidR="007C1ABB">
              <w:t>o</w:t>
            </w:r>
            <w:r w:rsidR="00536AD6">
              <w:t xml:space="preserve"> iepirkuma cen</w:t>
            </w:r>
            <w:r w:rsidR="007C1ABB">
              <w:t>u</w:t>
            </w:r>
            <w:r w:rsidR="00536AD6">
              <w:t xml:space="preserve">, laikā no 2014.gada aprīļa līdz 2015.gada aprīlim </w:t>
            </w:r>
            <w:r w:rsidR="00536AD6" w:rsidRPr="004E7080">
              <w:rPr>
                <w:b/>
              </w:rPr>
              <w:t>vidējā svaigpiena iepirkuma cena ceturksnim bija 0,231 EUR/</w:t>
            </w:r>
            <w:r w:rsidR="00A26DFD" w:rsidRPr="00267988">
              <w:rPr>
                <w:b/>
                <w:i/>
              </w:rPr>
              <w:t>l</w:t>
            </w:r>
            <w:r w:rsidR="00804423">
              <w:t xml:space="preserve"> bez pievienotās vērtības nodokļa</w:t>
            </w:r>
            <w:r w:rsidR="00536AD6">
              <w:t xml:space="preserve">. </w:t>
            </w:r>
            <w:r w:rsidR="00E10CCC">
              <w:t xml:space="preserve">Tomēr jāņem vērā, ka svaigpiena iepirkuma cena ir mainīga – sezonāli gada laikā </w:t>
            </w:r>
            <w:r w:rsidR="007C1ABB">
              <w:t xml:space="preserve">tā </w:t>
            </w:r>
            <w:r w:rsidR="00E10CCC">
              <w:t>svārst</w:t>
            </w:r>
            <w:r w:rsidR="007C1ABB">
              <w:t>ā</w:t>
            </w:r>
            <w:r w:rsidR="00E10CCC">
              <w:t xml:space="preserve">s līdz pat 20% </w:t>
            </w:r>
            <w:r w:rsidR="007C1ABB">
              <w:t>diapazonā –</w:t>
            </w:r>
            <w:r w:rsidR="00E10CCC">
              <w:t xml:space="preserve"> </w:t>
            </w:r>
            <w:r w:rsidR="007C1ABB">
              <w:t xml:space="preserve">un </w:t>
            </w:r>
            <w:r w:rsidR="00E10CCC">
              <w:t>paš</w:t>
            </w:r>
            <w:r w:rsidR="007C1ABB">
              <w:t>laik</w:t>
            </w:r>
            <w:r w:rsidR="00E10CCC">
              <w:t xml:space="preserve"> Krievijas 2014.gada 7.augustā noteiktā importa embargo (vairākiem ES, Norvēģijas un ASV izcelsmes lauksaimniecības un pārtikas produktiem, t</w:t>
            </w:r>
            <w:r w:rsidR="007C1ABB">
              <w:t>ostarp</w:t>
            </w:r>
            <w:r w:rsidR="00E10CCC">
              <w:t xml:space="preserve"> piena produktiem) radīto tirgus problēmu ietekmē </w:t>
            </w:r>
            <w:r w:rsidR="007C1ABB">
              <w:t xml:space="preserve">svaigpiena cena </w:t>
            </w:r>
            <w:r w:rsidR="00E10CCC">
              <w:t>ir par 27% zemāka nekā pirms embargo,</w:t>
            </w:r>
            <w:r w:rsidR="007C1ABB">
              <w:t xml:space="preserve"> tāpēc</w:t>
            </w:r>
            <w:r w:rsidR="00E10CCC">
              <w:t xml:space="preserve"> joprojām notiek tirgus pārkārtošanās un pielāgošanās jaunajiem pieprasījuma nosacījumiem</w:t>
            </w:r>
            <w:r w:rsidR="007C1ABB">
              <w:t>.</w:t>
            </w:r>
            <w:r w:rsidR="00E10CCC">
              <w:t xml:space="preserve"> </w:t>
            </w:r>
            <w:r w:rsidR="007C1ABB">
              <w:t>T</w:t>
            </w:r>
            <w:r w:rsidR="00E10CCC">
              <w:t xml:space="preserve">as </w:t>
            </w:r>
            <w:r w:rsidR="007C1ABB">
              <w:t xml:space="preserve">savukārt </w:t>
            </w:r>
            <w:r w:rsidR="00E10CCC">
              <w:t xml:space="preserve">nozīmē, ka kādā brīdī svaigpiena iepirkuma cenas lejupslīde apstāsies un cena </w:t>
            </w:r>
            <w:r w:rsidR="007C1ABB">
              <w:t>sāks palielināties</w:t>
            </w:r>
            <w:r w:rsidR="00E10CCC">
              <w:t>.</w:t>
            </w:r>
            <w:r w:rsidR="001332E5">
              <w:t xml:space="preserve"> </w:t>
            </w:r>
            <w:r w:rsidR="00757B5E">
              <w:rPr>
                <w:b/>
              </w:rPr>
              <w:t>Turklāt ir</w:t>
            </w:r>
            <w:r w:rsidR="001332E5" w:rsidRPr="001332E5">
              <w:rPr>
                <w:b/>
              </w:rPr>
              <w:t xml:space="preserve"> jāņem vērā, ka svaigpienam, kas ražots atbilstoši bioloģiskās lauksaimniecības prasībām, iepirkuma cena būs mazliet augstāka</w:t>
            </w:r>
            <w:proofErr w:type="gramStart"/>
            <w:r w:rsidR="001332E5" w:rsidRPr="001332E5">
              <w:rPr>
                <w:b/>
              </w:rPr>
              <w:t xml:space="preserve"> nekā pārejam svaigpienam</w:t>
            </w:r>
            <w:proofErr w:type="gramEnd"/>
            <w:r w:rsidR="001332E5" w:rsidRPr="001332E5">
              <w:rPr>
                <w:b/>
              </w:rPr>
              <w:t>.</w:t>
            </w:r>
            <w:r w:rsidR="001332E5">
              <w:t xml:space="preserve"> </w:t>
            </w:r>
            <w:r w:rsidR="00E10CCC">
              <w:t xml:space="preserve">Tādēļ </w:t>
            </w:r>
            <w:r w:rsidR="007C1ABB">
              <w:rPr>
                <w:b/>
              </w:rPr>
              <w:t xml:space="preserve">aprēķinos </w:t>
            </w:r>
            <w:r w:rsidR="00E10CCC" w:rsidRPr="00EC7AAF">
              <w:rPr>
                <w:b/>
              </w:rPr>
              <w:t>pieņem</w:t>
            </w:r>
            <w:r w:rsidR="007C1ABB">
              <w:rPr>
                <w:b/>
              </w:rPr>
              <w:t>ts</w:t>
            </w:r>
            <w:r w:rsidR="00E10CCC" w:rsidRPr="00EC7AAF">
              <w:rPr>
                <w:b/>
              </w:rPr>
              <w:t xml:space="preserve">, ka svaigpiena iepirkuma cena </w:t>
            </w:r>
            <w:r w:rsidR="00E10CCC" w:rsidRPr="001332E5">
              <w:t xml:space="preserve">ceturksnī vidēji būs </w:t>
            </w:r>
            <w:r w:rsidR="001332E5" w:rsidRPr="001332E5">
              <w:t xml:space="preserve">0,32 EUR/l “bioloģiskajam svaigpienam un </w:t>
            </w:r>
            <w:r w:rsidR="00EC7AAF" w:rsidRPr="001332E5">
              <w:t>0,3</w:t>
            </w:r>
            <w:r w:rsidR="005D61EC">
              <w:t>0</w:t>
            </w:r>
            <w:r w:rsidR="00EC7AAF" w:rsidRPr="001332E5">
              <w:t xml:space="preserve"> EUR/</w:t>
            </w:r>
            <w:r w:rsidR="00A26DFD" w:rsidRPr="001332E5">
              <w:rPr>
                <w:i/>
              </w:rPr>
              <w:t>l</w:t>
            </w:r>
            <w:r w:rsidR="001332E5" w:rsidRPr="001332E5">
              <w:rPr>
                <w:i/>
              </w:rPr>
              <w:t xml:space="preserve"> </w:t>
            </w:r>
            <w:r w:rsidR="001332E5" w:rsidRPr="001332E5">
              <w:t>pārējam svaigpienam</w:t>
            </w:r>
            <w:r w:rsidR="007C1ABB" w:rsidRPr="001332E5">
              <w:t>.</w:t>
            </w:r>
          </w:p>
          <w:p w:rsidR="002461AD" w:rsidRDefault="002461AD" w:rsidP="00536AD6">
            <w:pPr>
              <w:pStyle w:val="tvhtml"/>
              <w:spacing w:before="0" w:beforeAutospacing="0" w:after="0" w:afterAutospacing="0"/>
              <w:jc w:val="both"/>
            </w:pPr>
          </w:p>
          <w:p w:rsidR="00536AD6" w:rsidRDefault="00681612" w:rsidP="00536AD6">
            <w:pPr>
              <w:pStyle w:val="tvhtml"/>
              <w:spacing w:before="0" w:beforeAutospacing="0" w:after="0" w:afterAutospacing="0"/>
              <w:jc w:val="both"/>
            </w:pPr>
            <w:r>
              <w:t>6</w:t>
            </w:r>
            <w:r w:rsidR="007C1ABB">
              <w:t>.</w:t>
            </w:r>
            <w:r w:rsidR="00804423">
              <w:t xml:space="preserve"> Saskaņā ar programmā iesaistīto piena pārstrādes uzņēmumu sniegto</w:t>
            </w:r>
            <w:proofErr w:type="gramStart"/>
            <w:r w:rsidR="00804423">
              <w:t xml:space="preserve">  </w:t>
            </w:r>
            <w:proofErr w:type="gramEnd"/>
            <w:r w:rsidR="00804423">
              <w:t xml:space="preserve">informāciju </w:t>
            </w:r>
            <w:r w:rsidR="00757B5E">
              <w:t xml:space="preserve">par izmaksām </w:t>
            </w:r>
            <w:r w:rsidR="00804423" w:rsidRPr="004E7080">
              <w:rPr>
                <w:b/>
              </w:rPr>
              <w:t>pārējās izmaksas</w:t>
            </w:r>
            <w:r w:rsidR="00804423">
              <w:t xml:space="preserve"> (bez pievienotās vērtības nodokļa, bet ietverot pārstrād</w:t>
            </w:r>
            <w:r w:rsidR="007C1ABB">
              <w:t>es</w:t>
            </w:r>
            <w:r w:rsidR="00804423">
              <w:t>, transport</w:t>
            </w:r>
            <w:r w:rsidR="007C1ABB">
              <w:t>a</w:t>
            </w:r>
            <w:r w:rsidR="00804423">
              <w:t xml:space="preserve"> un citas izmaksas saistībā ar produktu </w:t>
            </w:r>
            <w:r w:rsidR="00AE4DBE">
              <w:t>izdal</w:t>
            </w:r>
            <w:r w:rsidR="007C1ABB">
              <w:t>īšanu</w:t>
            </w:r>
            <w:r w:rsidR="00804423">
              <w:t>) veidoja:</w:t>
            </w:r>
          </w:p>
          <w:p w:rsidR="00804423" w:rsidRDefault="007C1ABB" w:rsidP="007F56B2">
            <w:pPr>
              <w:pStyle w:val="tvhtml"/>
              <w:numPr>
                <w:ilvl w:val="0"/>
                <w:numId w:val="26"/>
              </w:numPr>
              <w:spacing w:before="0" w:beforeAutospacing="0" w:after="0" w:afterAutospacing="0"/>
              <w:jc w:val="both"/>
            </w:pPr>
            <w:r>
              <w:t>p</w:t>
            </w:r>
            <w:r w:rsidR="00804423">
              <w:t xml:space="preserve">ienam </w:t>
            </w:r>
            <w:r>
              <w:rPr>
                <w:szCs w:val="28"/>
              </w:rPr>
              <w:t>vairāk nekā 250 ml lielā</w:t>
            </w:r>
            <w:r>
              <w:t xml:space="preserve"> </w:t>
            </w:r>
            <w:r w:rsidR="00A26DFD">
              <w:t>iepakojumā – 0,19 EUR/</w:t>
            </w:r>
            <w:r w:rsidR="00A26DFD" w:rsidRPr="00267988">
              <w:rPr>
                <w:i/>
              </w:rPr>
              <w:t>l</w:t>
            </w:r>
            <w:r w:rsidR="00EC7AAF">
              <w:t xml:space="preserve"> (maksimāli)</w:t>
            </w:r>
            <w:r>
              <w:t>;</w:t>
            </w:r>
          </w:p>
          <w:p w:rsidR="00804423" w:rsidRDefault="007C1ABB" w:rsidP="007F56B2">
            <w:pPr>
              <w:pStyle w:val="tvhtml"/>
              <w:numPr>
                <w:ilvl w:val="0"/>
                <w:numId w:val="26"/>
              </w:numPr>
              <w:spacing w:before="0" w:beforeAutospacing="0" w:after="0" w:afterAutospacing="0"/>
              <w:jc w:val="both"/>
            </w:pPr>
            <w:r>
              <w:t>p</w:t>
            </w:r>
            <w:r w:rsidR="00804423">
              <w:t xml:space="preserve">ienam </w:t>
            </w:r>
            <w:r>
              <w:rPr>
                <w:szCs w:val="28"/>
              </w:rPr>
              <w:t xml:space="preserve">ne vairāk kā 250 ml lielā </w:t>
            </w:r>
            <w:r w:rsidR="00804423">
              <w:t>iepakojumā – 0,5</w:t>
            </w:r>
            <w:r w:rsidR="00EC7AAF">
              <w:t>4</w:t>
            </w:r>
            <w:r w:rsidR="00804423">
              <w:t xml:space="preserve"> EUR/</w:t>
            </w:r>
            <w:r w:rsidR="00A26DFD" w:rsidRPr="00267988">
              <w:rPr>
                <w:i/>
              </w:rPr>
              <w:t>l</w:t>
            </w:r>
            <w:r w:rsidR="00EC7AAF">
              <w:t xml:space="preserve"> (maksimāli)</w:t>
            </w:r>
            <w:r>
              <w:t>.</w:t>
            </w:r>
          </w:p>
          <w:p w:rsidR="004E7080" w:rsidRDefault="004E7080" w:rsidP="00804423">
            <w:pPr>
              <w:pStyle w:val="tvhtml"/>
              <w:spacing w:before="0" w:beforeAutospacing="0" w:after="0" w:afterAutospacing="0"/>
              <w:jc w:val="both"/>
            </w:pPr>
          </w:p>
          <w:p w:rsidR="00804423" w:rsidRDefault="00681612" w:rsidP="00804423">
            <w:pPr>
              <w:pStyle w:val="tvhtml"/>
              <w:spacing w:before="0" w:beforeAutospacing="0" w:after="0" w:afterAutospacing="0"/>
              <w:jc w:val="both"/>
            </w:pPr>
            <w:r>
              <w:t>7</w:t>
            </w:r>
            <w:r w:rsidR="007C1ABB">
              <w:t>.</w:t>
            </w:r>
            <w:r w:rsidR="00804423">
              <w:t xml:space="preserve"> Tādējādi </w:t>
            </w:r>
            <w:r w:rsidR="00804423" w:rsidRPr="00804423">
              <w:rPr>
                <w:b/>
              </w:rPr>
              <w:t>kopējās produkta ražošanas izmaksas,</w:t>
            </w:r>
            <w:r w:rsidR="00804423">
              <w:t xml:space="preserve"> ietverot </w:t>
            </w:r>
            <w:r w:rsidR="001332E5">
              <w:t xml:space="preserve">arī </w:t>
            </w:r>
            <w:r w:rsidR="00804423">
              <w:t>Eiropas Savienības atbalstu</w:t>
            </w:r>
            <w:r w:rsidR="002F0B38">
              <w:t xml:space="preserve"> 0,1815 EUR/kg</w:t>
            </w:r>
            <w:r w:rsidR="001332E5">
              <w:t xml:space="preserve"> un pievienotās vērtības nodokli, ko nepieciešams kompensēt ar valsts līdzfinansējumu</w:t>
            </w:r>
            <w:r w:rsidR="00804423">
              <w:t xml:space="preserve">, lai </w:t>
            </w:r>
            <w:r w:rsidR="007C1ABB">
              <w:t xml:space="preserve">noteiktai mērķauditorijai </w:t>
            </w:r>
            <w:r w:rsidR="00804423">
              <w:t>nodrošinātu pienu bez maksas, vidēji laikposm</w:t>
            </w:r>
            <w:r w:rsidR="007C1ABB">
              <w:t>ā</w:t>
            </w:r>
            <w:r w:rsidR="00804423">
              <w:t xml:space="preserve"> no 2014.gada aprīļa līdz 2015.gada aprīlim bija:</w:t>
            </w:r>
          </w:p>
          <w:p w:rsidR="00C8480C" w:rsidRDefault="007C1ABB" w:rsidP="007F56B2">
            <w:pPr>
              <w:pStyle w:val="tvhtml"/>
              <w:numPr>
                <w:ilvl w:val="0"/>
                <w:numId w:val="26"/>
              </w:numPr>
              <w:spacing w:before="0" w:beforeAutospacing="0" w:after="0" w:afterAutospacing="0"/>
              <w:jc w:val="both"/>
            </w:pPr>
            <w:r>
              <w:t>p</w:t>
            </w:r>
            <w:r w:rsidR="00804423">
              <w:t xml:space="preserve">ienam </w:t>
            </w:r>
            <w:r>
              <w:rPr>
                <w:szCs w:val="28"/>
              </w:rPr>
              <w:t>vairāk nekā 250 ml lielā</w:t>
            </w:r>
            <w:r>
              <w:t xml:space="preserve"> </w:t>
            </w:r>
            <w:r w:rsidR="00804423">
              <w:t>iepakojumā</w:t>
            </w:r>
            <w:r w:rsidR="00C8480C">
              <w:t>:</w:t>
            </w:r>
          </w:p>
          <w:p w:rsidR="00C8480C" w:rsidRDefault="00C8480C" w:rsidP="007F56B2">
            <w:pPr>
              <w:pStyle w:val="tvhtml"/>
              <w:numPr>
                <w:ilvl w:val="1"/>
                <w:numId w:val="26"/>
              </w:numPr>
              <w:spacing w:before="0" w:beforeAutospacing="0" w:after="0" w:afterAutospacing="0"/>
              <w:jc w:val="both"/>
            </w:pPr>
            <w:r>
              <w:t>“bioloģiska</w:t>
            </w:r>
            <w:r w:rsidR="007E0F1B">
              <w:t>jam</w:t>
            </w:r>
            <w:r>
              <w:t>” – 0,</w:t>
            </w:r>
            <w:r w:rsidR="008A093D">
              <w:t>6</w:t>
            </w:r>
            <w:r w:rsidR="001332E5">
              <w:t>2</w:t>
            </w:r>
            <w:r>
              <w:t xml:space="preserve"> EUR/</w:t>
            </w:r>
            <w:r w:rsidR="00A26DFD" w:rsidRPr="00267988">
              <w:rPr>
                <w:i/>
              </w:rPr>
              <w:t>l</w:t>
            </w:r>
            <w:r>
              <w:t>;</w:t>
            </w:r>
          </w:p>
          <w:p w:rsidR="00C8480C" w:rsidRDefault="007E0F1B" w:rsidP="007F56B2">
            <w:pPr>
              <w:pStyle w:val="tvhtml"/>
              <w:numPr>
                <w:ilvl w:val="1"/>
                <w:numId w:val="26"/>
              </w:numPr>
              <w:spacing w:before="0" w:beforeAutospacing="0" w:after="0" w:afterAutospacing="0"/>
              <w:jc w:val="both"/>
            </w:pPr>
            <w:r>
              <w:t>p</w:t>
            </w:r>
            <w:r w:rsidR="00C8480C">
              <w:t>ārēja</w:t>
            </w:r>
            <w:r>
              <w:t>m</w:t>
            </w:r>
            <w:r w:rsidR="00C8480C">
              <w:t xml:space="preserve"> – 0,</w:t>
            </w:r>
            <w:r w:rsidR="001332E5">
              <w:t>60</w:t>
            </w:r>
            <w:r w:rsidR="00C8480C">
              <w:t xml:space="preserve"> EUR/</w:t>
            </w:r>
            <w:r w:rsidR="00A26DFD" w:rsidRPr="00267988">
              <w:rPr>
                <w:i/>
              </w:rPr>
              <w:t>l</w:t>
            </w:r>
            <w:r>
              <w:t>;</w:t>
            </w:r>
          </w:p>
          <w:p w:rsidR="00C8480C" w:rsidRDefault="007C1ABB" w:rsidP="007F56B2">
            <w:pPr>
              <w:pStyle w:val="tvhtml"/>
              <w:numPr>
                <w:ilvl w:val="0"/>
                <w:numId w:val="26"/>
              </w:numPr>
              <w:spacing w:before="0" w:beforeAutospacing="0" w:after="0" w:afterAutospacing="0"/>
              <w:jc w:val="both"/>
            </w:pPr>
            <w:r>
              <w:t>p</w:t>
            </w:r>
            <w:r w:rsidR="00804423" w:rsidRPr="00804423">
              <w:t>ienam</w:t>
            </w:r>
            <w:r>
              <w:t xml:space="preserve"> </w:t>
            </w:r>
            <w:r>
              <w:rPr>
                <w:szCs w:val="28"/>
              </w:rPr>
              <w:t>ne vairāk kā 250 ml lielā</w:t>
            </w:r>
            <w:r w:rsidR="00804423" w:rsidRPr="00804423">
              <w:t xml:space="preserve"> iepakojumā</w:t>
            </w:r>
            <w:r w:rsidR="00C8480C">
              <w:t>:</w:t>
            </w:r>
          </w:p>
          <w:p w:rsidR="00C8480C" w:rsidRDefault="00C8480C" w:rsidP="007F56B2">
            <w:pPr>
              <w:pStyle w:val="tvhtml"/>
              <w:numPr>
                <w:ilvl w:val="1"/>
                <w:numId w:val="26"/>
              </w:numPr>
              <w:spacing w:before="0" w:beforeAutospacing="0" w:after="0" w:afterAutospacing="0"/>
              <w:jc w:val="both"/>
            </w:pPr>
            <w:r>
              <w:t>“bioloģiska</w:t>
            </w:r>
            <w:r w:rsidR="007E0F1B">
              <w:t>jam</w:t>
            </w:r>
            <w:r>
              <w:t xml:space="preserve">” – </w:t>
            </w:r>
            <w:r w:rsidR="00EC7AAF">
              <w:t>1,0</w:t>
            </w:r>
            <w:r w:rsidR="008A093D">
              <w:t>4</w:t>
            </w:r>
            <w:r>
              <w:t xml:space="preserve"> E</w:t>
            </w:r>
            <w:r w:rsidR="00EC7AAF">
              <w:t>U</w:t>
            </w:r>
            <w:r>
              <w:t>R/</w:t>
            </w:r>
            <w:r w:rsidR="00A26DFD" w:rsidRPr="00267988">
              <w:rPr>
                <w:i/>
              </w:rPr>
              <w:t>l</w:t>
            </w:r>
            <w:r w:rsidR="007E0F1B">
              <w:t>;</w:t>
            </w:r>
          </w:p>
          <w:p w:rsidR="00C8480C" w:rsidRDefault="007E0F1B" w:rsidP="007F56B2">
            <w:pPr>
              <w:pStyle w:val="tvhtml"/>
              <w:numPr>
                <w:ilvl w:val="1"/>
                <w:numId w:val="26"/>
              </w:numPr>
              <w:spacing w:before="0" w:beforeAutospacing="0" w:after="0" w:afterAutospacing="0"/>
              <w:jc w:val="both"/>
            </w:pPr>
            <w:r>
              <w:t>p</w:t>
            </w:r>
            <w:r w:rsidR="00C8480C">
              <w:t>ārēja</w:t>
            </w:r>
            <w:r>
              <w:t>m</w:t>
            </w:r>
            <w:r w:rsidR="00C8480C">
              <w:t xml:space="preserve"> – </w:t>
            </w:r>
            <w:r w:rsidR="00EC7AAF">
              <w:t>1,0</w:t>
            </w:r>
            <w:r w:rsidR="008A093D">
              <w:t>1</w:t>
            </w:r>
            <w:r w:rsidR="00C8480C">
              <w:t xml:space="preserve"> EUR/</w:t>
            </w:r>
            <w:r w:rsidR="00A26DFD" w:rsidRPr="00267988">
              <w:rPr>
                <w:i/>
              </w:rPr>
              <w:t>l</w:t>
            </w:r>
            <w:r w:rsidR="00C8480C">
              <w:t>.</w:t>
            </w:r>
          </w:p>
          <w:p w:rsidR="00804423" w:rsidRDefault="00804423" w:rsidP="00804423">
            <w:pPr>
              <w:pStyle w:val="tvhtml"/>
              <w:spacing w:before="0" w:beforeAutospacing="0" w:after="0" w:afterAutospacing="0"/>
              <w:jc w:val="both"/>
            </w:pPr>
          </w:p>
          <w:p w:rsidR="00804423" w:rsidRDefault="00681612" w:rsidP="00804423">
            <w:pPr>
              <w:pStyle w:val="tvhtml"/>
              <w:spacing w:before="0" w:beforeAutospacing="0" w:after="0" w:afterAutospacing="0"/>
              <w:jc w:val="both"/>
            </w:pPr>
            <w:r>
              <w:t>8</w:t>
            </w:r>
            <w:r w:rsidR="007E0F1B">
              <w:t>.</w:t>
            </w:r>
            <w:r w:rsidR="00804423">
              <w:t xml:space="preserve"> </w:t>
            </w:r>
            <w:r w:rsidR="002461AD">
              <w:t>N</w:t>
            </w:r>
            <w:r w:rsidR="00804423">
              <w:t xml:space="preserve">o šīm summām atņemot Eiropas Savienības atbalsta apmēru 0,1815 EUR/kg, </w:t>
            </w:r>
            <w:r w:rsidR="007E0F1B">
              <w:t xml:space="preserve">tiek </w:t>
            </w:r>
            <w:r w:rsidR="00804423">
              <w:t>iegū</w:t>
            </w:r>
            <w:r w:rsidR="007E0F1B">
              <w:t>tas</w:t>
            </w:r>
            <w:r w:rsidR="00804423">
              <w:t xml:space="preserve"> </w:t>
            </w:r>
            <w:r w:rsidR="00804423" w:rsidRPr="002461AD">
              <w:rPr>
                <w:b/>
              </w:rPr>
              <w:t xml:space="preserve">nepieciešamās valsts </w:t>
            </w:r>
            <w:r w:rsidR="002461AD">
              <w:rPr>
                <w:b/>
              </w:rPr>
              <w:t>līdzfinansējuma</w:t>
            </w:r>
            <w:r w:rsidR="00804423" w:rsidRPr="002461AD">
              <w:rPr>
                <w:b/>
              </w:rPr>
              <w:t xml:space="preserve"> likmes</w:t>
            </w:r>
            <w:r w:rsidR="00804423">
              <w:t>:</w:t>
            </w:r>
          </w:p>
          <w:p w:rsidR="00C8480C" w:rsidRDefault="007E0F1B" w:rsidP="007F56B2">
            <w:pPr>
              <w:pStyle w:val="tvhtml"/>
              <w:numPr>
                <w:ilvl w:val="0"/>
                <w:numId w:val="26"/>
              </w:numPr>
              <w:spacing w:before="0" w:beforeAutospacing="0" w:after="0" w:afterAutospacing="0"/>
              <w:jc w:val="both"/>
            </w:pPr>
            <w:r>
              <w:t xml:space="preserve">pienam </w:t>
            </w:r>
            <w:r>
              <w:rPr>
                <w:szCs w:val="28"/>
              </w:rPr>
              <w:t>vairāk nekā 250 ml lielā</w:t>
            </w:r>
            <w:r>
              <w:t xml:space="preserve"> iepakojumā</w:t>
            </w:r>
            <w:r w:rsidR="00C8480C">
              <w:t>:</w:t>
            </w:r>
          </w:p>
          <w:p w:rsidR="00C8480C" w:rsidRDefault="00C8480C" w:rsidP="007F56B2">
            <w:pPr>
              <w:pStyle w:val="tvhtml"/>
              <w:numPr>
                <w:ilvl w:val="1"/>
                <w:numId w:val="26"/>
              </w:numPr>
              <w:spacing w:before="0" w:beforeAutospacing="0" w:after="0" w:afterAutospacing="0"/>
              <w:jc w:val="both"/>
            </w:pPr>
            <w:r>
              <w:t xml:space="preserve">“bioloģiskajam” – </w:t>
            </w:r>
            <w:r w:rsidRPr="00C8480C">
              <w:rPr>
                <w:b/>
              </w:rPr>
              <w:t>0,</w:t>
            </w:r>
            <w:r w:rsidR="00EC7AAF">
              <w:rPr>
                <w:b/>
              </w:rPr>
              <w:t>4</w:t>
            </w:r>
            <w:r w:rsidR="009679FA">
              <w:rPr>
                <w:b/>
              </w:rPr>
              <w:t>385</w:t>
            </w:r>
            <w:r w:rsidRPr="00C8480C">
              <w:rPr>
                <w:b/>
              </w:rPr>
              <w:t xml:space="preserve"> EUR/</w:t>
            </w:r>
            <w:r w:rsidR="00A26DFD" w:rsidRPr="00267988">
              <w:rPr>
                <w:b/>
                <w:i/>
              </w:rPr>
              <w:t>l</w:t>
            </w:r>
            <w:r w:rsidR="007E0F1B">
              <w:rPr>
                <w:b/>
              </w:rPr>
              <w:t>;</w:t>
            </w:r>
          </w:p>
          <w:p w:rsidR="00C8480C" w:rsidRDefault="007E0F1B" w:rsidP="007F56B2">
            <w:pPr>
              <w:pStyle w:val="tvhtml"/>
              <w:numPr>
                <w:ilvl w:val="1"/>
                <w:numId w:val="26"/>
              </w:numPr>
              <w:spacing w:before="0" w:beforeAutospacing="0" w:after="0" w:afterAutospacing="0"/>
              <w:jc w:val="both"/>
            </w:pPr>
            <w:r>
              <w:t>p</w:t>
            </w:r>
            <w:r w:rsidR="00C8480C">
              <w:t xml:space="preserve">ārējam – </w:t>
            </w:r>
            <w:r w:rsidR="00C8480C" w:rsidRPr="00804423">
              <w:rPr>
                <w:b/>
              </w:rPr>
              <w:t>0,</w:t>
            </w:r>
            <w:r w:rsidR="00EC7AAF">
              <w:rPr>
                <w:b/>
              </w:rPr>
              <w:t>4</w:t>
            </w:r>
            <w:r w:rsidR="009679FA">
              <w:rPr>
                <w:b/>
              </w:rPr>
              <w:t>185</w:t>
            </w:r>
            <w:r w:rsidR="00C8480C" w:rsidRPr="00804423">
              <w:rPr>
                <w:b/>
              </w:rPr>
              <w:t xml:space="preserve"> EUR</w:t>
            </w:r>
            <w:r w:rsidR="00C8480C">
              <w:rPr>
                <w:b/>
              </w:rPr>
              <w:t>/</w:t>
            </w:r>
            <w:r w:rsidR="00A26DFD" w:rsidRPr="00267988">
              <w:rPr>
                <w:b/>
                <w:i/>
              </w:rPr>
              <w:t>l</w:t>
            </w:r>
            <w:r>
              <w:t>;</w:t>
            </w:r>
          </w:p>
          <w:p w:rsidR="00C8480C" w:rsidRDefault="007E0F1B" w:rsidP="007F56B2">
            <w:pPr>
              <w:pStyle w:val="tvhtml"/>
              <w:numPr>
                <w:ilvl w:val="0"/>
                <w:numId w:val="26"/>
              </w:numPr>
              <w:spacing w:before="0" w:beforeAutospacing="0" w:after="0" w:afterAutospacing="0"/>
              <w:jc w:val="both"/>
            </w:pPr>
            <w:r>
              <w:t>p</w:t>
            </w:r>
            <w:r w:rsidRPr="00804423">
              <w:t>ienam</w:t>
            </w:r>
            <w:r>
              <w:t xml:space="preserve"> </w:t>
            </w:r>
            <w:r>
              <w:rPr>
                <w:szCs w:val="28"/>
              </w:rPr>
              <w:t>ne vairāk kā 250 ml lielā</w:t>
            </w:r>
            <w:r w:rsidRPr="00804423">
              <w:t xml:space="preserve"> iepakojumā</w:t>
            </w:r>
            <w:r w:rsidR="00C8480C">
              <w:t>:</w:t>
            </w:r>
          </w:p>
          <w:p w:rsidR="00C8480C" w:rsidRDefault="00C8480C" w:rsidP="007F56B2">
            <w:pPr>
              <w:pStyle w:val="tvhtml"/>
              <w:numPr>
                <w:ilvl w:val="1"/>
                <w:numId w:val="26"/>
              </w:numPr>
              <w:spacing w:before="0" w:beforeAutospacing="0" w:after="0" w:afterAutospacing="0"/>
              <w:jc w:val="both"/>
            </w:pPr>
            <w:r>
              <w:t>“bioloģiska</w:t>
            </w:r>
            <w:r w:rsidR="00C5696F">
              <w:t>jam</w:t>
            </w:r>
            <w:r>
              <w:t xml:space="preserve">” – </w:t>
            </w:r>
            <w:r w:rsidRPr="007F56B2">
              <w:rPr>
                <w:b/>
              </w:rPr>
              <w:t>0,</w:t>
            </w:r>
            <w:r w:rsidR="00EC7AAF">
              <w:rPr>
                <w:b/>
              </w:rPr>
              <w:t>8</w:t>
            </w:r>
            <w:r w:rsidR="009679FA">
              <w:rPr>
                <w:b/>
              </w:rPr>
              <w:t>585</w:t>
            </w:r>
            <w:r w:rsidRPr="007F56B2">
              <w:rPr>
                <w:b/>
              </w:rPr>
              <w:t xml:space="preserve"> EUR/</w:t>
            </w:r>
            <w:r w:rsidR="00A26DFD" w:rsidRPr="00267988">
              <w:rPr>
                <w:b/>
                <w:i/>
              </w:rPr>
              <w:t>l</w:t>
            </w:r>
            <w:r w:rsidR="007E0F1B">
              <w:rPr>
                <w:b/>
              </w:rPr>
              <w:t>;</w:t>
            </w:r>
          </w:p>
          <w:p w:rsidR="00804423" w:rsidRDefault="007E0F1B" w:rsidP="007F56B2">
            <w:pPr>
              <w:pStyle w:val="tvhtml"/>
              <w:numPr>
                <w:ilvl w:val="1"/>
                <w:numId w:val="26"/>
              </w:numPr>
              <w:spacing w:before="0" w:beforeAutospacing="0" w:after="0" w:afterAutospacing="0"/>
              <w:jc w:val="both"/>
            </w:pPr>
            <w:r>
              <w:t>p</w:t>
            </w:r>
            <w:r w:rsidR="00C8480C">
              <w:t>ārēja</w:t>
            </w:r>
            <w:r>
              <w:t>m</w:t>
            </w:r>
            <w:r w:rsidR="00C8480C">
              <w:t xml:space="preserve"> – </w:t>
            </w:r>
            <w:r w:rsidR="00C8480C" w:rsidRPr="00804423">
              <w:rPr>
                <w:b/>
              </w:rPr>
              <w:t>0,</w:t>
            </w:r>
            <w:r w:rsidR="00EC7AAF">
              <w:rPr>
                <w:b/>
              </w:rPr>
              <w:t>8</w:t>
            </w:r>
            <w:r w:rsidR="009679FA">
              <w:rPr>
                <w:b/>
              </w:rPr>
              <w:t>285</w:t>
            </w:r>
            <w:r w:rsidR="00C8480C" w:rsidRPr="00804423">
              <w:rPr>
                <w:b/>
              </w:rPr>
              <w:t xml:space="preserve"> EUR</w:t>
            </w:r>
            <w:r w:rsidR="00C8480C">
              <w:rPr>
                <w:b/>
              </w:rPr>
              <w:t>/</w:t>
            </w:r>
            <w:r w:rsidR="00A26DFD" w:rsidRPr="00267988">
              <w:rPr>
                <w:b/>
                <w:i/>
              </w:rPr>
              <w:t>l</w:t>
            </w:r>
            <w:r w:rsidR="00C8480C">
              <w:t>.</w:t>
            </w:r>
          </w:p>
          <w:p w:rsidR="00804423" w:rsidRDefault="00804423" w:rsidP="00804423">
            <w:pPr>
              <w:pStyle w:val="tvhtml"/>
              <w:spacing w:before="0" w:beforeAutospacing="0" w:after="0" w:afterAutospacing="0"/>
              <w:jc w:val="both"/>
            </w:pPr>
          </w:p>
          <w:p w:rsidR="002461AD" w:rsidRDefault="00681612" w:rsidP="002461AD">
            <w:pPr>
              <w:pStyle w:val="tvhtml"/>
              <w:spacing w:before="0" w:beforeAutospacing="0" w:after="0" w:afterAutospacing="0"/>
              <w:jc w:val="both"/>
            </w:pPr>
            <w:r>
              <w:t>9.</w:t>
            </w:r>
            <w:r w:rsidR="002461AD">
              <w:t xml:space="preserve"> Kopējais nepieciešamais valsts līdzfinansējuma apmērs:</w:t>
            </w:r>
          </w:p>
          <w:p w:rsidR="007F56B2" w:rsidRDefault="007E0F1B" w:rsidP="007F56B2">
            <w:pPr>
              <w:pStyle w:val="tvhtml"/>
              <w:numPr>
                <w:ilvl w:val="0"/>
                <w:numId w:val="26"/>
              </w:numPr>
              <w:spacing w:before="0" w:beforeAutospacing="0" w:after="0" w:afterAutospacing="0"/>
              <w:jc w:val="both"/>
            </w:pPr>
            <w:r>
              <w:t xml:space="preserve">pienam </w:t>
            </w:r>
            <w:r>
              <w:rPr>
                <w:szCs w:val="28"/>
              </w:rPr>
              <w:t>vairāk nekā 250 ml lielā</w:t>
            </w:r>
            <w:r>
              <w:t xml:space="preserve"> iepakojumā</w:t>
            </w:r>
            <w:r w:rsidR="007F56B2">
              <w:t>:</w:t>
            </w:r>
          </w:p>
          <w:p w:rsidR="007F56B2" w:rsidRDefault="007F56B2" w:rsidP="007F56B2">
            <w:pPr>
              <w:pStyle w:val="tvhtml"/>
              <w:numPr>
                <w:ilvl w:val="1"/>
                <w:numId w:val="26"/>
              </w:numPr>
              <w:spacing w:before="0" w:beforeAutospacing="0" w:after="0" w:afterAutospacing="0"/>
              <w:jc w:val="both"/>
            </w:pPr>
            <w:r>
              <w:lastRenderedPageBreak/>
              <w:t xml:space="preserve">“bioloģiskajam” </w:t>
            </w:r>
            <w:r w:rsidR="00757B5E">
              <w:t>–</w:t>
            </w:r>
            <w:r>
              <w:t xml:space="preserve"> </w:t>
            </w:r>
            <w:r w:rsidR="00267988">
              <w:t>627</w:t>
            </w:r>
            <w:r w:rsidR="005D61EC">
              <w:t> </w:t>
            </w:r>
            <w:r w:rsidR="00267988">
              <w:t>14</w:t>
            </w:r>
            <w:r w:rsidR="005D61EC">
              <w:t>8,57</w:t>
            </w:r>
            <w:r w:rsidR="009679FA">
              <w:t>35</w:t>
            </w:r>
            <w:r w:rsidR="00267988">
              <w:t xml:space="preserve"> </w:t>
            </w:r>
            <w:r w:rsidR="00267988">
              <w:rPr>
                <w:i/>
              </w:rPr>
              <w:t>l</w:t>
            </w:r>
            <w:r>
              <w:t xml:space="preserve"> x </w:t>
            </w:r>
            <w:r w:rsidRPr="00804423">
              <w:rPr>
                <w:b/>
              </w:rPr>
              <w:t>0,</w:t>
            </w:r>
            <w:r w:rsidR="00C5696F">
              <w:rPr>
                <w:b/>
              </w:rPr>
              <w:t>4</w:t>
            </w:r>
            <w:r w:rsidR="009679FA">
              <w:rPr>
                <w:b/>
              </w:rPr>
              <w:t>385</w:t>
            </w:r>
            <w:r w:rsidRPr="00804423">
              <w:rPr>
                <w:b/>
              </w:rPr>
              <w:t xml:space="preserve"> EUR</w:t>
            </w:r>
            <w:r>
              <w:rPr>
                <w:b/>
              </w:rPr>
              <w:t>/</w:t>
            </w:r>
            <w:r w:rsidR="00A26DFD">
              <w:rPr>
                <w:b/>
              </w:rPr>
              <w:t>l</w:t>
            </w:r>
            <w:r>
              <w:rPr>
                <w:b/>
              </w:rPr>
              <w:t xml:space="preserve"> = </w:t>
            </w:r>
            <w:r w:rsidR="00F01F60">
              <w:rPr>
                <w:b/>
              </w:rPr>
              <w:t>EUR </w:t>
            </w:r>
            <w:r>
              <w:rPr>
                <w:b/>
              </w:rPr>
              <w:t>2</w:t>
            </w:r>
            <w:r w:rsidR="00C5696F">
              <w:rPr>
                <w:b/>
              </w:rPr>
              <w:t>7</w:t>
            </w:r>
            <w:r w:rsidR="00267988">
              <w:rPr>
                <w:b/>
              </w:rPr>
              <w:t>5</w:t>
            </w:r>
            <w:r w:rsidR="005D61EC">
              <w:rPr>
                <w:b/>
              </w:rPr>
              <w:t> </w:t>
            </w:r>
            <w:r w:rsidR="00267988">
              <w:rPr>
                <w:b/>
              </w:rPr>
              <w:t>00</w:t>
            </w:r>
            <w:r w:rsidR="005D61EC">
              <w:rPr>
                <w:b/>
              </w:rPr>
              <w:t>4,6</w:t>
            </w:r>
            <w:r w:rsidR="009679FA">
              <w:rPr>
                <w:b/>
              </w:rPr>
              <w:t>495</w:t>
            </w:r>
            <w:r w:rsidR="007E0F1B">
              <w:rPr>
                <w:b/>
              </w:rPr>
              <w:t>;</w:t>
            </w:r>
          </w:p>
          <w:p w:rsidR="002461AD" w:rsidRDefault="007E0F1B" w:rsidP="007F56B2">
            <w:pPr>
              <w:pStyle w:val="tvhtml"/>
              <w:numPr>
                <w:ilvl w:val="1"/>
                <w:numId w:val="26"/>
              </w:numPr>
              <w:spacing w:before="0" w:beforeAutospacing="0" w:after="0" w:afterAutospacing="0"/>
              <w:jc w:val="both"/>
            </w:pPr>
            <w:r>
              <w:t>p</w:t>
            </w:r>
            <w:r w:rsidR="007F56B2">
              <w:t>ārēja</w:t>
            </w:r>
            <w:r>
              <w:t>m</w:t>
            </w:r>
            <w:r w:rsidR="007F56B2">
              <w:t xml:space="preserve"> </w:t>
            </w:r>
            <w:r w:rsidR="00757B5E">
              <w:t>–</w:t>
            </w:r>
            <w:r w:rsidR="007F56B2">
              <w:t xml:space="preserve"> </w:t>
            </w:r>
            <w:r w:rsidR="00267988">
              <w:t>2 508</w:t>
            </w:r>
            <w:r w:rsidR="005D61EC">
              <w:t> </w:t>
            </w:r>
            <w:r w:rsidR="00267988">
              <w:t>594</w:t>
            </w:r>
            <w:r w:rsidR="005D61EC">
              <w:t>,29</w:t>
            </w:r>
            <w:r w:rsidR="009679FA">
              <w:t>41</w:t>
            </w:r>
            <w:r w:rsidR="00267988">
              <w:t xml:space="preserve"> </w:t>
            </w:r>
            <w:r w:rsidR="00267988">
              <w:rPr>
                <w:i/>
              </w:rPr>
              <w:t>l</w:t>
            </w:r>
            <w:r w:rsidR="007F56B2">
              <w:t xml:space="preserve"> x </w:t>
            </w:r>
            <w:r w:rsidR="007F56B2" w:rsidRPr="00804423">
              <w:rPr>
                <w:b/>
              </w:rPr>
              <w:t>0,</w:t>
            </w:r>
            <w:r w:rsidR="00C5696F">
              <w:rPr>
                <w:b/>
              </w:rPr>
              <w:t>4</w:t>
            </w:r>
            <w:r w:rsidR="009679FA">
              <w:rPr>
                <w:b/>
              </w:rPr>
              <w:t>185</w:t>
            </w:r>
            <w:r w:rsidR="007F56B2" w:rsidRPr="00804423">
              <w:rPr>
                <w:b/>
              </w:rPr>
              <w:t xml:space="preserve"> EUR</w:t>
            </w:r>
            <w:r w:rsidR="007F56B2">
              <w:rPr>
                <w:b/>
              </w:rPr>
              <w:t>/</w:t>
            </w:r>
            <w:r w:rsidR="00A26DFD">
              <w:rPr>
                <w:b/>
              </w:rPr>
              <w:t>l</w:t>
            </w:r>
            <w:r w:rsidR="007F56B2">
              <w:rPr>
                <w:b/>
              </w:rPr>
              <w:t xml:space="preserve"> = </w:t>
            </w:r>
            <w:r w:rsidR="00F01F60">
              <w:rPr>
                <w:b/>
              </w:rPr>
              <w:t xml:space="preserve">EUR </w:t>
            </w:r>
            <w:r w:rsidR="00C5696F">
              <w:rPr>
                <w:b/>
              </w:rPr>
              <w:t>1 0</w:t>
            </w:r>
            <w:r w:rsidR="00267988">
              <w:rPr>
                <w:b/>
              </w:rPr>
              <w:t>49</w:t>
            </w:r>
            <w:r w:rsidR="005D61EC">
              <w:rPr>
                <w:b/>
              </w:rPr>
              <w:t> </w:t>
            </w:r>
            <w:r w:rsidR="00267988">
              <w:rPr>
                <w:b/>
              </w:rPr>
              <w:t>84</w:t>
            </w:r>
            <w:r w:rsidR="005D61EC">
              <w:rPr>
                <w:b/>
              </w:rPr>
              <w:t>6,71</w:t>
            </w:r>
            <w:r w:rsidR="009679FA">
              <w:rPr>
                <w:b/>
              </w:rPr>
              <w:t>21</w:t>
            </w:r>
            <w:r>
              <w:rPr>
                <w:b/>
              </w:rPr>
              <w:t>;</w:t>
            </w:r>
            <w:r w:rsidR="007F56B2">
              <w:rPr>
                <w:b/>
              </w:rPr>
              <w:t xml:space="preserve"> </w:t>
            </w:r>
          </w:p>
          <w:p w:rsidR="007F56B2" w:rsidRDefault="007E0F1B" w:rsidP="007F56B2">
            <w:pPr>
              <w:pStyle w:val="tvhtml"/>
              <w:numPr>
                <w:ilvl w:val="0"/>
                <w:numId w:val="26"/>
              </w:numPr>
              <w:spacing w:before="0" w:beforeAutospacing="0" w:after="0" w:afterAutospacing="0"/>
              <w:jc w:val="both"/>
            </w:pPr>
            <w:r>
              <w:t>p</w:t>
            </w:r>
            <w:r w:rsidRPr="00804423">
              <w:t>ienam</w:t>
            </w:r>
            <w:r>
              <w:t xml:space="preserve"> </w:t>
            </w:r>
            <w:r>
              <w:rPr>
                <w:szCs w:val="28"/>
              </w:rPr>
              <w:t>ne vairāk kā 250 ml lielā</w:t>
            </w:r>
            <w:r w:rsidRPr="00804423">
              <w:t xml:space="preserve"> iepakojumā</w:t>
            </w:r>
            <w:r w:rsidR="007F56B2">
              <w:t>:</w:t>
            </w:r>
          </w:p>
          <w:p w:rsidR="007F56B2" w:rsidRDefault="007F56B2" w:rsidP="007F56B2">
            <w:pPr>
              <w:pStyle w:val="tvhtml"/>
              <w:numPr>
                <w:ilvl w:val="1"/>
                <w:numId w:val="26"/>
              </w:numPr>
              <w:spacing w:before="0" w:beforeAutospacing="0" w:after="0" w:afterAutospacing="0"/>
              <w:jc w:val="both"/>
            </w:pPr>
            <w:r>
              <w:t>“bioloģiska</w:t>
            </w:r>
            <w:r w:rsidR="00C5696F">
              <w:t>jam</w:t>
            </w:r>
            <w:r>
              <w:t xml:space="preserve">” </w:t>
            </w:r>
            <w:r w:rsidR="00757B5E">
              <w:t>–</w:t>
            </w:r>
            <w:r>
              <w:t xml:space="preserve"> </w:t>
            </w:r>
            <w:r w:rsidR="00267988">
              <w:t>39</w:t>
            </w:r>
            <w:r w:rsidR="005D61EC">
              <w:t> </w:t>
            </w:r>
            <w:r w:rsidR="00267988">
              <w:t>19</w:t>
            </w:r>
            <w:r w:rsidR="005D61EC">
              <w:t>6,7</w:t>
            </w:r>
            <w:r w:rsidR="009679FA">
              <w:t>858</w:t>
            </w:r>
            <w:r w:rsidR="00267988">
              <w:t xml:space="preserve"> </w:t>
            </w:r>
            <w:r w:rsidR="00267988" w:rsidRPr="00A26DFD">
              <w:rPr>
                <w:i/>
              </w:rPr>
              <w:t>l</w:t>
            </w:r>
            <w:r>
              <w:t xml:space="preserve"> x </w:t>
            </w:r>
            <w:r w:rsidRPr="007F56B2">
              <w:rPr>
                <w:b/>
              </w:rPr>
              <w:t>0,</w:t>
            </w:r>
            <w:r w:rsidR="00C5696F">
              <w:rPr>
                <w:b/>
              </w:rPr>
              <w:t>8</w:t>
            </w:r>
            <w:r w:rsidR="009679FA">
              <w:rPr>
                <w:b/>
              </w:rPr>
              <w:t>585</w:t>
            </w:r>
            <w:r w:rsidRPr="007F56B2">
              <w:rPr>
                <w:b/>
              </w:rPr>
              <w:t xml:space="preserve"> EUR/</w:t>
            </w:r>
            <w:r w:rsidR="00A26DFD">
              <w:rPr>
                <w:b/>
              </w:rPr>
              <w:t>l</w:t>
            </w:r>
            <w:r>
              <w:rPr>
                <w:b/>
              </w:rPr>
              <w:t xml:space="preserve"> = </w:t>
            </w:r>
            <w:r w:rsidR="00F01F60">
              <w:rPr>
                <w:b/>
              </w:rPr>
              <w:t xml:space="preserve">EUR </w:t>
            </w:r>
            <w:r w:rsidR="00C5696F">
              <w:rPr>
                <w:b/>
              </w:rPr>
              <w:t>3</w:t>
            </w:r>
            <w:r w:rsidR="00267988">
              <w:rPr>
                <w:b/>
              </w:rPr>
              <w:t>3</w:t>
            </w:r>
            <w:r w:rsidR="005D61EC">
              <w:rPr>
                <w:b/>
              </w:rPr>
              <w:t> </w:t>
            </w:r>
            <w:r w:rsidR="00267988">
              <w:rPr>
                <w:b/>
              </w:rPr>
              <w:t>650</w:t>
            </w:r>
            <w:r w:rsidR="005D61EC">
              <w:rPr>
                <w:b/>
              </w:rPr>
              <w:t>,44</w:t>
            </w:r>
            <w:r w:rsidR="009679FA">
              <w:rPr>
                <w:b/>
              </w:rPr>
              <w:t>06</w:t>
            </w:r>
            <w:r>
              <w:rPr>
                <w:b/>
              </w:rPr>
              <w:t xml:space="preserve"> </w:t>
            </w:r>
          </w:p>
          <w:p w:rsidR="007F56B2" w:rsidRDefault="007E0F1B" w:rsidP="007F56B2">
            <w:pPr>
              <w:pStyle w:val="tvhtml"/>
              <w:numPr>
                <w:ilvl w:val="1"/>
                <w:numId w:val="26"/>
              </w:numPr>
              <w:spacing w:before="0" w:beforeAutospacing="0" w:after="0" w:afterAutospacing="0"/>
              <w:jc w:val="both"/>
            </w:pPr>
            <w:r>
              <w:t>p</w:t>
            </w:r>
            <w:r w:rsidR="007F56B2">
              <w:t>ārēja</w:t>
            </w:r>
            <w:r>
              <w:t>m</w:t>
            </w:r>
            <w:r w:rsidR="007F56B2">
              <w:t xml:space="preserve"> </w:t>
            </w:r>
            <w:r w:rsidR="00757B5E">
              <w:t>–</w:t>
            </w:r>
            <w:r w:rsidR="007F56B2">
              <w:t xml:space="preserve"> </w:t>
            </w:r>
            <w:r w:rsidR="00267988">
              <w:t>744</w:t>
            </w:r>
            <w:r w:rsidR="005D61EC">
              <w:t> </w:t>
            </w:r>
            <w:r w:rsidR="00267988">
              <w:t>73</w:t>
            </w:r>
            <w:r w:rsidR="005D61EC">
              <w:t>8,93</w:t>
            </w:r>
            <w:r w:rsidR="009679FA">
              <w:t>10</w:t>
            </w:r>
            <w:r w:rsidR="00267988">
              <w:t xml:space="preserve"> </w:t>
            </w:r>
            <w:r w:rsidR="00267988" w:rsidRPr="00A26DFD">
              <w:rPr>
                <w:i/>
              </w:rPr>
              <w:t>l</w:t>
            </w:r>
            <w:r w:rsidR="007F56B2">
              <w:t xml:space="preserve"> x </w:t>
            </w:r>
            <w:r w:rsidR="007F56B2" w:rsidRPr="00804423">
              <w:rPr>
                <w:b/>
              </w:rPr>
              <w:t>0,</w:t>
            </w:r>
            <w:r w:rsidR="00C5696F">
              <w:rPr>
                <w:b/>
              </w:rPr>
              <w:t>8</w:t>
            </w:r>
            <w:r w:rsidR="009679FA">
              <w:rPr>
                <w:b/>
              </w:rPr>
              <w:t>285</w:t>
            </w:r>
            <w:r w:rsidR="007F56B2" w:rsidRPr="00804423">
              <w:rPr>
                <w:b/>
              </w:rPr>
              <w:t xml:space="preserve"> EUR</w:t>
            </w:r>
            <w:r w:rsidR="007F56B2">
              <w:rPr>
                <w:b/>
              </w:rPr>
              <w:t>/</w:t>
            </w:r>
            <w:r w:rsidR="00A26DFD">
              <w:rPr>
                <w:b/>
              </w:rPr>
              <w:t>l</w:t>
            </w:r>
            <w:r w:rsidR="007F56B2">
              <w:rPr>
                <w:b/>
              </w:rPr>
              <w:t xml:space="preserve"> = </w:t>
            </w:r>
            <w:r w:rsidR="00F01F60">
              <w:rPr>
                <w:b/>
              </w:rPr>
              <w:t xml:space="preserve">EUR </w:t>
            </w:r>
            <w:r w:rsidR="00C5696F">
              <w:rPr>
                <w:b/>
              </w:rPr>
              <w:t>6</w:t>
            </w:r>
            <w:r w:rsidR="00267988">
              <w:rPr>
                <w:b/>
              </w:rPr>
              <w:t>17</w:t>
            </w:r>
            <w:r w:rsidR="005D61EC">
              <w:rPr>
                <w:b/>
              </w:rPr>
              <w:t> </w:t>
            </w:r>
            <w:r w:rsidR="00267988">
              <w:rPr>
                <w:b/>
              </w:rPr>
              <w:t>016</w:t>
            </w:r>
            <w:r w:rsidR="005D61EC">
              <w:rPr>
                <w:b/>
              </w:rPr>
              <w:t>,20</w:t>
            </w:r>
            <w:r w:rsidR="009679FA">
              <w:rPr>
                <w:b/>
              </w:rPr>
              <w:t>44</w:t>
            </w:r>
            <w:r w:rsidR="007F56B2">
              <w:t>.</w:t>
            </w:r>
            <w:r w:rsidR="002461AD">
              <w:t xml:space="preserve"> </w:t>
            </w:r>
          </w:p>
          <w:p w:rsidR="002461AD" w:rsidRDefault="002461AD" w:rsidP="007F56B2">
            <w:pPr>
              <w:pStyle w:val="tvhtml"/>
              <w:numPr>
                <w:ilvl w:val="0"/>
                <w:numId w:val="26"/>
              </w:numPr>
              <w:spacing w:before="0" w:beforeAutospacing="0" w:after="0" w:afterAutospacing="0"/>
              <w:jc w:val="both"/>
            </w:pPr>
            <w:r>
              <w:rPr>
                <w:b/>
              </w:rPr>
              <w:t xml:space="preserve">Kopējais nepieciešamais finansējums = </w:t>
            </w:r>
            <w:r w:rsidR="007E0F1B">
              <w:rPr>
                <w:b/>
              </w:rPr>
              <w:t xml:space="preserve">EUR </w:t>
            </w:r>
            <w:r>
              <w:rPr>
                <w:b/>
              </w:rPr>
              <w:t>1 </w:t>
            </w:r>
            <w:r w:rsidR="00C5696F">
              <w:rPr>
                <w:b/>
              </w:rPr>
              <w:t>975</w:t>
            </w:r>
            <w:r w:rsidR="00BF1732">
              <w:rPr>
                <w:b/>
              </w:rPr>
              <w:t> </w:t>
            </w:r>
            <w:r w:rsidR="00AB0583">
              <w:rPr>
                <w:b/>
              </w:rPr>
              <w:t>5</w:t>
            </w:r>
            <w:r w:rsidR="00C5696F">
              <w:rPr>
                <w:b/>
              </w:rPr>
              <w:t>18</w:t>
            </w:r>
            <w:r w:rsidR="00BF1732">
              <w:rPr>
                <w:b/>
              </w:rPr>
              <w:t>,00</w:t>
            </w:r>
            <w:r w:rsidR="00D2152F">
              <w:rPr>
                <w:b/>
              </w:rPr>
              <w:t>00</w:t>
            </w:r>
          </w:p>
          <w:p w:rsidR="00C8480C" w:rsidRPr="00706DDB" w:rsidRDefault="00C8480C" w:rsidP="00C5696F">
            <w:pPr>
              <w:pStyle w:val="tvhtml"/>
              <w:spacing w:before="0" w:beforeAutospacing="0" w:after="0" w:afterAutospacing="0"/>
              <w:jc w:val="both"/>
            </w:pPr>
          </w:p>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6.1. detalizēts ieņēmumu aprēķins</w:t>
            </w:r>
          </w:p>
        </w:tc>
        <w:tc>
          <w:tcPr>
            <w:tcW w:w="7345" w:type="dxa"/>
            <w:gridSpan w:val="5"/>
            <w:vMerge/>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tc>
      </w:tr>
      <w:tr w:rsidR="00711156" w:rsidRPr="003B78CD"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t>6.2. detalizēts izdevumu aprēķins</w:t>
            </w:r>
          </w:p>
        </w:tc>
        <w:tc>
          <w:tcPr>
            <w:tcW w:w="7345" w:type="dxa"/>
            <w:gridSpan w:val="5"/>
            <w:vMerge/>
            <w:tcBorders>
              <w:top w:val="outset" w:sz="6" w:space="0" w:color="414142"/>
              <w:left w:val="outset" w:sz="6" w:space="0" w:color="414142"/>
              <w:bottom w:val="outset" w:sz="6" w:space="0" w:color="414142"/>
              <w:right w:val="outset" w:sz="6" w:space="0" w:color="414142"/>
            </w:tcBorders>
            <w:vAlign w:val="center"/>
            <w:hideMark/>
          </w:tcPr>
          <w:p w:rsidR="00711156" w:rsidRPr="003B78CD" w:rsidRDefault="00711156" w:rsidP="00536AD6"/>
        </w:tc>
      </w:tr>
      <w:tr w:rsidR="00711156" w:rsidRPr="00DD3CA9" w:rsidTr="00536A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555"/>
          <w:jc w:val="center"/>
        </w:trPr>
        <w:tc>
          <w:tcPr>
            <w:tcW w:w="2715" w:type="dxa"/>
            <w:tcBorders>
              <w:top w:val="outset" w:sz="6" w:space="0" w:color="414142"/>
              <w:left w:val="outset" w:sz="6" w:space="0" w:color="414142"/>
              <w:bottom w:val="outset" w:sz="6" w:space="0" w:color="414142"/>
              <w:right w:val="outset" w:sz="6" w:space="0" w:color="414142"/>
            </w:tcBorders>
            <w:hideMark/>
          </w:tcPr>
          <w:p w:rsidR="00711156" w:rsidRPr="003B78CD" w:rsidRDefault="00711156" w:rsidP="00536AD6">
            <w:r w:rsidRPr="003B78CD">
              <w:lastRenderedPageBreak/>
              <w:t>7. Cita informācija</w:t>
            </w:r>
          </w:p>
        </w:tc>
        <w:tc>
          <w:tcPr>
            <w:tcW w:w="7345" w:type="dxa"/>
            <w:gridSpan w:val="5"/>
            <w:tcBorders>
              <w:top w:val="outset" w:sz="6" w:space="0" w:color="414142"/>
              <w:left w:val="outset" w:sz="6" w:space="0" w:color="414142"/>
              <w:bottom w:val="outset" w:sz="6" w:space="0" w:color="414142"/>
              <w:right w:val="outset" w:sz="6" w:space="0" w:color="414142"/>
            </w:tcBorders>
          </w:tcPr>
          <w:p w:rsidR="00711156" w:rsidRPr="00950297" w:rsidRDefault="00711156">
            <w:pPr>
              <w:pStyle w:val="naiskr"/>
              <w:tabs>
                <w:tab w:val="left" w:pos="2628"/>
              </w:tabs>
              <w:spacing w:before="0" w:after="0"/>
              <w:ind w:left="85"/>
              <w:jc w:val="both"/>
            </w:pPr>
            <w:r w:rsidRPr="00950297">
              <w:t>2015.</w:t>
            </w:r>
            <w:r>
              <w:t xml:space="preserve">, 2016., 2017. un 2018.gadā </w:t>
            </w:r>
            <w:r w:rsidRPr="00950297">
              <w:t>“Skolas piena” programmai kopējais paredzētais finansējums ir</w:t>
            </w:r>
            <w:r w:rsidR="007E0F1B">
              <w:t xml:space="preserve"> </w:t>
            </w:r>
            <w:r w:rsidR="007E0F1B" w:rsidRPr="00950297">
              <w:t xml:space="preserve">EUR </w:t>
            </w:r>
            <w:r w:rsidRPr="00950297">
              <w:t>2 556 050 gadā no Zemkopības ministrijas budžeta programmas 64.00.00. „Eiropas Lauksaimniecības garantiju fonda (ELGF) projektu un pasākumu īstenošana” apakšprogrammas 64.08.00. „Izdevumi Eiropas Lauksaimniecības garantiju fonda (ELGF) projektu un pasākumu īstenošanai (2014–2020)”</w:t>
            </w:r>
            <w:r w:rsidR="007E0F1B">
              <w:t>,</w:t>
            </w:r>
            <w:r w:rsidRPr="00950297">
              <w:t xml:space="preserve"> </w:t>
            </w:r>
            <w:r w:rsidR="007E0F1B">
              <w:t>t</w:t>
            </w:r>
            <w:r w:rsidRPr="00950297">
              <w:t xml:space="preserve">ajā skaitā valsts līdzfinansējums programmai ir paredzēts </w:t>
            </w:r>
            <w:r w:rsidR="007E0F1B" w:rsidRPr="00950297">
              <w:t xml:space="preserve">EUR </w:t>
            </w:r>
            <w:r w:rsidRPr="00950297">
              <w:t>1 975 518 gadā</w:t>
            </w:r>
            <w:r>
              <w:t>.</w:t>
            </w:r>
          </w:p>
        </w:tc>
      </w:tr>
    </w:tbl>
    <w:p w:rsidR="00924023" w:rsidRDefault="00924023" w:rsidP="006C4607">
      <w:pPr>
        <w:pStyle w:val="naiskr"/>
        <w:tabs>
          <w:tab w:val="left" w:pos="2628"/>
        </w:tabs>
        <w:spacing w:before="0" w:after="0"/>
        <w:rPr>
          <w:i/>
          <w:sz w:val="22"/>
          <w:szCs w:val="22"/>
        </w:rPr>
      </w:pPr>
    </w:p>
    <w:p w:rsidR="00711156" w:rsidRPr="00996A74" w:rsidRDefault="00711156" w:rsidP="006C4607">
      <w:pPr>
        <w:pStyle w:val="naiskr"/>
        <w:tabs>
          <w:tab w:val="left" w:pos="2628"/>
        </w:tabs>
        <w:spacing w:before="0" w:after="0"/>
        <w:rPr>
          <w:i/>
          <w:sz w:val="22"/>
          <w:szCs w:val="22"/>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590"/>
      </w:tblGrid>
      <w:tr w:rsidR="00924023" w:rsidRPr="00996A74" w:rsidTr="00061312">
        <w:trPr>
          <w:jc w:val="center"/>
        </w:trPr>
        <w:tc>
          <w:tcPr>
            <w:tcW w:w="10098" w:type="dxa"/>
            <w:gridSpan w:val="3"/>
          </w:tcPr>
          <w:p w:rsidR="00924023" w:rsidRPr="00996A74" w:rsidRDefault="00924023" w:rsidP="00061312">
            <w:pPr>
              <w:pStyle w:val="naisnod"/>
              <w:spacing w:before="0" w:after="0"/>
            </w:pPr>
            <w:r w:rsidRPr="00996A74">
              <w:t>IV</w:t>
            </w:r>
            <w:r w:rsidR="000941C5" w:rsidRPr="00996A74">
              <w:t>.</w:t>
            </w:r>
            <w:r w:rsidRPr="00996A74">
              <w:t xml:space="preserve"> Tiesību akta projekta ietekme uz</w:t>
            </w:r>
            <w:r w:rsidR="005060A1" w:rsidRPr="00996A74">
              <w:t xml:space="preserve"> </w:t>
            </w:r>
            <w:r w:rsidRPr="00996A74">
              <w:t>spēkā esošo tiesību normu sistēmu</w:t>
            </w:r>
          </w:p>
        </w:tc>
      </w:tr>
      <w:tr w:rsidR="00924023" w:rsidRPr="00996A74" w:rsidTr="00061312">
        <w:trPr>
          <w:jc w:val="center"/>
        </w:trPr>
        <w:tc>
          <w:tcPr>
            <w:tcW w:w="1188" w:type="dxa"/>
          </w:tcPr>
          <w:p w:rsidR="00924023" w:rsidRPr="00996A74" w:rsidRDefault="00924023" w:rsidP="00061312">
            <w:pPr>
              <w:pStyle w:val="naiskr"/>
              <w:tabs>
                <w:tab w:val="left" w:pos="2628"/>
              </w:tabs>
              <w:spacing w:before="0" w:after="0"/>
              <w:jc w:val="both"/>
              <w:rPr>
                <w:iCs/>
              </w:rPr>
            </w:pPr>
            <w:r w:rsidRPr="00996A74">
              <w:rPr>
                <w:iCs/>
              </w:rPr>
              <w:t>1.</w:t>
            </w:r>
          </w:p>
        </w:tc>
        <w:tc>
          <w:tcPr>
            <w:tcW w:w="4320" w:type="dxa"/>
          </w:tcPr>
          <w:p w:rsidR="00924023" w:rsidRPr="00996A74" w:rsidRDefault="00924023" w:rsidP="00061312">
            <w:pPr>
              <w:pStyle w:val="naiskr"/>
              <w:tabs>
                <w:tab w:val="left" w:pos="2628"/>
              </w:tabs>
              <w:spacing w:before="0" w:after="0"/>
              <w:jc w:val="both"/>
              <w:rPr>
                <w:iCs/>
              </w:rPr>
            </w:pPr>
            <w:r w:rsidRPr="00996A74">
              <w:rPr>
                <w:sz w:val="22"/>
                <w:szCs w:val="22"/>
              </w:rPr>
              <w:t>Nepieciešamie saistītie tiesību akt</w:t>
            </w:r>
            <w:r w:rsidR="00DD1020" w:rsidRPr="00996A74">
              <w:rPr>
                <w:sz w:val="22"/>
                <w:szCs w:val="22"/>
              </w:rPr>
              <w:t>u</w:t>
            </w:r>
            <w:r w:rsidRPr="00996A74">
              <w:rPr>
                <w:sz w:val="22"/>
                <w:szCs w:val="22"/>
              </w:rPr>
              <w:t xml:space="preserve"> projekti</w:t>
            </w:r>
          </w:p>
        </w:tc>
        <w:tc>
          <w:tcPr>
            <w:tcW w:w="4590" w:type="dxa"/>
          </w:tcPr>
          <w:p w:rsidR="00236B31" w:rsidRPr="00DA7A71" w:rsidRDefault="00D9036E" w:rsidP="00F063E8">
            <w:pPr>
              <w:pStyle w:val="naiskr"/>
              <w:tabs>
                <w:tab w:val="left" w:pos="2628"/>
              </w:tabs>
              <w:spacing w:before="0" w:after="0"/>
              <w:jc w:val="both"/>
            </w:pPr>
            <w:r>
              <w:t>Paredzēts, ka ar projekta spēkā stāšanos</w:t>
            </w:r>
            <w:r w:rsidR="00F063E8">
              <w:t xml:space="preserve"> spēku zaudēs </w:t>
            </w:r>
            <w:r w:rsidR="008D27E2" w:rsidRPr="00996A74">
              <w:t xml:space="preserve">Ministru kabineta </w:t>
            </w:r>
            <w:proofErr w:type="gramStart"/>
            <w:r w:rsidR="008D27E2" w:rsidRPr="00996A74">
              <w:t>20</w:t>
            </w:r>
            <w:r w:rsidR="00192B94">
              <w:t>11</w:t>
            </w:r>
            <w:r w:rsidR="008D27E2" w:rsidRPr="00996A74">
              <w:t>.gada</w:t>
            </w:r>
            <w:proofErr w:type="gramEnd"/>
            <w:r w:rsidR="008D27E2" w:rsidRPr="00996A74">
              <w:t xml:space="preserve"> </w:t>
            </w:r>
            <w:r w:rsidR="00192B94">
              <w:t xml:space="preserve">1.februāra </w:t>
            </w:r>
            <w:r w:rsidR="008D27E2" w:rsidRPr="00996A74">
              <w:t>noteikum</w:t>
            </w:r>
            <w:r w:rsidR="00F063E8">
              <w:t>i</w:t>
            </w:r>
            <w:r w:rsidR="008D27E2" w:rsidRPr="00996A74">
              <w:t xml:space="preserve"> Nr.</w:t>
            </w:r>
            <w:r w:rsidR="00192B94">
              <w:t>106</w:t>
            </w:r>
            <w:r w:rsidR="008D27E2" w:rsidRPr="00996A74">
              <w:t xml:space="preserve"> "Kārtība, kādā piešķir, administrē un uzrauga </w:t>
            </w:r>
            <w:r w:rsidR="00192B94">
              <w:t xml:space="preserve">valsts un </w:t>
            </w:r>
            <w:r w:rsidR="008D27E2" w:rsidRPr="00996A74">
              <w:t>Eiropas Savienības at</w:t>
            </w:r>
            <w:r w:rsidR="00192B94">
              <w:t xml:space="preserve">balstu piena produktu piegādei </w:t>
            </w:r>
            <w:r w:rsidR="008D27E2" w:rsidRPr="00996A74">
              <w:t xml:space="preserve">izglītojamiem vispārējās izglītības iestādēs” (Latvijas Vēstnesis, </w:t>
            </w:r>
            <w:r w:rsidR="00DA7A71" w:rsidRPr="00DA7A71">
              <w:t>2011, 22.nr.; 2012, 22.nr.; 2012, 123.nr.; 2013, 168.nr.; 2014, 48.nr.; 2015, 14.</w:t>
            </w:r>
            <w:r w:rsidR="007E0F1B">
              <w:t xml:space="preserve">, </w:t>
            </w:r>
            <w:r w:rsidR="00DA7A71" w:rsidRPr="00DA7A71">
              <w:t>30.nr.</w:t>
            </w:r>
            <w:r w:rsidR="00DA7A71">
              <w:t>)</w:t>
            </w:r>
          </w:p>
        </w:tc>
      </w:tr>
      <w:tr w:rsidR="00924023" w:rsidRPr="00996A74" w:rsidTr="00061312">
        <w:trPr>
          <w:jc w:val="center"/>
        </w:trPr>
        <w:tc>
          <w:tcPr>
            <w:tcW w:w="1188" w:type="dxa"/>
          </w:tcPr>
          <w:p w:rsidR="00924023" w:rsidRPr="00996A74" w:rsidRDefault="00924023" w:rsidP="00061312">
            <w:pPr>
              <w:pStyle w:val="naiskr"/>
              <w:tabs>
                <w:tab w:val="left" w:pos="2628"/>
              </w:tabs>
              <w:spacing w:before="0" w:after="0"/>
              <w:jc w:val="both"/>
              <w:rPr>
                <w:iCs/>
              </w:rPr>
            </w:pPr>
            <w:r w:rsidRPr="00996A74">
              <w:rPr>
                <w:iCs/>
              </w:rPr>
              <w:t>2.</w:t>
            </w:r>
          </w:p>
        </w:tc>
        <w:tc>
          <w:tcPr>
            <w:tcW w:w="4320" w:type="dxa"/>
          </w:tcPr>
          <w:p w:rsidR="00924023" w:rsidRPr="00996A74" w:rsidRDefault="00DA7A71" w:rsidP="00061312">
            <w:pPr>
              <w:pStyle w:val="naiskr"/>
              <w:tabs>
                <w:tab w:val="left" w:pos="2628"/>
              </w:tabs>
              <w:spacing w:before="0" w:after="0"/>
              <w:jc w:val="both"/>
              <w:rPr>
                <w:iCs/>
              </w:rPr>
            </w:pPr>
            <w:r>
              <w:rPr>
                <w:iCs/>
              </w:rPr>
              <w:t xml:space="preserve">Atbildīgā institūcija </w:t>
            </w:r>
          </w:p>
        </w:tc>
        <w:tc>
          <w:tcPr>
            <w:tcW w:w="4590" w:type="dxa"/>
          </w:tcPr>
          <w:p w:rsidR="00924023" w:rsidRPr="00996A74" w:rsidRDefault="00DA7A71" w:rsidP="00061312">
            <w:pPr>
              <w:pStyle w:val="naiskr"/>
              <w:tabs>
                <w:tab w:val="left" w:pos="2628"/>
              </w:tabs>
              <w:spacing w:before="0" w:after="0"/>
              <w:jc w:val="both"/>
              <w:rPr>
                <w:iCs/>
              </w:rPr>
            </w:pPr>
            <w:r>
              <w:rPr>
                <w:iCs/>
              </w:rPr>
              <w:t>Zemkopības ministrija</w:t>
            </w:r>
          </w:p>
        </w:tc>
      </w:tr>
      <w:tr w:rsidR="00DA7A71" w:rsidRPr="00996A74" w:rsidTr="00061312">
        <w:trPr>
          <w:jc w:val="center"/>
        </w:trPr>
        <w:tc>
          <w:tcPr>
            <w:tcW w:w="1188" w:type="dxa"/>
          </w:tcPr>
          <w:p w:rsidR="00DA7A71" w:rsidRPr="00996A74" w:rsidRDefault="00DA7A71" w:rsidP="00DA7A71">
            <w:pPr>
              <w:pStyle w:val="naiskr"/>
              <w:tabs>
                <w:tab w:val="left" w:pos="2628"/>
              </w:tabs>
              <w:spacing w:before="0" w:after="0"/>
              <w:jc w:val="both"/>
              <w:rPr>
                <w:iCs/>
              </w:rPr>
            </w:pPr>
            <w:r>
              <w:rPr>
                <w:iCs/>
              </w:rPr>
              <w:t>3.</w:t>
            </w:r>
          </w:p>
        </w:tc>
        <w:tc>
          <w:tcPr>
            <w:tcW w:w="4320" w:type="dxa"/>
          </w:tcPr>
          <w:p w:rsidR="00DA7A71" w:rsidRPr="00996A74" w:rsidRDefault="00DA7A71" w:rsidP="00DA7A71">
            <w:pPr>
              <w:pStyle w:val="naiskr"/>
              <w:tabs>
                <w:tab w:val="left" w:pos="2628"/>
              </w:tabs>
              <w:spacing w:before="0" w:after="0"/>
              <w:jc w:val="both"/>
              <w:rPr>
                <w:iCs/>
              </w:rPr>
            </w:pPr>
            <w:r w:rsidRPr="00996A74">
              <w:rPr>
                <w:sz w:val="22"/>
                <w:szCs w:val="22"/>
              </w:rPr>
              <w:t>Cita informācija</w:t>
            </w:r>
          </w:p>
        </w:tc>
        <w:tc>
          <w:tcPr>
            <w:tcW w:w="4590" w:type="dxa"/>
          </w:tcPr>
          <w:p w:rsidR="00DA7A71" w:rsidRPr="00996A74" w:rsidRDefault="00DA7A71" w:rsidP="00DA7A71">
            <w:pPr>
              <w:pStyle w:val="naiskr"/>
              <w:tabs>
                <w:tab w:val="left" w:pos="2628"/>
              </w:tabs>
              <w:spacing w:before="0" w:after="0"/>
              <w:jc w:val="both"/>
              <w:rPr>
                <w:iCs/>
              </w:rPr>
            </w:pPr>
            <w:r w:rsidRPr="00996A74">
              <w:rPr>
                <w:sz w:val="22"/>
                <w:szCs w:val="22"/>
              </w:rPr>
              <w:t>Nav</w:t>
            </w:r>
          </w:p>
        </w:tc>
      </w:tr>
    </w:tbl>
    <w:p w:rsidR="00AE5066" w:rsidRPr="00996A74" w:rsidRDefault="00AE5066" w:rsidP="006C4607">
      <w:pPr>
        <w:pStyle w:val="naiskr"/>
        <w:tabs>
          <w:tab w:val="left" w:pos="2628"/>
        </w:tabs>
        <w:spacing w:before="0" w:after="0"/>
        <w:rPr>
          <w:sz w:val="22"/>
          <w:szCs w:val="22"/>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590"/>
      </w:tblGrid>
      <w:tr w:rsidR="000F4794" w:rsidRPr="00996A74" w:rsidTr="00061312">
        <w:trPr>
          <w:jc w:val="center"/>
        </w:trPr>
        <w:tc>
          <w:tcPr>
            <w:tcW w:w="10098" w:type="dxa"/>
            <w:gridSpan w:val="3"/>
          </w:tcPr>
          <w:p w:rsidR="000F4794" w:rsidRPr="00996A74" w:rsidRDefault="000F4794" w:rsidP="00061312">
            <w:pPr>
              <w:pStyle w:val="naisnod"/>
              <w:spacing w:before="0" w:after="0"/>
              <w:jc w:val="both"/>
            </w:pPr>
            <w:r w:rsidRPr="00996A74">
              <w:t>V</w:t>
            </w:r>
            <w:r w:rsidR="000941C5" w:rsidRPr="00996A74">
              <w:t>.</w:t>
            </w:r>
            <w:r w:rsidRPr="00996A74">
              <w:t xml:space="preserve"> Tiesību akta projekta atbilstība Latvijas Republikas starptautiskajām saistībām</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1.</w:t>
            </w:r>
          </w:p>
        </w:tc>
        <w:tc>
          <w:tcPr>
            <w:tcW w:w="4320" w:type="dxa"/>
          </w:tcPr>
          <w:p w:rsidR="000F4794" w:rsidRPr="00996A74" w:rsidRDefault="000F4794" w:rsidP="00061312">
            <w:pPr>
              <w:pStyle w:val="naiskr"/>
              <w:tabs>
                <w:tab w:val="left" w:pos="2628"/>
              </w:tabs>
              <w:spacing w:before="0" w:after="0"/>
              <w:jc w:val="both"/>
              <w:rPr>
                <w:iCs/>
              </w:rPr>
            </w:pPr>
            <w:r w:rsidRPr="00996A74">
              <w:rPr>
                <w:sz w:val="22"/>
                <w:szCs w:val="22"/>
              </w:rPr>
              <w:t>Saistības pret Eiropas Savienību</w:t>
            </w:r>
          </w:p>
        </w:tc>
        <w:tc>
          <w:tcPr>
            <w:tcW w:w="4590" w:type="dxa"/>
          </w:tcPr>
          <w:p w:rsidR="00F50805" w:rsidRDefault="009B3C9B" w:rsidP="00061312">
            <w:pPr>
              <w:pStyle w:val="naiskr"/>
              <w:tabs>
                <w:tab w:val="left" w:pos="2628"/>
              </w:tabs>
              <w:spacing w:before="0" w:after="0"/>
              <w:jc w:val="both"/>
            </w:pPr>
            <w:r w:rsidRPr="00996A74">
              <w:t>Regula Nr.</w:t>
            </w:r>
            <w:r w:rsidR="00DA7A71">
              <w:t>1308/2013</w:t>
            </w:r>
            <w:r w:rsidR="00F50805" w:rsidRPr="00996A74">
              <w:t>;</w:t>
            </w:r>
          </w:p>
          <w:p w:rsidR="00DA7A71" w:rsidRPr="00996A74" w:rsidRDefault="00DA7A71" w:rsidP="00061312">
            <w:pPr>
              <w:pStyle w:val="naiskr"/>
              <w:tabs>
                <w:tab w:val="left" w:pos="2628"/>
              </w:tabs>
              <w:spacing w:before="0" w:after="0"/>
              <w:jc w:val="both"/>
            </w:pPr>
            <w:r>
              <w:t>Regula Nr.1370/2013;</w:t>
            </w:r>
          </w:p>
          <w:p w:rsidR="00F50805" w:rsidRPr="00996A74" w:rsidRDefault="008D27E2" w:rsidP="00276B31">
            <w:pPr>
              <w:pStyle w:val="naiskr"/>
              <w:tabs>
                <w:tab w:val="left" w:pos="2628"/>
              </w:tabs>
              <w:spacing w:before="0" w:after="0"/>
              <w:jc w:val="both"/>
            </w:pPr>
            <w:r w:rsidRPr="00996A74">
              <w:t>Regula Nr.657/2008.</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2.</w:t>
            </w:r>
          </w:p>
        </w:tc>
        <w:tc>
          <w:tcPr>
            <w:tcW w:w="4320" w:type="dxa"/>
          </w:tcPr>
          <w:p w:rsidR="000F4794" w:rsidRPr="00996A74" w:rsidRDefault="000F4794" w:rsidP="00061312">
            <w:pPr>
              <w:pStyle w:val="naiskr"/>
              <w:tabs>
                <w:tab w:val="left" w:pos="2628"/>
              </w:tabs>
              <w:spacing w:before="0" w:after="0"/>
              <w:jc w:val="both"/>
              <w:rPr>
                <w:iCs/>
              </w:rPr>
            </w:pPr>
            <w:r w:rsidRPr="00996A74">
              <w:rPr>
                <w:sz w:val="22"/>
                <w:szCs w:val="22"/>
              </w:rPr>
              <w:t>Citas starptautiskās saistības</w:t>
            </w:r>
          </w:p>
        </w:tc>
        <w:tc>
          <w:tcPr>
            <w:tcW w:w="4590" w:type="dxa"/>
          </w:tcPr>
          <w:p w:rsidR="000F4794" w:rsidRPr="00996A74" w:rsidRDefault="00236B31" w:rsidP="00061312">
            <w:pPr>
              <w:pStyle w:val="naiskr"/>
              <w:tabs>
                <w:tab w:val="left" w:pos="2628"/>
              </w:tabs>
              <w:spacing w:before="0" w:after="0"/>
              <w:jc w:val="both"/>
              <w:rPr>
                <w:iCs/>
              </w:rPr>
            </w:pPr>
            <w:r w:rsidRPr="00996A74">
              <w:rPr>
                <w:iCs/>
                <w:sz w:val="22"/>
                <w:szCs w:val="22"/>
              </w:rPr>
              <w:t>Nav attiecināms.</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3.</w:t>
            </w:r>
          </w:p>
        </w:tc>
        <w:tc>
          <w:tcPr>
            <w:tcW w:w="4320" w:type="dxa"/>
          </w:tcPr>
          <w:p w:rsidR="000F4794" w:rsidRPr="00996A74" w:rsidRDefault="000F4794" w:rsidP="00061312">
            <w:pPr>
              <w:pStyle w:val="naiskr"/>
              <w:tabs>
                <w:tab w:val="left" w:pos="2628"/>
              </w:tabs>
              <w:spacing w:before="0" w:after="0"/>
              <w:jc w:val="both"/>
              <w:rPr>
                <w:sz w:val="22"/>
                <w:szCs w:val="22"/>
              </w:rPr>
            </w:pPr>
            <w:r w:rsidRPr="00996A74">
              <w:rPr>
                <w:sz w:val="22"/>
                <w:szCs w:val="22"/>
              </w:rPr>
              <w:t>Cita informācija</w:t>
            </w:r>
          </w:p>
        </w:tc>
        <w:tc>
          <w:tcPr>
            <w:tcW w:w="4590" w:type="dxa"/>
          </w:tcPr>
          <w:p w:rsidR="000F4794" w:rsidRPr="00996A74" w:rsidRDefault="00236B31" w:rsidP="00061312">
            <w:pPr>
              <w:pStyle w:val="naiskr"/>
              <w:tabs>
                <w:tab w:val="left" w:pos="2628"/>
              </w:tabs>
              <w:spacing w:before="0" w:after="0"/>
              <w:jc w:val="both"/>
              <w:rPr>
                <w:iCs/>
                <w:sz w:val="22"/>
                <w:szCs w:val="22"/>
              </w:rPr>
            </w:pPr>
            <w:r w:rsidRPr="00996A74">
              <w:rPr>
                <w:sz w:val="22"/>
                <w:szCs w:val="22"/>
              </w:rPr>
              <w:t>Nav</w:t>
            </w:r>
          </w:p>
        </w:tc>
      </w:tr>
    </w:tbl>
    <w:p w:rsidR="00B56C32" w:rsidRPr="00996A74" w:rsidRDefault="00B56C32" w:rsidP="006C4607">
      <w:pPr>
        <w:pStyle w:val="naisf"/>
        <w:spacing w:before="0" w:after="0"/>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14"/>
        <w:gridCol w:w="2293"/>
        <w:gridCol w:w="3204"/>
        <w:gridCol w:w="3140"/>
      </w:tblGrid>
      <w:tr w:rsidR="00B56C32" w:rsidRPr="00996A74">
        <w:trPr>
          <w:trHeight w:val="523"/>
          <w:jc w:val="center"/>
        </w:trPr>
        <w:tc>
          <w:tcPr>
            <w:tcW w:w="10451" w:type="dxa"/>
            <w:gridSpan w:val="4"/>
            <w:vAlign w:val="center"/>
          </w:tcPr>
          <w:p w:rsidR="005060A1" w:rsidRPr="00996A74" w:rsidRDefault="00B56C32" w:rsidP="006C4607">
            <w:pPr>
              <w:pStyle w:val="naisnod"/>
              <w:spacing w:before="0" w:after="0"/>
            </w:pPr>
            <w:r w:rsidRPr="00996A74">
              <w:t>1</w:t>
            </w:r>
            <w:r w:rsidR="005060A1" w:rsidRPr="00996A74">
              <w:t>.</w:t>
            </w:r>
            <w:r w:rsidRPr="00996A74">
              <w:t xml:space="preserve">tabula </w:t>
            </w:r>
          </w:p>
          <w:p w:rsidR="00B56C32" w:rsidRPr="00996A74" w:rsidRDefault="00B56C32" w:rsidP="006C4607">
            <w:pPr>
              <w:pStyle w:val="naisnod"/>
              <w:spacing w:before="0" w:after="0"/>
              <w:rPr>
                <w:i/>
              </w:rPr>
            </w:pPr>
            <w:r w:rsidRPr="00996A74">
              <w:t>Tiesību akta projekta atbilstība ES tiesību aktiem</w:t>
            </w:r>
          </w:p>
        </w:tc>
      </w:tr>
      <w:tr w:rsidR="00B56C32" w:rsidRPr="00996A74" w:rsidTr="00CE68A0">
        <w:trPr>
          <w:trHeight w:val="1252"/>
          <w:jc w:val="center"/>
        </w:trPr>
        <w:tc>
          <w:tcPr>
            <w:tcW w:w="1814" w:type="dxa"/>
            <w:vAlign w:val="center"/>
          </w:tcPr>
          <w:p w:rsidR="00B56C32" w:rsidRPr="00996A74" w:rsidRDefault="00B56C32" w:rsidP="006C4607">
            <w:pPr>
              <w:pStyle w:val="naiskr"/>
              <w:spacing w:before="0" w:after="0"/>
              <w:ind w:hanging="10"/>
              <w:jc w:val="center"/>
              <w:rPr>
                <w:sz w:val="22"/>
                <w:szCs w:val="22"/>
              </w:rPr>
            </w:pPr>
            <w:r w:rsidRPr="00996A74">
              <w:rPr>
                <w:sz w:val="22"/>
                <w:szCs w:val="22"/>
              </w:rPr>
              <w:t xml:space="preserve">Attiecīgā </w:t>
            </w:r>
            <w:r w:rsidR="00461826" w:rsidRPr="00996A74">
              <w:rPr>
                <w:sz w:val="22"/>
                <w:szCs w:val="22"/>
              </w:rPr>
              <w:t>ES</w:t>
            </w:r>
            <w:r w:rsidRPr="00996A74">
              <w:rPr>
                <w:sz w:val="22"/>
                <w:szCs w:val="22"/>
              </w:rPr>
              <w:t xml:space="preserve"> tiesību akta datums, numurs un nosaukums</w:t>
            </w:r>
          </w:p>
        </w:tc>
        <w:tc>
          <w:tcPr>
            <w:tcW w:w="8637" w:type="dxa"/>
            <w:gridSpan w:val="3"/>
            <w:vAlign w:val="center"/>
          </w:tcPr>
          <w:p w:rsidR="00F50805" w:rsidRDefault="009B3C9B" w:rsidP="00F50805">
            <w:pPr>
              <w:pStyle w:val="naiskr"/>
              <w:tabs>
                <w:tab w:val="left" w:pos="2628"/>
              </w:tabs>
              <w:spacing w:before="0" w:after="0"/>
              <w:jc w:val="both"/>
              <w:rPr>
                <w:sz w:val="22"/>
                <w:szCs w:val="22"/>
              </w:rPr>
            </w:pPr>
            <w:r w:rsidRPr="00996A74">
              <w:rPr>
                <w:sz w:val="22"/>
                <w:szCs w:val="22"/>
              </w:rPr>
              <w:t>Regula Nr.</w:t>
            </w:r>
            <w:r w:rsidR="00DA7A71">
              <w:rPr>
                <w:sz w:val="22"/>
                <w:szCs w:val="22"/>
              </w:rPr>
              <w:t>1308/2013</w:t>
            </w:r>
            <w:r w:rsidR="00F50805" w:rsidRPr="00996A74">
              <w:rPr>
                <w:sz w:val="22"/>
                <w:szCs w:val="22"/>
              </w:rPr>
              <w:t>;</w:t>
            </w:r>
          </w:p>
          <w:p w:rsidR="00DA7A71" w:rsidRPr="00996A74" w:rsidRDefault="00DA7A71" w:rsidP="00F50805">
            <w:pPr>
              <w:pStyle w:val="naiskr"/>
              <w:tabs>
                <w:tab w:val="left" w:pos="2628"/>
              </w:tabs>
              <w:spacing w:before="0" w:after="0"/>
              <w:jc w:val="both"/>
              <w:rPr>
                <w:sz w:val="22"/>
                <w:szCs w:val="22"/>
              </w:rPr>
            </w:pPr>
            <w:r>
              <w:rPr>
                <w:sz w:val="22"/>
                <w:szCs w:val="22"/>
              </w:rPr>
              <w:t>Regula Nr.1370/2013</w:t>
            </w:r>
          </w:p>
          <w:p w:rsidR="00B56C32" w:rsidRPr="00996A74" w:rsidRDefault="009B3C9B" w:rsidP="008D27E2">
            <w:pPr>
              <w:pStyle w:val="naiskr"/>
              <w:spacing w:before="0" w:after="0"/>
            </w:pPr>
            <w:r w:rsidRPr="00996A74">
              <w:rPr>
                <w:rStyle w:val="Izteiksmgs"/>
                <w:b w:val="0"/>
                <w:sz w:val="22"/>
                <w:szCs w:val="22"/>
              </w:rPr>
              <w:t>Regula Nr. </w:t>
            </w:r>
            <w:r w:rsidR="008D27E2" w:rsidRPr="00996A74">
              <w:rPr>
                <w:rStyle w:val="Izteiksmgs"/>
                <w:b w:val="0"/>
                <w:sz w:val="22"/>
                <w:szCs w:val="22"/>
              </w:rPr>
              <w:t>657</w:t>
            </w:r>
            <w:r w:rsidRPr="00996A74">
              <w:rPr>
                <w:rStyle w:val="Izteiksmgs"/>
                <w:b w:val="0"/>
                <w:sz w:val="22"/>
                <w:szCs w:val="22"/>
              </w:rPr>
              <w:t>/2008</w:t>
            </w:r>
            <w:r w:rsidR="00276B31" w:rsidRPr="00996A74">
              <w:rPr>
                <w:rStyle w:val="Izteiksmgs"/>
                <w:b w:val="0"/>
                <w:sz w:val="22"/>
                <w:szCs w:val="22"/>
              </w:rPr>
              <w:t>.</w:t>
            </w:r>
          </w:p>
        </w:tc>
      </w:tr>
      <w:tr w:rsidR="00B56C32" w:rsidRPr="00996A74">
        <w:trPr>
          <w:trHeight w:val="163"/>
          <w:jc w:val="center"/>
        </w:trPr>
        <w:tc>
          <w:tcPr>
            <w:tcW w:w="10451" w:type="dxa"/>
            <w:gridSpan w:val="4"/>
            <w:vAlign w:val="center"/>
          </w:tcPr>
          <w:p w:rsidR="00B56C32" w:rsidRPr="00996A74" w:rsidRDefault="00B56C32" w:rsidP="006C4607">
            <w:pPr>
              <w:pStyle w:val="naiskr"/>
              <w:spacing w:before="0" w:after="0"/>
              <w:rPr>
                <w:i/>
                <w:sz w:val="16"/>
                <w:szCs w:val="16"/>
              </w:rPr>
            </w:pPr>
          </w:p>
        </w:tc>
      </w:tr>
      <w:tr w:rsidR="00B56C32" w:rsidRPr="00996A74" w:rsidTr="00CE68A0">
        <w:trPr>
          <w:trHeight w:val="165"/>
          <w:jc w:val="center"/>
        </w:trPr>
        <w:tc>
          <w:tcPr>
            <w:tcW w:w="1814" w:type="dxa"/>
            <w:vAlign w:val="center"/>
          </w:tcPr>
          <w:p w:rsidR="00B56C32" w:rsidRPr="00996A74" w:rsidRDefault="00B56C32" w:rsidP="006C4607">
            <w:pPr>
              <w:pStyle w:val="naiskr"/>
              <w:spacing w:before="0" w:after="0"/>
              <w:jc w:val="center"/>
            </w:pPr>
            <w:r w:rsidRPr="00996A74">
              <w:t>A</w:t>
            </w:r>
          </w:p>
        </w:tc>
        <w:tc>
          <w:tcPr>
            <w:tcW w:w="2293" w:type="dxa"/>
            <w:vAlign w:val="center"/>
          </w:tcPr>
          <w:p w:rsidR="00B56C32" w:rsidRPr="00996A74" w:rsidRDefault="00B56C32" w:rsidP="006C4607">
            <w:pPr>
              <w:pStyle w:val="naiskr"/>
              <w:spacing w:before="0" w:after="0"/>
              <w:jc w:val="center"/>
            </w:pPr>
            <w:r w:rsidRPr="00996A74">
              <w:t>B</w:t>
            </w:r>
          </w:p>
        </w:tc>
        <w:tc>
          <w:tcPr>
            <w:tcW w:w="3204" w:type="dxa"/>
            <w:vAlign w:val="center"/>
          </w:tcPr>
          <w:p w:rsidR="00B56C32" w:rsidRPr="00996A74" w:rsidRDefault="00B56C32" w:rsidP="006C4607">
            <w:pPr>
              <w:pStyle w:val="naiskr"/>
              <w:spacing w:before="0" w:after="0"/>
              <w:jc w:val="center"/>
            </w:pPr>
            <w:r w:rsidRPr="00996A74">
              <w:t>C</w:t>
            </w:r>
          </w:p>
        </w:tc>
        <w:tc>
          <w:tcPr>
            <w:tcW w:w="3140" w:type="dxa"/>
            <w:vAlign w:val="center"/>
          </w:tcPr>
          <w:p w:rsidR="00B56C32" w:rsidRPr="00996A74" w:rsidRDefault="00B56C32" w:rsidP="006C4607">
            <w:pPr>
              <w:pStyle w:val="naiskr"/>
              <w:spacing w:before="0" w:after="0"/>
              <w:jc w:val="center"/>
            </w:pPr>
            <w:r w:rsidRPr="00996A74">
              <w:t>D</w:t>
            </w:r>
          </w:p>
        </w:tc>
      </w:tr>
      <w:tr w:rsidR="00B56C32" w:rsidRPr="00996A74" w:rsidTr="00CE68A0">
        <w:trPr>
          <w:trHeight w:val="4708"/>
          <w:jc w:val="center"/>
        </w:trPr>
        <w:tc>
          <w:tcPr>
            <w:tcW w:w="1814" w:type="dxa"/>
          </w:tcPr>
          <w:p w:rsidR="00B56C32" w:rsidRPr="00996A74" w:rsidRDefault="00B56C32" w:rsidP="006C4607">
            <w:pPr>
              <w:pStyle w:val="naiskr"/>
              <w:spacing w:before="0" w:after="0"/>
              <w:rPr>
                <w:sz w:val="22"/>
                <w:szCs w:val="22"/>
              </w:rPr>
            </w:pPr>
            <w:r w:rsidRPr="00996A74">
              <w:rPr>
                <w:sz w:val="22"/>
                <w:szCs w:val="22"/>
              </w:rPr>
              <w:lastRenderedPageBreak/>
              <w:t xml:space="preserve">Attiecīgā ES tiesību akta panta </w:t>
            </w:r>
            <w:r w:rsidR="005060A1" w:rsidRPr="00996A74">
              <w:rPr>
                <w:sz w:val="22"/>
                <w:szCs w:val="22"/>
              </w:rPr>
              <w:t>numurs</w:t>
            </w:r>
            <w:r w:rsidRPr="00996A74">
              <w:rPr>
                <w:sz w:val="22"/>
                <w:szCs w:val="22"/>
              </w:rPr>
              <w:t xml:space="preserve"> (uzskaitot katru tiesību akta </w:t>
            </w:r>
            <w:r w:rsidR="00DD1020" w:rsidRPr="00996A74">
              <w:rPr>
                <w:sz w:val="22"/>
                <w:szCs w:val="22"/>
              </w:rPr>
              <w:br/>
            </w:r>
            <w:r w:rsidRPr="00996A74">
              <w:rPr>
                <w:sz w:val="22"/>
                <w:szCs w:val="22"/>
              </w:rPr>
              <w:t>vienību – pantu, daļu, punkt</w:t>
            </w:r>
            <w:r w:rsidR="005060A1" w:rsidRPr="00996A74">
              <w:rPr>
                <w:sz w:val="22"/>
                <w:szCs w:val="22"/>
              </w:rPr>
              <w:t>u, apakšpunktu)</w:t>
            </w:r>
          </w:p>
        </w:tc>
        <w:tc>
          <w:tcPr>
            <w:tcW w:w="2293" w:type="dxa"/>
          </w:tcPr>
          <w:p w:rsidR="00B56C32" w:rsidRPr="00996A74" w:rsidRDefault="001A4066" w:rsidP="006C4607">
            <w:pPr>
              <w:pStyle w:val="naiskr"/>
              <w:spacing w:before="0" w:after="0"/>
              <w:rPr>
                <w:sz w:val="22"/>
                <w:szCs w:val="22"/>
              </w:rPr>
            </w:pPr>
            <w:r w:rsidRPr="00996A74">
              <w:rPr>
                <w:sz w:val="22"/>
                <w:szCs w:val="22"/>
              </w:rPr>
              <w:t>P</w:t>
            </w:r>
            <w:r w:rsidR="00B56C32" w:rsidRPr="00996A74">
              <w:rPr>
                <w:sz w:val="22"/>
                <w:szCs w:val="22"/>
              </w:rPr>
              <w:t>rojekta vienība, kas pārņem vai ievieš katru šīs tabulas A ailē minēto</w:t>
            </w:r>
            <w:r w:rsidR="005060A1" w:rsidRPr="00996A74">
              <w:rPr>
                <w:sz w:val="22"/>
                <w:szCs w:val="22"/>
              </w:rPr>
              <w:t xml:space="preserve"> ES tiesību akta vienību</w:t>
            </w:r>
          </w:p>
        </w:tc>
        <w:tc>
          <w:tcPr>
            <w:tcW w:w="3204" w:type="dxa"/>
          </w:tcPr>
          <w:p w:rsidR="00B56C32" w:rsidRPr="00996A74" w:rsidRDefault="00B56C32" w:rsidP="006C4607">
            <w:pPr>
              <w:pStyle w:val="naiskr"/>
              <w:spacing w:before="0" w:after="0"/>
              <w:rPr>
                <w:sz w:val="22"/>
                <w:szCs w:val="22"/>
              </w:rPr>
            </w:pPr>
            <w:r w:rsidRPr="00996A74">
              <w:rPr>
                <w:sz w:val="22"/>
                <w:szCs w:val="22"/>
              </w:rPr>
              <w:t>Informācija par to, vai šīs tabulas A</w:t>
            </w:r>
            <w:r w:rsidR="005060A1" w:rsidRPr="00996A74">
              <w:rPr>
                <w:sz w:val="22"/>
                <w:szCs w:val="22"/>
              </w:rPr>
              <w:t> </w:t>
            </w:r>
            <w:r w:rsidRPr="00996A74">
              <w:rPr>
                <w:sz w:val="22"/>
                <w:szCs w:val="22"/>
              </w:rPr>
              <w:t>ailē minētās ES tiesību akta vienības tiek pārņemtas vai ieviestas pilnībā vai daļēji.</w:t>
            </w:r>
          </w:p>
          <w:p w:rsidR="00B56C32" w:rsidRPr="00996A74" w:rsidRDefault="00B56C32" w:rsidP="006C4607">
            <w:pPr>
              <w:pStyle w:val="naiskr"/>
              <w:spacing w:before="0" w:after="0"/>
              <w:rPr>
                <w:sz w:val="22"/>
                <w:szCs w:val="22"/>
              </w:rPr>
            </w:pPr>
          </w:p>
          <w:p w:rsidR="00B56C32" w:rsidRPr="00996A74" w:rsidRDefault="00B56C32" w:rsidP="006C4607">
            <w:pPr>
              <w:pStyle w:val="naiskr"/>
              <w:spacing w:before="0" w:after="0"/>
              <w:rPr>
                <w:sz w:val="22"/>
                <w:szCs w:val="22"/>
              </w:rPr>
            </w:pPr>
            <w:r w:rsidRPr="00996A74">
              <w:rPr>
                <w:sz w:val="22"/>
                <w:szCs w:val="22"/>
              </w:rPr>
              <w:t>Ja attiecīgā ES tiesību akta vienība tiek pārņemta vai ieviesta daļēji</w:t>
            </w:r>
            <w:r w:rsidR="00DD1020" w:rsidRPr="00996A74">
              <w:rPr>
                <w:sz w:val="22"/>
                <w:szCs w:val="22"/>
              </w:rPr>
              <w:t>,</w:t>
            </w:r>
            <w:r w:rsidRPr="00996A74">
              <w:rPr>
                <w:sz w:val="22"/>
                <w:szCs w:val="22"/>
              </w:rPr>
              <w:t xml:space="preserve"> – sniedz </w:t>
            </w:r>
            <w:r w:rsidR="005060A1" w:rsidRPr="00996A74">
              <w:rPr>
                <w:sz w:val="22"/>
                <w:szCs w:val="22"/>
              </w:rPr>
              <w:t xml:space="preserve">attiecīgu </w:t>
            </w:r>
            <w:r w:rsidRPr="00996A74">
              <w:rPr>
                <w:sz w:val="22"/>
                <w:szCs w:val="22"/>
              </w:rPr>
              <w:t>skaidrojumu, kā arī precīzi norāda, kad un kādā veidā ES tiesību akta vienība tiks pārņemta vai ieviesta pilnībā.</w:t>
            </w:r>
          </w:p>
          <w:p w:rsidR="00B56C32" w:rsidRPr="00996A74" w:rsidRDefault="00B56C32" w:rsidP="006C4607">
            <w:pPr>
              <w:pStyle w:val="naiskr"/>
              <w:spacing w:before="0" w:after="0"/>
              <w:rPr>
                <w:sz w:val="22"/>
                <w:szCs w:val="22"/>
              </w:rPr>
            </w:pPr>
          </w:p>
          <w:p w:rsidR="00B56C32" w:rsidRPr="00996A74" w:rsidRDefault="005060A1" w:rsidP="006C4607">
            <w:pPr>
              <w:pStyle w:val="naiskr"/>
              <w:spacing w:before="0" w:after="0"/>
              <w:rPr>
                <w:sz w:val="22"/>
                <w:szCs w:val="22"/>
              </w:rPr>
            </w:pPr>
            <w:r w:rsidRPr="00996A74">
              <w:rPr>
                <w:sz w:val="22"/>
                <w:szCs w:val="22"/>
              </w:rPr>
              <w:t>N</w:t>
            </w:r>
            <w:r w:rsidR="00A72A0B" w:rsidRPr="00996A74">
              <w:rPr>
                <w:sz w:val="22"/>
                <w:szCs w:val="22"/>
              </w:rPr>
              <w:t>orāda institūciju</w:t>
            </w:r>
            <w:r w:rsidR="00B56C32" w:rsidRPr="00996A74">
              <w:rPr>
                <w:sz w:val="22"/>
                <w:szCs w:val="22"/>
              </w:rPr>
              <w:t xml:space="preserve">, kas ir atbildīga </w:t>
            </w:r>
            <w:r w:rsidR="00DD1020" w:rsidRPr="00996A74">
              <w:rPr>
                <w:sz w:val="22"/>
                <w:szCs w:val="22"/>
              </w:rPr>
              <w:t>par šo saistību izpildi pilnībā</w:t>
            </w:r>
          </w:p>
        </w:tc>
        <w:tc>
          <w:tcPr>
            <w:tcW w:w="3140" w:type="dxa"/>
          </w:tcPr>
          <w:p w:rsidR="00B56C32" w:rsidRPr="00996A74" w:rsidRDefault="00B56C32" w:rsidP="006C4607">
            <w:pPr>
              <w:pStyle w:val="naiskr"/>
              <w:spacing w:before="0" w:after="0"/>
              <w:rPr>
                <w:sz w:val="22"/>
                <w:szCs w:val="22"/>
              </w:rPr>
            </w:pPr>
            <w:r w:rsidRPr="00996A74">
              <w:rPr>
                <w:sz w:val="22"/>
                <w:szCs w:val="22"/>
              </w:rPr>
              <w:t>Informācija par to, vai šīs tabulas B</w:t>
            </w:r>
            <w:r w:rsidR="005060A1" w:rsidRPr="00996A74">
              <w:rPr>
                <w:sz w:val="22"/>
                <w:szCs w:val="22"/>
              </w:rPr>
              <w:t> </w:t>
            </w:r>
            <w:r w:rsidRPr="00996A74">
              <w:rPr>
                <w:sz w:val="22"/>
                <w:szCs w:val="22"/>
              </w:rPr>
              <w:t xml:space="preserve">ailē minētās </w:t>
            </w:r>
            <w:r w:rsidR="001A4066" w:rsidRPr="00996A74">
              <w:rPr>
                <w:sz w:val="22"/>
                <w:szCs w:val="22"/>
              </w:rPr>
              <w:t>projekta</w:t>
            </w:r>
            <w:r w:rsidRPr="00996A74">
              <w:rPr>
                <w:sz w:val="22"/>
                <w:szCs w:val="22"/>
              </w:rPr>
              <w:t xml:space="preserve"> vienības paredz stingrākas prasības nekā šīs tabulas A ailē minētās ES tiesību akta vienības.</w:t>
            </w:r>
          </w:p>
          <w:p w:rsidR="00B56C32" w:rsidRPr="00996A74" w:rsidRDefault="00B56C32" w:rsidP="006C4607">
            <w:pPr>
              <w:pStyle w:val="naiskr"/>
              <w:spacing w:before="0" w:after="0"/>
              <w:rPr>
                <w:sz w:val="22"/>
                <w:szCs w:val="22"/>
              </w:rPr>
            </w:pPr>
          </w:p>
          <w:p w:rsidR="00B56C32" w:rsidRPr="00996A74" w:rsidRDefault="00B56C32" w:rsidP="006C4607">
            <w:pPr>
              <w:pStyle w:val="naiskr"/>
              <w:spacing w:before="0" w:after="0"/>
              <w:rPr>
                <w:sz w:val="22"/>
                <w:szCs w:val="22"/>
              </w:rPr>
            </w:pPr>
            <w:r w:rsidRPr="00996A74">
              <w:rPr>
                <w:sz w:val="22"/>
                <w:szCs w:val="22"/>
              </w:rPr>
              <w:t xml:space="preserve">Ja </w:t>
            </w:r>
            <w:r w:rsidR="001A4066" w:rsidRPr="00996A74">
              <w:rPr>
                <w:sz w:val="22"/>
                <w:szCs w:val="22"/>
              </w:rPr>
              <w:t>projekts</w:t>
            </w:r>
            <w:r w:rsidRPr="00996A74">
              <w:rPr>
                <w:sz w:val="22"/>
                <w:szCs w:val="22"/>
              </w:rPr>
              <w:t xml:space="preserve"> satur stingrākas prasības nekā </w:t>
            </w:r>
            <w:r w:rsidR="0087510C" w:rsidRPr="00996A74">
              <w:rPr>
                <w:sz w:val="22"/>
                <w:szCs w:val="22"/>
              </w:rPr>
              <w:t xml:space="preserve">attiecīgais </w:t>
            </w:r>
            <w:r w:rsidRPr="00996A74">
              <w:rPr>
                <w:sz w:val="22"/>
                <w:szCs w:val="22"/>
              </w:rPr>
              <w:t xml:space="preserve">ES tiesību </w:t>
            </w:r>
            <w:smartTag w:uri="schemas-tilde-lv/tildestengine" w:element="veidnes">
              <w:smartTagPr>
                <w:attr w:name="text" w:val="akts"/>
                <w:attr w:name="baseform" w:val="akts"/>
                <w:attr w:name="id" w:val="-1"/>
              </w:smartTagPr>
              <w:r w:rsidRPr="00996A74">
                <w:rPr>
                  <w:sz w:val="22"/>
                  <w:szCs w:val="22"/>
                </w:rPr>
                <w:t>akts</w:t>
              </w:r>
            </w:smartTag>
            <w:r w:rsidR="00DD1020" w:rsidRPr="00996A74">
              <w:rPr>
                <w:sz w:val="22"/>
                <w:szCs w:val="22"/>
              </w:rPr>
              <w:t>,</w:t>
            </w:r>
            <w:r w:rsidRPr="00996A74">
              <w:rPr>
                <w:sz w:val="22"/>
                <w:szCs w:val="22"/>
              </w:rPr>
              <w:t xml:space="preserve"> – norāda pamatojumu un samērīgumu.</w:t>
            </w:r>
          </w:p>
          <w:p w:rsidR="00B56C32" w:rsidRPr="00996A74" w:rsidRDefault="00B56C32" w:rsidP="006C4607">
            <w:pPr>
              <w:pStyle w:val="naiskr"/>
              <w:spacing w:before="0" w:after="0"/>
              <w:rPr>
                <w:sz w:val="22"/>
                <w:szCs w:val="22"/>
              </w:rPr>
            </w:pPr>
          </w:p>
          <w:p w:rsidR="00B56C32" w:rsidRPr="00996A74" w:rsidRDefault="005060A1" w:rsidP="006C4607">
            <w:pPr>
              <w:pStyle w:val="naiskr"/>
              <w:spacing w:before="0" w:after="0"/>
              <w:rPr>
                <w:sz w:val="22"/>
                <w:szCs w:val="22"/>
              </w:rPr>
            </w:pPr>
            <w:r w:rsidRPr="00996A74">
              <w:rPr>
                <w:sz w:val="22"/>
                <w:szCs w:val="22"/>
              </w:rPr>
              <w:t>N</w:t>
            </w:r>
            <w:r w:rsidR="00B56C32" w:rsidRPr="00996A74">
              <w:rPr>
                <w:sz w:val="22"/>
                <w:szCs w:val="22"/>
              </w:rPr>
              <w:t xml:space="preserve">orāda iespējamās alternatīvas (t.sk. alternatīvas, kas neparedz </w:t>
            </w:r>
            <w:r w:rsidR="0087510C" w:rsidRPr="00996A74">
              <w:rPr>
                <w:sz w:val="22"/>
                <w:szCs w:val="22"/>
              </w:rPr>
              <w:t xml:space="preserve">tiesiskā </w:t>
            </w:r>
            <w:r w:rsidR="00B56C32" w:rsidRPr="00996A74">
              <w:rPr>
                <w:sz w:val="22"/>
                <w:szCs w:val="22"/>
              </w:rPr>
              <w:t>regulējuma izstrādi) – kādos gadījumos būtu iespējams izvairīties no stingrāku prasību noteikšan</w:t>
            </w:r>
            <w:r w:rsidR="00DD1020" w:rsidRPr="00996A74">
              <w:rPr>
                <w:sz w:val="22"/>
                <w:szCs w:val="22"/>
              </w:rPr>
              <w:t>a</w:t>
            </w:r>
            <w:r w:rsidR="00B56C32" w:rsidRPr="00996A74">
              <w:rPr>
                <w:sz w:val="22"/>
                <w:szCs w:val="22"/>
              </w:rPr>
              <w:t>s, nekā paredzēts</w:t>
            </w:r>
            <w:r w:rsidR="0087510C" w:rsidRPr="00996A74">
              <w:rPr>
                <w:sz w:val="22"/>
                <w:szCs w:val="22"/>
              </w:rPr>
              <w:t xml:space="preserve"> attiecīgajos </w:t>
            </w:r>
            <w:r w:rsidR="00DD1020" w:rsidRPr="00996A74">
              <w:rPr>
                <w:sz w:val="22"/>
                <w:szCs w:val="22"/>
              </w:rPr>
              <w:t>ES tiesību aktos</w:t>
            </w:r>
          </w:p>
        </w:tc>
      </w:tr>
      <w:tr w:rsidR="00996A74" w:rsidRPr="00950297" w:rsidTr="005C53F1">
        <w:trPr>
          <w:trHeight w:val="20"/>
          <w:jc w:val="center"/>
        </w:trPr>
        <w:tc>
          <w:tcPr>
            <w:tcW w:w="1814" w:type="dxa"/>
            <w:vAlign w:val="center"/>
          </w:tcPr>
          <w:p w:rsidR="00EC145E" w:rsidRPr="00950297" w:rsidRDefault="00EC145E" w:rsidP="00EC145E">
            <w:pPr>
              <w:pStyle w:val="naiskr"/>
              <w:spacing w:before="0" w:after="0"/>
              <w:jc w:val="center"/>
              <w:rPr>
                <w:i/>
                <w:sz w:val="22"/>
                <w:szCs w:val="22"/>
              </w:rPr>
            </w:pPr>
            <w:r w:rsidRPr="00950297">
              <w:rPr>
                <w:i/>
                <w:sz w:val="22"/>
                <w:szCs w:val="22"/>
              </w:rPr>
              <w:t>Regulas Nr.657/2008 3.pants</w:t>
            </w:r>
            <w:r w:rsidR="00130A9E" w:rsidRPr="00950297">
              <w:rPr>
                <w:i/>
                <w:sz w:val="22"/>
                <w:szCs w:val="22"/>
              </w:rPr>
              <w:t xml:space="preserve">, </w:t>
            </w:r>
          </w:p>
          <w:p w:rsidR="00130A9E" w:rsidRPr="00950297" w:rsidRDefault="00130A9E" w:rsidP="004F4A7B">
            <w:pPr>
              <w:pStyle w:val="naiskr"/>
              <w:spacing w:before="0" w:after="0"/>
              <w:jc w:val="center"/>
              <w:rPr>
                <w:i/>
                <w:sz w:val="22"/>
                <w:szCs w:val="22"/>
              </w:rPr>
            </w:pPr>
            <w:r w:rsidRPr="00950297">
              <w:rPr>
                <w:i/>
                <w:sz w:val="22"/>
                <w:szCs w:val="22"/>
              </w:rPr>
              <w:t>Regulas Nr.1308/2013 26.panta 1.punkts, Regulas Nr.13</w:t>
            </w:r>
            <w:r w:rsidR="004F4A7B">
              <w:rPr>
                <w:i/>
                <w:sz w:val="22"/>
                <w:szCs w:val="22"/>
              </w:rPr>
              <w:t>70</w:t>
            </w:r>
            <w:r w:rsidRPr="00950297">
              <w:rPr>
                <w:i/>
                <w:sz w:val="22"/>
                <w:szCs w:val="22"/>
              </w:rPr>
              <w:t>/2013 6.panta 2.punkts</w:t>
            </w:r>
          </w:p>
        </w:tc>
        <w:tc>
          <w:tcPr>
            <w:tcW w:w="2293" w:type="dxa"/>
            <w:shd w:val="clear" w:color="auto" w:fill="auto"/>
            <w:vAlign w:val="center"/>
          </w:tcPr>
          <w:p w:rsidR="00EC145E" w:rsidRPr="00950297" w:rsidRDefault="00EC145E" w:rsidP="005C53F1">
            <w:pPr>
              <w:pStyle w:val="naiskr"/>
              <w:spacing w:before="0" w:after="0"/>
              <w:jc w:val="center"/>
              <w:rPr>
                <w:i/>
                <w:sz w:val="22"/>
                <w:szCs w:val="22"/>
              </w:rPr>
            </w:pPr>
            <w:r w:rsidRPr="00950297">
              <w:rPr>
                <w:i/>
                <w:sz w:val="22"/>
                <w:szCs w:val="22"/>
              </w:rPr>
              <w:t>3.punkts</w:t>
            </w:r>
          </w:p>
        </w:tc>
        <w:tc>
          <w:tcPr>
            <w:tcW w:w="3204" w:type="dxa"/>
            <w:shd w:val="clear" w:color="auto" w:fill="auto"/>
            <w:vAlign w:val="center"/>
          </w:tcPr>
          <w:p w:rsidR="00EC145E" w:rsidRPr="00950297" w:rsidRDefault="00EC145E" w:rsidP="005C53F1">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EC145E" w:rsidRPr="00950297" w:rsidRDefault="00EC145E" w:rsidP="00EC145E">
            <w:pPr>
              <w:pStyle w:val="naiskr"/>
              <w:spacing w:before="0" w:after="0"/>
              <w:jc w:val="center"/>
              <w:rPr>
                <w:i/>
                <w:sz w:val="22"/>
                <w:szCs w:val="22"/>
              </w:rPr>
            </w:pPr>
            <w:r w:rsidRPr="00950297">
              <w:rPr>
                <w:i/>
                <w:sz w:val="22"/>
                <w:szCs w:val="22"/>
              </w:rPr>
              <w:t>Projekts paredz atbalstu piešķirt par dažiem Regulas Nr.657/2008 I</w:t>
            </w:r>
            <w:r w:rsidR="007E0F1B">
              <w:rPr>
                <w:i/>
                <w:sz w:val="22"/>
                <w:szCs w:val="22"/>
              </w:rPr>
              <w:t> </w:t>
            </w:r>
            <w:r w:rsidRPr="00950297">
              <w:rPr>
                <w:i/>
                <w:sz w:val="22"/>
                <w:szCs w:val="22"/>
              </w:rPr>
              <w:t>pielikumā minēt</w:t>
            </w:r>
            <w:r w:rsidR="0093681B" w:rsidRPr="00950297">
              <w:rPr>
                <w:i/>
                <w:sz w:val="22"/>
                <w:szCs w:val="22"/>
              </w:rPr>
              <w:t>aj</w:t>
            </w:r>
            <w:r w:rsidRPr="00950297">
              <w:rPr>
                <w:i/>
                <w:sz w:val="22"/>
                <w:szCs w:val="22"/>
              </w:rPr>
              <w:t>iem produktiem</w:t>
            </w:r>
            <w:r w:rsidR="00130A9E" w:rsidRPr="00950297">
              <w:rPr>
                <w:i/>
                <w:sz w:val="22"/>
                <w:szCs w:val="22"/>
              </w:rPr>
              <w:t xml:space="preserve">, kuri atbilst Regulas Nr.1308/2013 26.panta 1.punktā minētajiem KN kodiem. </w:t>
            </w:r>
          </w:p>
        </w:tc>
      </w:tr>
      <w:tr w:rsidR="00EC145E" w:rsidRPr="00950297" w:rsidTr="005C53F1">
        <w:trPr>
          <w:trHeight w:val="20"/>
          <w:jc w:val="center"/>
        </w:trPr>
        <w:tc>
          <w:tcPr>
            <w:tcW w:w="1814" w:type="dxa"/>
            <w:vAlign w:val="center"/>
          </w:tcPr>
          <w:p w:rsidR="00EC145E" w:rsidRPr="00950297" w:rsidRDefault="00EC145E" w:rsidP="00130A9E">
            <w:pPr>
              <w:pStyle w:val="naiskr"/>
              <w:spacing w:before="0" w:after="0"/>
              <w:jc w:val="center"/>
              <w:rPr>
                <w:i/>
                <w:sz w:val="22"/>
                <w:szCs w:val="22"/>
              </w:rPr>
            </w:pPr>
            <w:r w:rsidRPr="00950297">
              <w:rPr>
                <w:i/>
                <w:sz w:val="22"/>
                <w:szCs w:val="22"/>
              </w:rPr>
              <w:t>Regulas Nr.</w:t>
            </w:r>
            <w:r w:rsidR="00130A9E" w:rsidRPr="00950297">
              <w:rPr>
                <w:i/>
                <w:sz w:val="22"/>
                <w:szCs w:val="22"/>
              </w:rPr>
              <w:t>1308/2013</w:t>
            </w:r>
            <w:r w:rsidRPr="00950297">
              <w:rPr>
                <w:i/>
                <w:sz w:val="22"/>
                <w:szCs w:val="22"/>
              </w:rPr>
              <w:t xml:space="preserve"> </w:t>
            </w:r>
            <w:r w:rsidR="00130A9E" w:rsidRPr="00950297">
              <w:rPr>
                <w:i/>
                <w:sz w:val="22"/>
                <w:szCs w:val="22"/>
              </w:rPr>
              <w:t>26</w:t>
            </w:r>
            <w:r w:rsidRPr="00950297">
              <w:rPr>
                <w:i/>
                <w:sz w:val="22"/>
                <w:szCs w:val="22"/>
              </w:rPr>
              <w:t xml:space="preserve">.panta </w:t>
            </w:r>
            <w:r w:rsidR="00130A9E" w:rsidRPr="00950297">
              <w:rPr>
                <w:i/>
                <w:sz w:val="22"/>
                <w:szCs w:val="22"/>
              </w:rPr>
              <w:t>5</w:t>
            </w:r>
            <w:r w:rsidRPr="00950297">
              <w:rPr>
                <w:i/>
                <w:sz w:val="22"/>
                <w:szCs w:val="22"/>
              </w:rPr>
              <w:t>.punkts</w:t>
            </w:r>
          </w:p>
        </w:tc>
        <w:tc>
          <w:tcPr>
            <w:tcW w:w="2293" w:type="dxa"/>
            <w:shd w:val="clear" w:color="auto" w:fill="auto"/>
            <w:vAlign w:val="center"/>
          </w:tcPr>
          <w:p w:rsidR="00EC145E" w:rsidRPr="00950297" w:rsidRDefault="00130A9E" w:rsidP="00884E16">
            <w:pPr>
              <w:pStyle w:val="naiskr"/>
              <w:spacing w:before="0" w:after="0"/>
              <w:jc w:val="center"/>
              <w:rPr>
                <w:i/>
                <w:sz w:val="22"/>
                <w:szCs w:val="22"/>
              </w:rPr>
            </w:pPr>
            <w:r w:rsidRPr="00950297">
              <w:rPr>
                <w:i/>
                <w:sz w:val="22"/>
                <w:szCs w:val="22"/>
              </w:rPr>
              <w:t>3., 7., 8., 9.</w:t>
            </w:r>
            <w:r w:rsidR="00AE4DBE">
              <w:rPr>
                <w:i/>
                <w:sz w:val="22"/>
                <w:szCs w:val="22"/>
              </w:rPr>
              <w:t>, 10., 11., 12., 13., 14.</w:t>
            </w:r>
            <w:r w:rsidR="00884E16">
              <w:rPr>
                <w:i/>
                <w:sz w:val="22"/>
                <w:szCs w:val="22"/>
              </w:rPr>
              <w:t>,</w:t>
            </w:r>
            <w:r w:rsidR="00AE4DBE">
              <w:rPr>
                <w:i/>
                <w:sz w:val="22"/>
                <w:szCs w:val="22"/>
              </w:rPr>
              <w:t>15</w:t>
            </w:r>
            <w:r w:rsidR="00884E16">
              <w:rPr>
                <w:i/>
                <w:sz w:val="22"/>
                <w:szCs w:val="22"/>
              </w:rPr>
              <w:t>., 16.</w:t>
            </w:r>
            <w:r w:rsidR="00104BEC">
              <w:rPr>
                <w:i/>
                <w:sz w:val="22"/>
                <w:szCs w:val="22"/>
              </w:rPr>
              <w:t xml:space="preserve"> un</w:t>
            </w:r>
            <w:r w:rsidR="00DB143B">
              <w:rPr>
                <w:i/>
                <w:sz w:val="22"/>
                <w:szCs w:val="22"/>
              </w:rPr>
              <w:t xml:space="preserve"> 19</w:t>
            </w:r>
            <w:r w:rsidR="00AE4DBE">
              <w:rPr>
                <w:i/>
                <w:sz w:val="22"/>
                <w:szCs w:val="22"/>
              </w:rPr>
              <w:t>.</w:t>
            </w:r>
            <w:r w:rsidRPr="00950297">
              <w:rPr>
                <w:i/>
                <w:sz w:val="22"/>
                <w:szCs w:val="22"/>
              </w:rPr>
              <w:t>punkts</w:t>
            </w:r>
          </w:p>
        </w:tc>
        <w:tc>
          <w:tcPr>
            <w:tcW w:w="3204" w:type="dxa"/>
            <w:shd w:val="clear" w:color="auto" w:fill="auto"/>
            <w:vAlign w:val="center"/>
          </w:tcPr>
          <w:p w:rsidR="00EC145E" w:rsidRPr="00950297" w:rsidRDefault="00EC145E" w:rsidP="005C53F1">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EC145E" w:rsidRPr="00950297" w:rsidRDefault="00130A9E" w:rsidP="00130A9E">
            <w:pPr>
              <w:pStyle w:val="naiskr"/>
              <w:spacing w:before="0" w:after="0"/>
              <w:jc w:val="center"/>
              <w:rPr>
                <w:i/>
                <w:sz w:val="22"/>
                <w:szCs w:val="22"/>
              </w:rPr>
            </w:pPr>
            <w:r w:rsidRPr="00950297">
              <w:rPr>
                <w:i/>
                <w:sz w:val="22"/>
                <w:szCs w:val="22"/>
              </w:rPr>
              <w:t>Projekts paredz nosacījumus valsts līdzfinansējuma apmēra noteikšanai un piešķiršanai</w:t>
            </w:r>
            <w:r w:rsidR="00104BEC">
              <w:rPr>
                <w:i/>
                <w:sz w:val="22"/>
                <w:szCs w:val="22"/>
              </w:rPr>
              <w:t>.</w:t>
            </w:r>
            <w:r w:rsidRPr="00950297">
              <w:rPr>
                <w:i/>
                <w:sz w:val="22"/>
                <w:szCs w:val="22"/>
              </w:rPr>
              <w:t xml:space="preserve"> </w:t>
            </w:r>
          </w:p>
        </w:tc>
      </w:tr>
      <w:tr w:rsidR="00884E16" w:rsidRPr="00950297" w:rsidTr="005C53F1">
        <w:trPr>
          <w:trHeight w:val="20"/>
          <w:jc w:val="center"/>
        </w:trPr>
        <w:tc>
          <w:tcPr>
            <w:tcW w:w="1814" w:type="dxa"/>
            <w:vAlign w:val="center"/>
          </w:tcPr>
          <w:p w:rsidR="00884E16" w:rsidRPr="00950297" w:rsidRDefault="00884E16" w:rsidP="00130A9E">
            <w:pPr>
              <w:pStyle w:val="naiskr"/>
              <w:spacing w:before="0" w:after="0"/>
              <w:jc w:val="center"/>
              <w:rPr>
                <w:i/>
                <w:sz w:val="22"/>
                <w:szCs w:val="22"/>
              </w:rPr>
            </w:pPr>
            <w:r>
              <w:rPr>
                <w:i/>
                <w:sz w:val="22"/>
                <w:szCs w:val="22"/>
              </w:rPr>
              <w:t>Regulas Nr.657/2008 6.panta 2.punkts</w:t>
            </w:r>
          </w:p>
        </w:tc>
        <w:tc>
          <w:tcPr>
            <w:tcW w:w="2293" w:type="dxa"/>
            <w:shd w:val="clear" w:color="auto" w:fill="auto"/>
            <w:vAlign w:val="center"/>
          </w:tcPr>
          <w:p w:rsidR="00884E16" w:rsidRPr="00950297" w:rsidRDefault="00884E16" w:rsidP="00AE4DBE">
            <w:pPr>
              <w:pStyle w:val="naiskr"/>
              <w:spacing w:before="0" w:after="0"/>
              <w:jc w:val="center"/>
              <w:rPr>
                <w:i/>
                <w:sz w:val="22"/>
                <w:szCs w:val="22"/>
              </w:rPr>
            </w:pPr>
            <w:r>
              <w:rPr>
                <w:i/>
                <w:sz w:val="22"/>
                <w:szCs w:val="22"/>
              </w:rPr>
              <w:t>4.punkts</w:t>
            </w:r>
          </w:p>
        </w:tc>
        <w:tc>
          <w:tcPr>
            <w:tcW w:w="3204" w:type="dxa"/>
            <w:shd w:val="clear" w:color="auto" w:fill="auto"/>
            <w:vAlign w:val="center"/>
          </w:tcPr>
          <w:p w:rsidR="00884E16" w:rsidRPr="00950297" w:rsidRDefault="00884E16" w:rsidP="005C53F1">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884E16" w:rsidRPr="00950297" w:rsidRDefault="00884E16" w:rsidP="00130A9E">
            <w:pPr>
              <w:pStyle w:val="naiskr"/>
              <w:spacing w:before="0" w:after="0"/>
              <w:jc w:val="center"/>
              <w:rPr>
                <w:i/>
                <w:sz w:val="22"/>
                <w:szCs w:val="22"/>
              </w:rPr>
            </w:pPr>
            <w:r>
              <w:rPr>
                <w:i/>
                <w:sz w:val="22"/>
                <w:szCs w:val="22"/>
              </w:rPr>
              <w:t>Projekts, kas var būt atbalsta pretendenti</w:t>
            </w:r>
            <w:r w:rsidR="00104BEC">
              <w:rPr>
                <w:i/>
                <w:sz w:val="22"/>
                <w:szCs w:val="22"/>
              </w:rPr>
              <w:t>.</w:t>
            </w:r>
          </w:p>
        </w:tc>
      </w:tr>
      <w:tr w:rsidR="00884E16" w:rsidRPr="00950297" w:rsidTr="005C53F1">
        <w:trPr>
          <w:trHeight w:val="20"/>
          <w:jc w:val="center"/>
        </w:trPr>
        <w:tc>
          <w:tcPr>
            <w:tcW w:w="1814" w:type="dxa"/>
            <w:vAlign w:val="center"/>
          </w:tcPr>
          <w:p w:rsidR="00884E16" w:rsidRPr="00950297" w:rsidRDefault="00884E16" w:rsidP="00884E16">
            <w:pPr>
              <w:pStyle w:val="naiskr"/>
              <w:spacing w:before="0" w:after="0"/>
              <w:jc w:val="center"/>
              <w:rPr>
                <w:i/>
                <w:sz w:val="22"/>
                <w:szCs w:val="22"/>
              </w:rPr>
            </w:pPr>
            <w:r>
              <w:rPr>
                <w:i/>
                <w:sz w:val="22"/>
                <w:szCs w:val="22"/>
              </w:rPr>
              <w:t>Regulas Nr.657/2008 7., 8., 9.pants</w:t>
            </w:r>
          </w:p>
        </w:tc>
        <w:tc>
          <w:tcPr>
            <w:tcW w:w="2293" w:type="dxa"/>
            <w:shd w:val="clear" w:color="auto" w:fill="auto"/>
            <w:vAlign w:val="center"/>
          </w:tcPr>
          <w:p w:rsidR="00884E16" w:rsidRPr="00950297" w:rsidRDefault="00884E16" w:rsidP="00AE4DBE">
            <w:pPr>
              <w:pStyle w:val="naiskr"/>
              <w:spacing w:before="0" w:after="0"/>
              <w:jc w:val="center"/>
              <w:rPr>
                <w:i/>
                <w:sz w:val="22"/>
                <w:szCs w:val="22"/>
              </w:rPr>
            </w:pPr>
            <w:r>
              <w:rPr>
                <w:i/>
                <w:sz w:val="22"/>
                <w:szCs w:val="22"/>
              </w:rPr>
              <w:t>5.punkts</w:t>
            </w:r>
          </w:p>
        </w:tc>
        <w:tc>
          <w:tcPr>
            <w:tcW w:w="3204" w:type="dxa"/>
            <w:shd w:val="clear" w:color="auto" w:fill="auto"/>
            <w:vAlign w:val="center"/>
          </w:tcPr>
          <w:p w:rsidR="00884E16" w:rsidRPr="00950297" w:rsidRDefault="00884E16" w:rsidP="005C53F1">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884E16" w:rsidRPr="00950297" w:rsidRDefault="00884E16" w:rsidP="00130A9E">
            <w:pPr>
              <w:pStyle w:val="naiskr"/>
              <w:spacing w:before="0" w:after="0"/>
              <w:jc w:val="center"/>
              <w:rPr>
                <w:i/>
                <w:sz w:val="22"/>
                <w:szCs w:val="22"/>
              </w:rPr>
            </w:pPr>
            <w:r>
              <w:rPr>
                <w:i/>
                <w:sz w:val="22"/>
                <w:szCs w:val="22"/>
              </w:rPr>
              <w:t>Projekts nosaka pretendentu apstiprināšanas kārtību</w:t>
            </w:r>
            <w:r w:rsidR="00104BEC">
              <w:rPr>
                <w:i/>
                <w:sz w:val="22"/>
                <w:szCs w:val="22"/>
              </w:rPr>
              <w:t>.</w:t>
            </w:r>
          </w:p>
        </w:tc>
      </w:tr>
      <w:tr w:rsidR="00884E16" w:rsidRPr="00950297" w:rsidTr="005C53F1">
        <w:trPr>
          <w:trHeight w:val="20"/>
          <w:jc w:val="center"/>
        </w:trPr>
        <w:tc>
          <w:tcPr>
            <w:tcW w:w="1814" w:type="dxa"/>
            <w:vAlign w:val="center"/>
          </w:tcPr>
          <w:p w:rsidR="00884E16" w:rsidRPr="00950297" w:rsidRDefault="00DB143B" w:rsidP="00DB143B">
            <w:pPr>
              <w:pStyle w:val="naiskr"/>
              <w:spacing w:before="0" w:after="0"/>
              <w:jc w:val="center"/>
              <w:rPr>
                <w:i/>
                <w:sz w:val="22"/>
                <w:szCs w:val="22"/>
              </w:rPr>
            </w:pPr>
            <w:r>
              <w:rPr>
                <w:i/>
                <w:sz w:val="22"/>
                <w:szCs w:val="22"/>
              </w:rPr>
              <w:t>Regulas Nr.657/2008 11.pants</w:t>
            </w:r>
          </w:p>
        </w:tc>
        <w:tc>
          <w:tcPr>
            <w:tcW w:w="2293" w:type="dxa"/>
            <w:shd w:val="clear" w:color="auto" w:fill="auto"/>
            <w:vAlign w:val="center"/>
          </w:tcPr>
          <w:p w:rsidR="00884E16" w:rsidRPr="00950297" w:rsidRDefault="00DB143B" w:rsidP="00AE4DBE">
            <w:pPr>
              <w:pStyle w:val="naiskr"/>
              <w:spacing w:before="0" w:after="0"/>
              <w:jc w:val="center"/>
              <w:rPr>
                <w:i/>
                <w:sz w:val="22"/>
                <w:szCs w:val="22"/>
              </w:rPr>
            </w:pPr>
            <w:r>
              <w:rPr>
                <w:i/>
                <w:sz w:val="22"/>
                <w:szCs w:val="22"/>
              </w:rPr>
              <w:t>14</w:t>
            </w:r>
            <w:r w:rsidR="00884E16">
              <w:rPr>
                <w:i/>
                <w:sz w:val="22"/>
                <w:szCs w:val="22"/>
              </w:rPr>
              <w:t>.</w:t>
            </w:r>
            <w:r>
              <w:rPr>
                <w:i/>
                <w:sz w:val="22"/>
                <w:szCs w:val="22"/>
              </w:rPr>
              <w:t>1.apakš</w:t>
            </w:r>
            <w:r w:rsidR="00884E16">
              <w:rPr>
                <w:i/>
                <w:sz w:val="22"/>
                <w:szCs w:val="22"/>
              </w:rPr>
              <w:t>punkts</w:t>
            </w:r>
            <w:r>
              <w:rPr>
                <w:i/>
                <w:sz w:val="22"/>
                <w:szCs w:val="22"/>
              </w:rPr>
              <w:t>, 2.pielikums</w:t>
            </w:r>
          </w:p>
        </w:tc>
        <w:tc>
          <w:tcPr>
            <w:tcW w:w="3204" w:type="dxa"/>
            <w:shd w:val="clear" w:color="auto" w:fill="auto"/>
            <w:vAlign w:val="center"/>
          </w:tcPr>
          <w:p w:rsidR="00884E16" w:rsidRPr="00950297" w:rsidRDefault="00DB143B" w:rsidP="005C53F1">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884E16" w:rsidRPr="00950297" w:rsidRDefault="00DB143B" w:rsidP="00DB143B">
            <w:pPr>
              <w:pStyle w:val="naiskr"/>
              <w:spacing w:before="0" w:after="0"/>
              <w:jc w:val="center"/>
              <w:rPr>
                <w:i/>
                <w:sz w:val="22"/>
                <w:szCs w:val="22"/>
              </w:rPr>
            </w:pPr>
            <w:r>
              <w:rPr>
                <w:i/>
                <w:sz w:val="22"/>
                <w:szCs w:val="22"/>
              </w:rPr>
              <w:t>Projekts nosaka atbalsta iesnieguma saturu un adresātu</w:t>
            </w:r>
            <w:r w:rsidR="00104BEC">
              <w:rPr>
                <w:i/>
                <w:sz w:val="22"/>
                <w:szCs w:val="22"/>
              </w:rPr>
              <w:t>.</w:t>
            </w:r>
          </w:p>
        </w:tc>
      </w:tr>
      <w:tr w:rsidR="00DB143B" w:rsidRPr="00950297" w:rsidTr="005C53F1">
        <w:trPr>
          <w:trHeight w:val="20"/>
          <w:jc w:val="center"/>
        </w:trPr>
        <w:tc>
          <w:tcPr>
            <w:tcW w:w="1814" w:type="dxa"/>
            <w:vAlign w:val="center"/>
          </w:tcPr>
          <w:p w:rsidR="00DB143B" w:rsidRPr="00950297" w:rsidRDefault="00DB143B" w:rsidP="00DB143B">
            <w:pPr>
              <w:pStyle w:val="naiskr"/>
              <w:spacing w:before="0" w:after="0"/>
              <w:jc w:val="center"/>
              <w:rPr>
                <w:i/>
                <w:sz w:val="22"/>
                <w:szCs w:val="22"/>
              </w:rPr>
            </w:pPr>
            <w:r>
              <w:rPr>
                <w:i/>
                <w:sz w:val="22"/>
                <w:szCs w:val="22"/>
              </w:rPr>
              <w:t>Regulas Nr.657/2008 12.panta 1. punkts</w:t>
            </w:r>
          </w:p>
        </w:tc>
        <w:tc>
          <w:tcPr>
            <w:tcW w:w="2293"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14.2.</w:t>
            </w:r>
            <w:r w:rsidR="00104BEC">
              <w:rPr>
                <w:i/>
                <w:sz w:val="22"/>
                <w:szCs w:val="22"/>
              </w:rPr>
              <w:t xml:space="preserve"> un</w:t>
            </w:r>
            <w:r>
              <w:rPr>
                <w:i/>
                <w:sz w:val="22"/>
                <w:szCs w:val="22"/>
              </w:rPr>
              <w:t xml:space="preserve"> 14.3.apakšpunkts </w:t>
            </w:r>
          </w:p>
        </w:tc>
        <w:tc>
          <w:tcPr>
            <w:tcW w:w="3204" w:type="dxa"/>
            <w:shd w:val="clear" w:color="auto" w:fill="auto"/>
            <w:vAlign w:val="center"/>
          </w:tcPr>
          <w:p w:rsidR="00DB143B" w:rsidRPr="00950297" w:rsidRDefault="00DB143B" w:rsidP="00DB143B">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Projekts nosaka dokumentus, kas jāiesniedz kopā ar atbalsta iesniegumu</w:t>
            </w:r>
            <w:r w:rsidR="00104BEC">
              <w:rPr>
                <w:i/>
                <w:sz w:val="22"/>
                <w:szCs w:val="22"/>
              </w:rPr>
              <w:t>,</w:t>
            </w:r>
            <w:r>
              <w:rPr>
                <w:i/>
                <w:sz w:val="22"/>
                <w:szCs w:val="22"/>
              </w:rPr>
              <w:t xml:space="preserve"> lai pierādītu piegādāto produktu daudzumu</w:t>
            </w:r>
            <w:r w:rsidR="00104BEC">
              <w:rPr>
                <w:i/>
                <w:sz w:val="22"/>
                <w:szCs w:val="22"/>
              </w:rPr>
              <w:t>.</w:t>
            </w:r>
          </w:p>
        </w:tc>
      </w:tr>
      <w:tr w:rsidR="00DB143B" w:rsidRPr="00950297" w:rsidTr="005C53F1">
        <w:trPr>
          <w:trHeight w:val="20"/>
          <w:jc w:val="center"/>
        </w:trPr>
        <w:tc>
          <w:tcPr>
            <w:tcW w:w="1814" w:type="dxa"/>
            <w:vAlign w:val="center"/>
          </w:tcPr>
          <w:p w:rsidR="00DB143B" w:rsidRPr="00950297" w:rsidRDefault="00DB143B" w:rsidP="00DB143B">
            <w:pPr>
              <w:pStyle w:val="naiskr"/>
              <w:spacing w:before="0" w:after="0"/>
              <w:jc w:val="center"/>
              <w:rPr>
                <w:i/>
                <w:sz w:val="22"/>
                <w:szCs w:val="22"/>
              </w:rPr>
            </w:pPr>
            <w:r>
              <w:rPr>
                <w:i/>
                <w:sz w:val="22"/>
                <w:szCs w:val="22"/>
              </w:rPr>
              <w:t>Regulas Nr.657/2008 12.panta 1. punkts</w:t>
            </w:r>
          </w:p>
        </w:tc>
        <w:tc>
          <w:tcPr>
            <w:tcW w:w="2293"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17.punkts</w:t>
            </w:r>
          </w:p>
        </w:tc>
        <w:tc>
          <w:tcPr>
            <w:tcW w:w="3204" w:type="dxa"/>
            <w:shd w:val="clear" w:color="auto" w:fill="auto"/>
            <w:vAlign w:val="center"/>
          </w:tcPr>
          <w:p w:rsidR="00DB143B" w:rsidRPr="00950297" w:rsidRDefault="00DB143B" w:rsidP="00DB143B">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Projekts nosaka atbalsta izmaksas kārtību</w:t>
            </w:r>
            <w:r w:rsidR="00104BEC">
              <w:rPr>
                <w:i/>
                <w:sz w:val="22"/>
                <w:szCs w:val="22"/>
              </w:rPr>
              <w:t>.</w:t>
            </w:r>
          </w:p>
        </w:tc>
      </w:tr>
      <w:tr w:rsidR="00DB143B" w:rsidRPr="00950297" w:rsidTr="005C53F1">
        <w:trPr>
          <w:trHeight w:val="20"/>
          <w:jc w:val="center"/>
        </w:trPr>
        <w:tc>
          <w:tcPr>
            <w:tcW w:w="1814" w:type="dxa"/>
            <w:vAlign w:val="center"/>
          </w:tcPr>
          <w:p w:rsidR="00DB143B" w:rsidRPr="00950297" w:rsidRDefault="00DB143B" w:rsidP="00DB143B">
            <w:pPr>
              <w:pStyle w:val="naiskr"/>
              <w:spacing w:before="0" w:after="0"/>
              <w:jc w:val="center"/>
              <w:rPr>
                <w:i/>
                <w:sz w:val="22"/>
                <w:szCs w:val="22"/>
              </w:rPr>
            </w:pPr>
            <w:r>
              <w:rPr>
                <w:i/>
                <w:sz w:val="22"/>
                <w:szCs w:val="22"/>
              </w:rPr>
              <w:t>Regulas Nr.657/2008 15.pants</w:t>
            </w:r>
          </w:p>
        </w:tc>
        <w:tc>
          <w:tcPr>
            <w:tcW w:w="2293"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23.punkts</w:t>
            </w:r>
          </w:p>
        </w:tc>
        <w:tc>
          <w:tcPr>
            <w:tcW w:w="3204" w:type="dxa"/>
            <w:shd w:val="clear" w:color="auto" w:fill="auto"/>
            <w:vAlign w:val="center"/>
          </w:tcPr>
          <w:p w:rsidR="00DB143B" w:rsidRPr="00950297" w:rsidRDefault="00DB143B" w:rsidP="00DB143B">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DB143B" w:rsidRPr="00950297" w:rsidRDefault="00DB143B" w:rsidP="00DB143B">
            <w:pPr>
              <w:pStyle w:val="naiskr"/>
              <w:spacing w:before="0" w:after="0"/>
              <w:jc w:val="center"/>
              <w:rPr>
                <w:i/>
                <w:sz w:val="22"/>
                <w:szCs w:val="22"/>
              </w:rPr>
            </w:pPr>
            <w:r>
              <w:rPr>
                <w:i/>
                <w:sz w:val="22"/>
                <w:szCs w:val="22"/>
              </w:rPr>
              <w:t xml:space="preserve">Projekts nosaka, ka Lauku atbalsta dienests veic </w:t>
            </w:r>
            <w:r w:rsidR="008B67C0">
              <w:rPr>
                <w:i/>
                <w:sz w:val="22"/>
                <w:szCs w:val="22"/>
              </w:rPr>
              <w:t>produktu piegādes pavaddokumentu un produktu izlietojuma uzskaites dokumentu pārbaudes saistībā ar atbalsta izmaksu.</w:t>
            </w:r>
          </w:p>
        </w:tc>
      </w:tr>
      <w:tr w:rsidR="00DB143B" w:rsidRPr="00950297" w:rsidTr="005C53F1">
        <w:trPr>
          <w:trHeight w:val="20"/>
          <w:jc w:val="center"/>
        </w:trPr>
        <w:tc>
          <w:tcPr>
            <w:tcW w:w="1814" w:type="dxa"/>
            <w:vAlign w:val="center"/>
          </w:tcPr>
          <w:p w:rsidR="00DB143B" w:rsidRPr="00950297" w:rsidRDefault="008B67C0" w:rsidP="008B67C0">
            <w:pPr>
              <w:pStyle w:val="naiskr"/>
              <w:spacing w:before="0" w:after="0"/>
              <w:jc w:val="center"/>
              <w:rPr>
                <w:i/>
                <w:sz w:val="22"/>
                <w:szCs w:val="22"/>
              </w:rPr>
            </w:pPr>
            <w:r>
              <w:rPr>
                <w:i/>
                <w:sz w:val="22"/>
                <w:szCs w:val="22"/>
              </w:rPr>
              <w:lastRenderedPageBreak/>
              <w:t>Regulas Nr.657/2008 17.pants</w:t>
            </w:r>
          </w:p>
        </w:tc>
        <w:tc>
          <w:tcPr>
            <w:tcW w:w="2293" w:type="dxa"/>
            <w:shd w:val="clear" w:color="auto" w:fill="auto"/>
            <w:vAlign w:val="center"/>
          </w:tcPr>
          <w:p w:rsidR="00DB143B" w:rsidRPr="00950297" w:rsidRDefault="008B67C0" w:rsidP="00DB143B">
            <w:pPr>
              <w:pStyle w:val="naiskr"/>
              <w:spacing w:before="0" w:after="0"/>
              <w:jc w:val="center"/>
              <w:rPr>
                <w:i/>
                <w:sz w:val="22"/>
                <w:szCs w:val="22"/>
              </w:rPr>
            </w:pPr>
            <w:r>
              <w:rPr>
                <w:i/>
                <w:sz w:val="22"/>
                <w:szCs w:val="22"/>
              </w:rPr>
              <w:t>26.punkts</w:t>
            </w:r>
          </w:p>
        </w:tc>
        <w:tc>
          <w:tcPr>
            <w:tcW w:w="3204" w:type="dxa"/>
            <w:shd w:val="clear" w:color="auto" w:fill="auto"/>
            <w:vAlign w:val="center"/>
          </w:tcPr>
          <w:p w:rsidR="00DB143B" w:rsidRPr="00950297" w:rsidRDefault="008B67C0" w:rsidP="00DB143B">
            <w:pPr>
              <w:pStyle w:val="naiskr"/>
              <w:spacing w:before="0" w:after="0"/>
              <w:jc w:val="center"/>
              <w:rPr>
                <w:i/>
                <w:sz w:val="22"/>
                <w:szCs w:val="22"/>
              </w:rPr>
            </w:pPr>
            <w:r w:rsidRPr="00950297">
              <w:rPr>
                <w:i/>
                <w:sz w:val="22"/>
                <w:szCs w:val="22"/>
              </w:rPr>
              <w:t>Ieviests pilnībā</w:t>
            </w:r>
            <w:r w:rsidR="00104BEC">
              <w:rPr>
                <w:i/>
                <w:sz w:val="22"/>
                <w:szCs w:val="22"/>
              </w:rPr>
              <w:t>.</w:t>
            </w:r>
          </w:p>
        </w:tc>
        <w:tc>
          <w:tcPr>
            <w:tcW w:w="3140" w:type="dxa"/>
            <w:shd w:val="clear" w:color="auto" w:fill="auto"/>
            <w:vAlign w:val="center"/>
          </w:tcPr>
          <w:p w:rsidR="00DB143B" w:rsidRPr="00950297" w:rsidRDefault="008B67C0" w:rsidP="008B67C0">
            <w:pPr>
              <w:pStyle w:val="naiskr"/>
              <w:spacing w:before="0" w:after="0"/>
              <w:jc w:val="center"/>
              <w:rPr>
                <w:i/>
                <w:sz w:val="22"/>
                <w:szCs w:val="22"/>
              </w:rPr>
            </w:pPr>
            <w:r>
              <w:rPr>
                <w:i/>
                <w:sz w:val="22"/>
                <w:szCs w:val="22"/>
              </w:rPr>
              <w:t xml:space="preserve">Projekts nosaka, ka informāciju par programmas apguves rādītājiem mācību gadā sniedz Lauku atbalsta dienests </w:t>
            </w:r>
          </w:p>
        </w:tc>
      </w:tr>
      <w:tr w:rsidR="00DB143B" w:rsidRPr="00996A74" w:rsidTr="00CE68A0">
        <w:trPr>
          <w:trHeight w:val="281"/>
          <w:jc w:val="center"/>
        </w:trPr>
        <w:tc>
          <w:tcPr>
            <w:tcW w:w="1814" w:type="dxa"/>
            <w:vAlign w:val="center"/>
          </w:tcPr>
          <w:p w:rsidR="00DB143B" w:rsidRPr="00996A74" w:rsidRDefault="00DB143B" w:rsidP="00DB143B">
            <w:pPr>
              <w:pStyle w:val="naiskr"/>
              <w:spacing w:before="0" w:after="0"/>
              <w:rPr>
                <w:sz w:val="22"/>
                <w:szCs w:val="22"/>
              </w:rPr>
            </w:pPr>
            <w:proofErr w:type="gramStart"/>
            <w:r w:rsidRPr="00996A74">
              <w:rPr>
                <w:sz w:val="22"/>
                <w:szCs w:val="22"/>
              </w:rPr>
              <w:t>Kā ir izmantota ES tiesību aktā paredzētā rīcības brīvība dalībvalstij pārņemt vai ieviest</w:t>
            </w:r>
            <w:proofErr w:type="gramEnd"/>
            <w:r w:rsidRPr="00996A74">
              <w:rPr>
                <w:sz w:val="22"/>
                <w:szCs w:val="22"/>
              </w:rPr>
              <w:t xml:space="preserve"> noteiktas ES tiesību akta normas.</w:t>
            </w:r>
          </w:p>
          <w:p w:rsidR="00DB143B" w:rsidRPr="00996A74" w:rsidRDefault="00DB143B" w:rsidP="00DB143B">
            <w:pPr>
              <w:pStyle w:val="naiskr"/>
              <w:spacing w:before="0" w:after="0"/>
              <w:rPr>
                <w:sz w:val="22"/>
                <w:szCs w:val="22"/>
              </w:rPr>
            </w:pPr>
            <w:r w:rsidRPr="00996A74">
              <w:rPr>
                <w:sz w:val="22"/>
                <w:szCs w:val="22"/>
              </w:rPr>
              <w:t>Kādēļ?</w:t>
            </w:r>
          </w:p>
        </w:tc>
        <w:tc>
          <w:tcPr>
            <w:tcW w:w="8637" w:type="dxa"/>
            <w:gridSpan w:val="3"/>
          </w:tcPr>
          <w:p w:rsidR="00DB143B" w:rsidRPr="00950297" w:rsidRDefault="00DB143B" w:rsidP="00DB143B">
            <w:pPr>
              <w:ind w:left="142" w:right="142"/>
              <w:jc w:val="both"/>
            </w:pPr>
            <w:r w:rsidRPr="00950297">
              <w:t>Projekts paredz no Regulas Nr.657/2008 I pielikumā minētajiem produktiem valsts līdzfinansējumu piešķirt tikai termiski apstrādāta piena piegādei pirmsskolas un 1.–</w:t>
            </w:r>
            <w:r w:rsidR="00ED34BF" w:rsidRPr="00ED34BF">
              <w:rPr>
                <w:b/>
              </w:rPr>
              <w:t>9</w:t>
            </w:r>
            <w:r w:rsidRPr="00ED34BF">
              <w:rPr>
                <w:b/>
              </w:rPr>
              <w:t>.klases</w:t>
            </w:r>
            <w:r w:rsidRPr="00950297">
              <w:t xml:space="preserve"> izglītojamiem. Šāds piens atbilst Regulas Nr.1308/2013 26.panta 1.punktā minētajam KN kodam 0401, un par to var saņemt Eiropas Savienības atbalstu 18,15</w:t>
            </w:r>
            <w:r>
              <w:t> </w:t>
            </w:r>
            <w:proofErr w:type="spellStart"/>
            <w:r w:rsidRPr="00B71D93">
              <w:rPr>
                <w:i/>
              </w:rPr>
              <w:t>euro</w:t>
            </w:r>
            <w:proofErr w:type="spellEnd"/>
            <w:r w:rsidRPr="00950297">
              <w:t xml:space="preserve"> apmērā par 100 kg produkta saskaņā ar Regulas Nr.1370/2013 6.panta 2.punktu.</w:t>
            </w:r>
          </w:p>
          <w:p w:rsidR="00DB143B" w:rsidRPr="00950297" w:rsidRDefault="00DB143B" w:rsidP="00DB143B">
            <w:pPr>
              <w:ind w:left="142" w:right="142"/>
              <w:jc w:val="both"/>
            </w:pPr>
            <w:r w:rsidRPr="00950297">
              <w:t xml:space="preserve">Projekts paredz, ka valsts līdzfinansējuma apmērs (un likme par 1 </w:t>
            </w:r>
            <w:r w:rsidRPr="00A26DFD">
              <w:rPr>
                <w:b/>
              </w:rPr>
              <w:t>litru</w:t>
            </w:r>
            <w:r w:rsidRPr="00950297">
              <w:t xml:space="preserve"> produkta) būs mainīga pa ceturkšņiem, </w:t>
            </w:r>
            <w:r>
              <w:t>pamatojoties</w:t>
            </w:r>
            <w:r w:rsidRPr="00950297">
              <w:t xml:space="preserve"> uz trīs iepriekšējo mēnešu vidējās svaigpiena iepirkuma cenas līmeni, kā arī uz kārtējam mācību gadam noteikto pārējo izmaksu līmeni. </w:t>
            </w:r>
            <w:r>
              <w:t>Turklāt</w:t>
            </w:r>
            <w:r w:rsidRPr="00950297">
              <w:t xml:space="preserve"> projekts paredz noteikt maksimālo atbalstu, ko valsts līdzfinansējuma un Eiropas Savienības atbalsta kopsumma nedrīkstēs pārsniegt. Tādējādi projekts paredz, ka valsts līdzfinansējuma likme</w:t>
            </w:r>
            <w:r>
              <w:t xml:space="preserve"> pēc</w:t>
            </w:r>
            <w:r w:rsidRPr="00950297">
              <w:t xml:space="preserve"> nepieciešamības tiek samazināta par pārsnieg</w:t>
            </w:r>
            <w:r>
              <w:t>to</w:t>
            </w:r>
            <w:r w:rsidRPr="00950297">
              <w:t xml:space="preserve"> </w:t>
            </w:r>
            <w:r>
              <w:t>daļu</w:t>
            </w:r>
            <w:r w:rsidRPr="00950297">
              <w:t xml:space="preserve">. </w:t>
            </w:r>
          </w:p>
          <w:p w:rsidR="00DB143B" w:rsidRPr="00950297" w:rsidRDefault="00DB143B" w:rsidP="00DB143B">
            <w:pPr>
              <w:ind w:left="142" w:right="142"/>
              <w:jc w:val="both"/>
            </w:pPr>
            <w:r>
              <w:t>Tāpat</w:t>
            </w:r>
            <w:r w:rsidRPr="00950297">
              <w:t xml:space="preserve"> projekts paredz, ka pienam, kas ražots atbilstoši bioloģiskās lauksaimniecības shēmas prasībām</w:t>
            </w:r>
            <w:r w:rsidR="00104BEC">
              <w:t>,</w:t>
            </w:r>
            <w:r w:rsidRPr="00950297">
              <w:t xml:space="preserve"> var tikt piemērota papildu piemaksa, lai veicinātu šāda piena piegādi programmā.</w:t>
            </w:r>
          </w:p>
          <w:p w:rsidR="00DB143B" w:rsidRPr="00AE4DBE" w:rsidRDefault="00DB143B" w:rsidP="00DB143B">
            <w:pPr>
              <w:ind w:left="142" w:right="142"/>
              <w:jc w:val="both"/>
            </w:pPr>
            <w:r>
              <w:t>P</w:t>
            </w:r>
            <w:r w:rsidRPr="00950297">
              <w:t>rojekt</w:t>
            </w:r>
            <w:r>
              <w:t>ā ietverts arī nosacījums atšķirīgu</w:t>
            </w:r>
            <w:r w:rsidRPr="00950297">
              <w:t xml:space="preserve"> valsts līdzfinansējuma likm</w:t>
            </w:r>
            <w:r>
              <w:t>i</w:t>
            </w:r>
            <w:r w:rsidRPr="00950297">
              <w:t xml:space="preserve"> atkarībā no tā, vai piens tiek piegādāts </w:t>
            </w:r>
            <w:r>
              <w:rPr>
                <w:szCs w:val="28"/>
              </w:rPr>
              <w:t>ne vairāk kā 250 ml lielā</w:t>
            </w:r>
            <w:r w:rsidRPr="00950297">
              <w:t xml:space="preserve"> iepakojumā (t.i., vienas porcijas iepakojum</w:t>
            </w:r>
            <w:r>
              <w:t>ā</w:t>
            </w:r>
            <w:r w:rsidRPr="00950297">
              <w:t xml:space="preserve">) vai </w:t>
            </w:r>
            <w:r>
              <w:rPr>
                <w:szCs w:val="28"/>
              </w:rPr>
              <w:t>vairāk nekā 250 ml lielā</w:t>
            </w:r>
            <w:r>
              <w:t xml:space="preserve"> </w:t>
            </w:r>
            <w:r w:rsidRPr="00950297">
              <w:t>iepakojumā</w:t>
            </w:r>
            <w:r>
              <w:t>,</w:t>
            </w:r>
            <w:r w:rsidRPr="00950297">
              <w:t xml:space="preserve"> no k</w:t>
            </w:r>
            <w:r>
              <w:t>ura</w:t>
            </w:r>
            <w:r w:rsidRPr="00950297">
              <w:t xml:space="preserve"> var iegūt vairāk par 1</w:t>
            </w:r>
            <w:r>
              <w:t> </w:t>
            </w:r>
            <w:r w:rsidRPr="00950297">
              <w:t xml:space="preserve">porciju. </w:t>
            </w:r>
          </w:p>
        </w:tc>
      </w:tr>
      <w:tr w:rsidR="00DB143B" w:rsidRPr="00996A74" w:rsidTr="00CE68A0">
        <w:trPr>
          <w:trHeight w:val="913"/>
          <w:jc w:val="center"/>
        </w:trPr>
        <w:tc>
          <w:tcPr>
            <w:tcW w:w="1814" w:type="dxa"/>
            <w:vAlign w:val="center"/>
          </w:tcPr>
          <w:p w:rsidR="00DB143B" w:rsidRPr="00996A74" w:rsidRDefault="00DB143B" w:rsidP="00DB143B">
            <w:pPr>
              <w:pStyle w:val="naiskr"/>
              <w:spacing w:before="0" w:after="0"/>
              <w:rPr>
                <w:i/>
                <w:sz w:val="22"/>
                <w:szCs w:val="22"/>
              </w:rPr>
            </w:pPr>
            <w:r w:rsidRPr="00996A74">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637" w:type="dxa"/>
            <w:gridSpan w:val="3"/>
          </w:tcPr>
          <w:p w:rsidR="00DB143B" w:rsidRPr="00996A74" w:rsidRDefault="00DB143B" w:rsidP="00DB143B">
            <w:pPr>
              <w:pStyle w:val="naiskr"/>
              <w:spacing w:before="0" w:after="0"/>
              <w:rPr>
                <w:sz w:val="22"/>
                <w:szCs w:val="22"/>
              </w:rPr>
            </w:pPr>
            <w:r w:rsidRPr="00996A74">
              <w:rPr>
                <w:rFonts w:ascii="TimesNewRomanPSMT" w:hAnsi="TimesNewRomanPSMT" w:cs="TimesNewRomanPSMT"/>
                <w:sz w:val="22"/>
                <w:szCs w:val="22"/>
              </w:rPr>
              <w:t>Nav attiecināms.</w:t>
            </w:r>
          </w:p>
        </w:tc>
      </w:tr>
      <w:tr w:rsidR="00DB143B" w:rsidRPr="00996A74" w:rsidTr="00CE68A0">
        <w:trPr>
          <w:trHeight w:val="579"/>
          <w:jc w:val="center"/>
        </w:trPr>
        <w:tc>
          <w:tcPr>
            <w:tcW w:w="1814" w:type="dxa"/>
          </w:tcPr>
          <w:p w:rsidR="00DB143B" w:rsidRPr="00996A74" w:rsidRDefault="00DB143B" w:rsidP="00DB143B">
            <w:pPr>
              <w:pStyle w:val="naiskr"/>
              <w:spacing w:before="0" w:after="0"/>
              <w:rPr>
                <w:sz w:val="22"/>
                <w:szCs w:val="22"/>
              </w:rPr>
            </w:pPr>
            <w:r w:rsidRPr="00996A74">
              <w:rPr>
                <w:sz w:val="22"/>
                <w:szCs w:val="22"/>
              </w:rPr>
              <w:t>Cita informācija</w:t>
            </w:r>
          </w:p>
        </w:tc>
        <w:tc>
          <w:tcPr>
            <w:tcW w:w="8637" w:type="dxa"/>
            <w:gridSpan w:val="3"/>
          </w:tcPr>
          <w:p w:rsidR="00DB143B" w:rsidRPr="00996A74" w:rsidRDefault="00DB143B" w:rsidP="00DB143B">
            <w:pPr>
              <w:pStyle w:val="naiskr"/>
              <w:spacing w:before="0" w:after="0"/>
              <w:rPr>
                <w:i/>
                <w:sz w:val="22"/>
                <w:szCs w:val="22"/>
              </w:rPr>
            </w:pPr>
            <w:r w:rsidRPr="00996A74">
              <w:rPr>
                <w:sz w:val="22"/>
                <w:szCs w:val="22"/>
              </w:rPr>
              <w:t>Nav</w:t>
            </w:r>
          </w:p>
        </w:tc>
      </w:tr>
    </w:tbl>
    <w:p w:rsidR="009934C5" w:rsidRDefault="009934C5" w:rsidP="006C4607">
      <w:pPr>
        <w:pStyle w:val="naisf"/>
        <w:spacing w:before="0" w:after="0"/>
        <w:ind w:firstLine="0"/>
      </w:pPr>
    </w:p>
    <w:p w:rsidR="000403D7" w:rsidRPr="000403D7" w:rsidRDefault="000403D7" w:rsidP="006C4607">
      <w:pPr>
        <w:pStyle w:val="naisf"/>
        <w:spacing w:before="0" w:after="0"/>
        <w:ind w:firstLine="0"/>
        <w:rPr>
          <w:i/>
        </w:rPr>
      </w:pPr>
      <w:r w:rsidRPr="000403D7">
        <w:rPr>
          <w:i/>
        </w:rPr>
        <w:t>Anotācijas V</w:t>
      </w:r>
      <w:r w:rsidR="007E0F1B">
        <w:rPr>
          <w:i/>
        </w:rPr>
        <w:t> </w:t>
      </w:r>
      <w:r w:rsidRPr="000403D7">
        <w:rPr>
          <w:i/>
        </w:rPr>
        <w:t>sadaļas 2.tabula – projekts šo jomu neskar.</w:t>
      </w:r>
    </w:p>
    <w:p w:rsidR="000403D7" w:rsidRPr="00996A74" w:rsidRDefault="000403D7" w:rsidP="006C4607">
      <w:pPr>
        <w:pStyle w:val="naisf"/>
        <w:spacing w:before="0" w:after="0"/>
        <w:ind w:firstLine="0"/>
      </w:pPr>
    </w:p>
    <w:p w:rsidR="00E46559" w:rsidRPr="00996A74" w:rsidRDefault="00E46559" w:rsidP="006C4607">
      <w:pPr>
        <w:pStyle w:val="naisf"/>
        <w:spacing w:before="0" w:after="0"/>
        <w:jc w:val="center"/>
        <w:rPr>
          <w: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492"/>
        <w:gridCol w:w="5361"/>
      </w:tblGrid>
      <w:tr w:rsidR="00277929" w:rsidRPr="00996A74">
        <w:trPr>
          <w:jc w:val="center"/>
        </w:trPr>
        <w:tc>
          <w:tcPr>
            <w:tcW w:w="10403" w:type="dxa"/>
            <w:gridSpan w:val="3"/>
          </w:tcPr>
          <w:p w:rsidR="00277929" w:rsidRPr="00996A74" w:rsidRDefault="00277929" w:rsidP="007D099D">
            <w:pPr>
              <w:pStyle w:val="naisnod"/>
              <w:spacing w:before="0" w:after="0"/>
              <w:ind w:left="57" w:right="57"/>
            </w:pPr>
            <w:r w:rsidRPr="00996A74">
              <w:t>VI</w:t>
            </w:r>
            <w:r w:rsidR="000941C5" w:rsidRPr="00996A74">
              <w:t>.</w:t>
            </w:r>
            <w:r w:rsidRPr="00996A74">
              <w:t xml:space="preserve"> </w:t>
            </w:r>
            <w:r w:rsidR="000403D7">
              <w:t>Sabiedrības līdzdalība un komunikācijas aktivitātes</w:t>
            </w:r>
          </w:p>
        </w:tc>
      </w:tr>
      <w:tr w:rsidR="00183CC2" w:rsidRPr="00996A74">
        <w:trPr>
          <w:trHeight w:val="553"/>
          <w:jc w:val="center"/>
        </w:trPr>
        <w:tc>
          <w:tcPr>
            <w:tcW w:w="550" w:type="dxa"/>
          </w:tcPr>
          <w:p w:rsidR="00183CC2" w:rsidRPr="00996A74" w:rsidRDefault="00183CC2" w:rsidP="007D099D">
            <w:pPr>
              <w:pStyle w:val="naiskr"/>
              <w:spacing w:before="0" w:after="0"/>
              <w:ind w:left="57" w:right="57"/>
              <w:rPr>
                <w:bCs/>
                <w:sz w:val="22"/>
                <w:szCs w:val="22"/>
              </w:rPr>
            </w:pPr>
            <w:r w:rsidRPr="00996A74">
              <w:rPr>
                <w:bCs/>
                <w:sz w:val="22"/>
                <w:szCs w:val="22"/>
              </w:rPr>
              <w:t>1.</w:t>
            </w:r>
          </w:p>
        </w:tc>
        <w:tc>
          <w:tcPr>
            <w:tcW w:w="4492" w:type="dxa"/>
          </w:tcPr>
          <w:p w:rsidR="00183CC2" w:rsidRPr="00996A74" w:rsidRDefault="000403D7" w:rsidP="007D099D">
            <w:pPr>
              <w:pStyle w:val="naiskr"/>
              <w:tabs>
                <w:tab w:val="left" w:pos="170"/>
              </w:tabs>
              <w:spacing w:before="0" w:after="0"/>
              <w:ind w:left="57" w:right="57"/>
              <w:rPr>
                <w:sz w:val="22"/>
                <w:szCs w:val="22"/>
              </w:rPr>
            </w:pPr>
            <w:r>
              <w:t>Plānotās sabiedrības līdzdalības un komunikācijas aktivitātes saistībā ar projektu</w:t>
            </w:r>
          </w:p>
        </w:tc>
        <w:tc>
          <w:tcPr>
            <w:tcW w:w="5361" w:type="dxa"/>
          </w:tcPr>
          <w:p w:rsidR="00791B90" w:rsidRPr="00950297" w:rsidRDefault="000403D7" w:rsidP="00950297">
            <w:pPr>
              <w:ind w:left="142" w:right="142"/>
              <w:jc w:val="both"/>
            </w:pPr>
            <w:r w:rsidRPr="00950297">
              <w:t xml:space="preserve">Š.g. </w:t>
            </w:r>
            <w:r w:rsidR="00791B90" w:rsidRPr="00950297">
              <w:t xml:space="preserve">25.maijā Zemkopības ministrijā notika tikšanās ar Rīgas Domes speciālistiem skolu iepirkumu un skolu ēdināšanas jautājumos, </w:t>
            </w:r>
            <w:r w:rsidR="007E0F1B">
              <w:t xml:space="preserve">lai </w:t>
            </w:r>
            <w:r w:rsidR="00791B90" w:rsidRPr="00950297">
              <w:t>izskat</w:t>
            </w:r>
            <w:r w:rsidR="007E0F1B">
              <w:t>ītu</w:t>
            </w:r>
            <w:r w:rsidR="00791B90" w:rsidRPr="00950297">
              <w:t xml:space="preserve"> ar Skolas </w:t>
            </w:r>
            <w:r w:rsidR="00791B90" w:rsidRPr="00950297">
              <w:lastRenderedPageBreak/>
              <w:t xml:space="preserve">piena programmas ieviešanu saistītos problēmjautājumus Rīgas pilsētas skolās. </w:t>
            </w:r>
          </w:p>
          <w:p w:rsidR="000403D7" w:rsidRPr="00950297" w:rsidRDefault="000403D7" w:rsidP="00950297">
            <w:pPr>
              <w:ind w:left="142" w:right="142"/>
              <w:jc w:val="both"/>
            </w:pPr>
            <w:r w:rsidRPr="00950297">
              <w:t xml:space="preserve">Š.g. 12.jūnijā Zemkopības ministrijā notika sanāksme, kurā tika izskatīts </w:t>
            </w:r>
            <w:r w:rsidR="007E0F1B">
              <w:t>ministrijas</w:t>
            </w:r>
            <w:r w:rsidRPr="00950297">
              <w:t xml:space="preserve"> sagatavotais priekšlikums valsts līdzfinansējuma likmes noteikšanai. Sanāksmē piedalījās Zemnieku Saeimas, Latvijas Bioloģiskās lauksaimniecības asociācijas, Lauku atbalsta dienesta</w:t>
            </w:r>
            <w:r w:rsidR="007E0F1B">
              <w:t xml:space="preserve"> un</w:t>
            </w:r>
            <w:r w:rsidRPr="00950297">
              <w:t xml:space="preserve"> Skolas piena programmā iesaistīto piena pārstrādes uzņēmumu pārstāvji</w:t>
            </w:r>
            <w:r w:rsidR="007E0F1B">
              <w:t>.</w:t>
            </w:r>
            <w:r w:rsidR="00791B90" w:rsidRPr="00950297">
              <w:t xml:space="preserve"> (</w:t>
            </w:r>
            <w:r w:rsidR="007E0F1B">
              <w:t>I</w:t>
            </w:r>
            <w:r w:rsidR="00791B90" w:rsidRPr="00950297">
              <w:t>nformatīvie materiāli sanāksmes dalībniekiem tika nosūtīti elektroniski š.g.</w:t>
            </w:r>
            <w:r w:rsidRPr="00950297">
              <w:t xml:space="preserve"> </w:t>
            </w:r>
            <w:r w:rsidR="00791B90" w:rsidRPr="00950297">
              <w:t>8.jūnijā</w:t>
            </w:r>
            <w:r w:rsidR="007E0F1B">
              <w:t>.</w:t>
            </w:r>
            <w:r w:rsidR="00791B90" w:rsidRPr="00950297">
              <w:t xml:space="preserve">) </w:t>
            </w:r>
            <w:r w:rsidRPr="00950297">
              <w:t xml:space="preserve">Sanāksmē tika panākta vienošanās par </w:t>
            </w:r>
            <w:r w:rsidR="008F1585">
              <w:t>Zemkopības ministrij</w:t>
            </w:r>
            <w:r w:rsidR="007E0F1B">
              <w:t>as</w:t>
            </w:r>
            <w:r w:rsidRPr="00950297">
              <w:t xml:space="preserve"> priekšlikumu. </w:t>
            </w:r>
          </w:p>
          <w:p w:rsidR="000403D7" w:rsidRPr="00950297" w:rsidRDefault="000403D7" w:rsidP="00950297">
            <w:pPr>
              <w:ind w:left="142" w:right="142"/>
              <w:jc w:val="both"/>
            </w:pPr>
            <w:r w:rsidRPr="00950297">
              <w:t xml:space="preserve">Š.g. </w:t>
            </w:r>
            <w:proofErr w:type="gramStart"/>
            <w:r w:rsidRPr="00950297">
              <w:t>18.jūnijā</w:t>
            </w:r>
            <w:proofErr w:type="gramEnd"/>
            <w:r w:rsidRPr="00950297">
              <w:t xml:space="preserve"> Zemkopības ministrijā notika sanāksme ar skolu ēdināšanas uzņēmumu pārstāvjiem, </w:t>
            </w:r>
            <w:r w:rsidR="007E0F1B">
              <w:t xml:space="preserve">lai </w:t>
            </w:r>
            <w:r w:rsidRPr="00950297">
              <w:t>izskat</w:t>
            </w:r>
            <w:r w:rsidR="007E0F1B">
              <w:t>ītu</w:t>
            </w:r>
            <w:r w:rsidRPr="00950297">
              <w:t xml:space="preserve"> </w:t>
            </w:r>
            <w:r w:rsidR="008F1585">
              <w:t>ministrij</w:t>
            </w:r>
            <w:r w:rsidR="007E0F1B">
              <w:t>as</w:t>
            </w:r>
            <w:r w:rsidRPr="00950297">
              <w:t xml:space="preserve"> sagatavoto priekšlikumu par to, ka </w:t>
            </w:r>
            <w:r w:rsidR="00791B90" w:rsidRPr="00950297">
              <w:t>tiek fiksēt</w:t>
            </w:r>
            <w:r w:rsidR="007E0F1B">
              <w:t>a</w:t>
            </w:r>
            <w:r w:rsidR="00791B90" w:rsidRPr="00950297">
              <w:t xml:space="preserve"> konkrēta procentuāla daļa no kopējā atbalsta, ko ēdināšanas uzņēmums var paturēt </w:t>
            </w:r>
            <w:r w:rsidR="007E0F1B" w:rsidRPr="00950297">
              <w:t>par produktu sagatavošanu un izdal</w:t>
            </w:r>
            <w:r w:rsidR="007E0F1B">
              <w:t>īšanu</w:t>
            </w:r>
            <w:r w:rsidR="00791B90" w:rsidRPr="00950297">
              <w:t xml:space="preserve">, vienojoties ar produktu piegādātāju. Sanāksmē tika panākta vienošanās par </w:t>
            </w:r>
            <w:r w:rsidR="007E0F1B" w:rsidRPr="00950297">
              <w:t>Zemkopības ministrij</w:t>
            </w:r>
            <w:r w:rsidR="007E0F1B">
              <w:t>as</w:t>
            </w:r>
            <w:r w:rsidR="00791B90" w:rsidRPr="00950297">
              <w:t xml:space="preserve"> priekšlikumu</w:t>
            </w:r>
            <w:r w:rsidR="007E0F1B">
              <w:t>.</w:t>
            </w:r>
            <w:r w:rsidR="00791B90" w:rsidRPr="00950297">
              <w:t xml:space="preserve"> </w:t>
            </w:r>
          </w:p>
          <w:p w:rsidR="00847704" w:rsidRPr="00950297" w:rsidRDefault="00791B90" w:rsidP="003B5C50">
            <w:pPr>
              <w:ind w:left="142" w:right="142"/>
              <w:jc w:val="both"/>
            </w:pPr>
            <w:r w:rsidRPr="00950297">
              <w:t>Š.g. 15.jūlijā Zemkopības ministrijā notik</w:t>
            </w:r>
            <w:r w:rsidR="003B5C50">
              <w:t>a</w:t>
            </w:r>
            <w:r w:rsidRPr="00950297">
              <w:t xml:space="preserve"> sanāksme ar piena nozares nevalstiskajām organizācijām, </w:t>
            </w:r>
            <w:r w:rsidR="007E0F1B">
              <w:t xml:space="preserve">lai </w:t>
            </w:r>
            <w:r w:rsidRPr="00950297">
              <w:t>izskat</w:t>
            </w:r>
            <w:r w:rsidR="007E0F1B">
              <w:t>ītu</w:t>
            </w:r>
            <w:r w:rsidRPr="00950297">
              <w:t xml:space="preserve"> Zemkopības ministrijas sagatavoto </w:t>
            </w:r>
            <w:r w:rsidR="007E0F1B">
              <w:t>normatīvā</w:t>
            </w:r>
            <w:r w:rsidRPr="00950297">
              <w:t xml:space="preserve"> akta projektu</w:t>
            </w:r>
            <w:r w:rsidR="007E0F1B">
              <w:t>.</w:t>
            </w:r>
            <w:r w:rsidRPr="00950297">
              <w:t xml:space="preserve"> (</w:t>
            </w:r>
            <w:r w:rsidR="007E0F1B">
              <w:t>P</w:t>
            </w:r>
            <w:r w:rsidRPr="00950297">
              <w:t xml:space="preserve">rojekts sanāksmes dalībniekiem tika izsūtīts š.g. </w:t>
            </w:r>
            <w:proofErr w:type="gramStart"/>
            <w:r w:rsidRPr="00950297">
              <w:t>9.jūlijā</w:t>
            </w:r>
            <w:proofErr w:type="gramEnd"/>
            <w:r w:rsidR="007E0F1B">
              <w:t>.</w:t>
            </w:r>
            <w:r w:rsidRPr="00950297">
              <w:t xml:space="preserve">)  </w:t>
            </w:r>
          </w:p>
        </w:tc>
      </w:tr>
      <w:tr w:rsidR="00277929" w:rsidRPr="00996A74">
        <w:trPr>
          <w:trHeight w:val="339"/>
          <w:jc w:val="center"/>
        </w:trPr>
        <w:tc>
          <w:tcPr>
            <w:tcW w:w="550" w:type="dxa"/>
          </w:tcPr>
          <w:p w:rsidR="00277929" w:rsidRPr="00996A74" w:rsidRDefault="00183CC2" w:rsidP="007D099D">
            <w:pPr>
              <w:pStyle w:val="naiskr"/>
              <w:spacing w:before="0" w:after="0"/>
              <w:ind w:left="57" w:right="57"/>
              <w:rPr>
                <w:bCs/>
                <w:sz w:val="22"/>
                <w:szCs w:val="22"/>
              </w:rPr>
            </w:pPr>
            <w:r w:rsidRPr="00996A74">
              <w:rPr>
                <w:bCs/>
                <w:sz w:val="22"/>
                <w:szCs w:val="22"/>
              </w:rPr>
              <w:lastRenderedPageBreak/>
              <w:t>2</w:t>
            </w:r>
            <w:r w:rsidR="00277929" w:rsidRPr="00996A74">
              <w:rPr>
                <w:bCs/>
                <w:sz w:val="22"/>
                <w:szCs w:val="22"/>
              </w:rPr>
              <w:t>.</w:t>
            </w:r>
          </w:p>
        </w:tc>
        <w:tc>
          <w:tcPr>
            <w:tcW w:w="4492" w:type="dxa"/>
          </w:tcPr>
          <w:p w:rsidR="00277929" w:rsidRPr="00996A74" w:rsidRDefault="00E179CD" w:rsidP="007D099D">
            <w:pPr>
              <w:pStyle w:val="naiskr"/>
              <w:spacing w:before="0" w:after="0"/>
              <w:ind w:left="57" w:right="57"/>
              <w:rPr>
                <w:sz w:val="22"/>
                <w:szCs w:val="22"/>
              </w:rPr>
            </w:pPr>
            <w:r w:rsidRPr="00996A74">
              <w:rPr>
                <w:sz w:val="22"/>
                <w:szCs w:val="22"/>
              </w:rPr>
              <w:t>S</w:t>
            </w:r>
            <w:r w:rsidR="00DB073B" w:rsidRPr="00996A74">
              <w:rPr>
                <w:sz w:val="22"/>
                <w:szCs w:val="22"/>
              </w:rPr>
              <w:t>abiedrības</w:t>
            </w:r>
            <w:r w:rsidR="00B73166" w:rsidRPr="00996A74">
              <w:rPr>
                <w:sz w:val="22"/>
                <w:szCs w:val="22"/>
              </w:rPr>
              <w:t xml:space="preserve"> </w:t>
            </w:r>
            <w:r w:rsidR="00DB073B" w:rsidRPr="00996A74">
              <w:rPr>
                <w:sz w:val="22"/>
                <w:szCs w:val="22"/>
              </w:rPr>
              <w:t>līdzdalība</w:t>
            </w:r>
            <w:r w:rsidR="00B73166" w:rsidRPr="00996A74">
              <w:rPr>
                <w:sz w:val="22"/>
                <w:szCs w:val="22"/>
              </w:rPr>
              <w:t xml:space="preserve"> </w:t>
            </w:r>
            <w:r w:rsidR="00AB2B1A" w:rsidRPr="00996A74">
              <w:rPr>
                <w:sz w:val="22"/>
                <w:szCs w:val="22"/>
              </w:rPr>
              <w:t>projekta izstrādē</w:t>
            </w:r>
            <w:r w:rsidR="00DB073B" w:rsidRPr="00996A74">
              <w:rPr>
                <w:sz w:val="22"/>
                <w:szCs w:val="22"/>
              </w:rPr>
              <w:t xml:space="preserve"> </w:t>
            </w:r>
          </w:p>
        </w:tc>
        <w:tc>
          <w:tcPr>
            <w:tcW w:w="5361" w:type="dxa"/>
          </w:tcPr>
          <w:p w:rsidR="00157819" w:rsidRPr="00950297" w:rsidRDefault="00791B90" w:rsidP="00EA6BAD">
            <w:pPr>
              <w:pStyle w:val="naiskr"/>
              <w:tabs>
                <w:tab w:val="left" w:pos="170"/>
              </w:tabs>
              <w:spacing w:before="0" w:after="0"/>
              <w:ind w:left="57" w:right="57"/>
              <w:jc w:val="both"/>
            </w:pPr>
            <w:r w:rsidRPr="00950297">
              <w:t>Š.g.</w:t>
            </w:r>
            <w:r w:rsidR="00104BEC">
              <w:t xml:space="preserve"> </w:t>
            </w:r>
            <w:r w:rsidRPr="00950297">
              <w:t xml:space="preserve">25.maija sanāksmē notika viedokļu apmaiņa, vienojoties par to, ka būtu nepieciešams noteikt konkrētu daļu no kopējā programmas atbalsta, ko </w:t>
            </w:r>
            <w:r w:rsidR="007E0F1B">
              <w:t xml:space="preserve">par </w:t>
            </w:r>
            <w:r w:rsidR="007E0F1B" w:rsidRPr="00950297">
              <w:t>produkta uzglabāšanu, sagatavošanu un pasniegšanu skolēniem</w:t>
            </w:r>
            <w:r w:rsidR="007E0F1B" w:rsidRPr="00950297" w:rsidDel="007E0F1B">
              <w:t xml:space="preserve"> </w:t>
            </w:r>
            <w:r w:rsidRPr="00950297">
              <w:t>drīkst paturēt skolu ēdināšanas uzņēmums. Šis priekšlikums tika ie</w:t>
            </w:r>
            <w:r w:rsidR="007E0F1B">
              <w:t>tver</w:t>
            </w:r>
            <w:r w:rsidRPr="00950297">
              <w:t xml:space="preserve">ts projektā. </w:t>
            </w:r>
          </w:p>
          <w:p w:rsidR="00157819" w:rsidRPr="00950297" w:rsidRDefault="00157819" w:rsidP="00EA6BAD">
            <w:pPr>
              <w:pStyle w:val="naiskr"/>
              <w:tabs>
                <w:tab w:val="left" w:pos="170"/>
              </w:tabs>
              <w:spacing w:before="0" w:after="0"/>
              <w:ind w:left="57" w:right="57"/>
              <w:jc w:val="both"/>
            </w:pPr>
            <w:r w:rsidRPr="00950297">
              <w:t>Š.g. 12.jūnija</w:t>
            </w:r>
            <w:r w:rsidR="008E128A">
              <w:t>,</w:t>
            </w:r>
            <w:r w:rsidRPr="00950297">
              <w:t xml:space="preserve"> 18.jūnija </w:t>
            </w:r>
            <w:r w:rsidR="008E128A">
              <w:t xml:space="preserve">un 15.jūlija </w:t>
            </w:r>
            <w:r w:rsidRPr="00950297">
              <w:t>sanāksmju dalībni</w:t>
            </w:r>
            <w:r w:rsidR="008E128A">
              <w:t xml:space="preserve">eki atbalstīja </w:t>
            </w:r>
            <w:r w:rsidR="008427B8">
              <w:t>Zemkopības ministrij</w:t>
            </w:r>
            <w:r w:rsidR="007E0F1B">
              <w:t>as</w:t>
            </w:r>
            <w:r w:rsidR="008E128A">
              <w:t xml:space="preserve"> priekšlikuma tālāku virzīšanu.</w:t>
            </w:r>
            <w:r w:rsidRPr="00950297">
              <w:t xml:space="preserve">. </w:t>
            </w:r>
          </w:p>
          <w:p w:rsidR="00CE68A0" w:rsidRPr="00950297" w:rsidRDefault="00CE68A0" w:rsidP="003B5C50">
            <w:pPr>
              <w:pStyle w:val="naiskr"/>
              <w:tabs>
                <w:tab w:val="left" w:pos="170"/>
              </w:tabs>
              <w:spacing w:before="0" w:after="0"/>
              <w:ind w:left="57" w:right="57"/>
            </w:pPr>
          </w:p>
        </w:tc>
      </w:tr>
      <w:tr w:rsidR="00277929" w:rsidRPr="00996A74">
        <w:trPr>
          <w:trHeight w:val="375"/>
          <w:jc w:val="center"/>
        </w:trPr>
        <w:tc>
          <w:tcPr>
            <w:tcW w:w="550" w:type="dxa"/>
          </w:tcPr>
          <w:p w:rsidR="00277929" w:rsidRPr="00996A74" w:rsidRDefault="00183CC2" w:rsidP="007D099D">
            <w:pPr>
              <w:pStyle w:val="naiskr"/>
              <w:spacing w:before="0" w:after="0"/>
              <w:ind w:left="57" w:right="57"/>
              <w:rPr>
                <w:bCs/>
                <w:sz w:val="22"/>
                <w:szCs w:val="22"/>
              </w:rPr>
            </w:pPr>
            <w:r w:rsidRPr="00996A74">
              <w:rPr>
                <w:bCs/>
                <w:sz w:val="22"/>
                <w:szCs w:val="22"/>
              </w:rPr>
              <w:t>3</w:t>
            </w:r>
            <w:r w:rsidR="00277929" w:rsidRPr="00996A74">
              <w:rPr>
                <w:bCs/>
                <w:sz w:val="22"/>
                <w:szCs w:val="22"/>
              </w:rPr>
              <w:t>.</w:t>
            </w:r>
          </w:p>
        </w:tc>
        <w:tc>
          <w:tcPr>
            <w:tcW w:w="4492" w:type="dxa"/>
          </w:tcPr>
          <w:p w:rsidR="00784422" w:rsidRPr="00996A74" w:rsidRDefault="00DB78F0" w:rsidP="007D099D">
            <w:pPr>
              <w:pStyle w:val="naiskr"/>
              <w:spacing w:before="0" w:after="0"/>
              <w:ind w:left="57" w:right="57"/>
              <w:rPr>
                <w:sz w:val="22"/>
                <w:szCs w:val="22"/>
              </w:rPr>
            </w:pPr>
            <w:r w:rsidRPr="00996A74">
              <w:rPr>
                <w:sz w:val="22"/>
                <w:szCs w:val="22"/>
              </w:rPr>
              <w:t xml:space="preserve">Sabiedrības līdzdalības rezultāti </w:t>
            </w:r>
          </w:p>
        </w:tc>
        <w:tc>
          <w:tcPr>
            <w:tcW w:w="5361" w:type="dxa"/>
          </w:tcPr>
          <w:p w:rsidR="00277929" w:rsidRPr="0093681B" w:rsidRDefault="00157819" w:rsidP="00157819">
            <w:pPr>
              <w:pStyle w:val="naiskr"/>
              <w:spacing w:before="0" w:after="0"/>
              <w:ind w:left="57" w:right="57"/>
              <w:jc w:val="both"/>
              <w:rPr>
                <w:sz w:val="22"/>
                <w:szCs w:val="22"/>
              </w:rPr>
            </w:pPr>
            <w:r>
              <w:rPr>
                <w:sz w:val="22"/>
                <w:szCs w:val="22"/>
              </w:rPr>
              <w:t>Projekts ir sagatavots, ņemot vērā sanāksmju rezultātus.</w:t>
            </w:r>
          </w:p>
        </w:tc>
      </w:tr>
      <w:tr w:rsidR="00277929" w:rsidRPr="00996A74">
        <w:trPr>
          <w:trHeight w:val="476"/>
          <w:jc w:val="center"/>
        </w:trPr>
        <w:tc>
          <w:tcPr>
            <w:tcW w:w="550" w:type="dxa"/>
          </w:tcPr>
          <w:p w:rsidR="00277929" w:rsidRPr="00996A74" w:rsidRDefault="000403D7" w:rsidP="007D099D">
            <w:pPr>
              <w:pStyle w:val="naiskr"/>
              <w:spacing w:before="0" w:after="0"/>
              <w:ind w:left="57" w:right="57"/>
              <w:rPr>
                <w:bCs/>
                <w:sz w:val="22"/>
                <w:szCs w:val="22"/>
              </w:rPr>
            </w:pPr>
            <w:r>
              <w:rPr>
                <w:bCs/>
                <w:sz w:val="22"/>
                <w:szCs w:val="22"/>
              </w:rPr>
              <w:t>4</w:t>
            </w:r>
            <w:r w:rsidR="00277929" w:rsidRPr="00996A74">
              <w:rPr>
                <w:bCs/>
                <w:sz w:val="22"/>
                <w:szCs w:val="22"/>
              </w:rPr>
              <w:t>.</w:t>
            </w:r>
          </w:p>
        </w:tc>
        <w:tc>
          <w:tcPr>
            <w:tcW w:w="4492" w:type="dxa"/>
          </w:tcPr>
          <w:p w:rsidR="00277929" w:rsidRPr="00996A74" w:rsidRDefault="006C4607" w:rsidP="007D099D">
            <w:pPr>
              <w:pStyle w:val="naiskr"/>
              <w:spacing w:before="0" w:after="0"/>
              <w:ind w:left="57" w:right="57"/>
              <w:rPr>
                <w:sz w:val="22"/>
                <w:szCs w:val="22"/>
              </w:rPr>
            </w:pPr>
            <w:r w:rsidRPr="00996A74">
              <w:rPr>
                <w:sz w:val="22"/>
                <w:szCs w:val="22"/>
              </w:rPr>
              <w:t>Cita informācija</w:t>
            </w:r>
          </w:p>
          <w:p w:rsidR="002F78C8" w:rsidRPr="00996A74" w:rsidRDefault="002F78C8" w:rsidP="007D099D">
            <w:pPr>
              <w:pStyle w:val="naiskr"/>
              <w:spacing w:before="0" w:after="0"/>
              <w:ind w:left="57" w:right="57"/>
              <w:rPr>
                <w:sz w:val="22"/>
                <w:szCs w:val="22"/>
              </w:rPr>
            </w:pPr>
          </w:p>
        </w:tc>
        <w:tc>
          <w:tcPr>
            <w:tcW w:w="5361" w:type="dxa"/>
          </w:tcPr>
          <w:p w:rsidR="00845811" w:rsidRPr="00996A74" w:rsidRDefault="00450025" w:rsidP="007D099D">
            <w:pPr>
              <w:pStyle w:val="naiskr"/>
              <w:spacing w:before="0" w:after="0"/>
              <w:ind w:left="57" w:right="57"/>
              <w:jc w:val="both"/>
              <w:rPr>
                <w:sz w:val="22"/>
                <w:szCs w:val="22"/>
              </w:rPr>
            </w:pPr>
            <w:r w:rsidRPr="00996A74">
              <w:rPr>
                <w:iCs/>
                <w:sz w:val="22"/>
                <w:szCs w:val="22"/>
              </w:rPr>
              <w:t>Nav</w:t>
            </w:r>
          </w:p>
        </w:tc>
      </w:tr>
    </w:tbl>
    <w:p w:rsidR="0015060C" w:rsidRPr="00996A74" w:rsidRDefault="0015060C" w:rsidP="006C4607">
      <w:pPr>
        <w:pStyle w:val="naisf"/>
        <w:spacing w:before="0" w:after="0"/>
        <w:rPr>
          <w:sz w:val="28"/>
          <w:szCs w:val="28"/>
        </w:rPr>
      </w:pPr>
    </w:p>
    <w:tbl>
      <w:tblPr>
        <w:tblW w:w="10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704"/>
        <w:gridCol w:w="6186"/>
      </w:tblGrid>
      <w:tr w:rsidR="0023436E" w:rsidRPr="00996A74">
        <w:tc>
          <w:tcPr>
            <w:tcW w:w="10440" w:type="dxa"/>
            <w:gridSpan w:val="3"/>
            <w:tcBorders>
              <w:top w:val="single" w:sz="4" w:space="0" w:color="auto"/>
            </w:tcBorders>
          </w:tcPr>
          <w:p w:rsidR="0023436E" w:rsidRPr="00996A74" w:rsidRDefault="0023436E" w:rsidP="007D099D">
            <w:pPr>
              <w:pStyle w:val="naisnod"/>
              <w:spacing w:before="0" w:after="0"/>
              <w:ind w:left="57" w:right="57"/>
            </w:pPr>
            <w:r w:rsidRPr="00996A74">
              <w:t>VII</w:t>
            </w:r>
            <w:r w:rsidR="000941C5" w:rsidRPr="00996A74">
              <w:t>.</w:t>
            </w:r>
            <w:r w:rsidRPr="00996A74">
              <w:t xml:space="preserve"> Tiesību akta projekta izpildes nodrošināšana un tās ietekme uz institūcijām</w:t>
            </w:r>
          </w:p>
        </w:tc>
      </w:tr>
      <w:tr w:rsidR="0023436E" w:rsidRPr="00996A74" w:rsidTr="0033732B">
        <w:trPr>
          <w:trHeight w:val="427"/>
        </w:trPr>
        <w:tc>
          <w:tcPr>
            <w:tcW w:w="550" w:type="dxa"/>
          </w:tcPr>
          <w:p w:rsidR="0023436E" w:rsidRPr="00996A74" w:rsidRDefault="0023436E" w:rsidP="007D099D">
            <w:pPr>
              <w:pStyle w:val="naisnod"/>
              <w:spacing w:before="0" w:after="0"/>
              <w:ind w:left="57" w:right="57"/>
              <w:jc w:val="left"/>
              <w:rPr>
                <w:b w:val="0"/>
                <w:sz w:val="22"/>
                <w:szCs w:val="22"/>
              </w:rPr>
            </w:pPr>
            <w:r w:rsidRPr="00996A74">
              <w:rPr>
                <w:b w:val="0"/>
                <w:sz w:val="22"/>
                <w:szCs w:val="22"/>
              </w:rPr>
              <w:t>1.</w:t>
            </w:r>
          </w:p>
        </w:tc>
        <w:tc>
          <w:tcPr>
            <w:tcW w:w="3704" w:type="dxa"/>
          </w:tcPr>
          <w:p w:rsidR="0023436E" w:rsidRPr="00996A74" w:rsidRDefault="001A4066" w:rsidP="007D099D">
            <w:pPr>
              <w:pStyle w:val="naisf"/>
              <w:spacing w:before="0" w:after="0"/>
              <w:ind w:left="57" w:right="57" w:firstLine="0"/>
              <w:jc w:val="left"/>
              <w:rPr>
                <w:sz w:val="22"/>
                <w:szCs w:val="22"/>
              </w:rPr>
            </w:pPr>
            <w:r w:rsidRPr="00996A74">
              <w:rPr>
                <w:sz w:val="22"/>
                <w:szCs w:val="22"/>
              </w:rPr>
              <w:t>P</w:t>
            </w:r>
            <w:r w:rsidR="0023436E" w:rsidRPr="00996A74">
              <w:rPr>
                <w:sz w:val="22"/>
                <w:szCs w:val="22"/>
              </w:rPr>
              <w:t xml:space="preserve">rojekta izpildē iesaistītās institūcijas </w:t>
            </w:r>
          </w:p>
        </w:tc>
        <w:tc>
          <w:tcPr>
            <w:tcW w:w="6186" w:type="dxa"/>
          </w:tcPr>
          <w:p w:rsidR="00C10F85" w:rsidRPr="00950297" w:rsidRDefault="00C10F85" w:rsidP="00950297">
            <w:pPr>
              <w:pStyle w:val="naiskr"/>
              <w:tabs>
                <w:tab w:val="left" w:pos="170"/>
              </w:tabs>
              <w:spacing w:before="0" w:after="0"/>
              <w:ind w:left="57" w:right="57"/>
            </w:pPr>
            <w:r w:rsidRPr="00950297">
              <w:t>Izpildi nodrošinās L</w:t>
            </w:r>
            <w:r w:rsidR="00157819" w:rsidRPr="00950297">
              <w:t>AD sadarbībā ar LDC un PVD</w:t>
            </w:r>
            <w:r w:rsidRPr="00950297">
              <w:t>.</w:t>
            </w:r>
          </w:p>
          <w:p w:rsidR="0023436E" w:rsidRPr="00950297" w:rsidRDefault="0023436E" w:rsidP="00950297">
            <w:pPr>
              <w:pStyle w:val="naiskr"/>
              <w:tabs>
                <w:tab w:val="left" w:pos="170"/>
              </w:tabs>
              <w:spacing w:before="0" w:after="0"/>
              <w:ind w:left="57" w:right="57"/>
            </w:pPr>
          </w:p>
        </w:tc>
      </w:tr>
      <w:tr w:rsidR="0023436E" w:rsidRPr="00996A74" w:rsidTr="0033732B">
        <w:trPr>
          <w:trHeight w:val="463"/>
        </w:trPr>
        <w:tc>
          <w:tcPr>
            <w:tcW w:w="550" w:type="dxa"/>
          </w:tcPr>
          <w:p w:rsidR="0023436E" w:rsidRPr="00996A74" w:rsidRDefault="0023436E" w:rsidP="007D099D">
            <w:pPr>
              <w:pStyle w:val="naisnod"/>
              <w:spacing w:before="0" w:after="0"/>
              <w:ind w:left="57" w:right="57"/>
              <w:jc w:val="left"/>
              <w:rPr>
                <w:b w:val="0"/>
                <w:sz w:val="22"/>
                <w:szCs w:val="22"/>
              </w:rPr>
            </w:pPr>
            <w:r w:rsidRPr="00996A74">
              <w:rPr>
                <w:b w:val="0"/>
                <w:sz w:val="22"/>
                <w:szCs w:val="22"/>
              </w:rPr>
              <w:t>2.</w:t>
            </w:r>
          </w:p>
        </w:tc>
        <w:tc>
          <w:tcPr>
            <w:tcW w:w="3704" w:type="dxa"/>
          </w:tcPr>
          <w:p w:rsidR="0023436E" w:rsidRPr="00996A74" w:rsidRDefault="001A4066" w:rsidP="007D099D">
            <w:pPr>
              <w:pStyle w:val="naisf"/>
              <w:spacing w:before="0" w:after="0"/>
              <w:ind w:left="57" w:right="57" w:firstLine="0"/>
              <w:jc w:val="left"/>
              <w:rPr>
                <w:sz w:val="22"/>
                <w:szCs w:val="22"/>
              </w:rPr>
            </w:pPr>
            <w:r w:rsidRPr="00996A74">
              <w:rPr>
                <w:sz w:val="22"/>
                <w:szCs w:val="22"/>
              </w:rPr>
              <w:t>Projekta i</w:t>
            </w:r>
            <w:r w:rsidR="0023436E" w:rsidRPr="00996A74">
              <w:rPr>
                <w:sz w:val="22"/>
                <w:szCs w:val="22"/>
              </w:rPr>
              <w:t xml:space="preserve">zpildes ietekme uz pārvaldes funkcijām </w:t>
            </w:r>
            <w:r w:rsidR="00157819">
              <w:rPr>
                <w:sz w:val="22"/>
                <w:szCs w:val="22"/>
              </w:rPr>
              <w:t xml:space="preserve">un </w:t>
            </w:r>
            <w:r w:rsidR="00157819" w:rsidRPr="00996A74">
              <w:rPr>
                <w:sz w:val="22"/>
                <w:szCs w:val="22"/>
              </w:rPr>
              <w:t>pārvaldes institucionālo struktūru.</w:t>
            </w:r>
            <w:r w:rsidR="00157819">
              <w:t xml:space="preserve"> Jaunu institūciju izveide, esošu institūciju likvidācija vai reorganizācija, to ietekme uz institūcijas cilvēkresursiem.</w:t>
            </w:r>
          </w:p>
        </w:tc>
        <w:tc>
          <w:tcPr>
            <w:tcW w:w="6186" w:type="dxa"/>
          </w:tcPr>
          <w:p w:rsidR="0023436E" w:rsidRDefault="00157819" w:rsidP="003B5C50">
            <w:pPr>
              <w:pStyle w:val="naiskr"/>
              <w:tabs>
                <w:tab w:val="left" w:pos="170"/>
              </w:tabs>
              <w:spacing w:before="0" w:after="0"/>
              <w:ind w:left="57" w:right="57"/>
            </w:pPr>
            <w:r w:rsidRPr="00950297">
              <w:t xml:space="preserve">Projekts radīs </w:t>
            </w:r>
            <w:r w:rsidR="00633555" w:rsidRPr="00950297">
              <w:t>jaun</w:t>
            </w:r>
            <w:r w:rsidR="00633555">
              <w:t>u uzdevumu</w:t>
            </w:r>
            <w:r w:rsidR="00633555" w:rsidRPr="00950297">
              <w:t xml:space="preserve"> </w:t>
            </w:r>
            <w:r w:rsidRPr="00950297">
              <w:t>LAD (</w:t>
            </w:r>
            <w:r w:rsidR="00AA2B1F">
              <w:t>informācijas sagatavošana publicēšanai</w:t>
            </w:r>
            <w:r w:rsidR="003B5C50">
              <w:t xml:space="preserve">) </w:t>
            </w:r>
            <w:r w:rsidRPr="00950297">
              <w:t>un LDC (</w:t>
            </w:r>
            <w:r w:rsidR="003B5C50">
              <w:t xml:space="preserve">ceturkšņa iepirkuma </w:t>
            </w:r>
            <w:r w:rsidRPr="00950297">
              <w:t xml:space="preserve">cenu </w:t>
            </w:r>
            <w:r w:rsidR="003B5C50">
              <w:t>aprēķināšana un nosūtīšana</w:t>
            </w:r>
            <w:r w:rsidRPr="00950297">
              <w:t xml:space="preserve"> LAD)</w:t>
            </w:r>
            <w:r w:rsidR="00DA24F6" w:rsidRPr="00950297">
              <w:t>.</w:t>
            </w:r>
          </w:p>
          <w:p w:rsidR="003B5C50" w:rsidRPr="00950297" w:rsidRDefault="003B5C50" w:rsidP="003B5C50">
            <w:pPr>
              <w:pStyle w:val="naiskr"/>
              <w:tabs>
                <w:tab w:val="left" w:pos="170"/>
              </w:tabs>
              <w:spacing w:before="0" w:after="0"/>
              <w:ind w:left="57" w:right="57"/>
            </w:pPr>
            <w:r>
              <w:t xml:space="preserve">Funkcijas tiks </w:t>
            </w:r>
            <w:r w:rsidR="007E0F1B">
              <w:t>pildītas par</w:t>
            </w:r>
            <w:r>
              <w:t xml:space="preserve"> esošā budžeta </w:t>
            </w:r>
            <w:r w:rsidR="007E0F1B">
              <w:t>līdzekļiem</w:t>
            </w:r>
            <w:r>
              <w:t>.</w:t>
            </w:r>
          </w:p>
        </w:tc>
      </w:tr>
      <w:tr w:rsidR="0023436E" w:rsidRPr="00996A74" w:rsidTr="0033732B">
        <w:trPr>
          <w:trHeight w:val="476"/>
        </w:trPr>
        <w:tc>
          <w:tcPr>
            <w:tcW w:w="550" w:type="dxa"/>
          </w:tcPr>
          <w:p w:rsidR="0023436E" w:rsidRPr="00996A74" w:rsidRDefault="00157819" w:rsidP="007D099D">
            <w:pPr>
              <w:pStyle w:val="naiskr"/>
              <w:spacing w:before="0" w:after="0"/>
              <w:ind w:left="57" w:right="57"/>
              <w:rPr>
                <w:sz w:val="22"/>
                <w:szCs w:val="22"/>
              </w:rPr>
            </w:pPr>
            <w:r>
              <w:rPr>
                <w:sz w:val="22"/>
                <w:szCs w:val="22"/>
              </w:rPr>
              <w:lastRenderedPageBreak/>
              <w:t>3</w:t>
            </w:r>
            <w:r w:rsidR="0023436E" w:rsidRPr="00996A74">
              <w:rPr>
                <w:sz w:val="22"/>
                <w:szCs w:val="22"/>
              </w:rPr>
              <w:t>.</w:t>
            </w:r>
          </w:p>
        </w:tc>
        <w:tc>
          <w:tcPr>
            <w:tcW w:w="3704" w:type="dxa"/>
          </w:tcPr>
          <w:p w:rsidR="0023436E" w:rsidRPr="00996A74" w:rsidRDefault="006C4607" w:rsidP="007D099D">
            <w:pPr>
              <w:pStyle w:val="naiskr"/>
              <w:spacing w:before="0" w:after="0"/>
              <w:ind w:left="57" w:right="57"/>
              <w:rPr>
                <w:sz w:val="22"/>
                <w:szCs w:val="22"/>
              </w:rPr>
            </w:pPr>
            <w:r w:rsidRPr="00996A74">
              <w:rPr>
                <w:sz w:val="22"/>
                <w:szCs w:val="22"/>
              </w:rPr>
              <w:t>Cita informācija</w:t>
            </w:r>
          </w:p>
        </w:tc>
        <w:tc>
          <w:tcPr>
            <w:tcW w:w="6186" w:type="dxa"/>
          </w:tcPr>
          <w:p w:rsidR="0023436E" w:rsidRPr="0093681B" w:rsidRDefault="00C10F85" w:rsidP="007D099D">
            <w:pPr>
              <w:pStyle w:val="naiskr"/>
              <w:spacing w:before="0" w:after="0"/>
              <w:ind w:left="57" w:right="57"/>
              <w:rPr>
                <w:sz w:val="22"/>
                <w:szCs w:val="22"/>
              </w:rPr>
            </w:pPr>
            <w:r w:rsidRPr="0093681B">
              <w:rPr>
                <w:sz w:val="22"/>
                <w:szCs w:val="22"/>
              </w:rPr>
              <w:t>Nav</w:t>
            </w:r>
          </w:p>
        </w:tc>
      </w:tr>
    </w:tbl>
    <w:p w:rsidR="00214094" w:rsidRPr="00996A74" w:rsidRDefault="00214094" w:rsidP="006C4607">
      <w:pPr>
        <w:pStyle w:val="naisf"/>
        <w:tabs>
          <w:tab w:val="left" w:pos="5760"/>
        </w:tabs>
        <w:spacing w:before="0" w:after="0"/>
        <w:ind w:firstLine="720"/>
        <w:rPr>
          <w:sz w:val="28"/>
          <w:szCs w:val="28"/>
        </w:rPr>
      </w:pPr>
    </w:p>
    <w:p w:rsidR="0033732B" w:rsidRDefault="0033732B" w:rsidP="00C10F85">
      <w:pPr>
        <w:ind w:firstLine="709"/>
        <w:jc w:val="both"/>
        <w:rPr>
          <w:szCs w:val="28"/>
        </w:rPr>
      </w:pPr>
    </w:p>
    <w:p w:rsidR="00C10F85" w:rsidRPr="0033732B" w:rsidRDefault="00C10F85" w:rsidP="00C10F85">
      <w:pPr>
        <w:ind w:firstLine="709"/>
        <w:jc w:val="both"/>
        <w:rPr>
          <w:szCs w:val="28"/>
        </w:rPr>
      </w:pPr>
      <w:r w:rsidRPr="0033732B">
        <w:rPr>
          <w:szCs w:val="28"/>
        </w:rPr>
        <w:t xml:space="preserve">Zemkopības ministrs </w:t>
      </w:r>
      <w:r w:rsidRPr="0033732B">
        <w:rPr>
          <w:szCs w:val="28"/>
        </w:rPr>
        <w:tab/>
      </w:r>
      <w:r w:rsidRPr="0033732B">
        <w:rPr>
          <w:szCs w:val="28"/>
        </w:rPr>
        <w:tab/>
      </w:r>
      <w:r w:rsidRPr="0033732B">
        <w:rPr>
          <w:szCs w:val="28"/>
        </w:rPr>
        <w:tab/>
      </w:r>
      <w:r w:rsidRPr="0033732B">
        <w:rPr>
          <w:szCs w:val="28"/>
        </w:rPr>
        <w:tab/>
      </w:r>
      <w:r w:rsidRPr="0033732B">
        <w:rPr>
          <w:szCs w:val="28"/>
        </w:rPr>
        <w:tab/>
      </w:r>
      <w:r w:rsidRPr="0033732B">
        <w:rPr>
          <w:szCs w:val="28"/>
        </w:rPr>
        <w:tab/>
      </w:r>
      <w:r w:rsidRPr="0033732B">
        <w:rPr>
          <w:szCs w:val="28"/>
        </w:rPr>
        <w:tab/>
      </w:r>
      <w:proofErr w:type="spellStart"/>
      <w:r w:rsidRPr="0033732B">
        <w:rPr>
          <w:szCs w:val="28"/>
        </w:rPr>
        <w:t>J.Dūklavs</w:t>
      </w:r>
      <w:proofErr w:type="spellEnd"/>
    </w:p>
    <w:p w:rsidR="00C10F85" w:rsidRPr="00996A74" w:rsidRDefault="00C10F85" w:rsidP="00C10F85">
      <w:pPr>
        <w:ind w:firstLine="709"/>
        <w:jc w:val="both"/>
        <w:rPr>
          <w:sz w:val="28"/>
          <w:szCs w:val="28"/>
        </w:rPr>
      </w:pPr>
    </w:p>
    <w:p w:rsidR="001F3464" w:rsidRPr="00996A74" w:rsidRDefault="001F3464" w:rsidP="00C10F85">
      <w:pPr>
        <w:ind w:firstLine="709"/>
        <w:jc w:val="both"/>
        <w:rPr>
          <w:sz w:val="28"/>
          <w:szCs w:val="28"/>
        </w:rPr>
      </w:pPr>
    </w:p>
    <w:p w:rsidR="001F3464" w:rsidRPr="00996A74" w:rsidRDefault="001F3464" w:rsidP="00C10F85">
      <w:pPr>
        <w:ind w:firstLine="709"/>
        <w:jc w:val="both"/>
        <w:rPr>
          <w:sz w:val="28"/>
          <w:szCs w:val="28"/>
        </w:rPr>
      </w:pPr>
    </w:p>
    <w:p w:rsidR="001F3464" w:rsidRPr="0033732B" w:rsidRDefault="001F3464" w:rsidP="00C10F85">
      <w:pPr>
        <w:ind w:firstLine="709"/>
        <w:jc w:val="both"/>
        <w:rPr>
          <w:sz w:val="20"/>
          <w:szCs w:val="20"/>
        </w:rPr>
      </w:pPr>
    </w:p>
    <w:p w:rsidR="0033732B" w:rsidRPr="0033732B" w:rsidRDefault="0033732B" w:rsidP="00C10F85">
      <w:pPr>
        <w:rPr>
          <w:sz w:val="20"/>
          <w:szCs w:val="20"/>
        </w:rPr>
      </w:pPr>
      <w:r w:rsidRPr="0033732B">
        <w:rPr>
          <w:sz w:val="20"/>
          <w:szCs w:val="20"/>
        </w:rPr>
        <w:t>04.09.2015. 12:48</w:t>
      </w:r>
    </w:p>
    <w:p w:rsidR="0033732B" w:rsidRPr="0033732B" w:rsidRDefault="0033732B" w:rsidP="00C10F85">
      <w:pPr>
        <w:rPr>
          <w:sz w:val="20"/>
          <w:szCs w:val="20"/>
        </w:rPr>
      </w:pPr>
      <w:r w:rsidRPr="0033732B">
        <w:rPr>
          <w:sz w:val="20"/>
          <w:szCs w:val="20"/>
        </w:rPr>
        <w:fldChar w:fldCharType="begin"/>
      </w:r>
      <w:r w:rsidRPr="0033732B">
        <w:rPr>
          <w:sz w:val="20"/>
          <w:szCs w:val="20"/>
        </w:rPr>
        <w:instrText xml:space="preserve"> NUMWORDS   \* MERGEFORMAT </w:instrText>
      </w:r>
      <w:r w:rsidRPr="0033732B">
        <w:rPr>
          <w:sz w:val="20"/>
          <w:szCs w:val="20"/>
        </w:rPr>
        <w:fldChar w:fldCharType="separate"/>
      </w:r>
      <w:r w:rsidRPr="0033732B">
        <w:rPr>
          <w:noProof/>
          <w:sz w:val="20"/>
          <w:szCs w:val="20"/>
        </w:rPr>
        <w:t>3816</w:t>
      </w:r>
      <w:r w:rsidRPr="0033732B">
        <w:rPr>
          <w:sz w:val="20"/>
          <w:szCs w:val="20"/>
        </w:rPr>
        <w:fldChar w:fldCharType="end"/>
      </w:r>
    </w:p>
    <w:p w:rsidR="00C10F85" w:rsidRPr="0033732B" w:rsidRDefault="00597991" w:rsidP="00C10F85">
      <w:pPr>
        <w:rPr>
          <w:sz w:val="20"/>
          <w:szCs w:val="20"/>
          <w:lang w:val="pl-PL"/>
        </w:rPr>
      </w:pPr>
      <w:r w:rsidRPr="0033732B">
        <w:rPr>
          <w:sz w:val="20"/>
          <w:szCs w:val="20"/>
          <w:lang w:val="pl-PL"/>
        </w:rPr>
        <w:t>I.Orlova</w:t>
      </w:r>
    </w:p>
    <w:p w:rsidR="0015060C" w:rsidRPr="0033732B" w:rsidRDefault="00C10F85" w:rsidP="00A26DFD">
      <w:pPr>
        <w:rPr>
          <w:sz w:val="20"/>
          <w:szCs w:val="20"/>
        </w:rPr>
      </w:pPr>
      <w:r w:rsidRPr="0033732B">
        <w:rPr>
          <w:sz w:val="20"/>
          <w:szCs w:val="20"/>
          <w:lang w:val="pl-PL"/>
        </w:rPr>
        <w:t>670273</w:t>
      </w:r>
      <w:r w:rsidR="00597991" w:rsidRPr="0033732B">
        <w:rPr>
          <w:sz w:val="20"/>
          <w:szCs w:val="20"/>
          <w:lang w:val="pl-PL"/>
        </w:rPr>
        <w:t>76</w:t>
      </w:r>
      <w:r w:rsidRPr="0033732B">
        <w:rPr>
          <w:sz w:val="20"/>
          <w:szCs w:val="20"/>
          <w:lang w:val="pl-PL"/>
        </w:rPr>
        <w:t xml:space="preserve">, </w:t>
      </w:r>
      <w:r w:rsidR="00597991" w:rsidRPr="0033732B">
        <w:rPr>
          <w:sz w:val="20"/>
          <w:szCs w:val="20"/>
          <w:lang w:val="pl-PL"/>
        </w:rPr>
        <w:t>Inga.Orlova</w:t>
      </w:r>
      <w:r w:rsidRPr="0033732B">
        <w:rPr>
          <w:sz w:val="20"/>
          <w:szCs w:val="20"/>
          <w:lang w:val="pl-PL"/>
        </w:rPr>
        <w:t>@zm.gov.lv</w:t>
      </w:r>
      <w:r w:rsidR="00FE01CF" w:rsidRPr="0033732B">
        <w:rPr>
          <w:sz w:val="20"/>
          <w:szCs w:val="20"/>
        </w:rPr>
        <w:tab/>
      </w:r>
      <w:bookmarkStart w:id="0" w:name="_GoBack"/>
      <w:bookmarkEnd w:id="0"/>
    </w:p>
    <w:sectPr w:rsidR="0015060C" w:rsidRPr="0033732B"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C7" w:rsidRDefault="00AC13C7">
      <w:r>
        <w:separator/>
      </w:r>
    </w:p>
  </w:endnote>
  <w:endnote w:type="continuationSeparator" w:id="0">
    <w:p w:rsidR="00AC13C7" w:rsidRDefault="00AC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Pr="0033732B" w:rsidRDefault="00ED34BF" w:rsidP="00BD7DFC">
    <w:pPr>
      <w:jc w:val="both"/>
      <w:rPr>
        <w:sz w:val="20"/>
        <w:szCs w:val="20"/>
      </w:rPr>
    </w:pPr>
    <w:r w:rsidRPr="0033732B">
      <w:rPr>
        <w:sz w:val="20"/>
        <w:szCs w:val="20"/>
      </w:rPr>
      <w:t>ZMAnot_</w:t>
    </w:r>
    <w:r w:rsidR="006507F3" w:rsidRPr="0033732B">
      <w:rPr>
        <w:sz w:val="20"/>
        <w:szCs w:val="20"/>
      </w:rPr>
      <w:t>040915</w:t>
    </w:r>
    <w:r w:rsidRPr="0033732B">
      <w:rPr>
        <w:sz w:val="20"/>
        <w:szCs w:val="20"/>
      </w:rPr>
      <w:t>_Skolaspiens; Valsts un Eiropas Savienības atbalsta piešķiršanas, administrēšanas un uzraudzības kārtība piena produktu piegādei izglītojamiem vispārējās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Pr="0033732B" w:rsidRDefault="00ED34BF" w:rsidP="00BD7DFC">
    <w:pPr>
      <w:jc w:val="both"/>
      <w:rPr>
        <w:sz w:val="20"/>
        <w:szCs w:val="20"/>
      </w:rPr>
    </w:pPr>
    <w:r w:rsidRPr="0033732B">
      <w:rPr>
        <w:sz w:val="20"/>
        <w:szCs w:val="20"/>
      </w:rPr>
      <w:t>ZMAnot_</w:t>
    </w:r>
    <w:r w:rsidR="006507F3" w:rsidRPr="0033732B">
      <w:rPr>
        <w:sz w:val="20"/>
        <w:szCs w:val="20"/>
      </w:rPr>
      <w:t>040915</w:t>
    </w:r>
    <w:r w:rsidRPr="0033732B">
      <w:rPr>
        <w:sz w:val="20"/>
        <w:szCs w:val="20"/>
      </w:rPr>
      <w:t>_Skolaspiens; Valsts un Eiropas Savienības atbalsta piešķiršanas, administrēšanas un uzraudzības kārtība piena produktu piegādei izglītojamiem vispārējās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C7" w:rsidRDefault="00AC13C7">
      <w:r>
        <w:separator/>
      </w:r>
    </w:p>
  </w:footnote>
  <w:footnote w:type="continuationSeparator" w:id="0">
    <w:p w:rsidR="00AC13C7" w:rsidRDefault="00AC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023D6C" w:rsidP="003C449B">
    <w:pPr>
      <w:pStyle w:val="Galvene"/>
      <w:framePr w:wrap="around" w:vAnchor="text" w:hAnchor="margin" w:xAlign="center" w:y="1"/>
      <w:rPr>
        <w:rStyle w:val="Lappusesnumurs"/>
      </w:rPr>
    </w:pPr>
    <w:r>
      <w:rPr>
        <w:rStyle w:val="Lappusesnumurs"/>
      </w:rPr>
      <w:fldChar w:fldCharType="begin"/>
    </w:r>
    <w:r w:rsidR="00ED34BF">
      <w:rPr>
        <w:rStyle w:val="Lappusesnumurs"/>
      </w:rPr>
      <w:instrText xml:space="preserve">PAGE  </w:instrText>
    </w:r>
    <w:r>
      <w:rPr>
        <w:rStyle w:val="Lappusesnumurs"/>
      </w:rPr>
      <w:fldChar w:fldCharType="end"/>
    </w:r>
  </w:p>
  <w:p w:rsidR="00ED34BF" w:rsidRDefault="00ED34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023D6C" w:rsidP="003C449B">
    <w:pPr>
      <w:pStyle w:val="Galvene"/>
      <w:framePr w:wrap="around" w:vAnchor="text" w:hAnchor="margin" w:xAlign="center" w:y="1"/>
      <w:rPr>
        <w:rStyle w:val="Lappusesnumurs"/>
      </w:rPr>
    </w:pPr>
    <w:r>
      <w:rPr>
        <w:rStyle w:val="Lappusesnumurs"/>
      </w:rPr>
      <w:fldChar w:fldCharType="begin"/>
    </w:r>
    <w:r w:rsidR="00ED34BF">
      <w:rPr>
        <w:rStyle w:val="Lappusesnumurs"/>
      </w:rPr>
      <w:instrText xml:space="preserve">PAGE  </w:instrText>
    </w:r>
    <w:r>
      <w:rPr>
        <w:rStyle w:val="Lappusesnumurs"/>
      </w:rPr>
      <w:fldChar w:fldCharType="separate"/>
    </w:r>
    <w:r w:rsidR="0033732B">
      <w:rPr>
        <w:rStyle w:val="Lappusesnumurs"/>
        <w:noProof/>
      </w:rPr>
      <w:t>10</w:t>
    </w:r>
    <w:r>
      <w:rPr>
        <w:rStyle w:val="Lappusesnumurs"/>
      </w:rPr>
      <w:fldChar w:fldCharType="end"/>
    </w:r>
  </w:p>
  <w:p w:rsidR="00ED34BF" w:rsidRDefault="00ED34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65E13"/>
    <w:multiLevelType w:val="hybridMultilevel"/>
    <w:tmpl w:val="7DA23B82"/>
    <w:lvl w:ilvl="0" w:tplc="4D704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43ABA"/>
    <w:multiLevelType w:val="hybridMultilevel"/>
    <w:tmpl w:val="405216EA"/>
    <w:lvl w:ilvl="0" w:tplc="04260001">
      <w:start w:val="20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86442B"/>
    <w:multiLevelType w:val="hybridMultilevel"/>
    <w:tmpl w:val="175C633A"/>
    <w:lvl w:ilvl="0" w:tplc="F8A8118A">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FC1666"/>
    <w:multiLevelType w:val="hybridMultilevel"/>
    <w:tmpl w:val="DC4AB25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38C503B"/>
    <w:multiLevelType w:val="hybridMultilevel"/>
    <w:tmpl w:val="7FE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0013"/>
    <w:multiLevelType w:val="multilevel"/>
    <w:tmpl w:val="2340958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AF5B42"/>
    <w:multiLevelType w:val="hybridMultilevel"/>
    <w:tmpl w:val="A8740D16"/>
    <w:lvl w:ilvl="0" w:tplc="4FBE987E">
      <w:start w:val="3"/>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56926297"/>
    <w:multiLevelType w:val="hybridMultilevel"/>
    <w:tmpl w:val="2D86E31A"/>
    <w:lvl w:ilvl="0" w:tplc="04260011">
      <w:start w:val="1"/>
      <w:numFmt w:val="decimal"/>
      <w:lvlText w:val="%1)"/>
      <w:lvlJc w:val="left"/>
      <w:pPr>
        <w:ind w:left="502" w:hanging="360"/>
      </w:pPr>
      <w:rPr>
        <w:rFonts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35575"/>
    <w:multiLevelType w:val="hybridMultilevel"/>
    <w:tmpl w:val="29063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7E451F"/>
    <w:multiLevelType w:val="hybridMultilevel"/>
    <w:tmpl w:val="4A2E5BDA"/>
    <w:lvl w:ilvl="0" w:tplc="685E69D4">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5" w15:restartNumberingAfterBreak="0">
    <w:nsid w:val="734872A2"/>
    <w:multiLevelType w:val="hybridMultilevel"/>
    <w:tmpl w:val="5060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F01CBC"/>
    <w:multiLevelType w:val="hybridMultilevel"/>
    <w:tmpl w:val="264A5D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7"/>
  </w:num>
  <w:num w:numId="4">
    <w:abstractNumId w:val="4"/>
  </w:num>
  <w:num w:numId="5">
    <w:abstractNumId w:val="2"/>
  </w:num>
  <w:num w:numId="6">
    <w:abstractNumId w:val="15"/>
  </w:num>
  <w:num w:numId="7">
    <w:abstractNumId w:val="21"/>
  </w:num>
  <w:num w:numId="8">
    <w:abstractNumId w:val="12"/>
  </w:num>
  <w:num w:numId="9">
    <w:abstractNumId w:val="5"/>
  </w:num>
  <w:num w:numId="10">
    <w:abstractNumId w:val="13"/>
  </w:num>
  <w:num w:numId="11">
    <w:abstractNumId w:val="14"/>
  </w:num>
  <w:num w:numId="12">
    <w:abstractNumId w:val="18"/>
  </w:num>
  <w:num w:numId="13">
    <w:abstractNumId w:val="19"/>
  </w:num>
  <w:num w:numId="14">
    <w:abstractNumId w:val="3"/>
  </w:num>
  <w:num w:numId="15">
    <w:abstractNumId w:val="26"/>
  </w:num>
  <w:num w:numId="16">
    <w:abstractNumId w:val="0"/>
  </w:num>
  <w:num w:numId="17">
    <w:abstractNumId w:val="23"/>
  </w:num>
  <w:num w:numId="18">
    <w:abstractNumId w:val="11"/>
  </w:num>
  <w:num w:numId="19">
    <w:abstractNumId w:val="1"/>
  </w:num>
  <w:num w:numId="20">
    <w:abstractNumId w:val="6"/>
  </w:num>
  <w:num w:numId="21">
    <w:abstractNumId w:val="24"/>
  </w:num>
  <w:num w:numId="22">
    <w:abstractNumId w:val="16"/>
  </w:num>
  <w:num w:numId="23">
    <w:abstractNumId w:val="8"/>
  </w:num>
  <w:num w:numId="24">
    <w:abstractNumId w:val="22"/>
  </w:num>
  <w:num w:numId="25">
    <w:abstractNumId w:val="10"/>
  </w:num>
  <w:num w:numId="26">
    <w:abstractNumId w:val="25"/>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3D6C"/>
    <w:rsid w:val="00025DE3"/>
    <w:rsid w:val="0002604C"/>
    <w:rsid w:val="00032388"/>
    <w:rsid w:val="00034F8E"/>
    <w:rsid w:val="00035CE2"/>
    <w:rsid w:val="0003648C"/>
    <w:rsid w:val="000403D7"/>
    <w:rsid w:val="00043586"/>
    <w:rsid w:val="00045757"/>
    <w:rsid w:val="0005553B"/>
    <w:rsid w:val="000604D2"/>
    <w:rsid w:val="00061312"/>
    <w:rsid w:val="0009005E"/>
    <w:rsid w:val="00090575"/>
    <w:rsid w:val="000941C5"/>
    <w:rsid w:val="000A50B7"/>
    <w:rsid w:val="000A6451"/>
    <w:rsid w:val="000A69EC"/>
    <w:rsid w:val="000B064E"/>
    <w:rsid w:val="000B572C"/>
    <w:rsid w:val="000B69CF"/>
    <w:rsid w:val="000B6D78"/>
    <w:rsid w:val="000C7140"/>
    <w:rsid w:val="000C790C"/>
    <w:rsid w:val="000D1B14"/>
    <w:rsid w:val="000D68FA"/>
    <w:rsid w:val="000E0C0A"/>
    <w:rsid w:val="000E7F58"/>
    <w:rsid w:val="000F061D"/>
    <w:rsid w:val="000F3DD5"/>
    <w:rsid w:val="000F4794"/>
    <w:rsid w:val="001014E8"/>
    <w:rsid w:val="001018B6"/>
    <w:rsid w:val="00104BEC"/>
    <w:rsid w:val="00110CF3"/>
    <w:rsid w:val="00116A8D"/>
    <w:rsid w:val="00124F12"/>
    <w:rsid w:val="001307BA"/>
    <w:rsid w:val="00130A9E"/>
    <w:rsid w:val="0013176D"/>
    <w:rsid w:val="001332E5"/>
    <w:rsid w:val="001365E2"/>
    <w:rsid w:val="00137D57"/>
    <w:rsid w:val="00143846"/>
    <w:rsid w:val="00144E3A"/>
    <w:rsid w:val="00147657"/>
    <w:rsid w:val="0015060C"/>
    <w:rsid w:val="00157819"/>
    <w:rsid w:val="0016018A"/>
    <w:rsid w:val="00161F0E"/>
    <w:rsid w:val="00162FE7"/>
    <w:rsid w:val="00166020"/>
    <w:rsid w:val="00170E2A"/>
    <w:rsid w:val="00177394"/>
    <w:rsid w:val="001802FA"/>
    <w:rsid w:val="00182C18"/>
    <w:rsid w:val="00183CC2"/>
    <w:rsid w:val="00184ED4"/>
    <w:rsid w:val="00185A79"/>
    <w:rsid w:val="00187C75"/>
    <w:rsid w:val="001900E4"/>
    <w:rsid w:val="00190F88"/>
    <w:rsid w:val="00192B94"/>
    <w:rsid w:val="00193390"/>
    <w:rsid w:val="001A2127"/>
    <w:rsid w:val="001A4066"/>
    <w:rsid w:val="001A6AE4"/>
    <w:rsid w:val="001B01FD"/>
    <w:rsid w:val="001B2903"/>
    <w:rsid w:val="001B4A71"/>
    <w:rsid w:val="001B5BEC"/>
    <w:rsid w:val="001D5B54"/>
    <w:rsid w:val="001E1DBF"/>
    <w:rsid w:val="001E4639"/>
    <w:rsid w:val="001E4A7D"/>
    <w:rsid w:val="001E5389"/>
    <w:rsid w:val="001E775B"/>
    <w:rsid w:val="001F3464"/>
    <w:rsid w:val="001F43A8"/>
    <w:rsid w:val="001F55D2"/>
    <w:rsid w:val="001F5CD6"/>
    <w:rsid w:val="00207704"/>
    <w:rsid w:val="0021263D"/>
    <w:rsid w:val="00213F0C"/>
    <w:rsid w:val="00214094"/>
    <w:rsid w:val="0021506D"/>
    <w:rsid w:val="0021592D"/>
    <w:rsid w:val="00215946"/>
    <w:rsid w:val="00222D76"/>
    <w:rsid w:val="00223EB1"/>
    <w:rsid w:val="00231344"/>
    <w:rsid w:val="0023436E"/>
    <w:rsid w:val="002347C0"/>
    <w:rsid w:val="00235E8A"/>
    <w:rsid w:val="00236B31"/>
    <w:rsid w:val="00241A6C"/>
    <w:rsid w:val="00242D2B"/>
    <w:rsid w:val="00242F4B"/>
    <w:rsid w:val="002461AD"/>
    <w:rsid w:val="00262E2B"/>
    <w:rsid w:val="00265D6E"/>
    <w:rsid w:val="00267988"/>
    <w:rsid w:val="00270429"/>
    <w:rsid w:val="002723E9"/>
    <w:rsid w:val="00274D97"/>
    <w:rsid w:val="00276B31"/>
    <w:rsid w:val="00277929"/>
    <w:rsid w:val="00283B82"/>
    <w:rsid w:val="002846E9"/>
    <w:rsid w:val="00284C34"/>
    <w:rsid w:val="00285778"/>
    <w:rsid w:val="0029066C"/>
    <w:rsid w:val="00292F1D"/>
    <w:rsid w:val="002A1D9F"/>
    <w:rsid w:val="002A423D"/>
    <w:rsid w:val="002B4EBE"/>
    <w:rsid w:val="002B50DB"/>
    <w:rsid w:val="002B5198"/>
    <w:rsid w:val="002B69E0"/>
    <w:rsid w:val="002C0446"/>
    <w:rsid w:val="002C12AB"/>
    <w:rsid w:val="002C7CAC"/>
    <w:rsid w:val="002D3306"/>
    <w:rsid w:val="002D48AA"/>
    <w:rsid w:val="002D647D"/>
    <w:rsid w:val="002D7BAA"/>
    <w:rsid w:val="002D7F54"/>
    <w:rsid w:val="002E12AE"/>
    <w:rsid w:val="002E3934"/>
    <w:rsid w:val="002E3FF4"/>
    <w:rsid w:val="002F0B38"/>
    <w:rsid w:val="002F78C8"/>
    <w:rsid w:val="00301988"/>
    <w:rsid w:val="00301CF3"/>
    <w:rsid w:val="00313E03"/>
    <w:rsid w:val="003260A6"/>
    <w:rsid w:val="0032715C"/>
    <w:rsid w:val="00332464"/>
    <w:rsid w:val="003327B4"/>
    <w:rsid w:val="0033732B"/>
    <w:rsid w:val="00337CA5"/>
    <w:rsid w:val="0034577E"/>
    <w:rsid w:val="0035066C"/>
    <w:rsid w:val="00362478"/>
    <w:rsid w:val="00362DD6"/>
    <w:rsid w:val="00365226"/>
    <w:rsid w:val="003715E9"/>
    <w:rsid w:val="003734BC"/>
    <w:rsid w:val="0037514E"/>
    <w:rsid w:val="00375B25"/>
    <w:rsid w:val="00375DC6"/>
    <w:rsid w:val="00376D99"/>
    <w:rsid w:val="0037788E"/>
    <w:rsid w:val="00381964"/>
    <w:rsid w:val="00386A3B"/>
    <w:rsid w:val="003902DD"/>
    <w:rsid w:val="00396542"/>
    <w:rsid w:val="0039685B"/>
    <w:rsid w:val="003A31A6"/>
    <w:rsid w:val="003A3AE7"/>
    <w:rsid w:val="003A7F0C"/>
    <w:rsid w:val="003A7F79"/>
    <w:rsid w:val="003B5C50"/>
    <w:rsid w:val="003B6404"/>
    <w:rsid w:val="003C449B"/>
    <w:rsid w:val="003D0560"/>
    <w:rsid w:val="003D21FF"/>
    <w:rsid w:val="003D7A08"/>
    <w:rsid w:val="003F0112"/>
    <w:rsid w:val="003F071A"/>
    <w:rsid w:val="003F160B"/>
    <w:rsid w:val="00400032"/>
    <w:rsid w:val="00400B5B"/>
    <w:rsid w:val="00405A00"/>
    <w:rsid w:val="00414F36"/>
    <w:rsid w:val="004202B7"/>
    <w:rsid w:val="00420870"/>
    <w:rsid w:val="0042519F"/>
    <w:rsid w:val="004274E4"/>
    <w:rsid w:val="00430E33"/>
    <w:rsid w:val="0043289A"/>
    <w:rsid w:val="0043791B"/>
    <w:rsid w:val="00441483"/>
    <w:rsid w:val="00441BCB"/>
    <w:rsid w:val="00443190"/>
    <w:rsid w:val="00450025"/>
    <w:rsid w:val="0045176A"/>
    <w:rsid w:val="0045345A"/>
    <w:rsid w:val="00456332"/>
    <w:rsid w:val="00457D2E"/>
    <w:rsid w:val="00461826"/>
    <w:rsid w:val="004625DB"/>
    <w:rsid w:val="0047638D"/>
    <w:rsid w:val="0047711E"/>
    <w:rsid w:val="004800F9"/>
    <w:rsid w:val="00481878"/>
    <w:rsid w:val="0049134A"/>
    <w:rsid w:val="004924CF"/>
    <w:rsid w:val="004A58CB"/>
    <w:rsid w:val="004A5E37"/>
    <w:rsid w:val="004B1795"/>
    <w:rsid w:val="004B56DD"/>
    <w:rsid w:val="004C020F"/>
    <w:rsid w:val="004C1AFD"/>
    <w:rsid w:val="004C558B"/>
    <w:rsid w:val="004D0ACC"/>
    <w:rsid w:val="004E4BA7"/>
    <w:rsid w:val="004E6805"/>
    <w:rsid w:val="004E7080"/>
    <w:rsid w:val="004F1629"/>
    <w:rsid w:val="004F1F88"/>
    <w:rsid w:val="004F3CBD"/>
    <w:rsid w:val="004F4A7B"/>
    <w:rsid w:val="004F4CFE"/>
    <w:rsid w:val="004F5F1B"/>
    <w:rsid w:val="00502374"/>
    <w:rsid w:val="005060A1"/>
    <w:rsid w:val="0051495E"/>
    <w:rsid w:val="005155C5"/>
    <w:rsid w:val="00516072"/>
    <w:rsid w:val="005332EC"/>
    <w:rsid w:val="00534418"/>
    <w:rsid w:val="005353AB"/>
    <w:rsid w:val="00536AD6"/>
    <w:rsid w:val="005507D0"/>
    <w:rsid w:val="0055212A"/>
    <w:rsid w:val="00555462"/>
    <w:rsid w:val="005560BC"/>
    <w:rsid w:val="005573BE"/>
    <w:rsid w:val="0056021D"/>
    <w:rsid w:val="00572700"/>
    <w:rsid w:val="00580468"/>
    <w:rsid w:val="0058603B"/>
    <w:rsid w:val="005913E0"/>
    <w:rsid w:val="0059431B"/>
    <w:rsid w:val="0059500E"/>
    <w:rsid w:val="00597991"/>
    <w:rsid w:val="005A39CC"/>
    <w:rsid w:val="005A4467"/>
    <w:rsid w:val="005B4730"/>
    <w:rsid w:val="005B53F2"/>
    <w:rsid w:val="005B7688"/>
    <w:rsid w:val="005C4C75"/>
    <w:rsid w:val="005C53F1"/>
    <w:rsid w:val="005C7E70"/>
    <w:rsid w:val="005D31C4"/>
    <w:rsid w:val="005D61EC"/>
    <w:rsid w:val="005E05D7"/>
    <w:rsid w:val="005E41E7"/>
    <w:rsid w:val="005E450F"/>
    <w:rsid w:val="005E5BFC"/>
    <w:rsid w:val="005F2B6C"/>
    <w:rsid w:val="005F2D9F"/>
    <w:rsid w:val="0060293B"/>
    <w:rsid w:val="00606778"/>
    <w:rsid w:val="006155E4"/>
    <w:rsid w:val="00615877"/>
    <w:rsid w:val="00620400"/>
    <w:rsid w:val="0062298A"/>
    <w:rsid w:val="00626514"/>
    <w:rsid w:val="00626589"/>
    <w:rsid w:val="00633555"/>
    <w:rsid w:val="006339A0"/>
    <w:rsid w:val="00640CD9"/>
    <w:rsid w:val="006413A8"/>
    <w:rsid w:val="00642E56"/>
    <w:rsid w:val="0064318C"/>
    <w:rsid w:val="00645AA8"/>
    <w:rsid w:val="006507F3"/>
    <w:rsid w:val="00651E00"/>
    <w:rsid w:val="006535AB"/>
    <w:rsid w:val="00666A8C"/>
    <w:rsid w:val="00674572"/>
    <w:rsid w:val="00674665"/>
    <w:rsid w:val="00675542"/>
    <w:rsid w:val="00681612"/>
    <w:rsid w:val="00687763"/>
    <w:rsid w:val="00690859"/>
    <w:rsid w:val="00692B0D"/>
    <w:rsid w:val="00693E0E"/>
    <w:rsid w:val="00694BAD"/>
    <w:rsid w:val="006A1AE3"/>
    <w:rsid w:val="006A3552"/>
    <w:rsid w:val="006B1558"/>
    <w:rsid w:val="006C30E1"/>
    <w:rsid w:val="006C4607"/>
    <w:rsid w:val="006D48F1"/>
    <w:rsid w:val="006D6CB0"/>
    <w:rsid w:val="006D7D75"/>
    <w:rsid w:val="006E07E3"/>
    <w:rsid w:val="006E163F"/>
    <w:rsid w:val="006E298C"/>
    <w:rsid w:val="006E5841"/>
    <w:rsid w:val="006F0E44"/>
    <w:rsid w:val="006F24A5"/>
    <w:rsid w:val="006F45BE"/>
    <w:rsid w:val="007004FC"/>
    <w:rsid w:val="007033E4"/>
    <w:rsid w:val="00706670"/>
    <w:rsid w:val="00711156"/>
    <w:rsid w:val="00714F8E"/>
    <w:rsid w:val="00720743"/>
    <w:rsid w:val="00724099"/>
    <w:rsid w:val="0072417C"/>
    <w:rsid w:val="00733036"/>
    <w:rsid w:val="00733E09"/>
    <w:rsid w:val="00734450"/>
    <w:rsid w:val="00745F67"/>
    <w:rsid w:val="0075039E"/>
    <w:rsid w:val="00752C9B"/>
    <w:rsid w:val="00752D9D"/>
    <w:rsid w:val="00754784"/>
    <w:rsid w:val="007548FD"/>
    <w:rsid w:val="0075610E"/>
    <w:rsid w:val="00756DA2"/>
    <w:rsid w:val="00757B5E"/>
    <w:rsid w:val="00757C6E"/>
    <w:rsid w:val="00760F3C"/>
    <w:rsid w:val="00762BDA"/>
    <w:rsid w:val="00763D2F"/>
    <w:rsid w:val="007666BD"/>
    <w:rsid w:val="00767021"/>
    <w:rsid w:val="00777277"/>
    <w:rsid w:val="007805FD"/>
    <w:rsid w:val="0078088A"/>
    <w:rsid w:val="00784422"/>
    <w:rsid w:val="00786057"/>
    <w:rsid w:val="00790FD4"/>
    <w:rsid w:val="00791B90"/>
    <w:rsid w:val="007A3818"/>
    <w:rsid w:val="007A4E45"/>
    <w:rsid w:val="007B3B54"/>
    <w:rsid w:val="007B3FA0"/>
    <w:rsid w:val="007B4838"/>
    <w:rsid w:val="007C0F2C"/>
    <w:rsid w:val="007C1ABB"/>
    <w:rsid w:val="007C1B12"/>
    <w:rsid w:val="007C2BCC"/>
    <w:rsid w:val="007C4EF0"/>
    <w:rsid w:val="007D099D"/>
    <w:rsid w:val="007E0F1B"/>
    <w:rsid w:val="007E150B"/>
    <w:rsid w:val="007E2664"/>
    <w:rsid w:val="007E3ABF"/>
    <w:rsid w:val="007E5BFA"/>
    <w:rsid w:val="007E6171"/>
    <w:rsid w:val="007E6689"/>
    <w:rsid w:val="007E731C"/>
    <w:rsid w:val="007F0A03"/>
    <w:rsid w:val="007F22CC"/>
    <w:rsid w:val="007F4A7D"/>
    <w:rsid w:val="007F56B2"/>
    <w:rsid w:val="00801078"/>
    <w:rsid w:val="00804423"/>
    <w:rsid w:val="00810040"/>
    <w:rsid w:val="0082023A"/>
    <w:rsid w:val="00821095"/>
    <w:rsid w:val="00821A7A"/>
    <w:rsid w:val="008253F8"/>
    <w:rsid w:val="008313C6"/>
    <w:rsid w:val="008325E4"/>
    <w:rsid w:val="00832A2B"/>
    <w:rsid w:val="00835ABD"/>
    <w:rsid w:val="008427B8"/>
    <w:rsid w:val="00845811"/>
    <w:rsid w:val="00846994"/>
    <w:rsid w:val="00847704"/>
    <w:rsid w:val="00850451"/>
    <w:rsid w:val="00852042"/>
    <w:rsid w:val="008534C9"/>
    <w:rsid w:val="00854018"/>
    <w:rsid w:val="0085599D"/>
    <w:rsid w:val="00857CC9"/>
    <w:rsid w:val="00857CD3"/>
    <w:rsid w:val="008642FF"/>
    <w:rsid w:val="00870B9F"/>
    <w:rsid w:val="0087324B"/>
    <w:rsid w:val="0087510C"/>
    <w:rsid w:val="00880646"/>
    <w:rsid w:val="00884E16"/>
    <w:rsid w:val="008874F1"/>
    <w:rsid w:val="00895329"/>
    <w:rsid w:val="0089738E"/>
    <w:rsid w:val="008A093D"/>
    <w:rsid w:val="008A4AA5"/>
    <w:rsid w:val="008A592F"/>
    <w:rsid w:val="008B5FDB"/>
    <w:rsid w:val="008B67C0"/>
    <w:rsid w:val="008C50F4"/>
    <w:rsid w:val="008C5649"/>
    <w:rsid w:val="008D2501"/>
    <w:rsid w:val="008D27E2"/>
    <w:rsid w:val="008D7D52"/>
    <w:rsid w:val="008E128A"/>
    <w:rsid w:val="008E24C4"/>
    <w:rsid w:val="008E44A2"/>
    <w:rsid w:val="008E4FF5"/>
    <w:rsid w:val="008E697D"/>
    <w:rsid w:val="008E7CE1"/>
    <w:rsid w:val="008F0FB4"/>
    <w:rsid w:val="008F1585"/>
    <w:rsid w:val="008F74CA"/>
    <w:rsid w:val="00903263"/>
    <w:rsid w:val="00906A21"/>
    <w:rsid w:val="009079C3"/>
    <w:rsid w:val="00910462"/>
    <w:rsid w:val="0091271F"/>
    <w:rsid w:val="00914EA3"/>
    <w:rsid w:val="00915AB1"/>
    <w:rsid w:val="00917532"/>
    <w:rsid w:val="009203AE"/>
    <w:rsid w:val="00920B53"/>
    <w:rsid w:val="009235BA"/>
    <w:rsid w:val="00924023"/>
    <w:rsid w:val="00924CE2"/>
    <w:rsid w:val="00925B9F"/>
    <w:rsid w:val="00926CB6"/>
    <w:rsid w:val="00931AED"/>
    <w:rsid w:val="0093681B"/>
    <w:rsid w:val="009476A3"/>
    <w:rsid w:val="00950297"/>
    <w:rsid w:val="00951E36"/>
    <w:rsid w:val="0095334F"/>
    <w:rsid w:val="00953AD9"/>
    <w:rsid w:val="00955D21"/>
    <w:rsid w:val="009608AF"/>
    <w:rsid w:val="009644D3"/>
    <w:rsid w:val="00965897"/>
    <w:rsid w:val="00967656"/>
    <w:rsid w:val="0096765C"/>
    <w:rsid w:val="009679FA"/>
    <w:rsid w:val="00971B83"/>
    <w:rsid w:val="009727E4"/>
    <w:rsid w:val="00980793"/>
    <w:rsid w:val="00984D04"/>
    <w:rsid w:val="009859EF"/>
    <w:rsid w:val="009908E8"/>
    <w:rsid w:val="009934C5"/>
    <w:rsid w:val="009937C3"/>
    <w:rsid w:val="00994C0F"/>
    <w:rsid w:val="00996A74"/>
    <w:rsid w:val="009972B6"/>
    <w:rsid w:val="009A34CE"/>
    <w:rsid w:val="009A3ABC"/>
    <w:rsid w:val="009B22D7"/>
    <w:rsid w:val="009B3C9B"/>
    <w:rsid w:val="009B72ED"/>
    <w:rsid w:val="009C1F29"/>
    <w:rsid w:val="009C5068"/>
    <w:rsid w:val="009C6DEB"/>
    <w:rsid w:val="009D042F"/>
    <w:rsid w:val="009D5658"/>
    <w:rsid w:val="009D6504"/>
    <w:rsid w:val="009D7702"/>
    <w:rsid w:val="009E12D7"/>
    <w:rsid w:val="009E2C7F"/>
    <w:rsid w:val="009E661A"/>
    <w:rsid w:val="009E700A"/>
    <w:rsid w:val="009F21E0"/>
    <w:rsid w:val="009F6209"/>
    <w:rsid w:val="00A014AF"/>
    <w:rsid w:val="00A06781"/>
    <w:rsid w:val="00A074C3"/>
    <w:rsid w:val="00A103EF"/>
    <w:rsid w:val="00A105DA"/>
    <w:rsid w:val="00A1509C"/>
    <w:rsid w:val="00A17BBF"/>
    <w:rsid w:val="00A26DFD"/>
    <w:rsid w:val="00A34260"/>
    <w:rsid w:val="00A36078"/>
    <w:rsid w:val="00A42EBA"/>
    <w:rsid w:val="00A60863"/>
    <w:rsid w:val="00A61D72"/>
    <w:rsid w:val="00A70CFD"/>
    <w:rsid w:val="00A71F0B"/>
    <w:rsid w:val="00A72A0B"/>
    <w:rsid w:val="00A81E42"/>
    <w:rsid w:val="00A864FE"/>
    <w:rsid w:val="00A86F41"/>
    <w:rsid w:val="00A87D04"/>
    <w:rsid w:val="00A90B45"/>
    <w:rsid w:val="00A950C5"/>
    <w:rsid w:val="00AA1D25"/>
    <w:rsid w:val="00AA2B1F"/>
    <w:rsid w:val="00AB0583"/>
    <w:rsid w:val="00AB2B1A"/>
    <w:rsid w:val="00AB397F"/>
    <w:rsid w:val="00AB5832"/>
    <w:rsid w:val="00AC13C7"/>
    <w:rsid w:val="00AC4E3E"/>
    <w:rsid w:val="00AC51F2"/>
    <w:rsid w:val="00AD0733"/>
    <w:rsid w:val="00AE2CF0"/>
    <w:rsid w:val="00AE4C12"/>
    <w:rsid w:val="00AE4DBE"/>
    <w:rsid w:val="00AE5066"/>
    <w:rsid w:val="00AE5E24"/>
    <w:rsid w:val="00AE61B7"/>
    <w:rsid w:val="00AE6CBA"/>
    <w:rsid w:val="00AE79AD"/>
    <w:rsid w:val="00AF35E4"/>
    <w:rsid w:val="00AF51E1"/>
    <w:rsid w:val="00AF5CDE"/>
    <w:rsid w:val="00B038E5"/>
    <w:rsid w:val="00B11A57"/>
    <w:rsid w:val="00B14D86"/>
    <w:rsid w:val="00B211C3"/>
    <w:rsid w:val="00B25377"/>
    <w:rsid w:val="00B25597"/>
    <w:rsid w:val="00B267B9"/>
    <w:rsid w:val="00B2719F"/>
    <w:rsid w:val="00B33E09"/>
    <w:rsid w:val="00B42F47"/>
    <w:rsid w:val="00B50708"/>
    <w:rsid w:val="00B50C68"/>
    <w:rsid w:val="00B51293"/>
    <w:rsid w:val="00B5130F"/>
    <w:rsid w:val="00B52073"/>
    <w:rsid w:val="00B52B1E"/>
    <w:rsid w:val="00B55481"/>
    <w:rsid w:val="00B56138"/>
    <w:rsid w:val="00B56C32"/>
    <w:rsid w:val="00B57ACF"/>
    <w:rsid w:val="00B64BB1"/>
    <w:rsid w:val="00B6578C"/>
    <w:rsid w:val="00B71D93"/>
    <w:rsid w:val="00B71DF0"/>
    <w:rsid w:val="00B73166"/>
    <w:rsid w:val="00B73ABC"/>
    <w:rsid w:val="00B740DF"/>
    <w:rsid w:val="00B8426C"/>
    <w:rsid w:val="00B86D3B"/>
    <w:rsid w:val="00B91B8D"/>
    <w:rsid w:val="00B92297"/>
    <w:rsid w:val="00B9268B"/>
    <w:rsid w:val="00B93D80"/>
    <w:rsid w:val="00B94871"/>
    <w:rsid w:val="00B94E90"/>
    <w:rsid w:val="00BA6435"/>
    <w:rsid w:val="00BB0A82"/>
    <w:rsid w:val="00BB2ACF"/>
    <w:rsid w:val="00BB7C94"/>
    <w:rsid w:val="00BC0A9D"/>
    <w:rsid w:val="00BD6034"/>
    <w:rsid w:val="00BD7DFC"/>
    <w:rsid w:val="00BE29F0"/>
    <w:rsid w:val="00BF1732"/>
    <w:rsid w:val="00BF1CD8"/>
    <w:rsid w:val="00BF40ED"/>
    <w:rsid w:val="00BF5BC2"/>
    <w:rsid w:val="00C10F85"/>
    <w:rsid w:val="00C1133D"/>
    <w:rsid w:val="00C21B64"/>
    <w:rsid w:val="00C27A08"/>
    <w:rsid w:val="00C31312"/>
    <w:rsid w:val="00C326C6"/>
    <w:rsid w:val="00C35295"/>
    <w:rsid w:val="00C36231"/>
    <w:rsid w:val="00C36ADD"/>
    <w:rsid w:val="00C36E74"/>
    <w:rsid w:val="00C40595"/>
    <w:rsid w:val="00C41621"/>
    <w:rsid w:val="00C449FA"/>
    <w:rsid w:val="00C47498"/>
    <w:rsid w:val="00C5384F"/>
    <w:rsid w:val="00C56964"/>
    <w:rsid w:val="00C5696F"/>
    <w:rsid w:val="00C656D5"/>
    <w:rsid w:val="00C67103"/>
    <w:rsid w:val="00C71BB9"/>
    <w:rsid w:val="00C768AD"/>
    <w:rsid w:val="00C8480C"/>
    <w:rsid w:val="00C94C28"/>
    <w:rsid w:val="00CA0462"/>
    <w:rsid w:val="00CA0A06"/>
    <w:rsid w:val="00CB0247"/>
    <w:rsid w:val="00CB3440"/>
    <w:rsid w:val="00CC076D"/>
    <w:rsid w:val="00CC1692"/>
    <w:rsid w:val="00CD138B"/>
    <w:rsid w:val="00CD189E"/>
    <w:rsid w:val="00CD3E31"/>
    <w:rsid w:val="00CD74A3"/>
    <w:rsid w:val="00CE02CB"/>
    <w:rsid w:val="00CE0527"/>
    <w:rsid w:val="00CE300F"/>
    <w:rsid w:val="00CE351F"/>
    <w:rsid w:val="00CE4216"/>
    <w:rsid w:val="00CE5701"/>
    <w:rsid w:val="00CE5B23"/>
    <w:rsid w:val="00CE68A0"/>
    <w:rsid w:val="00CF1F16"/>
    <w:rsid w:val="00CF70AD"/>
    <w:rsid w:val="00CF7729"/>
    <w:rsid w:val="00D00059"/>
    <w:rsid w:val="00D00088"/>
    <w:rsid w:val="00D02E53"/>
    <w:rsid w:val="00D107FA"/>
    <w:rsid w:val="00D12275"/>
    <w:rsid w:val="00D12766"/>
    <w:rsid w:val="00D171BF"/>
    <w:rsid w:val="00D20FF4"/>
    <w:rsid w:val="00D2152F"/>
    <w:rsid w:val="00D229B0"/>
    <w:rsid w:val="00D24D2C"/>
    <w:rsid w:val="00D265DF"/>
    <w:rsid w:val="00D35881"/>
    <w:rsid w:val="00D63CB5"/>
    <w:rsid w:val="00D70996"/>
    <w:rsid w:val="00D847BC"/>
    <w:rsid w:val="00D84CE1"/>
    <w:rsid w:val="00D9036E"/>
    <w:rsid w:val="00DA24F6"/>
    <w:rsid w:val="00DA3E63"/>
    <w:rsid w:val="00DA7A71"/>
    <w:rsid w:val="00DA7DA5"/>
    <w:rsid w:val="00DB073B"/>
    <w:rsid w:val="00DB143B"/>
    <w:rsid w:val="00DB78F0"/>
    <w:rsid w:val="00DC2E43"/>
    <w:rsid w:val="00DC33E1"/>
    <w:rsid w:val="00DD095C"/>
    <w:rsid w:val="00DD1020"/>
    <w:rsid w:val="00DD1330"/>
    <w:rsid w:val="00DD48F3"/>
    <w:rsid w:val="00DD5243"/>
    <w:rsid w:val="00DD5F81"/>
    <w:rsid w:val="00DE0B83"/>
    <w:rsid w:val="00DE1A81"/>
    <w:rsid w:val="00DE1C13"/>
    <w:rsid w:val="00DE4E10"/>
    <w:rsid w:val="00DE7395"/>
    <w:rsid w:val="00DE7B33"/>
    <w:rsid w:val="00DF5C15"/>
    <w:rsid w:val="00DF6764"/>
    <w:rsid w:val="00DF6C5B"/>
    <w:rsid w:val="00E02ABF"/>
    <w:rsid w:val="00E02EF3"/>
    <w:rsid w:val="00E07BAD"/>
    <w:rsid w:val="00E10CCC"/>
    <w:rsid w:val="00E14995"/>
    <w:rsid w:val="00E14DB5"/>
    <w:rsid w:val="00E179CD"/>
    <w:rsid w:val="00E23E8D"/>
    <w:rsid w:val="00E30AFE"/>
    <w:rsid w:val="00E37F98"/>
    <w:rsid w:val="00E44D98"/>
    <w:rsid w:val="00E46559"/>
    <w:rsid w:val="00E53B66"/>
    <w:rsid w:val="00E5553C"/>
    <w:rsid w:val="00E6670C"/>
    <w:rsid w:val="00E71777"/>
    <w:rsid w:val="00E733FE"/>
    <w:rsid w:val="00E7391A"/>
    <w:rsid w:val="00E762E4"/>
    <w:rsid w:val="00E776E8"/>
    <w:rsid w:val="00E84776"/>
    <w:rsid w:val="00E92C1F"/>
    <w:rsid w:val="00E95D4B"/>
    <w:rsid w:val="00EA2059"/>
    <w:rsid w:val="00EA6BAD"/>
    <w:rsid w:val="00EB199F"/>
    <w:rsid w:val="00EB4B7F"/>
    <w:rsid w:val="00EC145E"/>
    <w:rsid w:val="00EC23F7"/>
    <w:rsid w:val="00EC3834"/>
    <w:rsid w:val="00EC4BD8"/>
    <w:rsid w:val="00EC63EB"/>
    <w:rsid w:val="00EC7AAF"/>
    <w:rsid w:val="00ED0655"/>
    <w:rsid w:val="00ED11D9"/>
    <w:rsid w:val="00ED2014"/>
    <w:rsid w:val="00ED34BF"/>
    <w:rsid w:val="00ED412F"/>
    <w:rsid w:val="00ED70A9"/>
    <w:rsid w:val="00EE5FB9"/>
    <w:rsid w:val="00EF0F90"/>
    <w:rsid w:val="00EF36B2"/>
    <w:rsid w:val="00EF71ED"/>
    <w:rsid w:val="00F01F60"/>
    <w:rsid w:val="00F063E8"/>
    <w:rsid w:val="00F123BF"/>
    <w:rsid w:val="00F13DD3"/>
    <w:rsid w:val="00F201EC"/>
    <w:rsid w:val="00F208A9"/>
    <w:rsid w:val="00F2434D"/>
    <w:rsid w:val="00F30C0C"/>
    <w:rsid w:val="00F311D2"/>
    <w:rsid w:val="00F31BA0"/>
    <w:rsid w:val="00F320FE"/>
    <w:rsid w:val="00F40437"/>
    <w:rsid w:val="00F41D75"/>
    <w:rsid w:val="00F50805"/>
    <w:rsid w:val="00F5139D"/>
    <w:rsid w:val="00F540A1"/>
    <w:rsid w:val="00F54AF2"/>
    <w:rsid w:val="00F56B17"/>
    <w:rsid w:val="00F63DAC"/>
    <w:rsid w:val="00F709FE"/>
    <w:rsid w:val="00F7454F"/>
    <w:rsid w:val="00F77988"/>
    <w:rsid w:val="00F77F48"/>
    <w:rsid w:val="00F8079A"/>
    <w:rsid w:val="00F869D2"/>
    <w:rsid w:val="00FA2C59"/>
    <w:rsid w:val="00FA5712"/>
    <w:rsid w:val="00FB30F1"/>
    <w:rsid w:val="00FB53E7"/>
    <w:rsid w:val="00FB72E5"/>
    <w:rsid w:val="00FC2075"/>
    <w:rsid w:val="00FC3550"/>
    <w:rsid w:val="00FC35E5"/>
    <w:rsid w:val="00FD6A34"/>
    <w:rsid w:val="00FE0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1DE50F89-DD57-43FF-B4D0-65998573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styleId="Izteiksmgs">
    <w:name w:val="Strong"/>
    <w:qFormat/>
    <w:rsid w:val="00F50805"/>
    <w:rPr>
      <w:b/>
      <w:bCs/>
    </w:rPr>
  </w:style>
  <w:style w:type="paragraph" w:styleId="Sarakstarindkopa">
    <w:name w:val="List Paragraph"/>
    <w:basedOn w:val="Parasts"/>
    <w:uiPriority w:val="99"/>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rsid w:val="00143846"/>
    <w:pPr>
      <w:ind w:firstLine="720"/>
      <w:jc w:val="center"/>
    </w:pPr>
    <w:rPr>
      <w:b/>
      <w:sz w:val="28"/>
      <w:szCs w:val="20"/>
      <w:lang w:eastAsia="en-US"/>
    </w:rPr>
  </w:style>
  <w:style w:type="character" w:customStyle="1" w:styleId="Pamattekstaatkpe2Rakstz">
    <w:name w:val="Pamatteksta atkāpe 2 Rakstz."/>
    <w:link w:val="Pamattekstaatkpe2"/>
    <w:rsid w:val="00143846"/>
    <w:rPr>
      <w:b/>
      <w:sz w:val="28"/>
      <w:lang w:eastAsia="en-US"/>
    </w:rPr>
  </w:style>
  <w:style w:type="character" w:customStyle="1" w:styleId="GalveneRakstz">
    <w:name w:val="Galvene Rakstz."/>
    <w:link w:val="Galvene"/>
    <w:rsid w:val="00147657"/>
    <w:rPr>
      <w:sz w:val="24"/>
      <w:szCs w:val="24"/>
    </w:rPr>
  </w:style>
  <w:style w:type="paragraph" w:customStyle="1" w:styleId="tvhtml">
    <w:name w:val="tv_html"/>
    <w:basedOn w:val="Parasts"/>
    <w:rsid w:val="00192B94"/>
    <w:pPr>
      <w:spacing w:before="100" w:beforeAutospacing="1" w:after="100" w:afterAutospacing="1"/>
    </w:pPr>
  </w:style>
  <w:style w:type="paragraph" w:styleId="Prskatjums">
    <w:name w:val="Revision"/>
    <w:hidden/>
    <w:uiPriority w:val="99"/>
    <w:semiHidden/>
    <w:rsid w:val="006507F3"/>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2549">
      <w:bodyDiv w:val="1"/>
      <w:marLeft w:val="0"/>
      <w:marRight w:val="0"/>
      <w:marTop w:val="0"/>
      <w:marBottom w:val="0"/>
      <w:divBdr>
        <w:top w:val="none" w:sz="0" w:space="0" w:color="auto"/>
        <w:left w:val="none" w:sz="0" w:space="0" w:color="auto"/>
        <w:bottom w:val="none" w:sz="0" w:space="0" w:color="auto"/>
        <w:right w:val="none" w:sz="0" w:space="0" w:color="auto"/>
      </w:divBdr>
    </w:div>
    <w:div w:id="15033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l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1AC2-E057-44D7-9264-B4A53C89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3855</Words>
  <Characters>25527</Characters>
  <Application>Microsoft Office Word</Application>
  <DocSecurity>0</DocSecurity>
  <Lines>945</Lines>
  <Paragraphs>349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piena produktu piegādei izglītojamiem vispārējās izglītības iestādēs</vt:lpstr>
      <vt:lpstr>Kārtība, kādā piešķir, administrē un uzrauga valsts un Eiropas Savienības atbalstu piena produktu piegādei izglītojamajiem vispārējās izglītības iestādēs"</vt:lpstr>
    </vt:vector>
  </TitlesOfParts>
  <Company>Zemkopības ministrija</Company>
  <LinksUpToDate>false</LinksUpToDate>
  <CharactersWithSpaces>29033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piena produktu piegādei izglītojamiem vispārējās izglītības iestādēs</dc:title>
  <dc:subject>Anotācija</dc:subject>
  <dc:creator>Inga Orlova</dc:creator>
  <cp:keywords/>
  <dc:description/>
  <cp:lastModifiedBy>Alise Apalupa</cp:lastModifiedBy>
  <cp:revision>4</cp:revision>
  <cp:lastPrinted>2011-01-25T08:47:00Z</cp:lastPrinted>
  <dcterms:created xsi:type="dcterms:W3CDTF">2015-09-04T07:59:00Z</dcterms:created>
  <dcterms:modified xsi:type="dcterms:W3CDTF">2015-09-04T09:48:00Z</dcterms:modified>
</cp:coreProperties>
</file>