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5A" w:rsidRPr="005222D8" w:rsidRDefault="00CD135A" w:rsidP="00CD135A">
      <w:pPr>
        <w:jc w:val="center"/>
        <w:rPr>
          <w:rFonts w:cs="Times New Roman"/>
          <w:b/>
          <w:sz w:val="24"/>
          <w:szCs w:val="24"/>
          <w:lang w:eastAsia="lv-LV" w:bidi="ar-SA"/>
        </w:rPr>
      </w:pPr>
      <w:bookmarkStart w:id="0" w:name="468683"/>
      <w:bookmarkStart w:id="1" w:name="_GoBack"/>
      <w:bookmarkEnd w:id="0"/>
      <w:bookmarkEnd w:id="1"/>
      <w:r w:rsidRPr="005222D8">
        <w:rPr>
          <w:rFonts w:cs="Times New Roman"/>
          <w:b/>
          <w:sz w:val="24"/>
          <w:szCs w:val="24"/>
          <w:lang w:eastAsia="lv-LV" w:bidi="ar-SA"/>
        </w:rPr>
        <w:t xml:space="preserve">Ministru kabineta </w:t>
      </w:r>
      <w:r w:rsidR="00F45BEC" w:rsidRPr="00F45BEC">
        <w:rPr>
          <w:rFonts w:cs="Times New Roman"/>
          <w:b/>
          <w:sz w:val="24"/>
          <w:szCs w:val="24"/>
          <w:lang w:eastAsia="lv-LV" w:bidi="ar-SA"/>
        </w:rPr>
        <w:t>rīkojuma</w:t>
      </w:r>
      <w:r w:rsidRPr="005222D8">
        <w:rPr>
          <w:b/>
          <w:bCs/>
          <w:sz w:val="24"/>
          <w:szCs w:val="24"/>
        </w:rPr>
        <w:t xml:space="preserve"> projekta</w:t>
      </w:r>
    </w:p>
    <w:p w:rsidR="00226001" w:rsidRPr="005222D8" w:rsidRDefault="00621861" w:rsidP="00CD135A">
      <w:pPr>
        <w:jc w:val="center"/>
        <w:rPr>
          <w:rFonts w:cs="Times New Roman"/>
          <w:b/>
          <w:sz w:val="24"/>
          <w:szCs w:val="24"/>
          <w:lang w:eastAsia="lv-LV" w:bidi="ar-SA"/>
        </w:rPr>
      </w:pPr>
      <w:r>
        <w:rPr>
          <w:rFonts w:cs="Times New Roman"/>
          <w:b/>
          <w:sz w:val="24"/>
          <w:szCs w:val="24"/>
          <w:lang w:eastAsia="lv-LV" w:bidi="ar-SA"/>
        </w:rPr>
        <w:t>“</w:t>
      </w:r>
      <w:r w:rsidR="00A35EDA" w:rsidRPr="00A35EDA">
        <w:rPr>
          <w:rFonts w:cs="Times New Roman"/>
          <w:b/>
          <w:sz w:val="24"/>
          <w:szCs w:val="24"/>
          <w:lang w:eastAsia="lv-LV" w:bidi="ar-SA"/>
        </w:rPr>
        <w:t>Par papildu saistību uzņemšanos projekta „Vienots informācijas logs jūrniecības un loģistikas datu administrēšanai” ietvaros</w:t>
      </w:r>
      <w:r>
        <w:rPr>
          <w:rFonts w:cs="Times New Roman"/>
          <w:b/>
          <w:sz w:val="24"/>
          <w:szCs w:val="24"/>
          <w:lang w:eastAsia="lv-LV" w:bidi="ar-SA"/>
        </w:rPr>
        <w:t>”</w:t>
      </w:r>
      <w:r w:rsidR="00CD135A" w:rsidRPr="005222D8">
        <w:rPr>
          <w:b/>
          <w:bCs/>
          <w:sz w:val="24"/>
          <w:szCs w:val="24"/>
        </w:rPr>
        <w:t xml:space="preserve"> </w:t>
      </w:r>
      <w:r w:rsidR="00226001" w:rsidRPr="005222D8">
        <w:rPr>
          <w:b/>
          <w:bCs/>
          <w:sz w:val="24"/>
          <w:szCs w:val="24"/>
        </w:rPr>
        <w:t>sākotnējās ietekmes novērtējuma ziņojums (anotācija)</w:t>
      </w:r>
    </w:p>
    <w:p w:rsidR="00226001" w:rsidRDefault="00226001" w:rsidP="00226001">
      <w:pPr>
        <w:rPr>
          <w:iCs/>
          <w:color w:val="FF0000"/>
          <w:sz w:val="24"/>
          <w:szCs w:val="24"/>
        </w:rPr>
      </w:pPr>
    </w:p>
    <w:p w:rsidR="003C4502" w:rsidRPr="005222D8" w:rsidRDefault="003C4502" w:rsidP="00226001">
      <w:pPr>
        <w:rPr>
          <w:iCs/>
          <w:color w:val="FF0000"/>
          <w:sz w:val="24"/>
          <w:szCs w:val="24"/>
        </w:rPr>
      </w:pPr>
    </w:p>
    <w:tbl>
      <w:tblPr>
        <w:tblW w:w="5699" w:type="pct"/>
        <w:tblCellSpacing w:w="15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2404"/>
        <w:gridCol w:w="6211"/>
      </w:tblGrid>
      <w:tr w:rsidR="007C1053" w:rsidRPr="005222D8" w:rsidTr="00EB2F97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5222D8" w:rsidRDefault="00226001" w:rsidP="00226001">
            <w:pPr>
              <w:rPr>
                <w:b/>
                <w:bCs/>
                <w:sz w:val="24"/>
                <w:szCs w:val="24"/>
              </w:rPr>
            </w:pPr>
            <w:r w:rsidRPr="005222D8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7C1053" w:rsidRPr="005222D8" w:rsidTr="00EB2F97">
        <w:trPr>
          <w:trHeight w:val="405"/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1.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AF4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Pamatojums</w:t>
            </w:r>
          </w:p>
          <w:p w:rsidR="00226001" w:rsidRPr="005222D8" w:rsidRDefault="00226001" w:rsidP="00055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5C7" w:rsidRPr="005222D8" w:rsidRDefault="00C664B0" w:rsidP="007278B8">
            <w:pPr>
              <w:ind w:firstLine="554"/>
              <w:jc w:val="both"/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Ministru kabineta 201</w:t>
            </w:r>
            <w:r w:rsidR="007278B8" w:rsidRPr="005222D8">
              <w:rPr>
                <w:sz w:val="24"/>
                <w:szCs w:val="24"/>
              </w:rPr>
              <w:t>3</w:t>
            </w:r>
            <w:r w:rsidRPr="005222D8">
              <w:rPr>
                <w:sz w:val="24"/>
                <w:szCs w:val="24"/>
              </w:rPr>
              <w:t>.gada 1</w:t>
            </w:r>
            <w:r w:rsidR="007278B8" w:rsidRPr="005222D8">
              <w:rPr>
                <w:sz w:val="24"/>
                <w:szCs w:val="24"/>
              </w:rPr>
              <w:t>7.decembra</w:t>
            </w:r>
            <w:r w:rsidRPr="005222D8">
              <w:rPr>
                <w:sz w:val="24"/>
                <w:szCs w:val="24"/>
              </w:rPr>
              <w:t xml:space="preserve"> sēdes protokola Nr.6</w:t>
            </w:r>
            <w:r w:rsidR="007278B8" w:rsidRPr="005222D8">
              <w:rPr>
                <w:sz w:val="24"/>
                <w:szCs w:val="24"/>
              </w:rPr>
              <w:t>7</w:t>
            </w:r>
            <w:r w:rsidRPr="005222D8">
              <w:rPr>
                <w:sz w:val="24"/>
                <w:szCs w:val="24"/>
              </w:rPr>
              <w:t xml:space="preserve"> </w:t>
            </w:r>
            <w:r w:rsidR="007278B8" w:rsidRPr="005222D8">
              <w:rPr>
                <w:sz w:val="24"/>
                <w:szCs w:val="24"/>
              </w:rPr>
              <w:t>86</w:t>
            </w:r>
            <w:r w:rsidRPr="005222D8">
              <w:rPr>
                <w:sz w:val="24"/>
                <w:szCs w:val="24"/>
              </w:rPr>
              <w:t xml:space="preserve">.§ </w:t>
            </w:r>
            <w:r w:rsidR="007278B8" w:rsidRPr="005222D8">
              <w:rPr>
                <w:sz w:val="24"/>
                <w:szCs w:val="24"/>
              </w:rPr>
              <w:t>„Informatīvai</w:t>
            </w:r>
            <w:r w:rsidR="00621861">
              <w:rPr>
                <w:sz w:val="24"/>
                <w:szCs w:val="24"/>
              </w:rPr>
              <w:t>s</w:t>
            </w:r>
            <w:r w:rsidR="007278B8" w:rsidRPr="005222D8">
              <w:rPr>
                <w:sz w:val="24"/>
                <w:szCs w:val="24"/>
              </w:rPr>
              <w:t xml:space="preserve"> ziņojums „Par papildu valsts budžeta saistību uzņemšanos Kuģu satiksmes uzraudzības un informācijas datu apmaiņas sistēmas pilnveidošanai un Direktīvas 2010/65/ES ieviešanai” 2. un 3.punkts.</w:t>
            </w:r>
          </w:p>
        </w:tc>
      </w:tr>
      <w:tr w:rsidR="007C1053" w:rsidRPr="005222D8" w:rsidTr="00EB2F97">
        <w:trPr>
          <w:trHeight w:val="465"/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2.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7E" w:rsidRPr="005222D8" w:rsidRDefault="0041667E" w:rsidP="00853C27">
            <w:pPr>
              <w:pStyle w:val="ListParagraph"/>
              <w:ind w:left="129" w:firstLine="591"/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5222D8">
              <w:rPr>
                <w:rFonts w:cs="Times New Roman"/>
                <w:sz w:val="24"/>
                <w:szCs w:val="24"/>
                <w:lang w:bidi="ar-SA"/>
              </w:rPr>
              <w:t>2013.gada 26.novembrī tika pieņemts Eiropas Komisijas</w:t>
            </w:r>
            <w:r w:rsidR="005222D8" w:rsidRPr="005222D8">
              <w:rPr>
                <w:rFonts w:cs="Times New Roman"/>
                <w:sz w:val="24"/>
                <w:szCs w:val="24"/>
                <w:lang w:bidi="ar-SA"/>
              </w:rPr>
              <w:t xml:space="preserve"> (EK)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lēmums „Par savienības finansiālā atbalsta piešķiršanu vispārējas intereses projektiem Eiropas transporta tīklu (</w:t>
            </w:r>
            <w:r w:rsidRPr="005222D8">
              <w:rPr>
                <w:rFonts w:cs="Times New Roman"/>
                <w:i/>
                <w:sz w:val="24"/>
                <w:szCs w:val="24"/>
                <w:lang w:bidi="ar-SA"/>
              </w:rPr>
              <w:t>TEN-T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>) jomā – „ANNA – Attīstīti valstu pārvaldes iestāžu tīkli”- 2012-EU-21019-S” un 2013.gada 17.decembra sēdē Ministru kabinets atbalstīja finansējuma piešķiršanu Aizsardzības ministrijai šī projekta Latvijas līdzfinansējuma daļas nodrošināšanai.</w:t>
            </w:r>
          </w:p>
          <w:p w:rsidR="003113A1" w:rsidRDefault="003113A1" w:rsidP="003113A1">
            <w:pPr>
              <w:pStyle w:val="ListParagraph"/>
              <w:ind w:left="129" w:firstLine="591"/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Projekta realizācijas gaitā no </w:t>
            </w:r>
            <w:r w:rsidR="007B4A0B">
              <w:rPr>
                <w:rFonts w:cs="Times New Roman"/>
                <w:sz w:val="24"/>
                <w:szCs w:val="24"/>
                <w:lang w:bidi="ar-SA"/>
              </w:rPr>
              <w:t>projekta izpildītāja vadošās puses (Nīderlandes)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ir saņemta informācija, ka Latvijas gadījumā apgūto finansējumu nepieciešams deklarēt bez </w:t>
            </w:r>
            <w:r w:rsidR="00397573" w:rsidRPr="005222D8">
              <w:rPr>
                <w:rFonts w:cs="Times New Roman"/>
                <w:sz w:val="24"/>
                <w:szCs w:val="24"/>
                <w:lang w:bidi="ar-SA"/>
              </w:rPr>
              <w:t>Pievienotās vērtības nodokļa (PVN)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>, jo projekta realizētājs ir publiska struktūra</w:t>
            </w:r>
            <w:r w:rsidR="006558D5" w:rsidRPr="005222D8">
              <w:rPr>
                <w:rFonts w:cs="Times New Roman"/>
                <w:sz w:val="24"/>
                <w:szCs w:val="24"/>
                <w:lang w:bidi="ar-SA"/>
              </w:rPr>
              <w:t xml:space="preserve"> (Nacionālo bruņoto spēku Jūras spēku flotiles Krasta apsardzes dienests)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, līdz ar to </w:t>
            </w:r>
            <w:r w:rsidR="00397573" w:rsidRPr="005222D8">
              <w:rPr>
                <w:rFonts w:cs="Times New Roman"/>
                <w:sz w:val="24"/>
                <w:szCs w:val="24"/>
                <w:lang w:bidi="ar-SA"/>
              </w:rPr>
              <w:t>atbilstoši EK regula</w:t>
            </w:r>
            <w:r w:rsidR="00EC3BF8">
              <w:rPr>
                <w:rFonts w:cs="Times New Roman"/>
                <w:sz w:val="24"/>
                <w:szCs w:val="24"/>
                <w:lang w:bidi="ar-SA"/>
              </w:rPr>
              <w:t>s</w:t>
            </w:r>
            <w:r w:rsidR="00397573" w:rsidRPr="005222D8">
              <w:rPr>
                <w:rFonts w:cs="Times New Roman"/>
                <w:sz w:val="24"/>
                <w:szCs w:val="24"/>
                <w:lang w:bidi="ar-SA"/>
              </w:rPr>
              <w:t xml:space="preserve"> Nr. 680/2007 </w:t>
            </w:r>
            <w:r w:rsidR="00EC3BF8">
              <w:rPr>
                <w:rFonts w:cs="Times New Roman"/>
                <w:sz w:val="24"/>
                <w:szCs w:val="24"/>
                <w:lang w:bidi="ar-SA"/>
              </w:rPr>
              <w:t xml:space="preserve">10.panta 2.punktam 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>Latv</w:t>
            </w:r>
            <w:r w:rsidR="006C1962">
              <w:rPr>
                <w:rFonts w:cs="Times New Roman"/>
                <w:sz w:val="24"/>
                <w:szCs w:val="24"/>
                <w:lang w:bidi="ar-SA"/>
              </w:rPr>
              <w:t>ijas projektu realizētāja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maksātais PVN nav uzskatāms par</w:t>
            </w:r>
            <w:r w:rsidR="006558D5" w:rsidRPr="005222D8">
              <w:rPr>
                <w:rFonts w:cs="Times New Roman"/>
                <w:sz w:val="24"/>
                <w:szCs w:val="24"/>
                <w:lang w:bidi="ar-SA"/>
              </w:rPr>
              <w:t xml:space="preserve"> uz EK līdzfinansējumu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attiecināmajam izmaksām un jāsedz Latvijas pusei.</w:t>
            </w:r>
          </w:p>
          <w:p w:rsidR="005222D8" w:rsidRPr="005222D8" w:rsidRDefault="00CC59DB" w:rsidP="006558D5">
            <w:pPr>
              <w:pStyle w:val="ListParagraph"/>
              <w:ind w:left="129" w:firstLine="591"/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Lai nodrošinātu PVN apmaksu projektā iesaistītajiem pakalpojumu sniedzējiem, projekta īstenošanai papildu nepieciešami </w:t>
            </w:r>
            <w:r w:rsidR="005F2665">
              <w:rPr>
                <w:rFonts w:cs="Times New Roman"/>
                <w:sz w:val="24"/>
                <w:szCs w:val="24"/>
                <w:lang w:bidi="ar-SA"/>
              </w:rPr>
              <w:t>106 177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222D8">
              <w:rPr>
                <w:rFonts w:cs="Times New Roman"/>
                <w:i/>
                <w:sz w:val="24"/>
                <w:szCs w:val="24"/>
                <w:lang w:bidi="ar-SA"/>
              </w:rPr>
              <w:t>euro</w:t>
            </w:r>
            <w:proofErr w:type="spellEnd"/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. </w:t>
            </w:r>
            <w:r w:rsidR="00FF5B7A">
              <w:rPr>
                <w:rFonts w:cs="Times New Roman"/>
                <w:sz w:val="24"/>
                <w:szCs w:val="24"/>
                <w:lang w:bidi="ar-SA"/>
              </w:rPr>
              <w:t>Attiecīgi finansējuma piešķiršana šim pasākuma</w:t>
            </w:r>
            <w:r w:rsidR="003D663C">
              <w:rPr>
                <w:rFonts w:cs="Times New Roman"/>
                <w:sz w:val="24"/>
                <w:szCs w:val="24"/>
                <w:lang w:bidi="ar-SA"/>
              </w:rPr>
              <w:t>m</w:t>
            </w:r>
            <w:r w:rsidR="00FF5B7A">
              <w:rPr>
                <w:rFonts w:cs="Times New Roman"/>
                <w:sz w:val="24"/>
                <w:szCs w:val="24"/>
                <w:lang w:bidi="ar-SA"/>
              </w:rPr>
              <w:t xml:space="preserve"> ir fiskāli neitrāla - p</w:t>
            </w:r>
            <w:r w:rsidR="00FF5B7A" w:rsidRPr="005222D8">
              <w:rPr>
                <w:rFonts w:cs="Times New Roman"/>
                <w:sz w:val="24"/>
                <w:szCs w:val="24"/>
                <w:lang w:bidi="ar-SA"/>
              </w:rPr>
              <w:t xml:space="preserve">apildu prasītie finanšu līdzekļi </w:t>
            </w:r>
            <w:r w:rsidR="005F2665">
              <w:rPr>
                <w:rFonts w:cs="Times New Roman"/>
                <w:sz w:val="24"/>
                <w:szCs w:val="24"/>
                <w:lang w:bidi="ar-SA"/>
              </w:rPr>
              <w:t>106 177</w:t>
            </w:r>
            <w:r w:rsidR="000655C7" w:rsidRPr="000655C7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F5B7A" w:rsidRPr="005222D8">
              <w:rPr>
                <w:rFonts w:cs="Times New Roman"/>
                <w:i/>
                <w:sz w:val="24"/>
                <w:szCs w:val="24"/>
                <w:lang w:bidi="ar-SA"/>
              </w:rPr>
              <w:t>euro</w:t>
            </w:r>
            <w:proofErr w:type="spellEnd"/>
            <w:r w:rsidR="00FF5B7A" w:rsidRPr="005222D8">
              <w:rPr>
                <w:rFonts w:cs="Times New Roman"/>
                <w:sz w:val="24"/>
                <w:szCs w:val="24"/>
                <w:lang w:bidi="ar-SA"/>
              </w:rPr>
              <w:t xml:space="preserve"> tiks atgriezti valsts budžetā kā projekta realizēšanā iesaistīto uzņēmumu PVN maksājumi, jo</w:t>
            </w:r>
            <w:r w:rsidR="00FF5B7A" w:rsidRPr="005222D8">
              <w:rPr>
                <w:sz w:val="24"/>
                <w:szCs w:val="24"/>
              </w:rPr>
              <w:t xml:space="preserve"> </w:t>
            </w:r>
            <w:r w:rsidR="00FF5B7A" w:rsidRPr="005222D8">
              <w:rPr>
                <w:rFonts w:cs="Times New Roman"/>
                <w:sz w:val="24"/>
                <w:szCs w:val="24"/>
                <w:lang w:bidi="ar-SA"/>
              </w:rPr>
              <w:t xml:space="preserve">visi projektā iesaistītie pakalpojumu sniedzēji </w:t>
            </w:r>
            <w:r w:rsidR="00FF5B7A">
              <w:rPr>
                <w:rFonts w:cs="Times New Roman"/>
                <w:sz w:val="24"/>
                <w:szCs w:val="24"/>
                <w:lang w:bidi="ar-SA"/>
              </w:rPr>
              <w:t>ir Latvijas Republikā reģistrēti</w:t>
            </w:r>
            <w:r w:rsidR="00FF5B7A" w:rsidRPr="005222D8">
              <w:rPr>
                <w:rFonts w:cs="Times New Roman"/>
                <w:sz w:val="24"/>
                <w:szCs w:val="24"/>
                <w:lang w:bidi="ar-SA"/>
              </w:rPr>
              <w:t xml:space="preserve"> komersanti.</w:t>
            </w:r>
          </w:p>
          <w:p w:rsidR="006558D5" w:rsidRDefault="006558D5" w:rsidP="00FF5B7A">
            <w:pPr>
              <w:pStyle w:val="ListParagraph"/>
              <w:ind w:left="129" w:firstLine="591"/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5222D8">
              <w:rPr>
                <w:rFonts w:cs="Times New Roman"/>
                <w:sz w:val="24"/>
                <w:szCs w:val="24"/>
                <w:lang w:bidi="ar-SA"/>
              </w:rPr>
              <w:t>Ņemot vērā, ka</w:t>
            </w:r>
            <w:r w:rsidR="006C1962">
              <w:rPr>
                <w:rFonts w:cs="Times New Roman"/>
                <w:sz w:val="24"/>
                <w:szCs w:val="24"/>
                <w:lang w:bidi="ar-SA"/>
              </w:rPr>
              <w:t xml:space="preserve"> EK līdzfinansējuma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maksājums par 2015.gadā projekta ietvaros veiktajām aktivitātēm atbilstoši EK lēmumam</w:t>
            </w:r>
            <w:r w:rsidR="006C1962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tiek uzskatīts par Atlikuma maksājumu un </w:t>
            </w:r>
            <w:r w:rsidR="007B4A0B">
              <w:rPr>
                <w:rFonts w:cs="Times New Roman"/>
                <w:sz w:val="24"/>
                <w:szCs w:val="24"/>
                <w:lang w:bidi="ar-SA"/>
              </w:rPr>
              <w:t xml:space="preserve">līdz ar to no EK 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>tik</w:t>
            </w:r>
            <w:r w:rsidR="00397573" w:rsidRPr="005222D8">
              <w:rPr>
                <w:rFonts w:cs="Times New Roman"/>
                <w:sz w:val="24"/>
                <w:szCs w:val="24"/>
                <w:lang w:bidi="ar-SA"/>
              </w:rPr>
              <w:t>s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7B4A0B">
              <w:rPr>
                <w:rFonts w:cs="Times New Roman"/>
                <w:sz w:val="24"/>
                <w:szCs w:val="24"/>
                <w:lang w:bidi="ar-SA"/>
              </w:rPr>
              <w:t>saņemts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tikai pēc projekta noslēguma ziņojuma saņemšanas, 2015.gad</w:t>
            </w:r>
            <w:r w:rsidR="00FF5B7A">
              <w:rPr>
                <w:rFonts w:cs="Times New Roman"/>
                <w:sz w:val="24"/>
                <w:szCs w:val="24"/>
                <w:lang w:bidi="ar-SA"/>
              </w:rPr>
              <w:t>ā projekta realizēšanai papildu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nepiecie</w:t>
            </w:r>
            <w:r w:rsidR="00397573" w:rsidRPr="005222D8">
              <w:rPr>
                <w:rFonts w:cs="Times New Roman"/>
                <w:sz w:val="24"/>
                <w:szCs w:val="24"/>
                <w:lang w:bidi="ar-SA"/>
              </w:rPr>
              <w:t xml:space="preserve">šams </w:t>
            </w:r>
            <w:proofErr w:type="spellStart"/>
            <w:r w:rsidR="00397573" w:rsidRPr="005222D8">
              <w:rPr>
                <w:rFonts w:cs="Times New Roman"/>
                <w:sz w:val="24"/>
                <w:szCs w:val="24"/>
                <w:lang w:bidi="ar-SA"/>
              </w:rPr>
              <w:t>priekšfinansējums</w:t>
            </w:r>
            <w:proofErr w:type="spellEnd"/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 161 919 </w:t>
            </w:r>
            <w:proofErr w:type="spellStart"/>
            <w:r w:rsidRPr="005222D8">
              <w:rPr>
                <w:rFonts w:cs="Times New Roman"/>
                <w:i/>
                <w:sz w:val="24"/>
                <w:szCs w:val="24"/>
                <w:lang w:bidi="ar-SA"/>
              </w:rPr>
              <w:t>euro</w:t>
            </w:r>
            <w:proofErr w:type="spellEnd"/>
            <w:r w:rsidRPr="005222D8">
              <w:rPr>
                <w:rFonts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5222D8">
              <w:rPr>
                <w:rFonts w:cs="Times New Roman"/>
                <w:sz w:val="24"/>
                <w:szCs w:val="24"/>
                <w:lang w:bidi="ar-SA"/>
              </w:rPr>
              <w:t xml:space="preserve">apmērā. </w:t>
            </w:r>
            <w:r w:rsidR="00FF5B7A">
              <w:rPr>
                <w:rFonts w:cs="Times New Roman"/>
                <w:sz w:val="24"/>
                <w:szCs w:val="24"/>
                <w:lang w:bidi="ar-SA"/>
              </w:rPr>
              <w:t>Arī šis pasākums neradīs papildu slogu valsts budžetam, jo p</w:t>
            </w:r>
            <w:r w:rsidR="00397573" w:rsidRPr="00FF5B7A">
              <w:rPr>
                <w:rFonts w:cs="Times New Roman"/>
                <w:sz w:val="24"/>
                <w:szCs w:val="24"/>
                <w:lang w:bidi="ar-SA"/>
              </w:rPr>
              <w:t xml:space="preserve">rojekta noslēguma aktivitāšu </w:t>
            </w:r>
            <w:proofErr w:type="spellStart"/>
            <w:r w:rsidR="00397573" w:rsidRPr="00FF5B7A">
              <w:rPr>
                <w:rFonts w:cs="Times New Roman"/>
                <w:sz w:val="24"/>
                <w:szCs w:val="24"/>
                <w:lang w:bidi="ar-SA"/>
              </w:rPr>
              <w:t>priekšfinansējumu</w:t>
            </w:r>
            <w:proofErr w:type="spellEnd"/>
            <w:r w:rsidR="00397573" w:rsidRPr="00FF5B7A">
              <w:rPr>
                <w:rFonts w:cs="Times New Roman"/>
                <w:sz w:val="24"/>
                <w:szCs w:val="24"/>
                <w:lang w:bidi="ar-SA"/>
              </w:rPr>
              <w:t xml:space="preserve"> 161 919 </w:t>
            </w:r>
            <w:proofErr w:type="spellStart"/>
            <w:r w:rsidR="00397573" w:rsidRPr="00FF5B7A">
              <w:rPr>
                <w:rFonts w:cs="Times New Roman"/>
                <w:i/>
                <w:sz w:val="24"/>
                <w:szCs w:val="24"/>
                <w:lang w:bidi="ar-SA"/>
              </w:rPr>
              <w:t>euro</w:t>
            </w:r>
            <w:proofErr w:type="spellEnd"/>
            <w:r w:rsidR="00397573" w:rsidRPr="00FF5B7A">
              <w:rPr>
                <w:rFonts w:cs="Times New Roman"/>
                <w:sz w:val="24"/>
                <w:szCs w:val="24"/>
                <w:lang w:bidi="ar-SA"/>
              </w:rPr>
              <w:t xml:space="preserve"> apmērā Aizsardzības ministrija </w:t>
            </w:r>
            <w:r w:rsidR="005222D8" w:rsidRPr="00FF5B7A">
              <w:rPr>
                <w:rFonts w:cs="Times New Roman"/>
                <w:sz w:val="24"/>
                <w:szCs w:val="24"/>
                <w:lang w:bidi="ar-SA"/>
              </w:rPr>
              <w:t xml:space="preserve">ieskaitīs valsts budžetā pēc Atlikuma maksājuma </w:t>
            </w:r>
            <w:r w:rsidR="005222D8" w:rsidRPr="00FF5B7A">
              <w:rPr>
                <w:rFonts w:cs="Times New Roman"/>
                <w:sz w:val="24"/>
                <w:szCs w:val="24"/>
                <w:lang w:bidi="ar-SA"/>
              </w:rPr>
              <w:lastRenderedPageBreak/>
              <w:t>saņemšanas no EK</w:t>
            </w:r>
            <w:r w:rsidR="00FF5B7A">
              <w:rPr>
                <w:rFonts w:cs="Times New Roman"/>
                <w:sz w:val="24"/>
                <w:szCs w:val="24"/>
                <w:lang w:bidi="ar-SA"/>
              </w:rPr>
              <w:t>, kas plānota 2016.gadā.</w:t>
            </w:r>
          </w:p>
          <w:p w:rsidR="005F2665" w:rsidRPr="005F2665" w:rsidRDefault="005F2665" w:rsidP="005F2665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  <w:lang w:eastAsia="lv-LV"/>
              </w:rPr>
            </w:pPr>
            <w:r w:rsidRPr="003C4502">
              <w:rPr>
                <w:sz w:val="24"/>
                <w:szCs w:val="24"/>
                <w:lang w:eastAsia="lv-LV"/>
              </w:rPr>
              <w:t xml:space="preserve">Saskaņā ar </w:t>
            </w:r>
            <w:r w:rsidR="00C8334B" w:rsidRPr="00C8334B">
              <w:rPr>
                <w:sz w:val="24"/>
                <w:szCs w:val="24"/>
                <w:lang w:eastAsia="lv-LV"/>
              </w:rPr>
              <w:t>2013.gada 26.novembra EK lēmuma „Par savienības finansiālā atbalsta piešķiršanu vispārējas intereses projektiem Eiropas transporta tīklu (TEN-T) jomā – „ANNA – Attīstīti valstu pārvaldes iestāžu tīkli”- 2012-EU-21019-S” II.2.1.punktu projekts ir jārealizē līdz 2015.gada 31.decembrim. Saskaņā ar iepriekš minētā EK lēmuma III.4.6.punktu par projekta nerealizēšanu noteiktajā termiņā ir piemērojamas soda sankcijas.</w:t>
            </w:r>
          </w:p>
        </w:tc>
      </w:tr>
      <w:tr w:rsidR="007C1053" w:rsidRPr="005222D8" w:rsidTr="00EB2F97">
        <w:trPr>
          <w:trHeight w:val="465"/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F45BEC" w:rsidP="00BF5ABA">
            <w:pPr>
              <w:ind w:firstLine="554"/>
              <w:jc w:val="both"/>
              <w:rPr>
                <w:sz w:val="24"/>
                <w:szCs w:val="24"/>
              </w:rPr>
            </w:pPr>
            <w:r w:rsidRPr="00F45BEC">
              <w:rPr>
                <w:sz w:val="24"/>
                <w:szCs w:val="24"/>
              </w:rPr>
              <w:t>Rīkojuma</w:t>
            </w:r>
            <w:r>
              <w:rPr>
                <w:sz w:val="24"/>
                <w:szCs w:val="24"/>
              </w:rPr>
              <w:t xml:space="preserve"> </w:t>
            </w:r>
            <w:r w:rsidR="00910940" w:rsidRPr="005222D8">
              <w:rPr>
                <w:sz w:val="24"/>
                <w:szCs w:val="24"/>
              </w:rPr>
              <w:t>projekts ir izstrādāts Aizsardzības ministrijā sadarbībā ar Nacionālajiem bruņotajiem spēkiem.</w:t>
            </w:r>
          </w:p>
        </w:tc>
      </w:tr>
      <w:tr w:rsidR="007C1053" w:rsidRPr="005222D8" w:rsidTr="00EB2F97">
        <w:trPr>
          <w:tblCellSpacing w:w="15" w:type="dxa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4.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Cita informācija</w:t>
            </w:r>
          </w:p>
        </w:tc>
        <w:tc>
          <w:tcPr>
            <w:tcW w:w="3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4B0" w:rsidRPr="005222D8" w:rsidRDefault="00FA28E4" w:rsidP="00D81FF1">
            <w:pPr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ietekme uz valsts budžetu ir fiskāli neitrāla.</w:t>
            </w:r>
          </w:p>
        </w:tc>
      </w:tr>
    </w:tbl>
    <w:p w:rsidR="00EB2F97" w:rsidRDefault="00EB2F97">
      <w:pPr>
        <w:rPr>
          <w:sz w:val="24"/>
          <w:szCs w:val="24"/>
        </w:rPr>
      </w:pPr>
    </w:p>
    <w:p w:rsidR="003C4502" w:rsidRPr="005222D8" w:rsidRDefault="003C4502">
      <w:pPr>
        <w:rPr>
          <w:sz w:val="24"/>
          <w:szCs w:val="24"/>
        </w:rPr>
      </w:pPr>
    </w:p>
    <w:tbl>
      <w:tblPr>
        <w:tblW w:w="9334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196"/>
        <w:gridCol w:w="1312"/>
        <w:gridCol w:w="1391"/>
        <w:gridCol w:w="1391"/>
        <w:gridCol w:w="1755"/>
        <w:gridCol w:w="23"/>
      </w:tblGrid>
      <w:tr w:rsidR="00A35EDA" w:rsidRPr="000655C7" w:rsidTr="00A35EDA">
        <w:trPr>
          <w:jc w:val="center"/>
        </w:trPr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0655C7">
              <w:rPr>
                <w:b/>
              </w:rPr>
              <w:t>III. Tiesību akta projekta ietekme uz valsts budžetu un pašvaldību budžetiem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left="114" w:hanging="114"/>
              <w:jc w:val="center"/>
              <w:rPr>
                <w:b/>
              </w:rPr>
            </w:pPr>
            <w:r w:rsidRPr="000655C7">
              <w:rPr>
                <w:b/>
              </w:rPr>
              <w:t>Rādītāji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 w:rsidP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0655C7">
              <w:rPr>
                <w:b/>
              </w:rPr>
              <w:t>2015.gads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t>Turpmākie trīs gadi (</w:t>
            </w:r>
            <w:proofErr w:type="spellStart"/>
            <w:r w:rsidRPr="000655C7">
              <w:rPr>
                <w:i/>
              </w:rPr>
              <w:t>euro</w:t>
            </w:r>
            <w:proofErr w:type="spellEnd"/>
            <w:r w:rsidRPr="000655C7">
              <w:t>)</w:t>
            </w:r>
          </w:p>
        </w:tc>
      </w:tr>
      <w:tr w:rsidR="00A35EDA" w:rsidRPr="000655C7" w:rsidTr="00A35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 w:rsidP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rPr>
                <w:b/>
                <w:bCs/>
              </w:rPr>
              <w:t>2016.gads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rPr>
                <w:b/>
                <w:bCs/>
              </w:rPr>
              <w:t>2017.gads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rPr>
                <w:b/>
                <w:bCs/>
              </w:rPr>
              <w:t>2018.gads</w:t>
            </w:r>
          </w:p>
        </w:tc>
      </w:tr>
      <w:tr w:rsidR="00A35EDA" w:rsidRPr="000655C7" w:rsidTr="00A35E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t>Saskaņā ar valsts budžetu kārtējam gadam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t>Izmaiņas kārtējā gadā, salīdzinot ar budžetu kārtējam gadam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t>Izmaiņas, salīdzinot ar kārtējo (n) gadu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t>Izmaiņas, salīdzinot ar kārtējo (n) gadu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0655C7">
              <w:t>Izmaiņas, salīdzinot ar kārtējo (n) gadu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0655C7">
              <w:rPr>
                <w:bCs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0655C7">
              <w:rPr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0655C7">
              <w:rPr>
                <w:bCs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0655C7">
              <w:rPr>
                <w:bCs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0655C7">
              <w:rPr>
                <w:bCs/>
              </w:rPr>
              <w:t>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0655C7">
              <w:rPr>
                <w:bCs/>
              </w:rPr>
              <w:t>6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0655C7">
              <w:t>1. Budžeta ieņēmumi: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271A7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655C7" w:rsidRPr="00657C6C">
              <w:rPr>
                <w:b/>
              </w:rPr>
              <w:t>161 919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0655C7">
              <w:t>1.1. valsts pamatbudžets, tai skaitā ieņēmumi no maksas pakalpojumiem un citi pašu ieņēmumi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271A73">
            <w:pPr>
              <w:pStyle w:val="naisf"/>
              <w:spacing w:before="0" w:after="0"/>
              <w:ind w:firstLine="0"/>
              <w:jc w:val="center"/>
            </w:pPr>
            <w:r>
              <w:t>+</w:t>
            </w:r>
            <w:r w:rsidR="000655C7" w:rsidRPr="00657C6C">
              <w:t>161 919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0655C7">
              <w:t>1.2. valsts speciālais budžets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0655C7">
              <w:t>1.3. pašvaldību budžets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2. Budžeta izdevumi: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657C6C" w:rsidP="005F2665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+</w:t>
            </w:r>
            <w:r w:rsidR="005F2665">
              <w:rPr>
                <w:b/>
              </w:rPr>
              <w:t>268 096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2.1. valsts pamatbudžets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657C6C" w:rsidP="005F2665">
            <w:pPr>
              <w:pStyle w:val="naisf"/>
              <w:spacing w:before="0" w:after="0"/>
              <w:ind w:firstLine="0"/>
              <w:jc w:val="center"/>
            </w:pPr>
            <w:r w:rsidRPr="00657C6C">
              <w:t>+</w:t>
            </w:r>
            <w:r w:rsidR="005F2665">
              <w:t>268 096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2.2. valsts speciālais budžets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3. Finansiālā ietekme: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 w:rsidP="005F2665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-</w:t>
            </w:r>
            <w:r w:rsidR="005F2665">
              <w:rPr>
                <w:b/>
              </w:rPr>
              <w:t>268 096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271A73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657C6C">
              <w:rPr>
                <w:b/>
              </w:rPr>
              <w:t>161 919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657C6C">
              <w:rPr>
                <w:b/>
              </w:rPr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3.1. valsts pamatbudžets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 w:rsidP="005F2665">
            <w:pPr>
              <w:pStyle w:val="naisf"/>
              <w:spacing w:before="0" w:after="0"/>
              <w:ind w:firstLine="0"/>
              <w:jc w:val="center"/>
            </w:pPr>
            <w:r w:rsidRPr="00657C6C">
              <w:t>-</w:t>
            </w:r>
            <w:r w:rsidR="005F2665">
              <w:t>268 096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271A73">
            <w:pPr>
              <w:pStyle w:val="naisf"/>
              <w:spacing w:before="0" w:after="0"/>
              <w:ind w:firstLine="0"/>
              <w:jc w:val="center"/>
            </w:pPr>
            <w:r>
              <w:t>+</w:t>
            </w:r>
            <w:r w:rsidRPr="00657C6C">
              <w:t>161 919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 xml:space="preserve">3.2. speciālais </w:t>
            </w:r>
            <w:r w:rsidRPr="000655C7">
              <w:rPr>
                <w:sz w:val="24"/>
                <w:szCs w:val="24"/>
              </w:rPr>
              <w:lastRenderedPageBreak/>
              <w:t>budžets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lastRenderedPageBreak/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lastRenderedPageBreak/>
              <w:t xml:space="preserve">3.3. pašvaldību budžets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4. Finanšu līdzekļi papildu izde</w:t>
            </w:r>
            <w:r w:rsidRPr="000655C7">
              <w:rPr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657C6C"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0655C7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5. Precizēta finansiālā ietekme: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657C6C"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657C6C" w:rsidRDefault="00A35EDA">
            <w:pPr>
              <w:rPr>
                <w:i/>
                <w:sz w:val="24"/>
                <w:szCs w:val="24"/>
                <w:lang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657C6C" w:rsidRDefault="00A35EDA">
            <w:pPr>
              <w:rPr>
                <w:i/>
                <w:sz w:val="24"/>
                <w:szCs w:val="24"/>
                <w:lang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A" w:rsidRPr="00657C6C" w:rsidRDefault="00A35EDA">
            <w:pPr>
              <w:rPr>
                <w:i/>
                <w:sz w:val="24"/>
                <w:szCs w:val="24"/>
                <w:lang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657C6C" w:rsidRDefault="00A35EDA">
            <w:pPr>
              <w:pStyle w:val="naisf"/>
              <w:spacing w:before="0" w:after="0"/>
              <w:ind w:firstLine="0"/>
              <w:jc w:val="center"/>
            </w:pPr>
            <w:r w:rsidRPr="00657C6C">
              <w:t>0</w:t>
            </w:r>
          </w:p>
        </w:tc>
      </w:tr>
      <w:tr w:rsidR="00A35EDA" w:rsidRPr="000655C7" w:rsidTr="00A35EDA">
        <w:trPr>
          <w:gridAfter w:val="1"/>
          <w:wAfter w:w="23" w:type="dxa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pStyle w:val="naiskr"/>
              <w:spacing w:before="0" w:after="0"/>
            </w:pPr>
            <w:r w:rsidRPr="000655C7"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665" w:rsidRDefault="005F2665" w:rsidP="005F2665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</w:p>
          <w:p w:rsidR="00A06A64" w:rsidRP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  <w:lang w:eastAsia="lv-LV"/>
              </w:rPr>
            </w:pPr>
            <w:r w:rsidRPr="00A06A64">
              <w:rPr>
                <w:sz w:val="24"/>
                <w:szCs w:val="24"/>
                <w:u w:val="single"/>
                <w:lang w:eastAsia="lv-LV"/>
              </w:rPr>
              <w:t>PVN (Pievienotās vērtības nodokļa) aprēķins.</w:t>
            </w:r>
          </w:p>
          <w:p w:rsidR="00A06A64" w:rsidRP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 w:rsidRPr="00A06A64">
              <w:rPr>
                <w:sz w:val="24"/>
                <w:szCs w:val="24"/>
                <w:lang w:eastAsia="lv-LV"/>
              </w:rPr>
              <w:t>Kopējā projekta summa</w:t>
            </w:r>
            <w:r>
              <w:rPr>
                <w:sz w:val="24"/>
                <w:szCs w:val="24"/>
                <w:lang w:eastAsia="lv-LV"/>
              </w:rPr>
              <w:t>, kuru plānots apgūt ir</w:t>
            </w:r>
            <w:r w:rsidRPr="00A06A64">
              <w:rPr>
                <w:sz w:val="24"/>
                <w:szCs w:val="24"/>
                <w:lang w:eastAsia="lv-LV"/>
              </w:rPr>
              <w:t xml:space="preserve"> 1 007 284 EUR</w:t>
            </w:r>
          </w:p>
          <w:p w:rsidR="00A06A64" w:rsidRP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 w:rsidRPr="00A06A64">
              <w:rPr>
                <w:sz w:val="24"/>
                <w:szCs w:val="24"/>
                <w:lang w:eastAsia="lv-LV"/>
              </w:rPr>
              <w:t>Summa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A06A64">
              <w:rPr>
                <w:sz w:val="24"/>
                <w:szCs w:val="24"/>
                <w:lang w:eastAsia="lv-LV"/>
              </w:rPr>
              <w:t xml:space="preserve"> no kuras aprēķina PVN (21%)</w:t>
            </w:r>
            <w:r w:rsidR="00FE1EC8">
              <w:rPr>
                <w:sz w:val="24"/>
                <w:szCs w:val="24"/>
                <w:lang w:eastAsia="lv-LV"/>
              </w:rPr>
              <w:t xml:space="preserve"> </w:t>
            </w:r>
            <w:r w:rsidR="00A52FCA">
              <w:rPr>
                <w:sz w:val="24"/>
                <w:szCs w:val="24"/>
                <w:lang w:eastAsia="lv-LV"/>
              </w:rPr>
              <w:t>provizoriski</w:t>
            </w:r>
            <w:r>
              <w:rPr>
                <w:sz w:val="24"/>
                <w:szCs w:val="24"/>
                <w:lang w:eastAsia="lv-LV"/>
              </w:rPr>
              <w:t xml:space="preserve"> ir</w:t>
            </w:r>
            <w:r w:rsidRPr="00A06A64">
              <w:rPr>
                <w:sz w:val="24"/>
                <w:szCs w:val="24"/>
                <w:lang w:eastAsia="lv-LV"/>
              </w:rPr>
              <w:t xml:space="preserve"> 810</w:t>
            </w:r>
            <w:r>
              <w:rPr>
                <w:sz w:val="24"/>
                <w:szCs w:val="24"/>
                <w:lang w:eastAsia="lv-LV"/>
              </w:rPr>
              <w:t> </w:t>
            </w:r>
            <w:r w:rsidRPr="00A06A64">
              <w:rPr>
                <w:sz w:val="24"/>
                <w:szCs w:val="24"/>
                <w:lang w:eastAsia="lv-LV"/>
              </w:rPr>
              <w:t>281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A06A64">
              <w:rPr>
                <w:sz w:val="24"/>
                <w:szCs w:val="24"/>
                <w:lang w:eastAsia="lv-LV"/>
              </w:rPr>
              <w:t>EUR</w:t>
            </w:r>
          </w:p>
          <w:p w:rsidR="00A06A64" w:rsidRPr="00A06A64" w:rsidRDefault="00B16100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Provizoriskā </w:t>
            </w:r>
            <w:r w:rsidR="00A06A64" w:rsidRPr="00A06A64">
              <w:rPr>
                <w:sz w:val="24"/>
                <w:szCs w:val="24"/>
                <w:lang w:eastAsia="lv-LV"/>
              </w:rPr>
              <w:t>PVN summa</w:t>
            </w:r>
            <w:r w:rsidR="00A06A64">
              <w:rPr>
                <w:sz w:val="24"/>
                <w:szCs w:val="24"/>
                <w:lang w:eastAsia="lv-LV"/>
              </w:rPr>
              <w:t>, ko plānots segt</w:t>
            </w:r>
            <w:r w:rsidR="00A06A64" w:rsidRPr="00A06A64">
              <w:rPr>
                <w:sz w:val="24"/>
                <w:szCs w:val="24"/>
                <w:lang w:eastAsia="lv-LV"/>
              </w:rPr>
              <w:t xml:space="preserve"> projektā kopā 170 159 EUR</w:t>
            </w:r>
          </w:p>
          <w:p w:rsidR="00A06A64" w:rsidRP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Uz </w:t>
            </w:r>
            <w:r w:rsidR="0081696C">
              <w:rPr>
                <w:sz w:val="24"/>
                <w:szCs w:val="24"/>
                <w:lang w:eastAsia="lv-LV"/>
              </w:rPr>
              <w:t xml:space="preserve">rīkojuma projekta sagatavošanas laiku, </w:t>
            </w:r>
            <w:r>
              <w:rPr>
                <w:sz w:val="24"/>
                <w:szCs w:val="24"/>
                <w:lang w:eastAsia="lv-LV"/>
              </w:rPr>
              <w:t>veikti izdevumi PVN apmaksai</w:t>
            </w:r>
            <w:r w:rsidRPr="00A06A64">
              <w:rPr>
                <w:sz w:val="24"/>
                <w:szCs w:val="24"/>
                <w:lang w:eastAsia="lv-LV"/>
              </w:rPr>
              <w:t xml:space="preserve"> 63 982 EUR</w:t>
            </w:r>
            <w:r>
              <w:rPr>
                <w:sz w:val="24"/>
                <w:szCs w:val="24"/>
                <w:lang w:eastAsia="lv-LV"/>
              </w:rPr>
              <w:t xml:space="preserve"> apmērā.</w:t>
            </w:r>
          </w:p>
          <w:p w:rsid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Projekta ietvaros vēl </w:t>
            </w:r>
            <w:r w:rsidR="0081696C">
              <w:rPr>
                <w:sz w:val="24"/>
                <w:szCs w:val="24"/>
                <w:lang w:eastAsia="lv-LV"/>
              </w:rPr>
              <w:t xml:space="preserve">plānoti </w:t>
            </w:r>
            <w:r>
              <w:rPr>
                <w:sz w:val="24"/>
                <w:szCs w:val="24"/>
                <w:lang w:eastAsia="lv-LV"/>
              </w:rPr>
              <w:t xml:space="preserve">PVN izdevumi </w:t>
            </w:r>
            <w:r w:rsidRPr="00A06A64">
              <w:rPr>
                <w:sz w:val="24"/>
                <w:szCs w:val="24"/>
                <w:lang w:eastAsia="lv-LV"/>
              </w:rPr>
              <w:t>106 177 EUR</w:t>
            </w:r>
            <w:r>
              <w:rPr>
                <w:sz w:val="24"/>
                <w:szCs w:val="24"/>
                <w:lang w:eastAsia="lv-LV"/>
              </w:rPr>
              <w:t xml:space="preserve"> apmērā.</w:t>
            </w:r>
          </w:p>
          <w:p w:rsidR="00E56419" w:rsidRDefault="00E56419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</w:p>
          <w:p w:rsidR="00A06A64" w:rsidRP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  <w:lang w:eastAsia="lv-LV"/>
              </w:rPr>
            </w:pPr>
            <w:r w:rsidRPr="00A06A64">
              <w:rPr>
                <w:sz w:val="24"/>
                <w:szCs w:val="24"/>
                <w:u w:val="single"/>
                <w:lang w:eastAsia="lv-LV"/>
              </w:rPr>
              <w:t>Ārvalstu finanšu palīdzības priekšfinansējuma aprēķins.</w:t>
            </w:r>
          </w:p>
          <w:p w:rsid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2014.gadā projekta ietvaros</w:t>
            </w:r>
            <w:r w:rsidR="0081696C">
              <w:rPr>
                <w:sz w:val="24"/>
                <w:szCs w:val="24"/>
                <w:lang w:eastAsia="lv-LV"/>
              </w:rPr>
              <w:t xml:space="preserve"> no EK</w:t>
            </w:r>
            <w:r>
              <w:rPr>
                <w:sz w:val="24"/>
                <w:szCs w:val="24"/>
                <w:lang w:eastAsia="lv-LV"/>
              </w:rPr>
              <w:t xml:space="preserve"> tika saņemts avansa maksājums 240 153.06 EUR.</w:t>
            </w:r>
          </w:p>
          <w:p w:rsid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2015.gada septembrī projekta Vadošajam partnerim </w:t>
            </w:r>
            <w:r w:rsidR="00114968">
              <w:rPr>
                <w:sz w:val="24"/>
                <w:szCs w:val="24"/>
                <w:lang w:eastAsia="lv-LV"/>
              </w:rPr>
              <w:t>tika iesniegts</w:t>
            </w:r>
            <w:r>
              <w:rPr>
                <w:sz w:val="24"/>
                <w:szCs w:val="24"/>
                <w:lang w:eastAsia="lv-LV"/>
              </w:rPr>
              <w:t xml:space="preserve"> starpzi</w:t>
            </w:r>
            <w:r w:rsidR="00114968">
              <w:rPr>
                <w:sz w:val="24"/>
                <w:szCs w:val="24"/>
                <w:lang w:eastAsia="lv-LV"/>
              </w:rPr>
              <w:t>ņojuma ziņojums</w:t>
            </w:r>
            <w:r>
              <w:rPr>
                <w:sz w:val="24"/>
                <w:szCs w:val="24"/>
                <w:lang w:eastAsia="lv-LV"/>
              </w:rPr>
              <w:t>, p</w:t>
            </w:r>
            <w:r w:rsidR="00114968">
              <w:rPr>
                <w:sz w:val="24"/>
                <w:szCs w:val="24"/>
                <w:lang w:eastAsia="lv-LV"/>
              </w:rPr>
              <w:t>ēc kura</w:t>
            </w:r>
            <w:r>
              <w:rPr>
                <w:sz w:val="24"/>
                <w:szCs w:val="24"/>
                <w:lang w:eastAsia="lv-LV"/>
              </w:rPr>
              <w:t xml:space="preserve"> apstiprināšanas 2016.gadā tiks ieskaitīts finansējums 6 748 EUR apmērā. Savukārt pēc projekta realizācijas, 2016.gada sākumā tiks iesniegts projekta noslēguma ziņojums, pēc kura apstiprināšanas tiks saņemts finansējums 155</w:t>
            </w:r>
            <w:r w:rsidR="00114968">
              <w:rPr>
                <w:sz w:val="24"/>
                <w:szCs w:val="24"/>
                <w:lang w:eastAsia="lv-LV"/>
              </w:rPr>
              <w:t> 171 </w:t>
            </w:r>
            <w:r>
              <w:rPr>
                <w:sz w:val="24"/>
                <w:szCs w:val="24"/>
                <w:lang w:eastAsia="lv-LV"/>
              </w:rPr>
              <w:t>EUR.</w:t>
            </w:r>
          </w:p>
          <w:p w:rsid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Kā rezultātā, kopā 2016.gadā</w:t>
            </w:r>
            <w:r w:rsidR="0081696C">
              <w:rPr>
                <w:sz w:val="24"/>
                <w:szCs w:val="24"/>
                <w:lang w:eastAsia="lv-LV"/>
              </w:rPr>
              <w:t xml:space="preserve"> no EK</w:t>
            </w:r>
            <w:r>
              <w:rPr>
                <w:sz w:val="24"/>
                <w:szCs w:val="24"/>
                <w:lang w:eastAsia="lv-LV"/>
              </w:rPr>
              <w:t xml:space="preserve"> ir plānots saņemt 161 919 EUR.</w:t>
            </w:r>
          </w:p>
          <w:p w:rsidR="00A06A64" w:rsidRDefault="00A06A64" w:rsidP="00A06A64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</w:p>
          <w:p w:rsidR="00422059" w:rsidRPr="005F2665" w:rsidRDefault="005F2665" w:rsidP="00244829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lv-LV"/>
              </w:rPr>
            </w:pPr>
            <w:r w:rsidRPr="005F2665">
              <w:rPr>
                <w:sz w:val="24"/>
                <w:szCs w:val="24"/>
                <w:lang w:eastAsia="lv-LV"/>
              </w:rPr>
              <w:t>Detalizētu izdevumu aprēķinu</w:t>
            </w:r>
            <w:r w:rsidR="00A06A64">
              <w:rPr>
                <w:sz w:val="24"/>
                <w:szCs w:val="24"/>
                <w:lang w:eastAsia="lv-LV"/>
              </w:rPr>
              <w:t xml:space="preserve"> pa gadiem</w:t>
            </w:r>
            <w:r w:rsidRPr="005F2665">
              <w:rPr>
                <w:sz w:val="24"/>
                <w:szCs w:val="24"/>
                <w:lang w:eastAsia="lv-LV"/>
              </w:rPr>
              <w:t xml:space="preserve"> skatīt anotācijas pielikumā</w:t>
            </w:r>
            <w:r w:rsidR="00244829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A35EDA" w:rsidRPr="00EC3BF8" w:rsidTr="00A35EDA">
        <w:trPr>
          <w:gridAfter w:val="1"/>
          <w:wAfter w:w="23" w:type="dxa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BB6BC1">
            <w:pPr>
              <w:pStyle w:val="naiskr"/>
              <w:spacing w:before="0" w:after="0"/>
            </w:pPr>
            <w:r>
              <w:t>0</w:t>
            </w:r>
            <w:r w:rsidR="00A35EDA" w:rsidRPr="000655C7">
              <w:t>6.1. detalizēts ieņēmumu aprēķins</w:t>
            </w:r>
          </w:p>
        </w:tc>
        <w:tc>
          <w:tcPr>
            <w:tcW w:w="7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059" w:rsidRPr="003C4502" w:rsidRDefault="00422059">
            <w:pPr>
              <w:pStyle w:val="naiskr"/>
              <w:spacing w:before="0" w:after="0"/>
            </w:pPr>
          </w:p>
        </w:tc>
      </w:tr>
      <w:tr w:rsidR="00A35EDA" w:rsidRPr="00EC3BF8" w:rsidTr="00A35EDA">
        <w:trPr>
          <w:gridAfter w:val="1"/>
          <w:wAfter w:w="23" w:type="dxa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pStyle w:val="naiskr"/>
              <w:spacing w:before="0" w:after="0"/>
            </w:pPr>
            <w:r w:rsidRPr="000655C7">
              <w:t>6.2. detalizēts izdevumu aprēķins</w:t>
            </w:r>
          </w:p>
        </w:tc>
        <w:tc>
          <w:tcPr>
            <w:tcW w:w="7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9" w:rsidRPr="003C4502" w:rsidRDefault="00422059">
            <w:pPr>
              <w:pStyle w:val="naiskr"/>
              <w:spacing w:before="0" w:after="0"/>
            </w:pPr>
          </w:p>
        </w:tc>
      </w:tr>
      <w:tr w:rsidR="00A35EDA" w:rsidRPr="00657C6C" w:rsidTr="00A35EDA">
        <w:trPr>
          <w:gridAfter w:val="1"/>
          <w:wAfter w:w="23" w:type="dxa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>
            <w:pPr>
              <w:tabs>
                <w:tab w:val="left" w:pos="5940"/>
              </w:tabs>
              <w:rPr>
                <w:sz w:val="24"/>
                <w:szCs w:val="24"/>
                <w:lang w:eastAsia="lv-LV"/>
              </w:rPr>
            </w:pPr>
            <w:r w:rsidRPr="000655C7">
              <w:rPr>
                <w:sz w:val="24"/>
                <w:szCs w:val="24"/>
              </w:rPr>
              <w:t>7. Cita informācija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A" w:rsidRPr="000655C7" w:rsidRDefault="00A35EDA" w:rsidP="00657C6C">
            <w:pPr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eastAsia="lv-LV"/>
              </w:rPr>
            </w:pPr>
            <w:r w:rsidRPr="00657C6C">
              <w:rPr>
                <w:sz w:val="24"/>
                <w:szCs w:val="24"/>
              </w:rPr>
              <w:t xml:space="preserve">Izdevumus sedz no </w:t>
            </w:r>
            <w:r w:rsidR="00657C6C" w:rsidRPr="00657C6C">
              <w:rPr>
                <w:sz w:val="24"/>
                <w:szCs w:val="24"/>
              </w:rPr>
              <w:t>budžeta resora “74. Gadskārtējā valsts budžeta izpildes procesā pārdalāmais finansējums” programmas 80.00.00 “Nesadalītais finansējums Eiropas Savienības politiku instrumentu un pārējās ārvalstu finanšu palīdzības līdzfinansēto projektu un pasākumu īstenošanai”.</w:t>
            </w:r>
          </w:p>
        </w:tc>
      </w:tr>
    </w:tbl>
    <w:p w:rsidR="00226001" w:rsidRPr="00657C6C" w:rsidRDefault="00226001" w:rsidP="00226001">
      <w:pPr>
        <w:rPr>
          <w:sz w:val="24"/>
          <w:szCs w:val="24"/>
        </w:rPr>
      </w:pPr>
    </w:p>
    <w:p w:rsidR="00EB2F97" w:rsidRPr="005222D8" w:rsidRDefault="00EB2F97" w:rsidP="00226001">
      <w:pPr>
        <w:rPr>
          <w:sz w:val="24"/>
          <w:szCs w:val="24"/>
        </w:rPr>
      </w:pPr>
    </w:p>
    <w:tbl>
      <w:tblPr>
        <w:tblW w:w="9529" w:type="dxa"/>
        <w:jc w:val="center"/>
        <w:tblCellSpacing w:w="15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"/>
        <w:gridCol w:w="2469"/>
        <w:gridCol w:w="6009"/>
      </w:tblGrid>
      <w:tr w:rsidR="00226001" w:rsidRPr="005222D8" w:rsidTr="00426F29">
        <w:trPr>
          <w:trHeight w:val="375"/>
          <w:tblCellSpacing w:w="15" w:type="dxa"/>
          <w:jc w:val="center"/>
        </w:trPr>
        <w:tc>
          <w:tcPr>
            <w:tcW w:w="9469" w:type="dxa"/>
            <w:gridSpan w:val="3"/>
            <w:vAlign w:val="center"/>
            <w:hideMark/>
          </w:tcPr>
          <w:p w:rsidR="00226001" w:rsidRPr="005222D8" w:rsidRDefault="00226001" w:rsidP="00226001">
            <w:pPr>
              <w:rPr>
                <w:b/>
                <w:bCs/>
                <w:sz w:val="24"/>
                <w:szCs w:val="24"/>
              </w:rPr>
            </w:pPr>
            <w:r w:rsidRPr="005222D8">
              <w:rPr>
                <w:b/>
                <w:bCs/>
                <w:sz w:val="24"/>
                <w:szCs w:val="24"/>
              </w:rPr>
              <w:lastRenderedPageBreak/>
              <w:t>VII. Tiesību akta projekta izpildes nodrošināšana un tās ietekme uz institūcijām</w:t>
            </w:r>
          </w:p>
        </w:tc>
      </w:tr>
      <w:tr w:rsidR="00204FD2" w:rsidRPr="005222D8" w:rsidTr="00426F29">
        <w:trPr>
          <w:trHeight w:val="420"/>
          <w:tblCellSpacing w:w="15" w:type="dxa"/>
          <w:jc w:val="center"/>
        </w:trPr>
        <w:tc>
          <w:tcPr>
            <w:tcW w:w="1006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5964" w:type="dxa"/>
            <w:hideMark/>
          </w:tcPr>
          <w:p w:rsidR="00226001" w:rsidRPr="005222D8" w:rsidRDefault="00C3358A" w:rsidP="00853C27">
            <w:pPr>
              <w:jc w:val="both"/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Projekta izpildi nodrošinās Aizsardzības ministrija</w:t>
            </w:r>
            <w:r w:rsidR="00853C27" w:rsidRPr="005222D8">
              <w:rPr>
                <w:sz w:val="24"/>
                <w:szCs w:val="24"/>
              </w:rPr>
              <w:t xml:space="preserve"> un</w:t>
            </w:r>
            <w:r w:rsidRPr="005222D8">
              <w:rPr>
                <w:sz w:val="24"/>
                <w:szCs w:val="24"/>
              </w:rPr>
              <w:t xml:space="preserve"> Nacionālie bruņotie spēki</w:t>
            </w:r>
            <w:r w:rsidR="00853C27" w:rsidRPr="005222D8">
              <w:rPr>
                <w:sz w:val="24"/>
                <w:szCs w:val="24"/>
              </w:rPr>
              <w:t>.</w:t>
            </w:r>
          </w:p>
        </w:tc>
      </w:tr>
      <w:tr w:rsidR="00204FD2" w:rsidRPr="005222D8" w:rsidTr="00426F29">
        <w:trPr>
          <w:trHeight w:val="450"/>
          <w:tblCellSpacing w:w="15" w:type="dxa"/>
          <w:jc w:val="center"/>
        </w:trPr>
        <w:tc>
          <w:tcPr>
            <w:tcW w:w="1006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2.</w:t>
            </w:r>
          </w:p>
        </w:tc>
        <w:tc>
          <w:tcPr>
            <w:tcW w:w="2439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964" w:type="dxa"/>
            <w:hideMark/>
          </w:tcPr>
          <w:p w:rsidR="00226001" w:rsidRPr="005222D8" w:rsidRDefault="006E64F5" w:rsidP="006B1A16">
            <w:pPr>
              <w:jc w:val="both"/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 xml:space="preserve">Projekta izpilde notiks esošo pārvaldes funkciju ietvaros. </w:t>
            </w:r>
            <w:r w:rsidR="00C3358A" w:rsidRPr="005222D8">
              <w:rPr>
                <w:sz w:val="24"/>
                <w:szCs w:val="24"/>
              </w:rPr>
              <w:t>Veicamās funkcijas un uzdevumi netiek paplašināti vai sašaurināti.</w:t>
            </w:r>
            <w:r w:rsidR="0015005A" w:rsidRPr="005222D8">
              <w:rPr>
                <w:sz w:val="24"/>
                <w:szCs w:val="24"/>
              </w:rPr>
              <w:t xml:space="preserve"> </w:t>
            </w:r>
          </w:p>
        </w:tc>
      </w:tr>
      <w:tr w:rsidR="00204FD2" w:rsidRPr="005222D8" w:rsidTr="00426F29">
        <w:trPr>
          <w:trHeight w:val="390"/>
          <w:tblCellSpacing w:w="15" w:type="dxa"/>
          <w:jc w:val="center"/>
        </w:trPr>
        <w:tc>
          <w:tcPr>
            <w:tcW w:w="1006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3.</w:t>
            </w:r>
          </w:p>
        </w:tc>
        <w:tc>
          <w:tcPr>
            <w:tcW w:w="2439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Cita informācija</w:t>
            </w:r>
          </w:p>
        </w:tc>
        <w:tc>
          <w:tcPr>
            <w:tcW w:w="5964" w:type="dxa"/>
            <w:hideMark/>
          </w:tcPr>
          <w:p w:rsidR="00226001" w:rsidRPr="005222D8" w:rsidRDefault="00226001" w:rsidP="00226001">
            <w:pPr>
              <w:rPr>
                <w:sz w:val="24"/>
                <w:szCs w:val="24"/>
              </w:rPr>
            </w:pPr>
            <w:r w:rsidRPr="005222D8">
              <w:rPr>
                <w:sz w:val="24"/>
                <w:szCs w:val="24"/>
              </w:rPr>
              <w:t>Nav</w:t>
            </w:r>
          </w:p>
        </w:tc>
      </w:tr>
    </w:tbl>
    <w:p w:rsidR="009F337A" w:rsidRPr="005222D8" w:rsidRDefault="009F337A" w:rsidP="00CB08E1">
      <w:pPr>
        <w:rPr>
          <w:rFonts w:cs="Times New Roman"/>
          <w:sz w:val="24"/>
          <w:szCs w:val="24"/>
          <w:lang w:eastAsia="lv-LV" w:bidi="ar-SA"/>
        </w:rPr>
      </w:pPr>
    </w:p>
    <w:p w:rsidR="00364681" w:rsidRPr="005222D8" w:rsidRDefault="009F337A" w:rsidP="00CD33D9">
      <w:pPr>
        <w:ind w:left="-709"/>
        <w:rPr>
          <w:rFonts w:cs="Times New Roman"/>
          <w:sz w:val="24"/>
          <w:szCs w:val="24"/>
          <w:lang w:eastAsia="lv-LV" w:bidi="ar-SA"/>
        </w:rPr>
      </w:pPr>
      <w:r w:rsidRPr="005222D8">
        <w:rPr>
          <w:rFonts w:cs="Times New Roman"/>
          <w:sz w:val="24"/>
          <w:szCs w:val="24"/>
          <w:lang w:eastAsia="lv-LV" w:bidi="ar-SA"/>
        </w:rPr>
        <w:t xml:space="preserve">  </w:t>
      </w:r>
      <w:r w:rsidR="00CD33D9" w:rsidRPr="005222D8">
        <w:rPr>
          <w:rFonts w:cs="Times New Roman"/>
          <w:sz w:val="24"/>
          <w:szCs w:val="24"/>
          <w:lang w:eastAsia="lv-LV" w:bidi="ar-SA"/>
        </w:rPr>
        <w:t xml:space="preserve">  </w:t>
      </w:r>
      <w:r w:rsidR="00790A41" w:rsidRPr="005222D8">
        <w:rPr>
          <w:rFonts w:cs="Times New Roman"/>
          <w:i/>
          <w:sz w:val="24"/>
          <w:szCs w:val="24"/>
          <w:lang w:eastAsia="lv-LV" w:bidi="ar-SA"/>
        </w:rPr>
        <w:t>An</w:t>
      </w:r>
      <w:r w:rsidR="00D41263" w:rsidRPr="005222D8">
        <w:rPr>
          <w:rFonts w:cs="Times New Roman"/>
          <w:i/>
          <w:sz w:val="24"/>
          <w:szCs w:val="24"/>
          <w:lang w:eastAsia="lv-LV" w:bidi="ar-SA"/>
        </w:rPr>
        <w:t>otācijas</w:t>
      </w:r>
      <w:r w:rsidR="00790A41" w:rsidRPr="005222D8">
        <w:rPr>
          <w:rFonts w:cs="Times New Roman"/>
          <w:i/>
          <w:sz w:val="24"/>
          <w:szCs w:val="24"/>
          <w:lang w:eastAsia="lv-LV" w:bidi="ar-SA"/>
        </w:rPr>
        <w:t xml:space="preserve"> </w:t>
      </w:r>
      <w:r w:rsidR="00853C27" w:rsidRPr="005222D8">
        <w:rPr>
          <w:rFonts w:cs="Times New Roman"/>
          <w:i/>
          <w:sz w:val="24"/>
          <w:szCs w:val="24"/>
          <w:lang w:eastAsia="lv-LV" w:bidi="ar-SA"/>
        </w:rPr>
        <w:t xml:space="preserve">II, </w:t>
      </w:r>
      <w:r w:rsidR="006B1A16" w:rsidRPr="005222D8">
        <w:rPr>
          <w:rFonts w:cs="Times New Roman"/>
          <w:i/>
          <w:sz w:val="24"/>
          <w:szCs w:val="24"/>
          <w:lang w:eastAsia="lv-LV" w:bidi="ar-SA"/>
        </w:rPr>
        <w:t xml:space="preserve">IV, </w:t>
      </w:r>
      <w:r w:rsidR="001E7CA9" w:rsidRPr="005222D8">
        <w:rPr>
          <w:rFonts w:cs="Times New Roman"/>
          <w:i/>
          <w:sz w:val="24"/>
          <w:szCs w:val="24"/>
          <w:lang w:eastAsia="lv-LV" w:bidi="ar-SA"/>
        </w:rPr>
        <w:t>V un VI sadaļa – projekts šīs jomas</w:t>
      </w:r>
      <w:r w:rsidR="00FD1311" w:rsidRPr="005222D8">
        <w:rPr>
          <w:rFonts w:cs="Times New Roman"/>
          <w:i/>
          <w:sz w:val="24"/>
          <w:szCs w:val="24"/>
          <w:lang w:eastAsia="lv-LV" w:bidi="ar-SA"/>
        </w:rPr>
        <w:t xml:space="preserve"> neskar</w:t>
      </w:r>
      <w:r w:rsidR="0032333C" w:rsidRPr="005222D8">
        <w:rPr>
          <w:rFonts w:cs="Times New Roman"/>
          <w:i/>
          <w:sz w:val="24"/>
          <w:szCs w:val="24"/>
          <w:lang w:eastAsia="lv-LV" w:bidi="ar-SA"/>
        </w:rPr>
        <w:t>.</w:t>
      </w:r>
    </w:p>
    <w:p w:rsidR="00892928" w:rsidRPr="005222D8" w:rsidRDefault="00892928" w:rsidP="00790A41">
      <w:pPr>
        <w:tabs>
          <w:tab w:val="right" w:pos="9074"/>
        </w:tabs>
        <w:ind w:left="-709"/>
        <w:rPr>
          <w:rFonts w:cs="Times New Roman"/>
          <w:sz w:val="24"/>
          <w:szCs w:val="24"/>
          <w:lang w:eastAsia="lv-LV" w:bidi="ar-SA"/>
        </w:rPr>
      </w:pPr>
    </w:p>
    <w:p w:rsidR="00456BE6" w:rsidRPr="005222D8" w:rsidRDefault="00456BE6" w:rsidP="00790A41">
      <w:pPr>
        <w:tabs>
          <w:tab w:val="right" w:pos="9074"/>
        </w:tabs>
        <w:ind w:left="-709"/>
        <w:rPr>
          <w:rFonts w:cs="Times New Roman"/>
          <w:sz w:val="24"/>
          <w:szCs w:val="24"/>
          <w:lang w:eastAsia="lv-LV" w:bidi="ar-SA"/>
        </w:rPr>
      </w:pPr>
    </w:p>
    <w:p w:rsidR="005F2665" w:rsidRDefault="00892928" w:rsidP="00E5011C">
      <w:pPr>
        <w:tabs>
          <w:tab w:val="left" w:pos="6946"/>
          <w:tab w:val="right" w:pos="9074"/>
        </w:tabs>
        <w:ind w:left="-709"/>
        <w:rPr>
          <w:rFonts w:cs="Times New Roman"/>
          <w:sz w:val="24"/>
          <w:szCs w:val="24"/>
          <w:lang w:eastAsia="lv-LV" w:bidi="ar-SA"/>
        </w:rPr>
      </w:pPr>
      <w:r w:rsidRPr="005222D8">
        <w:rPr>
          <w:rFonts w:cs="Times New Roman"/>
          <w:sz w:val="24"/>
          <w:szCs w:val="24"/>
          <w:lang w:eastAsia="lv-LV" w:bidi="ar-SA"/>
        </w:rPr>
        <w:t xml:space="preserve">    </w:t>
      </w:r>
    </w:p>
    <w:p w:rsidR="005F2665" w:rsidRDefault="005F2665" w:rsidP="00E5011C">
      <w:pPr>
        <w:tabs>
          <w:tab w:val="left" w:pos="6946"/>
          <w:tab w:val="right" w:pos="9074"/>
        </w:tabs>
        <w:ind w:left="-709"/>
        <w:rPr>
          <w:rFonts w:cs="Times New Roman"/>
          <w:sz w:val="24"/>
          <w:szCs w:val="24"/>
          <w:lang w:eastAsia="lv-LV" w:bidi="ar-SA"/>
        </w:rPr>
      </w:pPr>
    </w:p>
    <w:p w:rsidR="00790A41" w:rsidRPr="005222D8" w:rsidRDefault="00892928" w:rsidP="00E5011C">
      <w:pPr>
        <w:tabs>
          <w:tab w:val="left" w:pos="6946"/>
          <w:tab w:val="right" w:pos="9074"/>
        </w:tabs>
        <w:ind w:left="-709"/>
        <w:rPr>
          <w:rFonts w:cs="Times New Roman"/>
          <w:sz w:val="24"/>
          <w:szCs w:val="24"/>
          <w:lang w:eastAsia="lv-LV" w:bidi="ar-SA"/>
        </w:rPr>
      </w:pPr>
      <w:r w:rsidRPr="005222D8">
        <w:rPr>
          <w:rFonts w:cs="Times New Roman"/>
          <w:sz w:val="24"/>
          <w:szCs w:val="24"/>
          <w:lang w:eastAsia="lv-LV" w:bidi="ar-SA"/>
        </w:rPr>
        <w:t xml:space="preserve"> </w:t>
      </w:r>
      <w:r w:rsidR="00790A41" w:rsidRPr="005222D8">
        <w:rPr>
          <w:rFonts w:cs="Times New Roman"/>
          <w:sz w:val="24"/>
          <w:szCs w:val="24"/>
          <w:lang w:eastAsia="lv-LV" w:bidi="ar-SA"/>
        </w:rPr>
        <w:t>Aizsardzības ministrs</w:t>
      </w:r>
      <w:proofErr w:type="gramStart"/>
      <w:r w:rsidR="00853C27" w:rsidRPr="005222D8">
        <w:rPr>
          <w:rFonts w:cs="Times New Roman"/>
          <w:sz w:val="24"/>
          <w:szCs w:val="24"/>
          <w:lang w:eastAsia="lv-LV" w:bidi="ar-SA"/>
        </w:rPr>
        <w:t xml:space="preserve">                                                                   </w:t>
      </w:r>
      <w:r w:rsidR="005222D8">
        <w:rPr>
          <w:rFonts w:cs="Times New Roman"/>
          <w:sz w:val="24"/>
          <w:szCs w:val="24"/>
          <w:lang w:eastAsia="lv-LV" w:bidi="ar-SA"/>
        </w:rPr>
        <w:t xml:space="preserve">                     </w:t>
      </w:r>
      <w:r w:rsidR="00853C27" w:rsidRPr="005222D8">
        <w:rPr>
          <w:rFonts w:cs="Times New Roman"/>
          <w:sz w:val="24"/>
          <w:szCs w:val="24"/>
          <w:lang w:eastAsia="lv-LV" w:bidi="ar-SA"/>
        </w:rPr>
        <w:t xml:space="preserve"> </w:t>
      </w:r>
      <w:proofErr w:type="gramEnd"/>
      <w:r w:rsidR="00790A41" w:rsidRPr="005222D8">
        <w:rPr>
          <w:rFonts w:cs="Times New Roman"/>
          <w:sz w:val="24"/>
          <w:szCs w:val="24"/>
          <w:lang w:eastAsia="lv-LV" w:bidi="ar-SA"/>
        </w:rPr>
        <w:t>R.</w:t>
      </w:r>
      <w:r w:rsidR="00853C27" w:rsidRPr="005222D8">
        <w:rPr>
          <w:rFonts w:cs="Times New Roman"/>
          <w:sz w:val="24"/>
          <w:szCs w:val="24"/>
          <w:lang w:eastAsia="lv-LV" w:bidi="ar-SA"/>
        </w:rPr>
        <w:t>Bergmanis</w:t>
      </w:r>
    </w:p>
    <w:p w:rsidR="00790A41" w:rsidRPr="005222D8" w:rsidRDefault="00790A41" w:rsidP="00790A41">
      <w:pPr>
        <w:tabs>
          <w:tab w:val="right" w:pos="9074"/>
        </w:tabs>
        <w:rPr>
          <w:rFonts w:cs="Times New Roman"/>
          <w:sz w:val="24"/>
          <w:szCs w:val="24"/>
          <w:lang w:eastAsia="lv-LV" w:bidi="ar-SA"/>
        </w:rPr>
      </w:pPr>
    </w:p>
    <w:p w:rsidR="005F2665" w:rsidRDefault="005F2665" w:rsidP="005F2665">
      <w:pPr>
        <w:ind w:left="-709"/>
        <w:rPr>
          <w:rFonts w:cs="Times New Roman"/>
          <w:sz w:val="24"/>
          <w:szCs w:val="24"/>
          <w:lang w:eastAsia="lv-LV" w:bidi="ar-SA"/>
        </w:rPr>
      </w:pPr>
      <w:r>
        <w:rPr>
          <w:rFonts w:cs="Times New Roman"/>
          <w:sz w:val="24"/>
          <w:szCs w:val="24"/>
          <w:lang w:eastAsia="lv-LV" w:bidi="ar-SA"/>
        </w:rPr>
        <w:t xml:space="preserve"> </w:t>
      </w:r>
    </w:p>
    <w:p w:rsidR="005F2665" w:rsidRDefault="005F2665" w:rsidP="005F2665">
      <w:pPr>
        <w:ind w:left="-709"/>
        <w:rPr>
          <w:rFonts w:cs="Times New Roman"/>
          <w:sz w:val="24"/>
          <w:szCs w:val="24"/>
          <w:lang w:eastAsia="lv-LV" w:bidi="ar-SA"/>
        </w:rPr>
      </w:pPr>
    </w:p>
    <w:p w:rsidR="00790A41" w:rsidRPr="005222D8" w:rsidRDefault="00790A41" w:rsidP="005F2665">
      <w:pPr>
        <w:ind w:left="-709"/>
        <w:rPr>
          <w:rFonts w:cs="Times New Roman"/>
          <w:sz w:val="24"/>
          <w:szCs w:val="24"/>
          <w:lang w:eastAsia="lv-LV" w:bidi="ar-SA"/>
        </w:rPr>
      </w:pPr>
      <w:r w:rsidRPr="005222D8">
        <w:rPr>
          <w:rFonts w:cs="Times New Roman"/>
          <w:sz w:val="24"/>
          <w:szCs w:val="24"/>
          <w:lang w:eastAsia="lv-LV" w:bidi="ar-SA"/>
        </w:rPr>
        <w:t>Vīza: Valsts sekretār</w:t>
      </w:r>
      <w:r w:rsidR="006E1657" w:rsidRPr="005222D8">
        <w:rPr>
          <w:rFonts w:cs="Times New Roman"/>
          <w:sz w:val="24"/>
          <w:szCs w:val="24"/>
          <w:lang w:eastAsia="lv-LV" w:bidi="ar-SA"/>
        </w:rPr>
        <w:t>s</w:t>
      </w:r>
      <w:r w:rsidRPr="005222D8">
        <w:rPr>
          <w:rFonts w:cs="Times New Roman"/>
          <w:sz w:val="24"/>
          <w:szCs w:val="24"/>
          <w:lang w:eastAsia="lv-LV" w:bidi="ar-SA"/>
        </w:rPr>
        <w:tab/>
      </w:r>
      <w:r w:rsidRPr="005222D8">
        <w:rPr>
          <w:rFonts w:cs="Times New Roman"/>
          <w:sz w:val="24"/>
          <w:szCs w:val="24"/>
          <w:lang w:eastAsia="lv-LV" w:bidi="ar-SA"/>
        </w:rPr>
        <w:tab/>
      </w:r>
      <w:r w:rsidR="00055AF4" w:rsidRPr="005222D8">
        <w:rPr>
          <w:rFonts w:cs="Times New Roman"/>
          <w:sz w:val="24"/>
          <w:szCs w:val="24"/>
          <w:lang w:eastAsia="lv-LV" w:bidi="ar-SA"/>
        </w:rPr>
        <w:tab/>
      </w:r>
      <w:r w:rsidR="00055AF4" w:rsidRPr="005222D8">
        <w:rPr>
          <w:rFonts w:cs="Times New Roman"/>
          <w:sz w:val="24"/>
          <w:szCs w:val="24"/>
          <w:lang w:eastAsia="lv-LV" w:bidi="ar-SA"/>
        </w:rPr>
        <w:tab/>
      </w:r>
      <w:r w:rsidR="00055AF4" w:rsidRPr="005222D8">
        <w:rPr>
          <w:rFonts w:cs="Times New Roman"/>
          <w:sz w:val="24"/>
          <w:szCs w:val="24"/>
          <w:lang w:eastAsia="lv-LV" w:bidi="ar-SA"/>
        </w:rPr>
        <w:tab/>
      </w:r>
      <w:proofErr w:type="gramStart"/>
      <w:r w:rsidR="00055AF4" w:rsidRPr="005222D8">
        <w:rPr>
          <w:rFonts w:cs="Times New Roman"/>
          <w:sz w:val="24"/>
          <w:szCs w:val="24"/>
          <w:lang w:eastAsia="lv-LV" w:bidi="ar-SA"/>
        </w:rPr>
        <w:t xml:space="preserve">               </w:t>
      </w:r>
      <w:r w:rsidR="006E1657" w:rsidRPr="005222D8">
        <w:rPr>
          <w:rFonts w:cs="Times New Roman"/>
          <w:sz w:val="24"/>
          <w:szCs w:val="24"/>
          <w:lang w:eastAsia="lv-LV" w:bidi="ar-SA"/>
        </w:rPr>
        <w:t xml:space="preserve"> </w:t>
      </w:r>
      <w:r w:rsidR="005F2665">
        <w:rPr>
          <w:rFonts w:cs="Times New Roman"/>
          <w:sz w:val="24"/>
          <w:szCs w:val="24"/>
          <w:lang w:eastAsia="lv-LV" w:bidi="ar-SA"/>
        </w:rPr>
        <w:t xml:space="preserve">         </w:t>
      </w:r>
      <w:r w:rsidR="006E1657" w:rsidRPr="005222D8">
        <w:rPr>
          <w:rFonts w:cs="Times New Roman"/>
          <w:sz w:val="24"/>
          <w:szCs w:val="24"/>
          <w:lang w:eastAsia="lv-LV" w:bidi="ar-SA"/>
        </w:rPr>
        <w:t xml:space="preserve">        </w:t>
      </w:r>
      <w:r w:rsidR="00055AF4" w:rsidRPr="005222D8">
        <w:rPr>
          <w:rFonts w:cs="Times New Roman"/>
          <w:sz w:val="24"/>
          <w:szCs w:val="24"/>
          <w:lang w:eastAsia="lv-LV" w:bidi="ar-SA"/>
        </w:rPr>
        <w:t xml:space="preserve"> </w:t>
      </w:r>
      <w:r w:rsidR="007568C6" w:rsidRPr="005222D8">
        <w:rPr>
          <w:rFonts w:cs="Times New Roman"/>
          <w:sz w:val="24"/>
          <w:szCs w:val="24"/>
          <w:lang w:eastAsia="lv-LV" w:bidi="ar-SA"/>
        </w:rPr>
        <w:t xml:space="preserve"> </w:t>
      </w:r>
      <w:r w:rsidR="005222D8">
        <w:rPr>
          <w:rFonts w:cs="Times New Roman"/>
          <w:sz w:val="24"/>
          <w:szCs w:val="24"/>
          <w:lang w:eastAsia="lv-LV" w:bidi="ar-SA"/>
        </w:rPr>
        <w:t xml:space="preserve">          </w:t>
      </w:r>
      <w:r w:rsidR="00055AF4" w:rsidRPr="005222D8">
        <w:rPr>
          <w:rFonts w:cs="Times New Roman"/>
          <w:sz w:val="24"/>
          <w:szCs w:val="24"/>
          <w:lang w:eastAsia="lv-LV" w:bidi="ar-SA"/>
        </w:rPr>
        <w:t xml:space="preserve"> </w:t>
      </w:r>
      <w:proofErr w:type="spellStart"/>
      <w:proofErr w:type="gramEnd"/>
      <w:r w:rsidR="006E1657" w:rsidRPr="005222D8">
        <w:rPr>
          <w:rFonts w:cs="Times New Roman"/>
          <w:sz w:val="24"/>
          <w:szCs w:val="24"/>
          <w:lang w:eastAsia="lv-LV" w:bidi="ar-SA"/>
        </w:rPr>
        <w:t>J.</w:t>
      </w:r>
      <w:r w:rsidR="00853C27" w:rsidRPr="005222D8">
        <w:rPr>
          <w:rFonts w:cs="Times New Roman"/>
          <w:sz w:val="24"/>
          <w:szCs w:val="24"/>
          <w:lang w:eastAsia="lv-LV" w:bidi="ar-SA"/>
        </w:rPr>
        <w:t>Garisons</w:t>
      </w:r>
      <w:proofErr w:type="spellEnd"/>
    </w:p>
    <w:p w:rsidR="00790A41" w:rsidRPr="005222D8" w:rsidRDefault="00790A41" w:rsidP="00790A41">
      <w:pPr>
        <w:ind w:left="-709"/>
        <w:rPr>
          <w:rFonts w:cs="Times New Roman"/>
          <w:color w:val="FF0000"/>
          <w:sz w:val="24"/>
          <w:szCs w:val="24"/>
          <w:lang w:eastAsia="lv-LV" w:bidi="ar-SA"/>
        </w:rPr>
      </w:pPr>
    </w:p>
    <w:p w:rsidR="00332D02" w:rsidRPr="005222D8" w:rsidRDefault="00332D02" w:rsidP="00790A41">
      <w:pPr>
        <w:ind w:left="-709"/>
        <w:rPr>
          <w:rFonts w:cs="Times New Roman"/>
          <w:color w:val="FF0000"/>
          <w:sz w:val="24"/>
          <w:szCs w:val="24"/>
          <w:lang w:eastAsia="lv-LV" w:bidi="ar-SA"/>
        </w:rPr>
      </w:pPr>
    </w:p>
    <w:p w:rsidR="00853C27" w:rsidRPr="005222D8" w:rsidRDefault="00853C27" w:rsidP="004C40C0">
      <w:pPr>
        <w:rPr>
          <w:rFonts w:cs="Times New Roman"/>
          <w:sz w:val="24"/>
          <w:szCs w:val="24"/>
        </w:rPr>
      </w:pPr>
    </w:p>
    <w:p w:rsidR="00853C27" w:rsidRPr="005222D8" w:rsidRDefault="00853C27" w:rsidP="004C40C0">
      <w:pPr>
        <w:rPr>
          <w:rFonts w:cs="Times New Roman"/>
          <w:sz w:val="24"/>
          <w:szCs w:val="24"/>
        </w:rPr>
      </w:pPr>
    </w:p>
    <w:p w:rsidR="00853C27" w:rsidRPr="005222D8" w:rsidRDefault="00853C27" w:rsidP="004C40C0">
      <w:pPr>
        <w:rPr>
          <w:rFonts w:cs="Times New Roman"/>
          <w:sz w:val="24"/>
          <w:szCs w:val="24"/>
        </w:rPr>
      </w:pPr>
    </w:p>
    <w:p w:rsidR="00853C27" w:rsidRPr="005222D8" w:rsidRDefault="00853C27" w:rsidP="004C40C0">
      <w:pPr>
        <w:rPr>
          <w:rFonts w:cs="Times New Roman"/>
          <w:sz w:val="24"/>
          <w:szCs w:val="24"/>
        </w:rPr>
      </w:pPr>
    </w:p>
    <w:p w:rsidR="003C4502" w:rsidRDefault="003C4502" w:rsidP="004C40C0">
      <w:pPr>
        <w:rPr>
          <w:rFonts w:cs="Times New Roman"/>
          <w:sz w:val="24"/>
          <w:szCs w:val="24"/>
        </w:rPr>
      </w:pPr>
    </w:p>
    <w:p w:rsidR="003C4502" w:rsidRDefault="003C4502" w:rsidP="004C40C0">
      <w:pPr>
        <w:rPr>
          <w:rFonts w:cs="Times New Roman"/>
          <w:sz w:val="24"/>
          <w:szCs w:val="24"/>
        </w:rPr>
      </w:pPr>
    </w:p>
    <w:p w:rsidR="003C4502" w:rsidRDefault="003C4502" w:rsidP="004C40C0">
      <w:pPr>
        <w:rPr>
          <w:rFonts w:cs="Times New Roman"/>
          <w:sz w:val="24"/>
          <w:szCs w:val="24"/>
        </w:rPr>
      </w:pPr>
    </w:p>
    <w:p w:rsidR="003C4502" w:rsidRDefault="003C4502" w:rsidP="004C40C0">
      <w:pPr>
        <w:rPr>
          <w:rFonts w:cs="Times New Roman"/>
          <w:sz w:val="24"/>
          <w:szCs w:val="24"/>
        </w:rPr>
      </w:pPr>
    </w:p>
    <w:p w:rsidR="003C4502" w:rsidRDefault="003C4502" w:rsidP="004C40C0">
      <w:pPr>
        <w:rPr>
          <w:rFonts w:cs="Times New Roman"/>
          <w:sz w:val="24"/>
          <w:szCs w:val="24"/>
        </w:rPr>
      </w:pPr>
    </w:p>
    <w:p w:rsidR="00853C27" w:rsidRPr="005222D8" w:rsidRDefault="00853C27" w:rsidP="004C40C0">
      <w:pPr>
        <w:rPr>
          <w:rFonts w:cs="Times New Roman"/>
          <w:sz w:val="24"/>
          <w:szCs w:val="24"/>
        </w:rPr>
      </w:pPr>
    </w:p>
    <w:p w:rsidR="00853C27" w:rsidRPr="005222D8" w:rsidRDefault="00853C27" w:rsidP="004C40C0">
      <w:pPr>
        <w:rPr>
          <w:rFonts w:cs="Times New Roman"/>
          <w:sz w:val="24"/>
          <w:szCs w:val="24"/>
        </w:rPr>
      </w:pPr>
    </w:p>
    <w:p w:rsidR="0081696C" w:rsidRDefault="0081696C" w:rsidP="00CD341E">
      <w:pPr>
        <w:tabs>
          <w:tab w:val="center" w:pos="4153"/>
        </w:tabs>
        <w:rPr>
          <w:rFonts w:cs="Times New Roman"/>
        </w:rPr>
      </w:pPr>
      <w:r>
        <w:rPr>
          <w:rFonts w:cs="Times New Roman"/>
        </w:rPr>
        <w:t>06.10.2015 9:30</w:t>
      </w:r>
    </w:p>
    <w:p w:rsidR="004C40C0" w:rsidRPr="005D0894" w:rsidRDefault="00245452" w:rsidP="00CD341E">
      <w:pPr>
        <w:tabs>
          <w:tab w:val="center" w:pos="4153"/>
        </w:tabs>
        <w:rPr>
          <w:rFonts w:cs="Times New Roman"/>
        </w:rPr>
      </w:pPr>
      <w:r>
        <w:t>910</w:t>
      </w:r>
      <w:r w:rsidR="00CD341E" w:rsidRPr="005D0894">
        <w:rPr>
          <w:rFonts w:cs="Times New Roman"/>
          <w:noProof/>
        </w:rPr>
        <w:tab/>
      </w:r>
    </w:p>
    <w:p w:rsidR="00E5011C" w:rsidRPr="005D0894" w:rsidRDefault="00853C27" w:rsidP="004C40C0">
      <w:pPr>
        <w:rPr>
          <w:rFonts w:cs="Times New Roman"/>
        </w:rPr>
      </w:pPr>
      <w:proofErr w:type="spellStart"/>
      <w:r w:rsidRPr="005D0894">
        <w:rPr>
          <w:rFonts w:cs="Times New Roman"/>
        </w:rPr>
        <w:t>A.Aišpure</w:t>
      </w:r>
      <w:proofErr w:type="spellEnd"/>
    </w:p>
    <w:p w:rsidR="00A51E13" w:rsidRPr="005D0894" w:rsidRDefault="00BA6423" w:rsidP="00A51E13">
      <w:pPr>
        <w:rPr>
          <w:rFonts w:cs="Times New Roman"/>
        </w:rPr>
      </w:pPr>
      <w:hyperlink r:id="rId9" w:history="1">
        <w:r w:rsidR="00853C27" w:rsidRPr="005D0894">
          <w:rPr>
            <w:rStyle w:val="Hyperlink"/>
            <w:rFonts w:cs="Times New Roman"/>
          </w:rPr>
          <w:t>agnese.aispure@mod.gov.lv</w:t>
        </w:r>
      </w:hyperlink>
      <w:r w:rsidR="00A51E13" w:rsidRPr="005D0894">
        <w:rPr>
          <w:rFonts w:cs="Times New Roman"/>
        </w:rPr>
        <w:t xml:space="preserve"> </w:t>
      </w:r>
    </w:p>
    <w:p w:rsidR="00A51E13" w:rsidRPr="005D0894" w:rsidRDefault="00A51E13" w:rsidP="00A51E13">
      <w:pPr>
        <w:rPr>
          <w:rFonts w:cs="Times New Roman"/>
        </w:rPr>
      </w:pPr>
      <w:r w:rsidRPr="005D0894">
        <w:rPr>
          <w:rFonts w:cs="Times New Roman"/>
        </w:rPr>
        <w:t xml:space="preserve">tālr.: 67335297 </w:t>
      </w:r>
    </w:p>
    <w:p w:rsidR="0081696C" w:rsidRPr="0081696C" w:rsidRDefault="0081696C" w:rsidP="0081696C">
      <w:pPr>
        <w:rPr>
          <w:rFonts w:cs="Times New Roman"/>
        </w:rPr>
      </w:pPr>
      <w:r w:rsidRPr="0081696C">
        <w:rPr>
          <w:rFonts w:cs="Times New Roman"/>
        </w:rPr>
        <w:t>L.Indriksone</w:t>
      </w:r>
    </w:p>
    <w:p w:rsidR="0081696C" w:rsidRPr="0081696C" w:rsidRDefault="0081696C" w:rsidP="0081696C">
      <w:pPr>
        <w:rPr>
          <w:rFonts w:cs="Times New Roman"/>
        </w:rPr>
      </w:pPr>
      <w:r w:rsidRPr="0081696C">
        <w:rPr>
          <w:rFonts w:cs="Times New Roman"/>
        </w:rPr>
        <w:t>Tālr.67335164</w:t>
      </w:r>
    </w:p>
    <w:p w:rsidR="0081696C" w:rsidRPr="0081696C" w:rsidRDefault="0081696C" w:rsidP="0081696C">
      <w:pPr>
        <w:rPr>
          <w:rFonts w:cs="Times New Roman"/>
        </w:rPr>
      </w:pPr>
      <w:r w:rsidRPr="0081696C">
        <w:rPr>
          <w:rFonts w:cs="Times New Roman"/>
        </w:rPr>
        <w:t xml:space="preserve">e-pasta adrese: </w:t>
      </w:r>
      <w:hyperlink r:id="rId10" w:history="1">
        <w:r w:rsidRPr="0081696C">
          <w:rPr>
            <w:rFonts w:cs="Times New Roman"/>
            <w:color w:val="0000FF"/>
            <w:u w:val="single"/>
          </w:rPr>
          <w:t>laura.indriksone@mod.gov.lv</w:t>
        </w:r>
      </w:hyperlink>
    </w:p>
    <w:p w:rsidR="00E5011C" w:rsidRPr="005222D8" w:rsidRDefault="00E5011C" w:rsidP="004C40C0">
      <w:pPr>
        <w:rPr>
          <w:rFonts w:cs="Times New Roman"/>
          <w:sz w:val="24"/>
          <w:szCs w:val="24"/>
        </w:rPr>
      </w:pPr>
    </w:p>
    <w:sectPr w:rsidR="00E5011C" w:rsidRPr="005222D8" w:rsidSect="00693187">
      <w:footerReference w:type="default" r:id="rId11"/>
      <w:pgSz w:w="11906" w:h="16838"/>
      <w:pgMar w:top="1134" w:right="1800" w:bottom="1440" w:left="1800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BA" w:rsidRDefault="00594DBA" w:rsidP="00721C60">
      <w:r>
        <w:separator/>
      </w:r>
    </w:p>
  </w:endnote>
  <w:endnote w:type="continuationSeparator" w:id="0">
    <w:p w:rsidR="00594DBA" w:rsidRDefault="00594DBA" w:rsidP="007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C0" w:rsidRDefault="00BA6423" w:rsidP="004C40C0">
    <w:pPr>
      <w:jc w:val="both"/>
      <w:rPr>
        <w:rFonts w:cs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BA6423">
      <w:rPr>
        <w:rFonts w:cs="Times New Roman"/>
        <w:noProof/>
      </w:rPr>
      <w:t>AIMAnot_061015.docx</w:t>
    </w:r>
    <w:r>
      <w:rPr>
        <w:rFonts w:cs="Times New Roman"/>
        <w:noProof/>
      </w:rPr>
      <w:fldChar w:fldCharType="end"/>
    </w:r>
    <w:r w:rsidR="004C40C0">
      <w:rPr>
        <w:rFonts w:cs="Times New Roman"/>
      </w:rPr>
      <w:t xml:space="preserve">; </w:t>
    </w:r>
    <w:r w:rsidR="004C40C0" w:rsidRPr="00A81032">
      <w:rPr>
        <w:rFonts w:cs="Times New Roman"/>
      </w:rPr>
      <w:t>Minist</w:t>
    </w:r>
    <w:r w:rsidR="004C40C0">
      <w:rPr>
        <w:rFonts w:cs="Times New Roman"/>
      </w:rPr>
      <w:t xml:space="preserve">ru kabineta </w:t>
    </w:r>
    <w:r w:rsidR="00F45BEC" w:rsidRPr="00F45BEC">
      <w:rPr>
        <w:rFonts w:cs="Times New Roman"/>
      </w:rPr>
      <w:t>rīkojuma</w:t>
    </w:r>
    <w:r w:rsidR="004C40C0">
      <w:rPr>
        <w:rFonts w:cs="Times New Roman"/>
      </w:rPr>
      <w:t xml:space="preserve"> projekta</w:t>
    </w:r>
    <w:r w:rsidR="004C40C0" w:rsidRPr="00A81032">
      <w:rPr>
        <w:rFonts w:cs="Times New Roman"/>
      </w:rPr>
      <w:t xml:space="preserve"> </w:t>
    </w:r>
    <w:r w:rsidR="00621861">
      <w:rPr>
        <w:rFonts w:cs="Times New Roman"/>
      </w:rPr>
      <w:t>“</w:t>
    </w:r>
    <w:r w:rsidR="00A35EDA" w:rsidRPr="00A35EDA">
      <w:rPr>
        <w:rFonts w:cs="Times New Roman"/>
      </w:rPr>
      <w:t>Par papildu saistību uzņemšanos projekta „Vienots informācijas logs jūrniecības un loģistikas datu administrēšanai” ietvaros</w:t>
    </w:r>
    <w:r w:rsidR="007739CB">
      <w:rPr>
        <w:rFonts w:cs="Times New Roman"/>
      </w:rPr>
      <w:t>”</w:t>
    </w:r>
    <w:r w:rsidR="004C40C0">
      <w:rPr>
        <w:rFonts w:cs="Times New Roman"/>
      </w:rPr>
      <w:t xml:space="preserve"> sākotnējās ietekmes novērtējuma ziņojums (anotācija)</w:t>
    </w:r>
  </w:p>
  <w:p w:rsidR="00055AF4" w:rsidRPr="00055AF4" w:rsidRDefault="008B68E0" w:rsidP="00055AF4">
    <w:pPr>
      <w:tabs>
        <w:tab w:val="center" w:pos="4153"/>
        <w:tab w:val="right" w:pos="8306"/>
      </w:tabs>
      <w:jc w:val="right"/>
      <w:rPr>
        <w:rFonts w:cs="Times New Roman"/>
        <w:sz w:val="24"/>
        <w:szCs w:val="24"/>
        <w:lang w:eastAsia="lv-LV" w:bidi="ar-SA"/>
      </w:rPr>
    </w:pPr>
    <w:r w:rsidRPr="00055AF4">
      <w:rPr>
        <w:rFonts w:cs="Times New Roman"/>
        <w:sz w:val="24"/>
        <w:szCs w:val="24"/>
        <w:lang w:eastAsia="lv-LV" w:bidi="ar-SA"/>
      </w:rPr>
      <w:fldChar w:fldCharType="begin"/>
    </w:r>
    <w:r w:rsidR="00055AF4" w:rsidRPr="00055AF4">
      <w:rPr>
        <w:rFonts w:cs="Times New Roman"/>
        <w:sz w:val="24"/>
        <w:szCs w:val="24"/>
        <w:lang w:eastAsia="lv-LV" w:bidi="ar-SA"/>
      </w:rPr>
      <w:instrText xml:space="preserve"> PAGE   \* MERGEFORMAT </w:instrText>
    </w:r>
    <w:r w:rsidRPr="00055AF4">
      <w:rPr>
        <w:rFonts w:cs="Times New Roman"/>
        <w:sz w:val="24"/>
        <w:szCs w:val="24"/>
        <w:lang w:eastAsia="lv-LV" w:bidi="ar-SA"/>
      </w:rPr>
      <w:fldChar w:fldCharType="separate"/>
    </w:r>
    <w:r w:rsidR="00BA6423">
      <w:rPr>
        <w:rFonts w:cs="Times New Roman"/>
        <w:noProof/>
        <w:sz w:val="24"/>
        <w:szCs w:val="24"/>
        <w:lang w:eastAsia="lv-LV" w:bidi="ar-SA"/>
      </w:rPr>
      <w:t>2</w:t>
    </w:r>
    <w:r w:rsidRPr="00055AF4">
      <w:rPr>
        <w:rFonts w:cs="Times New Roman"/>
        <w:noProof/>
        <w:sz w:val="24"/>
        <w:szCs w:val="24"/>
        <w:lang w:eastAsia="lv-LV" w:bidi="ar-SA"/>
      </w:rPr>
      <w:fldChar w:fldCharType="end"/>
    </w:r>
  </w:p>
  <w:p w:rsidR="00055AF4" w:rsidRPr="00055AF4" w:rsidRDefault="00055AF4" w:rsidP="00055AF4">
    <w:pPr>
      <w:jc w:val="both"/>
      <w:rPr>
        <w:rFonts w:cs="Times New Roman"/>
        <w:lang w:eastAsia="lv-LV" w:bidi="ar-SA"/>
      </w:rPr>
    </w:pPr>
  </w:p>
  <w:p w:rsidR="00721C60" w:rsidRDefault="00721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BA" w:rsidRDefault="00594DBA" w:rsidP="00721C60">
      <w:r>
        <w:separator/>
      </w:r>
    </w:p>
  </w:footnote>
  <w:footnote w:type="continuationSeparator" w:id="0">
    <w:p w:rsidR="00594DBA" w:rsidRDefault="00594DBA" w:rsidP="0072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F42"/>
    <w:multiLevelType w:val="hybridMultilevel"/>
    <w:tmpl w:val="54023DC2"/>
    <w:lvl w:ilvl="0" w:tplc="C20A7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43188"/>
    <w:multiLevelType w:val="hybridMultilevel"/>
    <w:tmpl w:val="F6DAB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628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88F"/>
    <w:multiLevelType w:val="hybridMultilevel"/>
    <w:tmpl w:val="8A8A69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B17"/>
    <w:multiLevelType w:val="hybridMultilevel"/>
    <w:tmpl w:val="3FE497EC"/>
    <w:lvl w:ilvl="0" w:tplc="B046F0FA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C9B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D5400"/>
    <w:multiLevelType w:val="hybridMultilevel"/>
    <w:tmpl w:val="9CCA68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163D"/>
    <w:multiLevelType w:val="hybridMultilevel"/>
    <w:tmpl w:val="C23CF6E6"/>
    <w:lvl w:ilvl="0" w:tplc="5B2AB6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521103"/>
    <w:multiLevelType w:val="hybridMultilevel"/>
    <w:tmpl w:val="86A4DAFE"/>
    <w:lvl w:ilvl="0" w:tplc="F880E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34A23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7"/>
    <w:rsid w:val="000060D4"/>
    <w:rsid w:val="00021F5D"/>
    <w:rsid w:val="00042181"/>
    <w:rsid w:val="00042F0F"/>
    <w:rsid w:val="00045145"/>
    <w:rsid w:val="0005169C"/>
    <w:rsid w:val="0005411B"/>
    <w:rsid w:val="00055AF4"/>
    <w:rsid w:val="000655C7"/>
    <w:rsid w:val="000764E2"/>
    <w:rsid w:val="000B3855"/>
    <w:rsid w:val="000D1336"/>
    <w:rsid w:val="000D5EC6"/>
    <w:rsid w:val="000E443D"/>
    <w:rsid w:val="000F493B"/>
    <w:rsid w:val="000F53CC"/>
    <w:rsid w:val="0010471B"/>
    <w:rsid w:val="00114968"/>
    <w:rsid w:val="00121EC6"/>
    <w:rsid w:val="00130CFE"/>
    <w:rsid w:val="00131927"/>
    <w:rsid w:val="00135EE7"/>
    <w:rsid w:val="0013670B"/>
    <w:rsid w:val="00136DBB"/>
    <w:rsid w:val="001440CC"/>
    <w:rsid w:val="00146413"/>
    <w:rsid w:val="0015005A"/>
    <w:rsid w:val="00181F91"/>
    <w:rsid w:val="00184257"/>
    <w:rsid w:val="001934B2"/>
    <w:rsid w:val="00193DE6"/>
    <w:rsid w:val="001951D0"/>
    <w:rsid w:val="00195EB0"/>
    <w:rsid w:val="00196E32"/>
    <w:rsid w:val="001A5282"/>
    <w:rsid w:val="001C0FC5"/>
    <w:rsid w:val="001C25DB"/>
    <w:rsid w:val="001C6616"/>
    <w:rsid w:val="001C6E3F"/>
    <w:rsid w:val="001D5687"/>
    <w:rsid w:val="001D5C7A"/>
    <w:rsid w:val="001E69C3"/>
    <w:rsid w:val="001E7CA9"/>
    <w:rsid w:val="001F6099"/>
    <w:rsid w:val="001F67E2"/>
    <w:rsid w:val="0020383F"/>
    <w:rsid w:val="00204FD2"/>
    <w:rsid w:val="00214049"/>
    <w:rsid w:val="00226001"/>
    <w:rsid w:val="002276DA"/>
    <w:rsid w:val="00230D1E"/>
    <w:rsid w:val="00244829"/>
    <w:rsid w:val="00245452"/>
    <w:rsid w:val="002534CD"/>
    <w:rsid w:val="0026236D"/>
    <w:rsid w:val="00271A73"/>
    <w:rsid w:val="00281AF8"/>
    <w:rsid w:val="00290E04"/>
    <w:rsid w:val="0029183A"/>
    <w:rsid w:val="00296C32"/>
    <w:rsid w:val="002A05A7"/>
    <w:rsid w:val="002A5545"/>
    <w:rsid w:val="002A5FAE"/>
    <w:rsid w:val="002B7DAC"/>
    <w:rsid w:val="002E2CC4"/>
    <w:rsid w:val="002E58C9"/>
    <w:rsid w:val="002F4AF9"/>
    <w:rsid w:val="00302CB0"/>
    <w:rsid w:val="00304507"/>
    <w:rsid w:val="003077AE"/>
    <w:rsid w:val="003103CD"/>
    <w:rsid w:val="003113A1"/>
    <w:rsid w:val="0032333C"/>
    <w:rsid w:val="00332D02"/>
    <w:rsid w:val="00333274"/>
    <w:rsid w:val="00333F45"/>
    <w:rsid w:val="00335C32"/>
    <w:rsid w:val="003616B6"/>
    <w:rsid w:val="00364681"/>
    <w:rsid w:val="00366149"/>
    <w:rsid w:val="003676AE"/>
    <w:rsid w:val="0037209C"/>
    <w:rsid w:val="0038132B"/>
    <w:rsid w:val="00392774"/>
    <w:rsid w:val="00396F6B"/>
    <w:rsid w:val="00397573"/>
    <w:rsid w:val="003A10A1"/>
    <w:rsid w:val="003A56E4"/>
    <w:rsid w:val="003B135F"/>
    <w:rsid w:val="003B56EF"/>
    <w:rsid w:val="003C4502"/>
    <w:rsid w:val="003C497E"/>
    <w:rsid w:val="003C5875"/>
    <w:rsid w:val="003C6D77"/>
    <w:rsid w:val="003D217F"/>
    <w:rsid w:val="003D663C"/>
    <w:rsid w:val="003E53AB"/>
    <w:rsid w:val="0040091B"/>
    <w:rsid w:val="004062A2"/>
    <w:rsid w:val="0041157E"/>
    <w:rsid w:val="004133AE"/>
    <w:rsid w:val="0041667E"/>
    <w:rsid w:val="0041677F"/>
    <w:rsid w:val="00422059"/>
    <w:rsid w:val="00424B4B"/>
    <w:rsid w:val="00426F29"/>
    <w:rsid w:val="004355DD"/>
    <w:rsid w:val="00456BE6"/>
    <w:rsid w:val="00457A2D"/>
    <w:rsid w:val="004920C8"/>
    <w:rsid w:val="004A7CB1"/>
    <w:rsid w:val="004B0AB8"/>
    <w:rsid w:val="004C2B6A"/>
    <w:rsid w:val="004C40C0"/>
    <w:rsid w:val="004C525A"/>
    <w:rsid w:val="004C5CB4"/>
    <w:rsid w:val="004C6E7B"/>
    <w:rsid w:val="004D6CBB"/>
    <w:rsid w:val="004E2C4C"/>
    <w:rsid w:val="004F37CD"/>
    <w:rsid w:val="004F450B"/>
    <w:rsid w:val="004F77DB"/>
    <w:rsid w:val="00511A3D"/>
    <w:rsid w:val="0051248E"/>
    <w:rsid w:val="00517CE2"/>
    <w:rsid w:val="00521500"/>
    <w:rsid w:val="005222D8"/>
    <w:rsid w:val="005315AA"/>
    <w:rsid w:val="0053727C"/>
    <w:rsid w:val="00554C7C"/>
    <w:rsid w:val="00564858"/>
    <w:rsid w:val="00571912"/>
    <w:rsid w:val="005864ED"/>
    <w:rsid w:val="0059118B"/>
    <w:rsid w:val="00594DBA"/>
    <w:rsid w:val="005A0BC7"/>
    <w:rsid w:val="005A5FC5"/>
    <w:rsid w:val="005A6830"/>
    <w:rsid w:val="005A6B38"/>
    <w:rsid w:val="005A70AA"/>
    <w:rsid w:val="005B3197"/>
    <w:rsid w:val="005B38C5"/>
    <w:rsid w:val="005B4C6F"/>
    <w:rsid w:val="005B7860"/>
    <w:rsid w:val="005D0894"/>
    <w:rsid w:val="005D4EA7"/>
    <w:rsid w:val="005F2665"/>
    <w:rsid w:val="005F520F"/>
    <w:rsid w:val="005F5E6E"/>
    <w:rsid w:val="00607726"/>
    <w:rsid w:val="00621861"/>
    <w:rsid w:val="00627937"/>
    <w:rsid w:val="006369BF"/>
    <w:rsid w:val="00636B94"/>
    <w:rsid w:val="0064333E"/>
    <w:rsid w:val="0064426B"/>
    <w:rsid w:val="006558D5"/>
    <w:rsid w:val="00657C6C"/>
    <w:rsid w:val="00662803"/>
    <w:rsid w:val="006715FD"/>
    <w:rsid w:val="00683762"/>
    <w:rsid w:val="00687A01"/>
    <w:rsid w:val="00693187"/>
    <w:rsid w:val="00697F1E"/>
    <w:rsid w:val="006B1A16"/>
    <w:rsid w:val="006B3862"/>
    <w:rsid w:val="006B4837"/>
    <w:rsid w:val="006B4918"/>
    <w:rsid w:val="006B4E97"/>
    <w:rsid w:val="006C1962"/>
    <w:rsid w:val="006C2C6E"/>
    <w:rsid w:val="006C4C8D"/>
    <w:rsid w:val="006D079F"/>
    <w:rsid w:val="006D1E8B"/>
    <w:rsid w:val="006D2226"/>
    <w:rsid w:val="006D358B"/>
    <w:rsid w:val="006D384E"/>
    <w:rsid w:val="006E1657"/>
    <w:rsid w:val="006E64F5"/>
    <w:rsid w:val="0070041B"/>
    <w:rsid w:val="007027FC"/>
    <w:rsid w:val="00715F58"/>
    <w:rsid w:val="00721C60"/>
    <w:rsid w:val="007278B8"/>
    <w:rsid w:val="00732702"/>
    <w:rsid w:val="00735565"/>
    <w:rsid w:val="007568C6"/>
    <w:rsid w:val="0076163E"/>
    <w:rsid w:val="007622CB"/>
    <w:rsid w:val="007635F3"/>
    <w:rsid w:val="007658FD"/>
    <w:rsid w:val="007673B0"/>
    <w:rsid w:val="00771352"/>
    <w:rsid w:val="007739CB"/>
    <w:rsid w:val="00777C16"/>
    <w:rsid w:val="00780963"/>
    <w:rsid w:val="0079061F"/>
    <w:rsid w:val="00790815"/>
    <w:rsid w:val="00790A41"/>
    <w:rsid w:val="00796381"/>
    <w:rsid w:val="007A0562"/>
    <w:rsid w:val="007A5830"/>
    <w:rsid w:val="007B4A0B"/>
    <w:rsid w:val="007C0E32"/>
    <w:rsid w:val="007C1053"/>
    <w:rsid w:val="007C495B"/>
    <w:rsid w:val="007D21DE"/>
    <w:rsid w:val="007D458D"/>
    <w:rsid w:val="007D4711"/>
    <w:rsid w:val="007F11C4"/>
    <w:rsid w:val="007F1938"/>
    <w:rsid w:val="007F4377"/>
    <w:rsid w:val="00802F61"/>
    <w:rsid w:val="0080451E"/>
    <w:rsid w:val="0081116E"/>
    <w:rsid w:val="0081696C"/>
    <w:rsid w:val="008171F7"/>
    <w:rsid w:val="00832A08"/>
    <w:rsid w:val="00833773"/>
    <w:rsid w:val="008376E5"/>
    <w:rsid w:val="008409C0"/>
    <w:rsid w:val="008444EF"/>
    <w:rsid w:val="008468A3"/>
    <w:rsid w:val="008533DF"/>
    <w:rsid w:val="00853C27"/>
    <w:rsid w:val="00854C82"/>
    <w:rsid w:val="00856AAF"/>
    <w:rsid w:val="00856F83"/>
    <w:rsid w:val="008646BE"/>
    <w:rsid w:val="00866C30"/>
    <w:rsid w:val="008779D4"/>
    <w:rsid w:val="0088025F"/>
    <w:rsid w:val="008804EF"/>
    <w:rsid w:val="00892928"/>
    <w:rsid w:val="00893967"/>
    <w:rsid w:val="008944AB"/>
    <w:rsid w:val="008A6D6A"/>
    <w:rsid w:val="008B0935"/>
    <w:rsid w:val="008B3CF4"/>
    <w:rsid w:val="008B65A6"/>
    <w:rsid w:val="008B68E0"/>
    <w:rsid w:val="008C1C39"/>
    <w:rsid w:val="008E6D94"/>
    <w:rsid w:val="008F0A5B"/>
    <w:rsid w:val="008F5AD3"/>
    <w:rsid w:val="008F65AF"/>
    <w:rsid w:val="008F6DE2"/>
    <w:rsid w:val="009013C0"/>
    <w:rsid w:val="00910940"/>
    <w:rsid w:val="009235D7"/>
    <w:rsid w:val="0095145F"/>
    <w:rsid w:val="00961EAA"/>
    <w:rsid w:val="0096447E"/>
    <w:rsid w:val="00965B0E"/>
    <w:rsid w:val="00965EEB"/>
    <w:rsid w:val="0096701F"/>
    <w:rsid w:val="0099072B"/>
    <w:rsid w:val="00991899"/>
    <w:rsid w:val="009A48D6"/>
    <w:rsid w:val="009B3281"/>
    <w:rsid w:val="009C5B57"/>
    <w:rsid w:val="009D1A1A"/>
    <w:rsid w:val="009E08FE"/>
    <w:rsid w:val="009E3130"/>
    <w:rsid w:val="009E6FF5"/>
    <w:rsid w:val="009F337A"/>
    <w:rsid w:val="00A0404F"/>
    <w:rsid w:val="00A048F7"/>
    <w:rsid w:val="00A04DD0"/>
    <w:rsid w:val="00A06A64"/>
    <w:rsid w:val="00A14FF3"/>
    <w:rsid w:val="00A17E0F"/>
    <w:rsid w:val="00A23FBF"/>
    <w:rsid w:val="00A32227"/>
    <w:rsid w:val="00A32467"/>
    <w:rsid w:val="00A35EDA"/>
    <w:rsid w:val="00A51E13"/>
    <w:rsid w:val="00A52FCA"/>
    <w:rsid w:val="00A61AB9"/>
    <w:rsid w:val="00A63EE7"/>
    <w:rsid w:val="00A705C7"/>
    <w:rsid w:val="00A822E2"/>
    <w:rsid w:val="00A937F1"/>
    <w:rsid w:val="00A952E7"/>
    <w:rsid w:val="00AB10EB"/>
    <w:rsid w:val="00AD208D"/>
    <w:rsid w:val="00AD4150"/>
    <w:rsid w:val="00AD6920"/>
    <w:rsid w:val="00AD7B70"/>
    <w:rsid w:val="00AF3AC3"/>
    <w:rsid w:val="00B00BD4"/>
    <w:rsid w:val="00B03C03"/>
    <w:rsid w:val="00B1200F"/>
    <w:rsid w:val="00B12015"/>
    <w:rsid w:val="00B16100"/>
    <w:rsid w:val="00B168AB"/>
    <w:rsid w:val="00B371D1"/>
    <w:rsid w:val="00B424B3"/>
    <w:rsid w:val="00B43608"/>
    <w:rsid w:val="00B44769"/>
    <w:rsid w:val="00B71ED7"/>
    <w:rsid w:val="00B736F4"/>
    <w:rsid w:val="00B931BD"/>
    <w:rsid w:val="00BA6423"/>
    <w:rsid w:val="00BB6BC1"/>
    <w:rsid w:val="00BD065A"/>
    <w:rsid w:val="00BD3CC6"/>
    <w:rsid w:val="00BD4489"/>
    <w:rsid w:val="00BD482C"/>
    <w:rsid w:val="00BD6584"/>
    <w:rsid w:val="00BE07F1"/>
    <w:rsid w:val="00BE33F1"/>
    <w:rsid w:val="00BF1ACA"/>
    <w:rsid w:val="00BF5ABA"/>
    <w:rsid w:val="00C01B5F"/>
    <w:rsid w:val="00C02BED"/>
    <w:rsid w:val="00C16194"/>
    <w:rsid w:val="00C20110"/>
    <w:rsid w:val="00C25672"/>
    <w:rsid w:val="00C27BB0"/>
    <w:rsid w:val="00C30F99"/>
    <w:rsid w:val="00C3237D"/>
    <w:rsid w:val="00C3358A"/>
    <w:rsid w:val="00C429DC"/>
    <w:rsid w:val="00C440ED"/>
    <w:rsid w:val="00C47459"/>
    <w:rsid w:val="00C55CC7"/>
    <w:rsid w:val="00C61474"/>
    <w:rsid w:val="00C664B0"/>
    <w:rsid w:val="00C729FB"/>
    <w:rsid w:val="00C81C18"/>
    <w:rsid w:val="00C8334B"/>
    <w:rsid w:val="00C84CE0"/>
    <w:rsid w:val="00C91C2E"/>
    <w:rsid w:val="00C978D5"/>
    <w:rsid w:val="00C97FA8"/>
    <w:rsid w:val="00CB08E1"/>
    <w:rsid w:val="00CB1BBD"/>
    <w:rsid w:val="00CB7567"/>
    <w:rsid w:val="00CB7EAC"/>
    <w:rsid w:val="00CC4B80"/>
    <w:rsid w:val="00CC59DB"/>
    <w:rsid w:val="00CD135A"/>
    <w:rsid w:val="00CD33D9"/>
    <w:rsid w:val="00CD341E"/>
    <w:rsid w:val="00CD58B7"/>
    <w:rsid w:val="00CE0F83"/>
    <w:rsid w:val="00CE6831"/>
    <w:rsid w:val="00CF54C7"/>
    <w:rsid w:val="00CF5CF2"/>
    <w:rsid w:val="00CF6861"/>
    <w:rsid w:val="00D03EA2"/>
    <w:rsid w:val="00D07280"/>
    <w:rsid w:val="00D16953"/>
    <w:rsid w:val="00D36ED9"/>
    <w:rsid w:val="00D41263"/>
    <w:rsid w:val="00D41A30"/>
    <w:rsid w:val="00D46C21"/>
    <w:rsid w:val="00D500D9"/>
    <w:rsid w:val="00D51502"/>
    <w:rsid w:val="00D51782"/>
    <w:rsid w:val="00D623BB"/>
    <w:rsid w:val="00D73C26"/>
    <w:rsid w:val="00D75EBB"/>
    <w:rsid w:val="00D81FF1"/>
    <w:rsid w:val="00D8501E"/>
    <w:rsid w:val="00D869D5"/>
    <w:rsid w:val="00D870CC"/>
    <w:rsid w:val="00D960F6"/>
    <w:rsid w:val="00DA5A53"/>
    <w:rsid w:val="00DA7126"/>
    <w:rsid w:val="00DD10BE"/>
    <w:rsid w:val="00DD1759"/>
    <w:rsid w:val="00DD2690"/>
    <w:rsid w:val="00DD4D52"/>
    <w:rsid w:val="00DD7579"/>
    <w:rsid w:val="00DE3821"/>
    <w:rsid w:val="00DE6BE4"/>
    <w:rsid w:val="00DF2364"/>
    <w:rsid w:val="00E006E5"/>
    <w:rsid w:val="00E03119"/>
    <w:rsid w:val="00E0634B"/>
    <w:rsid w:val="00E22FA0"/>
    <w:rsid w:val="00E251BF"/>
    <w:rsid w:val="00E26306"/>
    <w:rsid w:val="00E37E70"/>
    <w:rsid w:val="00E43C39"/>
    <w:rsid w:val="00E43C79"/>
    <w:rsid w:val="00E4593B"/>
    <w:rsid w:val="00E45DFB"/>
    <w:rsid w:val="00E47CD2"/>
    <w:rsid w:val="00E5011C"/>
    <w:rsid w:val="00E50A9E"/>
    <w:rsid w:val="00E56419"/>
    <w:rsid w:val="00E64713"/>
    <w:rsid w:val="00E7009D"/>
    <w:rsid w:val="00E713B5"/>
    <w:rsid w:val="00E737A6"/>
    <w:rsid w:val="00E74E30"/>
    <w:rsid w:val="00E924F1"/>
    <w:rsid w:val="00EB0A95"/>
    <w:rsid w:val="00EB2F97"/>
    <w:rsid w:val="00EC1681"/>
    <w:rsid w:val="00EC3BF8"/>
    <w:rsid w:val="00EC62E3"/>
    <w:rsid w:val="00ED192E"/>
    <w:rsid w:val="00EE4C17"/>
    <w:rsid w:val="00F12A5A"/>
    <w:rsid w:val="00F154E6"/>
    <w:rsid w:val="00F210BE"/>
    <w:rsid w:val="00F22346"/>
    <w:rsid w:val="00F24779"/>
    <w:rsid w:val="00F27876"/>
    <w:rsid w:val="00F44627"/>
    <w:rsid w:val="00F45BEC"/>
    <w:rsid w:val="00F5030A"/>
    <w:rsid w:val="00F530FE"/>
    <w:rsid w:val="00F56727"/>
    <w:rsid w:val="00F663BE"/>
    <w:rsid w:val="00F665C1"/>
    <w:rsid w:val="00F8210A"/>
    <w:rsid w:val="00F854DC"/>
    <w:rsid w:val="00F94E6A"/>
    <w:rsid w:val="00FA2539"/>
    <w:rsid w:val="00FA28E4"/>
    <w:rsid w:val="00FA5DFA"/>
    <w:rsid w:val="00FB3BF5"/>
    <w:rsid w:val="00FC7562"/>
    <w:rsid w:val="00FD1311"/>
    <w:rsid w:val="00FD24E2"/>
    <w:rsid w:val="00FE0356"/>
    <w:rsid w:val="00FE1EC8"/>
    <w:rsid w:val="00FE5D6C"/>
    <w:rsid w:val="00FE67DE"/>
    <w:rsid w:val="00FF4232"/>
    <w:rsid w:val="00FF5B7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1C6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910940"/>
    <w:pPr>
      <w:ind w:left="720"/>
      <w:contextualSpacing/>
    </w:pPr>
  </w:style>
  <w:style w:type="paragraph" w:customStyle="1" w:styleId="naisf">
    <w:name w:val="naisf"/>
    <w:basedOn w:val="Normal"/>
    <w:rsid w:val="00BD6584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customStyle="1" w:styleId="naisnod">
    <w:name w:val="naisnod"/>
    <w:basedOn w:val="Normal"/>
    <w:rsid w:val="00BD6584"/>
    <w:pPr>
      <w:spacing w:before="150" w:after="150"/>
      <w:jc w:val="center"/>
    </w:pPr>
    <w:rPr>
      <w:rFonts w:cs="Times New Roman"/>
      <w:b/>
      <w:bCs/>
      <w:sz w:val="24"/>
      <w:szCs w:val="24"/>
      <w:lang w:eastAsia="lv-LV" w:bidi="ar-SA"/>
    </w:rPr>
  </w:style>
  <w:style w:type="paragraph" w:customStyle="1" w:styleId="naiskr">
    <w:name w:val="naiskr"/>
    <w:basedOn w:val="Normal"/>
    <w:rsid w:val="00A35EDA"/>
    <w:pPr>
      <w:spacing w:before="75" w:after="75"/>
    </w:pPr>
    <w:rPr>
      <w:rFonts w:cs="Times New Roman"/>
      <w:sz w:val="24"/>
      <w:szCs w:val="24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1C60"/>
    <w:rPr>
      <w:rFonts w:cs="Arial Unicode MS"/>
      <w:lang w:eastAsia="en-US" w:bidi="lo-LA"/>
    </w:rPr>
  </w:style>
  <w:style w:type="paragraph" w:styleId="ListParagraph">
    <w:name w:val="List Paragraph"/>
    <w:basedOn w:val="Normal"/>
    <w:uiPriority w:val="34"/>
    <w:qFormat/>
    <w:rsid w:val="00910940"/>
    <w:pPr>
      <w:ind w:left="720"/>
      <w:contextualSpacing/>
    </w:pPr>
  </w:style>
  <w:style w:type="paragraph" w:customStyle="1" w:styleId="naisf">
    <w:name w:val="naisf"/>
    <w:basedOn w:val="Normal"/>
    <w:rsid w:val="00BD6584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customStyle="1" w:styleId="naisnod">
    <w:name w:val="naisnod"/>
    <w:basedOn w:val="Normal"/>
    <w:rsid w:val="00BD6584"/>
    <w:pPr>
      <w:spacing w:before="150" w:after="150"/>
      <w:jc w:val="center"/>
    </w:pPr>
    <w:rPr>
      <w:rFonts w:cs="Times New Roman"/>
      <w:b/>
      <w:bCs/>
      <w:sz w:val="24"/>
      <w:szCs w:val="24"/>
      <w:lang w:eastAsia="lv-LV" w:bidi="ar-SA"/>
    </w:rPr>
  </w:style>
  <w:style w:type="paragraph" w:customStyle="1" w:styleId="naiskr">
    <w:name w:val="naiskr"/>
    <w:basedOn w:val="Normal"/>
    <w:rsid w:val="00A35EDA"/>
    <w:pPr>
      <w:spacing w:before="75" w:after="75"/>
    </w:pPr>
    <w:rPr>
      <w:rFonts w:cs="Times New Roman"/>
      <w:sz w:val="24"/>
      <w:szCs w:val="24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1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ura.indriksone@mo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ese.aispur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DB63-E38F-426F-9176-8DEB1CC5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B3EF46E4.dotm</Template>
  <TotalTime>340</TotalTime>
  <Pages>4</Pages>
  <Words>910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papildu saistību uzņemšanos projekta „Vienots informācijas logs jūrniecības un loģistikas datu administrēšanai” ietvaros” anotācija</vt:lpstr>
    </vt:vector>
  </TitlesOfParts>
  <Manager>RPD BIPN</Manager>
  <Company>Aizsardzības ministrija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papildu saistību uzņemšanos projekta „Vienots informācijas logs jūrniecības un loģistikas datu administrēšanai” ietvaros” anotācija</dc:title>
  <dc:subject>MK noteikumu projekts „Par papildu saistību uzņemšanos projekta „Vienots informācijas logs jūrniecības un loģistikas datu administrēšanai” ietvaros”</dc:subject>
  <dc:creator>A.Aišpure</dc:creator>
  <dc:description>A.Aišpure, tālr.:67335297, e-pasts: agnese.aispure@mod.gov.lv</dc:description>
  <cp:lastModifiedBy>Laura Indriksone</cp:lastModifiedBy>
  <cp:revision>55</cp:revision>
  <cp:lastPrinted>2015-10-06T06:40:00Z</cp:lastPrinted>
  <dcterms:created xsi:type="dcterms:W3CDTF">2015-08-25T12:21:00Z</dcterms:created>
  <dcterms:modified xsi:type="dcterms:W3CDTF">2015-10-06T06:40:00Z</dcterms:modified>
</cp:coreProperties>
</file>