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07" w:rsidRPr="001E46F3" w:rsidRDefault="00643B07" w:rsidP="00583598">
      <w:pPr>
        <w:pStyle w:val="Footer"/>
        <w:jc w:val="center"/>
        <w:outlineLvl w:val="0"/>
        <w:rPr>
          <w:b/>
        </w:rPr>
      </w:pPr>
      <w:bookmarkStart w:id="0" w:name="OLE_LINK6"/>
      <w:bookmarkStart w:id="1" w:name="OLE_LINK7"/>
      <w:r w:rsidRPr="001E46F3">
        <w:rPr>
          <w:b/>
        </w:rPr>
        <w:t>Ministru kabineta rīkojuma projekta „</w:t>
      </w:r>
      <w:r w:rsidR="004E6354">
        <w:rPr>
          <w:b/>
        </w:rPr>
        <w:t xml:space="preserve">Par </w:t>
      </w:r>
      <w:r w:rsidR="00504D69" w:rsidRPr="00504D69">
        <w:rPr>
          <w:b/>
        </w:rPr>
        <w:t>Militārās aviācijas nelaimes gadījum</w:t>
      </w:r>
      <w:r w:rsidR="009A6443">
        <w:rPr>
          <w:b/>
        </w:rPr>
        <w:t>u</w:t>
      </w:r>
      <w:r w:rsidR="00504D69" w:rsidRPr="00504D69">
        <w:rPr>
          <w:b/>
        </w:rPr>
        <w:t xml:space="preserve"> koordinācijas un informācijas centru</w:t>
      </w:r>
      <w:r w:rsidR="001E46F3" w:rsidRPr="001E46F3">
        <w:rPr>
          <w:b/>
        </w:rPr>
        <w:t>”</w:t>
      </w:r>
      <w:r w:rsidR="001E46F3" w:rsidRPr="001E46F3">
        <w:rPr>
          <w:b/>
          <w:bCs/>
        </w:rPr>
        <w:t xml:space="preserve"> </w:t>
      </w:r>
      <w:r w:rsidRPr="001E46F3">
        <w:rPr>
          <w:b/>
          <w:bCs/>
        </w:rPr>
        <w:t>sākotnējās ietekmes novērtējuma ziņojums</w:t>
      </w:r>
      <w:r w:rsidR="001E46F3">
        <w:rPr>
          <w:b/>
          <w:bCs/>
        </w:rPr>
        <w:t xml:space="preserve"> </w:t>
      </w:r>
      <w:r w:rsidRPr="001E46F3">
        <w:rPr>
          <w:b/>
          <w:bCs/>
        </w:rPr>
        <w:t>(anotācija</w:t>
      </w:r>
      <w:bookmarkEnd w:id="0"/>
      <w:bookmarkEnd w:id="1"/>
      <w:r w:rsidRPr="001E46F3">
        <w:rPr>
          <w:b/>
          <w:bCs/>
        </w:rPr>
        <w:t>)</w:t>
      </w:r>
    </w:p>
    <w:p w:rsidR="00643B07" w:rsidRPr="006F2722" w:rsidRDefault="00643B07" w:rsidP="001F3419">
      <w:pPr>
        <w:pStyle w:val="naisc"/>
        <w:spacing w:before="0" w:beforeAutospacing="0" w:after="0" w:afterAutospacing="0"/>
        <w:jc w:val="center"/>
      </w:pPr>
    </w:p>
    <w:tbl>
      <w:tblPr>
        <w:tblW w:w="511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2"/>
        <w:gridCol w:w="2597"/>
        <w:gridCol w:w="6370"/>
      </w:tblGrid>
      <w:tr w:rsidR="00643B07" w:rsidRPr="00533C3D" w:rsidTr="00342530">
        <w:tc>
          <w:tcPr>
            <w:tcW w:w="5000" w:type="pct"/>
            <w:gridSpan w:val="3"/>
          </w:tcPr>
          <w:p w:rsidR="00643B07" w:rsidRPr="006F2722" w:rsidRDefault="00CD78A2" w:rsidP="00342AAD">
            <w:pPr>
              <w:pStyle w:val="naisnod"/>
              <w:spacing w:before="0" w:beforeAutospacing="0" w:after="0" w:afterAutospacing="0"/>
              <w:jc w:val="center"/>
            </w:pPr>
            <w:r w:rsidRPr="006F2722">
              <w:rPr>
                <w:b/>
                <w:bCs/>
              </w:rPr>
              <w:t>I. Tiesību akta projekta izstrādes nepieciešamība</w:t>
            </w:r>
          </w:p>
        </w:tc>
      </w:tr>
      <w:tr w:rsidR="00643B07" w:rsidRPr="00533C3D" w:rsidTr="00342530">
        <w:tc>
          <w:tcPr>
            <w:tcW w:w="280" w:type="pct"/>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1.</w:t>
            </w:r>
          </w:p>
        </w:tc>
        <w:tc>
          <w:tcPr>
            <w:tcW w:w="1367" w:type="pct"/>
          </w:tcPr>
          <w:p w:rsidR="00643B07" w:rsidRPr="006F2722" w:rsidRDefault="00643B07" w:rsidP="00342AAD">
            <w:pPr>
              <w:pStyle w:val="naiskr"/>
              <w:tabs>
                <w:tab w:val="left" w:pos="3044"/>
              </w:tabs>
              <w:spacing w:before="0" w:beforeAutospacing="0" w:after="0" w:afterAutospacing="0"/>
              <w:jc w:val="both"/>
            </w:pPr>
            <w:r w:rsidRPr="006F2722">
              <w:t>Pamatojums</w:t>
            </w:r>
            <w:r w:rsidRPr="006F2722" w:rsidDel="00C91D1E">
              <w:t xml:space="preserve"> </w:t>
            </w:r>
          </w:p>
        </w:tc>
        <w:tc>
          <w:tcPr>
            <w:tcW w:w="3353" w:type="pct"/>
          </w:tcPr>
          <w:p w:rsidR="007C096C" w:rsidRPr="007C096C" w:rsidRDefault="007C096C" w:rsidP="00150BF7">
            <w:pPr>
              <w:jc w:val="both"/>
            </w:pPr>
            <w:r w:rsidRPr="007C096C">
              <w:t xml:space="preserve">Ministru </w:t>
            </w:r>
            <w:r w:rsidR="00090863">
              <w:t>k</w:t>
            </w:r>
            <w:r w:rsidRPr="007C096C">
              <w:t xml:space="preserve">abineta 2015.gada 12.maija noteikumu </w:t>
            </w:r>
            <w:r w:rsidR="00090863">
              <w:t xml:space="preserve">Nr.219 </w:t>
            </w:r>
            <w:r w:rsidRPr="007C096C">
              <w:t>„Noteikumi par pasākumiem, kas saist</w:t>
            </w:r>
            <w:r>
              <w:t>īti ar militārās</w:t>
            </w:r>
            <w:r w:rsidRPr="007C096C">
              <w:t xml:space="preserve"> aviācijas nelaimes gadījumiem” 7.punkts uzdo</w:t>
            </w:r>
            <w:r w:rsidR="00150BF7">
              <w:t>d</w:t>
            </w:r>
            <w:r w:rsidRPr="007C096C">
              <w:t xml:space="preserve"> izveidot ar Mi</w:t>
            </w:r>
            <w:r>
              <w:t xml:space="preserve">nistru kabineta rīkojumu </w:t>
            </w:r>
            <w:r w:rsidRPr="007C096C">
              <w:t>Militārās aviācijas nelaimes gadījum</w:t>
            </w:r>
            <w:r w:rsidR="009A6443">
              <w:t>u</w:t>
            </w:r>
            <w:r w:rsidRPr="007C096C">
              <w:t xml:space="preserve"> koordinācijas un informācijas centru. </w:t>
            </w:r>
          </w:p>
        </w:tc>
      </w:tr>
      <w:tr w:rsidR="00643B07" w:rsidRPr="00533C3D" w:rsidTr="00342530">
        <w:tc>
          <w:tcPr>
            <w:tcW w:w="280" w:type="pct"/>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2.</w:t>
            </w:r>
          </w:p>
        </w:tc>
        <w:tc>
          <w:tcPr>
            <w:tcW w:w="1367" w:type="pct"/>
          </w:tcPr>
          <w:p w:rsidR="00643B07" w:rsidRPr="006F2722" w:rsidRDefault="007A7F17" w:rsidP="00342AAD">
            <w:pPr>
              <w:pStyle w:val="BodyText"/>
              <w:widowControl w:val="0"/>
              <w:jc w:val="both"/>
              <w:rPr>
                <w:b w:val="0"/>
                <w:sz w:val="24"/>
                <w:szCs w:val="24"/>
              </w:rPr>
            </w:pPr>
            <w:r w:rsidRPr="007A7F17">
              <w:rPr>
                <w:b w:val="0"/>
                <w:sz w:val="24"/>
                <w:szCs w:val="24"/>
              </w:rPr>
              <w:t>Pašreizējā situācija un problēmas, kuru risināšanai tiesību akta projekts izstrādāts, tiesiskā regulējuma mērķis un būtība</w:t>
            </w:r>
          </w:p>
        </w:tc>
        <w:tc>
          <w:tcPr>
            <w:tcW w:w="3353" w:type="pct"/>
            <w:tcBorders>
              <w:bottom w:val="single" w:sz="4" w:space="0" w:color="auto"/>
            </w:tcBorders>
          </w:tcPr>
          <w:p w:rsidR="00B56747" w:rsidRPr="00B56747" w:rsidRDefault="002B727C" w:rsidP="00B56747">
            <w:pPr>
              <w:jc w:val="both"/>
            </w:pPr>
            <w:r w:rsidRPr="002B727C">
              <w:t>Militārās aviācijas nelaimes gadījum</w:t>
            </w:r>
            <w:r w:rsidR="009A6443">
              <w:t>u</w:t>
            </w:r>
            <w:r w:rsidRPr="002B727C">
              <w:t xml:space="preserve"> koordinācijas un informācijas centr</w:t>
            </w:r>
            <w:r>
              <w:t>s</w:t>
            </w:r>
            <w:r w:rsidRPr="002B727C">
              <w:t xml:space="preserve"> </w:t>
            </w:r>
            <w:r w:rsidR="001E46F3" w:rsidRPr="001E46F3">
              <w:t>(turpmāk</w:t>
            </w:r>
            <w:r w:rsidR="00090863">
              <w:t xml:space="preserve"> – centrs</w:t>
            </w:r>
            <w:r w:rsidR="001E46F3" w:rsidRPr="001E46F3">
              <w:t>)</w:t>
            </w:r>
            <w:r w:rsidR="007C096C" w:rsidRPr="007C096C">
              <w:t xml:space="preserve"> ir ar Ministru kabineta rīkojumu izveidota s</w:t>
            </w:r>
            <w:r w:rsidR="00B56747">
              <w:t xml:space="preserve">tarpinstitūciju darba grupa. </w:t>
            </w:r>
            <w:r w:rsidR="00090863">
              <w:t>Centram</w:t>
            </w:r>
            <w:r w:rsidR="00090863" w:rsidRPr="00B56747">
              <w:t xml:space="preserve"> </w:t>
            </w:r>
            <w:r w:rsidR="00B56747" w:rsidRPr="00B56747">
              <w:t xml:space="preserve">ir šādi uzdevumi: </w:t>
            </w:r>
          </w:p>
          <w:p w:rsidR="00B56747" w:rsidRPr="00B56747" w:rsidRDefault="00B56747" w:rsidP="00B56747">
            <w:pPr>
              <w:jc w:val="both"/>
            </w:pPr>
            <w:r w:rsidRPr="00B56747">
              <w:t>1. izskatīt un apstiprināt militārās aviācijas gaisa kuģu un cilvēku meklēšanas un glābšanas darbu un avārijas seku likvidēšanas rīcības plānu;</w:t>
            </w:r>
          </w:p>
          <w:p w:rsidR="00B56747" w:rsidRPr="00B56747" w:rsidRDefault="00B56747" w:rsidP="00B56747">
            <w:pPr>
              <w:jc w:val="both"/>
            </w:pPr>
            <w:r w:rsidRPr="00B56747">
              <w:t>2. apkopot informāciju par militārās aviācijas nelaimes gadījuma sekām un organizēt, koordinēt un vadīt šo seku novēršanas procesu;</w:t>
            </w:r>
          </w:p>
          <w:p w:rsidR="00B56747" w:rsidRPr="00B56747" w:rsidRDefault="00B56747" w:rsidP="00B56747">
            <w:pPr>
              <w:jc w:val="both"/>
            </w:pPr>
            <w:r w:rsidRPr="00B56747">
              <w:t xml:space="preserve">3. sekot līdzi </w:t>
            </w:r>
            <w:r w:rsidR="0091302D" w:rsidRPr="0091302D">
              <w:t xml:space="preserve">2015.gada 12. maija </w:t>
            </w:r>
            <w:r w:rsidR="0091302D" w:rsidRPr="0091302D">
              <w:rPr>
                <w:bCs/>
              </w:rPr>
              <w:t>Ministru kabineta noteikumu Nr.219</w:t>
            </w:r>
            <w:r w:rsidR="0091302D">
              <w:t xml:space="preserve"> </w:t>
            </w:r>
            <w:r w:rsidR="0091302D" w:rsidRPr="0091302D">
              <w:t>„</w:t>
            </w:r>
            <w:r w:rsidR="0091302D" w:rsidRPr="0091302D">
              <w:rPr>
                <w:bCs/>
              </w:rPr>
              <w:t>Noteikumi par pasākumiem, kas saistīti ar militārās aviācijas nelaimes gadījumiem”</w:t>
            </w:r>
            <w:r w:rsidR="0091302D" w:rsidRPr="0091302D">
              <w:t xml:space="preserve"> </w:t>
            </w:r>
            <w:r w:rsidR="0091302D">
              <w:t xml:space="preserve">(turpmāk - noteikumi) </w:t>
            </w:r>
            <w:r w:rsidRPr="00B56747">
              <w:t>un militārās aviācijas gaisa kuģu un cilvēku meklēšanas un glābšanas darbu un avārijas seku likvidēšanas rīcības plāna izpildei un, ja nepieciešams, saskaņot un koordinēt iesaistīto institūciju darbības šajos noteikumos noteikto pasākumu īstenošanai;</w:t>
            </w:r>
          </w:p>
          <w:p w:rsidR="00B56747" w:rsidRPr="00B56747" w:rsidRDefault="00B56747" w:rsidP="00B56747">
            <w:pPr>
              <w:jc w:val="both"/>
            </w:pPr>
            <w:r w:rsidRPr="00B56747">
              <w:t>4. organizēt informācijas sniegšanu sabiedrībai par militārās aviācijas nelaimes gadījumu un būt vienīgajam autorizētajam oficiālajam informācijas avotam par militārās aviācijas nelaimes gadījumu;</w:t>
            </w:r>
          </w:p>
          <w:p w:rsidR="00B56747" w:rsidRPr="00B56747" w:rsidRDefault="00666458" w:rsidP="00B56747">
            <w:pPr>
              <w:jc w:val="both"/>
            </w:pPr>
            <w:hyperlink r:id="rId8" w:anchor="p8.5" w:tgtFrame="_blank" w:history="1">
              <w:r w:rsidR="00B56747" w:rsidRPr="00B56747">
                <w:rPr>
                  <w:rStyle w:val="Hyperlink"/>
                  <w:color w:val="000000" w:themeColor="text1"/>
                  <w:u w:val="none"/>
                </w:rPr>
                <w:t>5</w:t>
              </w:r>
            </w:hyperlink>
            <w:r w:rsidR="00B56747" w:rsidRPr="00B56747">
              <w:rPr>
                <w:color w:val="000000" w:themeColor="text1"/>
              </w:rPr>
              <w:t xml:space="preserve">. </w:t>
            </w:r>
            <w:r w:rsidR="00B56747" w:rsidRPr="00B56747">
              <w:t>pildīt kontaktpunkta pienākumus militārās aviācijas nelaimes gadījumā cietušajiem un viņu tuviniekiem;</w:t>
            </w:r>
          </w:p>
          <w:p w:rsidR="00B56747" w:rsidRPr="00B56747" w:rsidRDefault="00B56747" w:rsidP="00B56747">
            <w:pPr>
              <w:jc w:val="both"/>
            </w:pPr>
            <w:r w:rsidRPr="00B56747">
              <w:t>6. ja nepieciešams (atkarībā no militārās aviācijas nelaimes gadījuma rakstura un mēroga), nodrošināt informatīvā tālruņa līniju cietušo tuvinieku informēšanai par militārās aviācijas nelaimes gadījumā cietušajām personām;</w:t>
            </w:r>
          </w:p>
          <w:p w:rsidR="00B56747" w:rsidRPr="00B56747" w:rsidRDefault="00B56747" w:rsidP="00B56747">
            <w:pPr>
              <w:jc w:val="both"/>
            </w:pPr>
            <w:r w:rsidRPr="00B56747">
              <w:t>7. organizēt nelaimes gadījumā cietušo nodrošināšanu ar pirmās nepieciešamības precēm, īslaicīgu uzturēšanās vietu, dzērieniem, pārtiku un nepieciešamo psiholoģisko atbalstu;</w:t>
            </w:r>
          </w:p>
          <w:p w:rsidR="00B56747" w:rsidRDefault="00B56747" w:rsidP="00B56747">
            <w:pPr>
              <w:jc w:val="both"/>
            </w:pPr>
            <w:r w:rsidRPr="00B56747">
              <w:t xml:space="preserve">8. lai pārbaudītu </w:t>
            </w:r>
            <w:r w:rsidR="004E6354">
              <w:t>noteikumu</w:t>
            </w:r>
            <w:r w:rsidR="00E07DCF" w:rsidRPr="00B56747">
              <w:t xml:space="preserve"> </w:t>
            </w:r>
            <w:r w:rsidRPr="00B56747">
              <w:t xml:space="preserve">vai to atsevišķu normu piemērošanu praksē, veikt </w:t>
            </w:r>
            <w:r w:rsidR="004E6354" w:rsidRPr="004E6354">
              <w:t>kopējas</w:t>
            </w:r>
            <w:r w:rsidRPr="00B56747">
              <w:t xml:space="preserve"> mācības ne retāk kā reizi gadā (par mācību sagatavošanu un norisi atbild </w:t>
            </w:r>
            <w:r w:rsidR="00090863">
              <w:t>Nacionālo bruņoto spēku (</w:t>
            </w:r>
            <w:r w:rsidRPr="00B56747">
              <w:t>NBS</w:t>
            </w:r>
            <w:r w:rsidR="00090863">
              <w:t>)</w:t>
            </w:r>
            <w:r w:rsidRPr="00B56747">
              <w:t xml:space="preserve"> amatpersona).</w:t>
            </w:r>
          </w:p>
          <w:p w:rsidR="00666458" w:rsidRDefault="00666458" w:rsidP="00D92091">
            <w:pPr>
              <w:jc w:val="both"/>
            </w:pPr>
          </w:p>
          <w:p w:rsidR="004E3BA8" w:rsidRPr="006F2722" w:rsidRDefault="00090863" w:rsidP="00D92091">
            <w:pPr>
              <w:jc w:val="both"/>
            </w:pPr>
            <w:r>
              <w:t>Centrs</w:t>
            </w:r>
            <w:r w:rsidRPr="00B56747">
              <w:t xml:space="preserve"> </w:t>
            </w:r>
            <w:r w:rsidR="007C096C" w:rsidRPr="007C096C">
              <w:t>darbojas pastāvīgi</w:t>
            </w:r>
            <w:r>
              <w:t>,</w:t>
            </w:r>
            <w:r w:rsidR="007C096C" w:rsidRPr="007C096C">
              <w:t xml:space="preserve"> un </w:t>
            </w:r>
            <w:r>
              <w:t>tajā</w:t>
            </w:r>
            <w:r w:rsidRPr="007C096C">
              <w:t xml:space="preserve"> </w:t>
            </w:r>
            <w:r w:rsidR="007C096C" w:rsidRPr="007C096C">
              <w:t xml:space="preserve">atbilstoši nepieciešamībai ir deleģēti atbildīgo institūciju pārstāvji no </w:t>
            </w:r>
            <w:r>
              <w:t>v</w:t>
            </w:r>
            <w:r w:rsidR="00CA79C8">
              <w:t>alsts aģentūras „Civilās aviācijas aģentūra”, Valsts robežsardzes</w:t>
            </w:r>
            <w:r w:rsidR="007C096C" w:rsidRPr="007C096C">
              <w:t xml:space="preserve">, </w:t>
            </w:r>
            <w:r w:rsidR="00CA79C8">
              <w:t>Valsts ugunsdzēsības un glābšanas dienesta</w:t>
            </w:r>
            <w:r w:rsidR="007C096C" w:rsidRPr="007C096C">
              <w:t>,</w:t>
            </w:r>
            <w:r w:rsidR="00CA79C8">
              <w:t xml:space="preserve"> Ne</w:t>
            </w:r>
            <w:r>
              <w:t>a</w:t>
            </w:r>
            <w:r w:rsidR="00CA79C8">
              <w:t>t</w:t>
            </w:r>
            <w:r>
              <w:t>l</w:t>
            </w:r>
            <w:r w:rsidR="00CA79C8">
              <w:t>iekamās medicīniskās palīdzības dienesta</w:t>
            </w:r>
            <w:r w:rsidR="007C096C" w:rsidRPr="007C096C">
              <w:t xml:space="preserve">, </w:t>
            </w:r>
            <w:r w:rsidR="00CA79C8">
              <w:t>Valsts policijas</w:t>
            </w:r>
            <w:r w:rsidR="007C096C" w:rsidRPr="007C096C">
              <w:t xml:space="preserve">, </w:t>
            </w:r>
            <w:r w:rsidR="00CA79C8">
              <w:lastRenderedPageBreak/>
              <w:t>Nacionāl</w:t>
            </w:r>
            <w:r>
              <w:t>aj</w:t>
            </w:r>
            <w:r w:rsidR="00CA79C8">
              <w:t xml:space="preserve">iem bruņotajiem spēkiem, </w:t>
            </w:r>
            <w:r w:rsidR="007C096C" w:rsidRPr="007C096C">
              <w:t>Iekšlietu</w:t>
            </w:r>
            <w:r w:rsidR="00CA79C8">
              <w:t>, Satiksmes</w:t>
            </w:r>
            <w:r w:rsidR="007C096C" w:rsidRPr="007C096C">
              <w:t xml:space="preserve">, </w:t>
            </w:r>
            <w:r w:rsidR="00CA79C8">
              <w:t>Ārlietu un Aizsardzības ministrijas</w:t>
            </w:r>
            <w:r w:rsidR="007C096C" w:rsidRPr="007C096C">
              <w:t xml:space="preserve">. </w:t>
            </w:r>
            <w:r>
              <w:t>Centra</w:t>
            </w:r>
            <w:r w:rsidRPr="007C096C">
              <w:t xml:space="preserve"> </w:t>
            </w:r>
            <w:r w:rsidR="007C096C" w:rsidRPr="007C096C">
              <w:t xml:space="preserve">darbību vada NBS komandiera norīkota amatpersona (turpmāk – NBS amatpersona). </w:t>
            </w:r>
            <w:r w:rsidR="009107A5">
              <w:t>Centrs</w:t>
            </w:r>
            <w:r w:rsidR="004E3BA8" w:rsidRPr="004E3BA8">
              <w:t xml:space="preserve"> tiek aktivizēts (sanāk uz ārkārtas sēdi saskaņā ar NBS amatpersonas uzaicinājumu) četru stundu laikā pēc militārās aviācijas nelaimes gadījuma (cilvēku meklēšanas un glābšanas operācijas izziņošanas). NBS amatpersonai ir jāuzaicina </w:t>
            </w:r>
            <w:r w:rsidR="009107A5" w:rsidRPr="004E3BA8">
              <w:t xml:space="preserve">piedalīties </w:t>
            </w:r>
            <w:r w:rsidR="009107A5">
              <w:t>centra ārkārtas sēdē tās</w:t>
            </w:r>
            <w:r w:rsidR="009107A5" w:rsidRPr="004E3BA8">
              <w:t xml:space="preserve"> </w:t>
            </w:r>
            <w:r w:rsidR="004E3BA8" w:rsidRPr="004E3BA8">
              <w:t>lidostas</w:t>
            </w:r>
            <w:r w:rsidR="009107A5">
              <w:t xml:space="preserve"> pārstāvis</w:t>
            </w:r>
            <w:r w:rsidR="004E3BA8" w:rsidRPr="004E3BA8">
              <w:t xml:space="preserve">, kurā noticis militārās aviācijas nelaimes gadījums. NBS amatpersona var uzaicināt arī citu institūciju ekspertus dalībai </w:t>
            </w:r>
            <w:r w:rsidR="009107A5">
              <w:t>centra ārkārtas sēdē</w:t>
            </w:r>
            <w:r w:rsidR="004E3BA8" w:rsidRPr="004E3BA8">
              <w:t>.</w:t>
            </w:r>
          </w:p>
        </w:tc>
      </w:tr>
      <w:tr w:rsidR="00643B07" w:rsidRPr="006F2722" w:rsidTr="00342530">
        <w:tc>
          <w:tcPr>
            <w:tcW w:w="280" w:type="pct"/>
            <w:tcBorders>
              <w:right w:val="single" w:sz="4" w:space="0" w:color="auto"/>
            </w:tcBorders>
          </w:tcPr>
          <w:p w:rsidR="00643B07" w:rsidRPr="006F2722" w:rsidRDefault="0083601E" w:rsidP="00342AAD">
            <w:pPr>
              <w:pStyle w:val="tvhtmlmktable"/>
              <w:rPr>
                <w:rFonts w:ascii="Times New Roman" w:hAnsi="Times New Roman"/>
                <w:sz w:val="24"/>
                <w:szCs w:val="24"/>
              </w:rPr>
            </w:pPr>
            <w:r>
              <w:rPr>
                <w:rFonts w:ascii="Times New Roman" w:hAnsi="Times New Roman"/>
                <w:sz w:val="24"/>
                <w:szCs w:val="24"/>
              </w:rPr>
              <w:lastRenderedPageBreak/>
              <w:t>3</w:t>
            </w:r>
            <w:r w:rsidR="00643B07" w:rsidRPr="006F2722">
              <w:rPr>
                <w:rFonts w:ascii="Times New Roman" w:hAnsi="Times New Roman"/>
                <w:sz w:val="24"/>
                <w:szCs w:val="24"/>
              </w:rPr>
              <w:t>.</w:t>
            </w:r>
          </w:p>
        </w:tc>
        <w:tc>
          <w:tcPr>
            <w:tcW w:w="1367" w:type="pct"/>
            <w:tcBorders>
              <w:right w:val="single" w:sz="4" w:space="0" w:color="auto"/>
            </w:tcBorders>
          </w:tcPr>
          <w:p w:rsidR="00643B07" w:rsidRPr="006F2722" w:rsidRDefault="00643B07" w:rsidP="00342AAD">
            <w:pPr>
              <w:pStyle w:val="tvhtmlmktable"/>
              <w:rPr>
                <w:rFonts w:ascii="Times New Roman" w:hAnsi="Times New Roman"/>
                <w:sz w:val="24"/>
                <w:szCs w:val="24"/>
              </w:rPr>
            </w:pPr>
            <w:r w:rsidRPr="006F2722">
              <w:rPr>
                <w:rFonts w:ascii="Times New Roman" w:hAnsi="Times New Roman"/>
                <w:sz w:val="24"/>
                <w:szCs w:val="24"/>
              </w:rPr>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tcPr>
          <w:p w:rsidR="00643B07" w:rsidRPr="006F2722" w:rsidRDefault="00F96E72" w:rsidP="00ED48FE">
            <w:pPr>
              <w:pStyle w:val="tvhtmlmktable"/>
              <w:spacing w:before="0" w:beforeAutospacing="0" w:after="0" w:afterAutospacing="0"/>
              <w:jc w:val="both"/>
              <w:rPr>
                <w:rFonts w:ascii="Times New Roman" w:hAnsi="Times New Roman"/>
                <w:color w:val="000000"/>
                <w:sz w:val="24"/>
                <w:szCs w:val="24"/>
              </w:rPr>
            </w:pPr>
            <w:r w:rsidRPr="006F2722">
              <w:rPr>
                <w:rFonts w:ascii="Times New Roman" w:hAnsi="Times New Roman"/>
                <w:sz w:val="24"/>
                <w:szCs w:val="24"/>
              </w:rPr>
              <w:t>Projekts šo jomu neskar.</w:t>
            </w:r>
          </w:p>
        </w:tc>
      </w:tr>
      <w:tr w:rsidR="00643B07" w:rsidRPr="006F2722" w:rsidTr="00342530">
        <w:trPr>
          <w:trHeight w:val="232"/>
        </w:trPr>
        <w:tc>
          <w:tcPr>
            <w:tcW w:w="280" w:type="pct"/>
          </w:tcPr>
          <w:p w:rsidR="00643B07" w:rsidRPr="006F2722" w:rsidRDefault="0083601E" w:rsidP="00342AAD">
            <w:pPr>
              <w:pStyle w:val="naiskr"/>
              <w:spacing w:before="0" w:beforeAutospacing="0" w:after="0" w:afterAutospacing="0"/>
              <w:jc w:val="both"/>
            </w:pPr>
            <w:r>
              <w:t>4</w:t>
            </w:r>
            <w:r w:rsidR="00643B07" w:rsidRPr="006F2722">
              <w:t>.</w:t>
            </w:r>
          </w:p>
        </w:tc>
        <w:tc>
          <w:tcPr>
            <w:tcW w:w="1367" w:type="pct"/>
          </w:tcPr>
          <w:p w:rsidR="00643B07" w:rsidRPr="006F2722" w:rsidRDefault="00643B07" w:rsidP="00342AAD">
            <w:pPr>
              <w:pStyle w:val="naiskr"/>
              <w:spacing w:before="0" w:beforeAutospacing="0" w:after="0" w:afterAutospacing="0"/>
              <w:jc w:val="both"/>
            </w:pPr>
            <w:r w:rsidRPr="006F2722">
              <w:t>Cita informācija</w:t>
            </w:r>
          </w:p>
        </w:tc>
        <w:tc>
          <w:tcPr>
            <w:tcW w:w="3353" w:type="pct"/>
            <w:tcBorders>
              <w:top w:val="single" w:sz="4" w:space="0" w:color="auto"/>
            </w:tcBorders>
          </w:tcPr>
          <w:p w:rsidR="00643B07" w:rsidRPr="006F2722" w:rsidRDefault="00643B07" w:rsidP="00342AAD">
            <w:pPr>
              <w:pStyle w:val="naiskr"/>
              <w:spacing w:before="0" w:beforeAutospacing="0" w:after="0" w:afterAutospacing="0"/>
              <w:jc w:val="both"/>
            </w:pPr>
            <w:r w:rsidRPr="006F2722">
              <w:t>Nav</w:t>
            </w:r>
            <w:r w:rsidR="00414B7A" w:rsidRPr="006F2722">
              <w:t>.</w:t>
            </w:r>
          </w:p>
        </w:tc>
      </w:tr>
    </w:tbl>
    <w:p w:rsidR="004B5BEF" w:rsidRDefault="004B5BEF" w:rsidP="001F3419">
      <w:pPr>
        <w:rPr>
          <w:i/>
        </w:rPr>
      </w:pPr>
    </w:p>
    <w:tbl>
      <w:tblPr>
        <w:tblW w:w="52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
        <w:gridCol w:w="1626"/>
        <w:gridCol w:w="7490"/>
      </w:tblGrid>
      <w:tr w:rsidR="006013FB" w:rsidRPr="006013FB" w:rsidTr="006013FB">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013FB" w:rsidRPr="006013FB" w:rsidRDefault="006013FB" w:rsidP="006013FB">
            <w:pPr>
              <w:rPr>
                <w:b/>
                <w:bCs/>
              </w:rPr>
            </w:pPr>
            <w:r w:rsidRPr="006013FB">
              <w:rPr>
                <w:b/>
                <w:bCs/>
              </w:rPr>
              <w:t>II. Tiesību akta projekta ietekme uz sabiedrību, tautsaimniecības attīstību un administratīvo slogu</w:t>
            </w:r>
          </w:p>
        </w:tc>
      </w:tr>
      <w:tr w:rsidR="006013FB" w:rsidRPr="006013FB" w:rsidTr="006013FB">
        <w:trPr>
          <w:trHeight w:val="465"/>
        </w:trPr>
        <w:tc>
          <w:tcPr>
            <w:tcW w:w="200"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pPr>
              <w:rPr>
                <w:i/>
              </w:rPr>
            </w:pPr>
            <w:r w:rsidRPr="006013FB">
              <w:rPr>
                <w:i/>
              </w:rPr>
              <w:t>1.</w:t>
            </w:r>
          </w:p>
        </w:tc>
        <w:tc>
          <w:tcPr>
            <w:tcW w:w="856"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 xml:space="preserve">Sabiedrības </w:t>
            </w:r>
            <w:proofErr w:type="spellStart"/>
            <w:r w:rsidRPr="006013FB">
              <w:t>mērķgrupas</w:t>
            </w:r>
            <w:proofErr w:type="spellEnd"/>
            <w:r w:rsidRPr="006013FB">
              <w:t>, kuras tiesiskais regulējums ietekmē vai varētu ietekmēt</w:t>
            </w:r>
          </w:p>
        </w:tc>
        <w:tc>
          <w:tcPr>
            <w:tcW w:w="3944" w:type="pct"/>
            <w:tcBorders>
              <w:top w:val="single" w:sz="4" w:space="0" w:color="auto"/>
              <w:left w:val="single" w:sz="4" w:space="0" w:color="auto"/>
              <w:bottom w:val="single" w:sz="4" w:space="0" w:color="auto"/>
              <w:right w:val="single" w:sz="4" w:space="0" w:color="auto"/>
            </w:tcBorders>
            <w:hideMark/>
          </w:tcPr>
          <w:p w:rsidR="00B41B3B" w:rsidRPr="00B41B3B" w:rsidRDefault="006013FB" w:rsidP="00B41B3B">
            <w:pPr>
              <w:jc w:val="both"/>
            </w:pPr>
            <w:r>
              <w:t>Ministru kabineta</w:t>
            </w:r>
            <w:r w:rsidR="001A0A86">
              <w:t xml:space="preserve"> rīkojuma</w:t>
            </w:r>
            <w:r>
              <w:t xml:space="preserve"> </w:t>
            </w:r>
            <w:r w:rsidRPr="006013FB">
              <w:t xml:space="preserve">projektā paredzētais regulējums ir attiecināms uz </w:t>
            </w:r>
            <w:r w:rsidR="00B41B3B">
              <w:t>valsts aģentūras</w:t>
            </w:r>
            <w:r w:rsidR="00342530">
              <w:t xml:space="preserve"> </w:t>
            </w:r>
            <w:r w:rsidR="00B41B3B" w:rsidRPr="00B41B3B">
              <w:t xml:space="preserve">„Civilās aviācijas aģentūra”, Valsts robežsardzes, Valsts ugunsdzēsības un glābšanas dienesta, Neatliekamās medicīniskās palīdzības dienesta, Valsts policijas, </w:t>
            </w:r>
            <w:r w:rsidR="00666458" w:rsidRPr="00B41B3B">
              <w:t>Nacionālo</w:t>
            </w:r>
            <w:r w:rsidR="00666458">
              <w:t xml:space="preserve"> bruņoto</w:t>
            </w:r>
            <w:r w:rsidR="00B41B3B" w:rsidRPr="00B41B3B">
              <w:t xml:space="preserve"> spēk</w:t>
            </w:r>
            <w:r w:rsidR="00666458">
              <w:t>u</w:t>
            </w:r>
            <w:r w:rsidR="00B41B3B" w:rsidRPr="00B41B3B">
              <w:t>, Iekšlietu, Satiksmes, Ārlietu un Aizsardzības ministrijas</w:t>
            </w:r>
            <w:r w:rsidR="00B41B3B">
              <w:t xml:space="preserve"> </w:t>
            </w:r>
            <w:r w:rsidR="00B41B3B" w:rsidRPr="00B41B3B">
              <w:t>nodarbinātām amatpersonām</w:t>
            </w:r>
            <w:r w:rsidR="00666458">
              <w:t>.</w:t>
            </w:r>
          </w:p>
          <w:p w:rsidR="00B41B3B" w:rsidRPr="006013FB" w:rsidRDefault="00B41B3B" w:rsidP="00B41B3B">
            <w:pPr>
              <w:jc w:val="both"/>
            </w:pPr>
          </w:p>
        </w:tc>
      </w:tr>
      <w:tr w:rsidR="006013FB" w:rsidRPr="006013FB" w:rsidTr="006013FB">
        <w:trPr>
          <w:trHeight w:val="510"/>
        </w:trPr>
        <w:tc>
          <w:tcPr>
            <w:tcW w:w="200"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pPr>
              <w:rPr>
                <w:i/>
              </w:rPr>
            </w:pPr>
            <w:r w:rsidRPr="006013FB">
              <w:rPr>
                <w:i/>
              </w:rPr>
              <w:t>2.</w:t>
            </w:r>
          </w:p>
        </w:tc>
        <w:tc>
          <w:tcPr>
            <w:tcW w:w="856"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Tiesiskā regulējuma ietekme uz tautsaimniecību un administratīvo slogu</w:t>
            </w:r>
          </w:p>
        </w:tc>
        <w:tc>
          <w:tcPr>
            <w:tcW w:w="3944" w:type="pct"/>
            <w:tcBorders>
              <w:top w:val="single" w:sz="4" w:space="0" w:color="auto"/>
              <w:left w:val="single" w:sz="4" w:space="0" w:color="auto"/>
              <w:bottom w:val="single" w:sz="4" w:space="0" w:color="auto"/>
              <w:right w:val="single" w:sz="4" w:space="0" w:color="auto"/>
            </w:tcBorders>
            <w:hideMark/>
          </w:tcPr>
          <w:p w:rsidR="006013FB" w:rsidRPr="006013FB" w:rsidRDefault="00B41B3B" w:rsidP="006013FB">
            <w:r w:rsidRPr="00B41B3B">
              <w:t xml:space="preserve">Ministru kabineta rīkojuma </w:t>
            </w:r>
            <w:r>
              <w:t xml:space="preserve">projekts </w:t>
            </w:r>
            <w:r w:rsidR="006013FB" w:rsidRPr="006013FB">
              <w:t>nerada administratīvo slogu iedzīvotājiem</w:t>
            </w:r>
            <w:r w:rsidR="00666458">
              <w:t>.</w:t>
            </w:r>
          </w:p>
        </w:tc>
      </w:tr>
      <w:tr w:rsidR="006013FB" w:rsidRPr="006013FB" w:rsidTr="006013FB">
        <w:trPr>
          <w:trHeight w:val="510"/>
        </w:trPr>
        <w:tc>
          <w:tcPr>
            <w:tcW w:w="197"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pPr>
              <w:rPr>
                <w:i/>
              </w:rPr>
            </w:pPr>
            <w:r w:rsidRPr="006013FB">
              <w:rPr>
                <w:i/>
              </w:rPr>
              <w:t>3.</w:t>
            </w:r>
          </w:p>
        </w:tc>
        <w:tc>
          <w:tcPr>
            <w:tcW w:w="856"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Administratīvo izmaksu monetārs novērtējums</w:t>
            </w:r>
          </w:p>
        </w:tc>
        <w:tc>
          <w:tcPr>
            <w:tcW w:w="3944"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Instrukcijas projekts šo jomu neskar</w:t>
            </w:r>
            <w:r w:rsidR="00666458">
              <w:t>.</w:t>
            </w:r>
          </w:p>
        </w:tc>
      </w:tr>
      <w:tr w:rsidR="006013FB" w:rsidRPr="006013FB" w:rsidTr="006013FB">
        <w:trPr>
          <w:trHeight w:val="345"/>
        </w:trPr>
        <w:tc>
          <w:tcPr>
            <w:tcW w:w="197"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pPr>
              <w:rPr>
                <w:i/>
              </w:rPr>
            </w:pPr>
            <w:r w:rsidRPr="006013FB">
              <w:rPr>
                <w:i/>
              </w:rPr>
              <w:t>4.</w:t>
            </w:r>
          </w:p>
        </w:tc>
        <w:tc>
          <w:tcPr>
            <w:tcW w:w="856"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Cita informācija</w:t>
            </w:r>
          </w:p>
        </w:tc>
        <w:tc>
          <w:tcPr>
            <w:tcW w:w="3944" w:type="pct"/>
            <w:tcBorders>
              <w:top w:val="single" w:sz="4" w:space="0" w:color="auto"/>
              <w:left w:val="single" w:sz="4" w:space="0" w:color="auto"/>
              <w:bottom w:val="single" w:sz="4" w:space="0" w:color="auto"/>
              <w:right w:val="single" w:sz="4" w:space="0" w:color="auto"/>
            </w:tcBorders>
            <w:hideMark/>
          </w:tcPr>
          <w:p w:rsidR="006013FB" w:rsidRPr="006013FB" w:rsidRDefault="006013FB" w:rsidP="006013FB">
            <w:r w:rsidRPr="006013FB">
              <w:t>Nav</w:t>
            </w:r>
            <w:r w:rsidR="00666458">
              <w:t>.</w:t>
            </w:r>
          </w:p>
        </w:tc>
      </w:tr>
    </w:tbl>
    <w:p w:rsidR="006013FB" w:rsidRDefault="006013FB" w:rsidP="001F3419">
      <w:pPr>
        <w:rPr>
          <w:i/>
        </w:rPr>
      </w:pPr>
    </w:p>
    <w:p w:rsidR="004B5BEF" w:rsidRPr="00583598" w:rsidRDefault="004B5BEF" w:rsidP="001F3419">
      <w:r w:rsidRPr="00962B76">
        <w:rPr>
          <w:i/>
        </w:rPr>
        <w:t>Anotācijas III, sadaļa- projekts šīs jomas neskar</w:t>
      </w:r>
    </w:p>
    <w:p w:rsidR="00E259C7" w:rsidRDefault="00E259C7" w:rsidP="001F3419">
      <w:pPr>
        <w:rPr>
          <w:i/>
        </w:rPr>
      </w:pPr>
    </w:p>
    <w:tbl>
      <w:tblPr>
        <w:tblStyle w:val="TableGrid"/>
        <w:tblW w:w="9606" w:type="dxa"/>
        <w:tblLook w:val="04A0" w:firstRow="1" w:lastRow="0" w:firstColumn="1" w:lastColumn="0" w:noHBand="0" w:noVBand="1"/>
      </w:tblPr>
      <w:tblGrid>
        <w:gridCol w:w="534"/>
        <w:gridCol w:w="2551"/>
        <w:gridCol w:w="6521"/>
      </w:tblGrid>
      <w:tr w:rsidR="00583598" w:rsidRPr="00583598" w:rsidTr="00342530">
        <w:tc>
          <w:tcPr>
            <w:tcW w:w="9606" w:type="dxa"/>
            <w:gridSpan w:val="3"/>
          </w:tcPr>
          <w:p w:rsidR="00583598" w:rsidRPr="00583598" w:rsidRDefault="00583598" w:rsidP="00583598">
            <w:pPr>
              <w:rPr>
                <w:b/>
              </w:rPr>
            </w:pPr>
            <w:r w:rsidRPr="00583598">
              <w:rPr>
                <w:b/>
              </w:rPr>
              <w:t>IV. Tiesību akta projekta ietekme uz spēkā esošo tiesību normu sistēmu</w:t>
            </w:r>
          </w:p>
        </w:tc>
      </w:tr>
      <w:tr w:rsidR="00583598" w:rsidRPr="00583598" w:rsidTr="00342530">
        <w:tc>
          <w:tcPr>
            <w:tcW w:w="534" w:type="dxa"/>
          </w:tcPr>
          <w:p w:rsidR="00583598" w:rsidRPr="00583598" w:rsidRDefault="00583598" w:rsidP="00583598">
            <w:r w:rsidRPr="00583598">
              <w:t>1.</w:t>
            </w:r>
          </w:p>
        </w:tc>
        <w:tc>
          <w:tcPr>
            <w:tcW w:w="2551" w:type="dxa"/>
          </w:tcPr>
          <w:p w:rsidR="00583598" w:rsidRPr="00583598" w:rsidRDefault="00583598" w:rsidP="00583598">
            <w:r w:rsidRPr="00583598">
              <w:t>Nepieciešamie saistītie tiesību aktu projekti</w:t>
            </w:r>
          </w:p>
        </w:tc>
        <w:tc>
          <w:tcPr>
            <w:tcW w:w="6521" w:type="dxa"/>
          </w:tcPr>
          <w:p w:rsidR="00583598" w:rsidRPr="00583598" w:rsidRDefault="00583598" w:rsidP="00583598">
            <w:r w:rsidRPr="00583598">
              <w:t>Nav</w:t>
            </w:r>
            <w:r w:rsidR="00666458">
              <w:t>.</w:t>
            </w:r>
          </w:p>
        </w:tc>
      </w:tr>
      <w:tr w:rsidR="00583598" w:rsidRPr="00583598" w:rsidTr="00342530">
        <w:tc>
          <w:tcPr>
            <w:tcW w:w="534" w:type="dxa"/>
          </w:tcPr>
          <w:p w:rsidR="00583598" w:rsidRPr="00583598" w:rsidRDefault="00583598" w:rsidP="00583598">
            <w:r w:rsidRPr="00583598">
              <w:t>2.</w:t>
            </w:r>
          </w:p>
        </w:tc>
        <w:tc>
          <w:tcPr>
            <w:tcW w:w="2551" w:type="dxa"/>
          </w:tcPr>
          <w:p w:rsidR="00583598" w:rsidRPr="00583598" w:rsidRDefault="00583598" w:rsidP="00583598">
            <w:r w:rsidRPr="00583598">
              <w:t>Atbildīgā institūcija</w:t>
            </w:r>
          </w:p>
        </w:tc>
        <w:tc>
          <w:tcPr>
            <w:tcW w:w="6521" w:type="dxa"/>
          </w:tcPr>
          <w:p w:rsidR="00583598" w:rsidRPr="00583598" w:rsidRDefault="00583598" w:rsidP="00583598">
            <w:r w:rsidRPr="00583598">
              <w:t>Aizsardzības ministrija</w:t>
            </w:r>
            <w:r w:rsidR="00666458">
              <w:t>.</w:t>
            </w:r>
            <w:r w:rsidRPr="00583598">
              <w:t xml:space="preserve"> </w:t>
            </w:r>
          </w:p>
        </w:tc>
      </w:tr>
      <w:tr w:rsidR="00583598" w:rsidRPr="00583598" w:rsidTr="00342530">
        <w:tc>
          <w:tcPr>
            <w:tcW w:w="534" w:type="dxa"/>
          </w:tcPr>
          <w:p w:rsidR="00583598" w:rsidRPr="00583598" w:rsidRDefault="00583598" w:rsidP="00583598">
            <w:r w:rsidRPr="00583598">
              <w:t>3.</w:t>
            </w:r>
          </w:p>
        </w:tc>
        <w:tc>
          <w:tcPr>
            <w:tcW w:w="2551" w:type="dxa"/>
          </w:tcPr>
          <w:p w:rsidR="00583598" w:rsidRPr="00583598" w:rsidRDefault="00583598" w:rsidP="00583598">
            <w:r w:rsidRPr="00583598">
              <w:t>Cita informācija</w:t>
            </w:r>
          </w:p>
        </w:tc>
        <w:tc>
          <w:tcPr>
            <w:tcW w:w="6521" w:type="dxa"/>
          </w:tcPr>
          <w:p w:rsidR="00583598" w:rsidRPr="00583598" w:rsidRDefault="00583598" w:rsidP="00583598">
            <w:r w:rsidRPr="00583598">
              <w:t>Nav</w:t>
            </w:r>
            <w:r w:rsidR="00666458">
              <w:t>.</w:t>
            </w:r>
          </w:p>
        </w:tc>
      </w:tr>
    </w:tbl>
    <w:p w:rsidR="00583598" w:rsidRDefault="00583598" w:rsidP="00583598">
      <w:pPr>
        <w:rPr>
          <w:i/>
        </w:rPr>
      </w:pPr>
    </w:p>
    <w:p w:rsidR="00583598" w:rsidRPr="00583598" w:rsidRDefault="00583598" w:rsidP="00583598">
      <w:pPr>
        <w:rPr>
          <w:i/>
        </w:rPr>
      </w:pPr>
      <w:r w:rsidRPr="00583598">
        <w:rPr>
          <w:i/>
        </w:rPr>
        <w:t xml:space="preserve">Anotācijas </w:t>
      </w:r>
      <w:r>
        <w:rPr>
          <w:i/>
        </w:rPr>
        <w:t>V</w:t>
      </w:r>
      <w:r w:rsidR="00666458">
        <w:rPr>
          <w:i/>
        </w:rPr>
        <w:t>, VI</w:t>
      </w:r>
      <w:r>
        <w:rPr>
          <w:i/>
        </w:rPr>
        <w:t xml:space="preserve"> </w:t>
      </w:r>
      <w:r w:rsidRPr="00583598">
        <w:rPr>
          <w:i/>
        </w:rPr>
        <w:t>sadaļa- projekts šīs jomas neskar</w:t>
      </w:r>
    </w:p>
    <w:p w:rsidR="00583598" w:rsidRDefault="00583598" w:rsidP="001F3419">
      <w:pPr>
        <w:rPr>
          <w:i/>
        </w:rPr>
      </w:pPr>
    </w:p>
    <w:p w:rsidR="00342530" w:rsidRDefault="00342530" w:rsidP="001F3419">
      <w:pPr>
        <w:rPr>
          <w:i/>
        </w:rPr>
      </w:pPr>
    </w:p>
    <w:p w:rsidR="00342530" w:rsidRDefault="00342530" w:rsidP="001F3419">
      <w:pPr>
        <w:rPr>
          <w:i/>
        </w:rPr>
      </w:pPr>
    </w:p>
    <w:p w:rsidR="00583598" w:rsidRDefault="00583598" w:rsidP="001F3419">
      <w:pPr>
        <w:rPr>
          <w:i/>
        </w:rPr>
      </w:pPr>
    </w:p>
    <w:tbl>
      <w:tblPr>
        <w:tblW w:w="5033" w:type="pct"/>
        <w:jc w:val="center"/>
        <w:tblInd w:w="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3150"/>
        <w:gridCol w:w="5801"/>
      </w:tblGrid>
      <w:tr w:rsidR="00342530" w:rsidRPr="00342530" w:rsidTr="00342530">
        <w:trPr>
          <w:trHeight w:val="375"/>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42530" w:rsidRPr="00342530" w:rsidRDefault="00342530" w:rsidP="00342530">
            <w:pPr>
              <w:rPr>
                <w:b/>
                <w:bCs/>
              </w:rPr>
            </w:pPr>
            <w:r w:rsidRPr="00342530">
              <w:rPr>
                <w:b/>
                <w:bCs/>
              </w:rPr>
              <w:t>VII. Tiesību akta projekta izpildes nodrošināšana un tās ietekme uz institūcijām</w:t>
            </w:r>
          </w:p>
        </w:tc>
      </w:tr>
      <w:tr w:rsidR="00342530" w:rsidRPr="00342530" w:rsidTr="00342530">
        <w:trPr>
          <w:trHeight w:val="420"/>
          <w:jc w:val="center"/>
        </w:trPr>
        <w:tc>
          <w:tcPr>
            <w:tcW w:w="64"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1.</w:t>
            </w:r>
          </w:p>
        </w:tc>
        <w:tc>
          <w:tcPr>
            <w:tcW w:w="1747"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Projekta izpildē iesaistītās institūcijas</w:t>
            </w:r>
          </w:p>
        </w:tc>
        <w:tc>
          <w:tcPr>
            <w:tcW w:w="3189"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pPr>
              <w:jc w:val="both"/>
            </w:pPr>
            <w:r>
              <w:t>V</w:t>
            </w:r>
            <w:r w:rsidRPr="00342530">
              <w:t>alsts aģentūr</w:t>
            </w:r>
            <w:r>
              <w:t>a</w:t>
            </w:r>
            <w:r w:rsidRPr="00342530">
              <w:t xml:space="preserve"> „Civilās aviācijas aģentūra”, Valsts robežsardze, Valsts ugunsdzēsības un glābšanas dienest</w:t>
            </w:r>
            <w:r>
              <w:t>s</w:t>
            </w:r>
            <w:r w:rsidRPr="00342530">
              <w:t>, Neatliekamās medicīniskās palīdzības dienest</w:t>
            </w:r>
            <w:r>
              <w:t>s</w:t>
            </w:r>
            <w:r w:rsidRPr="00342530">
              <w:t>, Valsts policija, Nacionāl</w:t>
            </w:r>
            <w:r>
              <w:t>ie bruņotie</w:t>
            </w:r>
            <w:r w:rsidRPr="00342530">
              <w:t xml:space="preserve"> spēki, Iekšlietu, Satiksmes, Ārlietu un Aizsardzības ministrija</w:t>
            </w:r>
            <w:r>
              <w:t xml:space="preserve">. </w:t>
            </w:r>
          </w:p>
        </w:tc>
      </w:tr>
      <w:tr w:rsidR="00342530" w:rsidRPr="00342530" w:rsidTr="00342530">
        <w:trPr>
          <w:trHeight w:val="450"/>
          <w:jc w:val="center"/>
        </w:trPr>
        <w:tc>
          <w:tcPr>
            <w:tcW w:w="64"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2.</w:t>
            </w:r>
          </w:p>
        </w:tc>
        <w:tc>
          <w:tcPr>
            <w:tcW w:w="1747"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 xml:space="preserve">Projekta izpildes ietekme uz pārvaldes funkcijām un institucionālo struktūru. </w:t>
            </w:r>
          </w:p>
          <w:p w:rsidR="00342530" w:rsidRPr="00342530" w:rsidRDefault="00342530" w:rsidP="00342530">
            <w:r w:rsidRPr="00342530">
              <w:t>Jaunu institūciju izveide, esošu institūciju likvidācija vai reorganizācija, to ietekme uz institūcijas cilvēkresursiem</w:t>
            </w:r>
          </w:p>
        </w:tc>
        <w:tc>
          <w:tcPr>
            <w:tcW w:w="3189"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Jauna institūcija netiek veidota, ka arī netiek paredzēta esošu institūciju likvidācija vai reorganizācija</w:t>
            </w:r>
            <w:r w:rsidR="00666458">
              <w:t>.</w:t>
            </w:r>
          </w:p>
        </w:tc>
      </w:tr>
      <w:tr w:rsidR="00342530" w:rsidRPr="00342530" w:rsidTr="00342530">
        <w:trPr>
          <w:trHeight w:val="390"/>
          <w:jc w:val="center"/>
        </w:trPr>
        <w:tc>
          <w:tcPr>
            <w:tcW w:w="64"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3.</w:t>
            </w:r>
          </w:p>
        </w:tc>
        <w:tc>
          <w:tcPr>
            <w:tcW w:w="1747"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Cita informācija</w:t>
            </w:r>
          </w:p>
        </w:tc>
        <w:tc>
          <w:tcPr>
            <w:tcW w:w="3189" w:type="pct"/>
            <w:tcBorders>
              <w:top w:val="single" w:sz="4" w:space="0" w:color="auto"/>
              <w:left w:val="single" w:sz="4" w:space="0" w:color="auto"/>
              <w:bottom w:val="single" w:sz="4" w:space="0" w:color="auto"/>
              <w:right w:val="single" w:sz="4" w:space="0" w:color="auto"/>
            </w:tcBorders>
            <w:hideMark/>
          </w:tcPr>
          <w:p w:rsidR="00342530" w:rsidRPr="00342530" w:rsidRDefault="00342530" w:rsidP="00342530">
            <w:r w:rsidRPr="00342530">
              <w:t>Nav</w:t>
            </w:r>
            <w:r w:rsidR="00666458">
              <w:t>.</w:t>
            </w:r>
            <w:bookmarkStart w:id="2" w:name="_GoBack"/>
            <w:bookmarkEnd w:id="2"/>
          </w:p>
        </w:tc>
      </w:tr>
    </w:tbl>
    <w:p w:rsidR="00B56747" w:rsidRDefault="00B56747" w:rsidP="001F3419"/>
    <w:p w:rsidR="00B41B3B" w:rsidRDefault="00B41B3B" w:rsidP="001F3419"/>
    <w:p w:rsidR="00B41B3B" w:rsidRPr="006F2722" w:rsidRDefault="00B41B3B" w:rsidP="001F3419"/>
    <w:p w:rsidR="00675B64" w:rsidRPr="006F2722" w:rsidRDefault="004E3BA8" w:rsidP="00B56747">
      <w:pPr>
        <w:tabs>
          <w:tab w:val="left" w:pos="720"/>
          <w:tab w:val="left" w:pos="1440"/>
          <w:tab w:val="left" w:pos="2160"/>
          <w:tab w:val="left" w:pos="2880"/>
          <w:tab w:val="left" w:pos="3600"/>
          <w:tab w:val="left" w:pos="4320"/>
          <w:tab w:val="left" w:pos="5040"/>
          <w:tab w:val="left" w:pos="5760"/>
          <w:tab w:val="left" w:pos="6480"/>
          <w:tab w:val="left" w:pos="7476"/>
        </w:tabs>
      </w:pPr>
      <w:r>
        <w:t xml:space="preserve">Aizsardzības </w:t>
      </w:r>
      <w:r w:rsidR="00675B64" w:rsidRPr="006F2722">
        <w:t>ministrs</w:t>
      </w:r>
      <w:r w:rsidR="00675B64" w:rsidRPr="006F2722">
        <w:tab/>
      </w:r>
      <w:r w:rsidR="00675B64" w:rsidRPr="006F2722">
        <w:tab/>
      </w:r>
      <w:r w:rsidR="00675B64" w:rsidRPr="006F2722">
        <w:tab/>
      </w:r>
      <w:r w:rsidR="00675B64" w:rsidRPr="006F2722">
        <w:tab/>
      </w:r>
      <w:r w:rsidR="00675B64" w:rsidRPr="006F2722">
        <w:tab/>
      </w:r>
      <w:r w:rsidR="00675B64" w:rsidRPr="006F2722">
        <w:tab/>
      </w:r>
      <w:r w:rsidR="00675B64" w:rsidRPr="006F2722">
        <w:tab/>
      </w:r>
      <w:r w:rsidR="00B56747">
        <w:t>R</w:t>
      </w:r>
      <w:r w:rsidR="00694D66">
        <w:t xml:space="preserve">. </w:t>
      </w:r>
      <w:proofErr w:type="spellStart"/>
      <w:r w:rsidR="00B56747">
        <w:t>Bergmanis</w:t>
      </w:r>
      <w:proofErr w:type="spellEnd"/>
    </w:p>
    <w:p w:rsidR="00583598" w:rsidRDefault="00583598" w:rsidP="001F3419"/>
    <w:p w:rsidR="006662C0" w:rsidRPr="006F2722" w:rsidRDefault="006662C0" w:rsidP="001F3419"/>
    <w:p w:rsidR="00675B64" w:rsidRPr="006F2722" w:rsidRDefault="00675B64" w:rsidP="00675B64">
      <w:r w:rsidRPr="006F2722">
        <w:t>V</w:t>
      </w:r>
      <w:r w:rsidR="006F2722">
        <w:t>i</w:t>
      </w:r>
      <w:r w:rsidRPr="006F2722">
        <w:t>zē: Valsts sekretār</w:t>
      </w:r>
      <w:r w:rsidR="009F519E">
        <w:t>s</w:t>
      </w:r>
      <w:r w:rsidRPr="006F2722">
        <w:t xml:space="preserve"> </w:t>
      </w:r>
      <w:r w:rsidRPr="006F2722">
        <w:tab/>
      </w:r>
      <w:r w:rsidRPr="006F2722">
        <w:tab/>
      </w:r>
      <w:r w:rsidRPr="006F2722">
        <w:tab/>
      </w:r>
      <w:r w:rsidRPr="006F2722">
        <w:tab/>
      </w:r>
      <w:r w:rsidRPr="006F2722">
        <w:tab/>
      </w:r>
      <w:r w:rsidRPr="006F2722">
        <w:tab/>
      </w:r>
      <w:r w:rsidR="009F519E">
        <w:tab/>
      </w:r>
      <w:r w:rsidR="00694D66">
        <w:t>J.</w:t>
      </w:r>
      <w:r w:rsidR="00CB5FCA">
        <w:t> </w:t>
      </w:r>
      <w:r w:rsidR="004E6354">
        <w:t xml:space="preserve">Garisons </w:t>
      </w:r>
    </w:p>
    <w:p w:rsidR="00675B64" w:rsidRPr="00CF6810" w:rsidRDefault="00675B64" w:rsidP="00675B64">
      <w:pPr>
        <w:rPr>
          <w:sz w:val="16"/>
          <w:szCs w:val="16"/>
        </w:rPr>
      </w:pPr>
    </w:p>
    <w:p w:rsidR="00B56747" w:rsidRDefault="00B56747" w:rsidP="00CF6810">
      <w:pPr>
        <w:rPr>
          <w:sz w:val="16"/>
          <w:szCs w:val="16"/>
        </w:rPr>
      </w:pPr>
    </w:p>
    <w:p w:rsidR="006662C0" w:rsidRDefault="006662C0" w:rsidP="00CF6810">
      <w:pPr>
        <w:rPr>
          <w:sz w:val="16"/>
          <w:szCs w:val="16"/>
        </w:rPr>
      </w:pPr>
    </w:p>
    <w:p w:rsidR="00B41B3B" w:rsidRDefault="00B41B3B" w:rsidP="00CF6810">
      <w:pPr>
        <w:rPr>
          <w:sz w:val="16"/>
          <w:szCs w:val="16"/>
        </w:rPr>
      </w:pPr>
    </w:p>
    <w:p w:rsidR="00B41B3B" w:rsidRDefault="00B41B3B" w:rsidP="00CF6810">
      <w:pPr>
        <w:rPr>
          <w:sz w:val="16"/>
          <w:szCs w:val="16"/>
        </w:rPr>
      </w:pPr>
    </w:p>
    <w:p w:rsidR="00342530" w:rsidRDefault="00342530" w:rsidP="00CF6810">
      <w:pPr>
        <w:rPr>
          <w:sz w:val="16"/>
          <w:szCs w:val="16"/>
        </w:rPr>
      </w:pPr>
    </w:p>
    <w:p w:rsidR="00B41B3B" w:rsidRDefault="00B41B3B" w:rsidP="00CF6810">
      <w:pPr>
        <w:rPr>
          <w:sz w:val="16"/>
          <w:szCs w:val="16"/>
        </w:rPr>
      </w:pPr>
    </w:p>
    <w:p w:rsidR="00CF6810" w:rsidRPr="00CF6810" w:rsidRDefault="00666458" w:rsidP="00CF6810">
      <w:pPr>
        <w:rPr>
          <w:sz w:val="16"/>
          <w:szCs w:val="16"/>
        </w:rPr>
      </w:pPr>
      <w:r>
        <w:rPr>
          <w:sz w:val="16"/>
          <w:szCs w:val="16"/>
        </w:rPr>
        <w:t>643</w:t>
      </w:r>
    </w:p>
    <w:p w:rsidR="00CF6810" w:rsidRPr="00CF6810" w:rsidRDefault="004E6354" w:rsidP="00CF6810">
      <w:pPr>
        <w:rPr>
          <w:sz w:val="16"/>
          <w:szCs w:val="16"/>
        </w:rPr>
      </w:pPr>
      <w:r>
        <w:rPr>
          <w:sz w:val="16"/>
          <w:szCs w:val="16"/>
        </w:rPr>
        <w:t>31</w:t>
      </w:r>
      <w:r w:rsidR="00CF6810" w:rsidRPr="00CF6810">
        <w:rPr>
          <w:sz w:val="16"/>
          <w:szCs w:val="16"/>
        </w:rPr>
        <w:t>.0</w:t>
      </w:r>
      <w:r>
        <w:rPr>
          <w:sz w:val="16"/>
          <w:szCs w:val="16"/>
        </w:rPr>
        <w:t>8</w:t>
      </w:r>
      <w:r w:rsidR="00CF6810" w:rsidRPr="00CF6810">
        <w:rPr>
          <w:sz w:val="16"/>
          <w:szCs w:val="16"/>
        </w:rPr>
        <w:t>.2015</w:t>
      </w:r>
    </w:p>
    <w:p w:rsidR="00CF6810" w:rsidRPr="00CF6810" w:rsidRDefault="00CF6810" w:rsidP="00CF6810">
      <w:pPr>
        <w:rPr>
          <w:sz w:val="16"/>
          <w:szCs w:val="16"/>
        </w:rPr>
      </w:pPr>
      <w:r w:rsidRPr="00CF6810">
        <w:rPr>
          <w:sz w:val="16"/>
          <w:szCs w:val="16"/>
        </w:rPr>
        <w:t>Janis.lapins@mod.gov.lv</w:t>
      </w:r>
    </w:p>
    <w:p w:rsidR="00CF6810" w:rsidRPr="006F2722" w:rsidRDefault="00CF6810" w:rsidP="00FB1052">
      <w:pPr>
        <w:rPr>
          <w:sz w:val="28"/>
          <w:szCs w:val="28"/>
        </w:rPr>
      </w:pPr>
    </w:p>
    <w:sectPr w:rsidR="00CF6810" w:rsidRPr="006F2722" w:rsidSect="006F2722">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CC" w:rsidRDefault="005B36CC" w:rsidP="001F3419">
      <w:r>
        <w:separator/>
      </w:r>
    </w:p>
  </w:endnote>
  <w:endnote w:type="continuationSeparator" w:id="0">
    <w:p w:rsidR="005B36CC" w:rsidRDefault="005B36CC"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47" w:rsidRPr="004E6354" w:rsidRDefault="00B56747" w:rsidP="004E6354">
    <w:pPr>
      <w:pStyle w:val="BodyText"/>
      <w:jc w:val="both"/>
      <w:rPr>
        <w:b w:val="0"/>
        <w:sz w:val="20"/>
      </w:rPr>
    </w:pPr>
    <w:r w:rsidRPr="004E6354">
      <w:rPr>
        <w:b w:val="0"/>
        <w:i/>
        <w:sz w:val="20"/>
      </w:rPr>
      <w:t>AIManot_</w:t>
    </w:r>
    <w:r w:rsidR="004E6354">
      <w:rPr>
        <w:b w:val="0"/>
        <w:i/>
        <w:sz w:val="20"/>
      </w:rPr>
      <w:t>31</w:t>
    </w:r>
    <w:r w:rsidRPr="004E6354">
      <w:rPr>
        <w:b w:val="0"/>
        <w:i/>
        <w:sz w:val="20"/>
      </w:rPr>
      <w:t>0</w:t>
    </w:r>
    <w:r w:rsidR="004E6354">
      <w:rPr>
        <w:b w:val="0"/>
        <w:i/>
        <w:sz w:val="20"/>
      </w:rPr>
      <w:t>8</w:t>
    </w:r>
    <w:r w:rsidRPr="004E6354">
      <w:rPr>
        <w:b w:val="0"/>
        <w:i/>
        <w:sz w:val="20"/>
      </w:rPr>
      <w:t>15_</w:t>
    </w:r>
    <w:r w:rsidRPr="004E6354">
      <w:rPr>
        <w:b w:val="0"/>
        <w:sz w:val="20"/>
      </w:rPr>
      <w:t xml:space="preserve"> </w:t>
    </w:r>
    <w:r w:rsidR="003028CA" w:rsidRPr="004E6354">
      <w:rPr>
        <w:b w:val="0"/>
        <w:i/>
        <w:sz w:val="20"/>
      </w:rPr>
      <w:t>Centrs</w:t>
    </w:r>
    <w:r w:rsidRPr="004E6354">
      <w:rPr>
        <w:b w:val="0"/>
        <w:i/>
        <w:sz w:val="20"/>
      </w:rPr>
      <w:t xml:space="preserve">; </w:t>
    </w:r>
    <w:r w:rsidRPr="002234B3">
      <w:rPr>
        <w:b w:val="0"/>
        <w:sz w:val="20"/>
      </w:rPr>
      <w:t xml:space="preserve">Ministru kabineta rīkojuma projekta </w:t>
    </w:r>
    <w:r w:rsidRPr="002234B3">
      <w:rPr>
        <w:b w:val="0"/>
        <w:bCs/>
        <w:sz w:val="20"/>
      </w:rPr>
      <w:t xml:space="preserve">sākotnējās ietekmes novērtējuma ziņojums (anotācija) </w:t>
    </w:r>
    <w:r w:rsidRPr="002234B3">
      <w:rPr>
        <w:b w:val="0"/>
        <w:sz w:val="20"/>
      </w:rPr>
      <w:t>„</w:t>
    </w:r>
    <w:r w:rsidR="004E6354" w:rsidRPr="002234B3">
      <w:rPr>
        <w:b w:val="0"/>
        <w:sz w:val="20"/>
      </w:rPr>
      <w:t>Par Militārās aviācijas nelaimes gadījumu koordinācijas un informācijas centru</w:t>
    </w:r>
    <w:r w:rsidRPr="002234B3">
      <w:rPr>
        <w:b w:val="0"/>
        <w:sz w:val="20"/>
      </w:rPr>
      <w:t xml:space="preserve">” </w:t>
    </w:r>
  </w:p>
  <w:p w:rsidR="00643B07" w:rsidRPr="00B56747" w:rsidRDefault="00643B07" w:rsidP="00B56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54" w:rsidRPr="004E6354" w:rsidRDefault="004E6354" w:rsidP="004E6354">
    <w:pPr>
      <w:pStyle w:val="Footer"/>
      <w:outlineLvl w:val="0"/>
      <w:rPr>
        <w:i/>
        <w:sz w:val="20"/>
        <w:szCs w:val="20"/>
      </w:rPr>
    </w:pPr>
    <w:r w:rsidRPr="004E6354">
      <w:rPr>
        <w:i/>
        <w:sz w:val="20"/>
        <w:szCs w:val="20"/>
      </w:rPr>
      <w:t>AIManot_</w:t>
    </w:r>
    <w:r>
      <w:rPr>
        <w:i/>
        <w:sz w:val="20"/>
        <w:szCs w:val="20"/>
      </w:rPr>
      <w:t>31</w:t>
    </w:r>
    <w:r w:rsidRPr="004E6354">
      <w:rPr>
        <w:i/>
        <w:sz w:val="20"/>
        <w:szCs w:val="20"/>
      </w:rPr>
      <w:t>0</w:t>
    </w:r>
    <w:r>
      <w:rPr>
        <w:i/>
        <w:sz w:val="20"/>
        <w:szCs w:val="20"/>
      </w:rPr>
      <w:t>8</w:t>
    </w:r>
    <w:r w:rsidRPr="004E6354">
      <w:rPr>
        <w:i/>
        <w:sz w:val="20"/>
        <w:szCs w:val="20"/>
      </w:rPr>
      <w:t xml:space="preserve">15_ Centrs; </w:t>
    </w:r>
    <w:r w:rsidRPr="002234B3">
      <w:rPr>
        <w:sz w:val="20"/>
        <w:szCs w:val="20"/>
      </w:rPr>
      <w:t xml:space="preserve">Ministru kabineta rīkojuma projekta </w:t>
    </w:r>
    <w:r w:rsidRPr="002234B3">
      <w:rPr>
        <w:bCs/>
        <w:sz w:val="20"/>
        <w:szCs w:val="20"/>
      </w:rPr>
      <w:t xml:space="preserve">sākotnējās ietekmes novērtējuma ziņojums (anotācija) </w:t>
    </w:r>
    <w:r w:rsidRPr="002234B3">
      <w:rPr>
        <w:sz w:val="20"/>
        <w:szCs w:val="20"/>
      </w:rPr>
      <w:t>„Par Militārās aviācijas nelaimes gadījumu koordinācijas un informācijas centru”</w:t>
    </w:r>
    <w:r w:rsidRPr="004E6354">
      <w:rPr>
        <w:i/>
        <w:sz w:val="20"/>
        <w:szCs w:val="20"/>
      </w:rPr>
      <w:t xml:space="preserve"> </w:t>
    </w:r>
  </w:p>
  <w:p w:rsidR="00F96E72" w:rsidRPr="00A17D02" w:rsidRDefault="00F96E72" w:rsidP="00F96E72">
    <w:pPr>
      <w:pStyle w:val="Footer"/>
      <w:jc w:val="both"/>
      <w:outlineLvl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CC" w:rsidRDefault="005B36CC" w:rsidP="001F3419">
      <w:r>
        <w:separator/>
      </w:r>
    </w:p>
  </w:footnote>
  <w:footnote w:type="continuationSeparator" w:id="0">
    <w:p w:rsidR="005B36CC" w:rsidRDefault="005B36CC" w:rsidP="001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end"/>
    </w:r>
  </w:p>
  <w:p w:rsidR="00643B07" w:rsidRDefault="0064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separate"/>
    </w:r>
    <w:r w:rsidR="00666458">
      <w:rPr>
        <w:rStyle w:val="PageNumber"/>
        <w:noProof/>
      </w:rPr>
      <w:t>3</w:t>
    </w:r>
    <w:r>
      <w:rPr>
        <w:rStyle w:val="PageNumber"/>
      </w:rPr>
      <w:fldChar w:fldCharType="end"/>
    </w:r>
  </w:p>
  <w:p w:rsidR="00643B07" w:rsidRDefault="0064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19"/>
    <w:rsid w:val="00006ADC"/>
    <w:rsid w:val="0002499C"/>
    <w:rsid w:val="00034FF0"/>
    <w:rsid w:val="00050D06"/>
    <w:rsid w:val="000810F4"/>
    <w:rsid w:val="00090863"/>
    <w:rsid w:val="000A6ECF"/>
    <w:rsid w:val="000A6F57"/>
    <w:rsid w:val="000B5983"/>
    <w:rsid w:val="000F5E05"/>
    <w:rsid w:val="00101B76"/>
    <w:rsid w:val="00110DF0"/>
    <w:rsid w:val="00111E0E"/>
    <w:rsid w:val="00150BF7"/>
    <w:rsid w:val="001641C6"/>
    <w:rsid w:val="00176DFA"/>
    <w:rsid w:val="001A0A86"/>
    <w:rsid w:val="001A0C42"/>
    <w:rsid w:val="001B284E"/>
    <w:rsid w:val="001B35E1"/>
    <w:rsid w:val="001E46F3"/>
    <w:rsid w:val="001F3419"/>
    <w:rsid w:val="002234B3"/>
    <w:rsid w:val="00230EEC"/>
    <w:rsid w:val="00252CDC"/>
    <w:rsid w:val="00255CD7"/>
    <w:rsid w:val="002A6239"/>
    <w:rsid w:val="002B3C6D"/>
    <w:rsid w:val="002B6D0E"/>
    <w:rsid w:val="002B727C"/>
    <w:rsid w:val="003028CA"/>
    <w:rsid w:val="00306C99"/>
    <w:rsid w:val="00330F5A"/>
    <w:rsid w:val="00342530"/>
    <w:rsid w:val="00342AAD"/>
    <w:rsid w:val="0035787B"/>
    <w:rsid w:val="003B2EAE"/>
    <w:rsid w:val="003C6F23"/>
    <w:rsid w:val="003C6FBB"/>
    <w:rsid w:val="003F02EB"/>
    <w:rsid w:val="00414B7A"/>
    <w:rsid w:val="00426180"/>
    <w:rsid w:val="00444816"/>
    <w:rsid w:val="0044622A"/>
    <w:rsid w:val="00451364"/>
    <w:rsid w:val="00452D1B"/>
    <w:rsid w:val="00455FD8"/>
    <w:rsid w:val="004641BD"/>
    <w:rsid w:val="00474D96"/>
    <w:rsid w:val="00485DE8"/>
    <w:rsid w:val="004A53A6"/>
    <w:rsid w:val="004A72D2"/>
    <w:rsid w:val="004B5BEF"/>
    <w:rsid w:val="004E1A9A"/>
    <w:rsid w:val="004E3BA8"/>
    <w:rsid w:val="004E6354"/>
    <w:rsid w:val="004F1BFF"/>
    <w:rsid w:val="004F5CC4"/>
    <w:rsid w:val="004F626D"/>
    <w:rsid w:val="00504D69"/>
    <w:rsid w:val="005143D0"/>
    <w:rsid w:val="00533C3D"/>
    <w:rsid w:val="0055192F"/>
    <w:rsid w:val="00553759"/>
    <w:rsid w:val="00570008"/>
    <w:rsid w:val="00580256"/>
    <w:rsid w:val="00583598"/>
    <w:rsid w:val="005B36CC"/>
    <w:rsid w:val="005D0DEC"/>
    <w:rsid w:val="005D583C"/>
    <w:rsid w:val="006013FB"/>
    <w:rsid w:val="0062227F"/>
    <w:rsid w:val="00637859"/>
    <w:rsid w:val="00643B07"/>
    <w:rsid w:val="006525FD"/>
    <w:rsid w:val="00660A93"/>
    <w:rsid w:val="006662C0"/>
    <w:rsid w:val="00666458"/>
    <w:rsid w:val="00670A11"/>
    <w:rsid w:val="00675B64"/>
    <w:rsid w:val="006824B0"/>
    <w:rsid w:val="00694D66"/>
    <w:rsid w:val="006D556F"/>
    <w:rsid w:val="006F2722"/>
    <w:rsid w:val="00787D30"/>
    <w:rsid w:val="00791268"/>
    <w:rsid w:val="007A33DF"/>
    <w:rsid w:val="007A4883"/>
    <w:rsid w:val="007A7F17"/>
    <w:rsid w:val="007C096C"/>
    <w:rsid w:val="007C1AB8"/>
    <w:rsid w:val="007D40D5"/>
    <w:rsid w:val="00820069"/>
    <w:rsid w:val="00826FDE"/>
    <w:rsid w:val="0083601E"/>
    <w:rsid w:val="008A2459"/>
    <w:rsid w:val="008A4E58"/>
    <w:rsid w:val="008D60FD"/>
    <w:rsid w:val="008E385A"/>
    <w:rsid w:val="008E7E59"/>
    <w:rsid w:val="008F3A82"/>
    <w:rsid w:val="00906B31"/>
    <w:rsid w:val="009107A5"/>
    <w:rsid w:val="0091302D"/>
    <w:rsid w:val="00913FEC"/>
    <w:rsid w:val="009510D9"/>
    <w:rsid w:val="00961E78"/>
    <w:rsid w:val="009708B7"/>
    <w:rsid w:val="00974120"/>
    <w:rsid w:val="009A378E"/>
    <w:rsid w:val="009A6443"/>
    <w:rsid w:val="009C7223"/>
    <w:rsid w:val="009F519E"/>
    <w:rsid w:val="00A0580D"/>
    <w:rsid w:val="00A05A64"/>
    <w:rsid w:val="00A10452"/>
    <w:rsid w:val="00A17D02"/>
    <w:rsid w:val="00A43A1B"/>
    <w:rsid w:val="00A52066"/>
    <w:rsid w:val="00AA03D8"/>
    <w:rsid w:val="00AA5E89"/>
    <w:rsid w:val="00B004CE"/>
    <w:rsid w:val="00B066E3"/>
    <w:rsid w:val="00B25029"/>
    <w:rsid w:val="00B3079C"/>
    <w:rsid w:val="00B41B3B"/>
    <w:rsid w:val="00B53E4F"/>
    <w:rsid w:val="00B56747"/>
    <w:rsid w:val="00B66699"/>
    <w:rsid w:val="00B66DEC"/>
    <w:rsid w:val="00B7067F"/>
    <w:rsid w:val="00B90BC0"/>
    <w:rsid w:val="00B92886"/>
    <w:rsid w:val="00BA0457"/>
    <w:rsid w:val="00BE1CF8"/>
    <w:rsid w:val="00C034CB"/>
    <w:rsid w:val="00C27C7B"/>
    <w:rsid w:val="00C34A62"/>
    <w:rsid w:val="00C42AF9"/>
    <w:rsid w:val="00C57A7E"/>
    <w:rsid w:val="00C62045"/>
    <w:rsid w:val="00C71085"/>
    <w:rsid w:val="00C7176C"/>
    <w:rsid w:val="00C91D1E"/>
    <w:rsid w:val="00C9624F"/>
    <w:rsid w:val="00CA79C8"/>
    <w:rsid w:val="00CB5FCA"/>
    <w:rsid w:val="00CB6249"/>
    <w:rsid w:val="00CD78A2"/>
    <w:rsid w:val="00CF6810"/>
    <w:rsid w:val="00D07958"/>
    <w:rsid w:val="00D11FE7"/>
    <w:rsid w:val="00D67270"/>
    <w:rsid w:val="00D85054"/>
    <w:rsid w:val="00D85D78"/>
    <w:rsid w:val="00D92091"/>
    <w:rsid w:val="00DC4839"/>
    <w:rsid w:val="00DC67EA"/>
    <w:rsid w:val="00DF2923"/>
    <w:rsid w:val="00DF3721"/>
    <w:rsid w:val="00DF485D"/>
    <w:rsid w:val="00E07DCF"/>
    <w:rsid w:val="00E10022"/>
    <w:rsid w:val="00E232DE"/>
    <w:rsid w:val="00E259C7"/>
    <w:rsid w:val="00E42DD4"/>
    <w:rsid w:val="00E559C2"/>
    <w:rsid w:val="00E55E76"/>
    <w:rsid w:val="00E567E6"/>
    <w:rsid w:val="00E57390"/>
    <w:rsid w:val="00E57A0B"/>
    <w:rsid w:val="00E6125A"/>
    <w:rsid w:val="00E66524"/>
    <w:rsid w:val="00EC35CA"/>
    <w:rsid w:val="00ED48FE"/>
    <w:rsid w:val="00EE3697"/>
    <w:rsid w:val="00EE5286"/>
    <w:rsid w:val="00EF6A01"/>
    <w:rsid w:val="00F10A5B"/>
    <w:rsid w:val="00F731D9"/>
    <w:rsid w:val="00F96E72"/>
    <w:rsid w:val="00FA7CCB"/>
    <w:rsid w:val="00FB05C3"/>
    <w:rsid w:val="00FB1052"/>
    <w:rsid w:val="00FD712D"/>
    <w:rsid w:val="00FE057F"/>
    <w:rsid w:val="00FF4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rsid w:val="001F3419"/>
    <w:pPr>
      <w:spacing w:before="100" w:beforeAutospacing="1" w:after="100" w:afterAutospacing="1"/>
    </w:pPr>
  </w:style>
  <w:style w:type="paragraph" w:customStyle="1" w:styleId="naiskr">
    <w:name w:val="naiskr"/>
    <w:basedOn w:val="Normal"/>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 w:type="character" w:styleId="CommentReference">
    <w:name w:val="annotation reference"/>
    <w:basedOn w:val="DefaultParagraphFont"/>
    <w:uiPriority w:val="99"/>
    <w:semiHidden/>
    <w:unhideWhenUsed/>
    <w:rsid w:val="00E57A0B"/>
    <w:rPr>
      <w:sz w:val="16"/>
      <w:szCs w:val="16"/>
    </w:rPr>
  </w:style>
  <w:style w:type="paragraph" w:styleId="CommentText">
    <w:name w:val="annotation text"/>
    <w:basedOn w:val="Normal"/>
    <w:link w:val="CommentTextChar"/>
    <w:uiPriority w:val="99"/>
    <w:semiHidden/>
    <w:unhideWhenUsed/>
    <w:rsid w:val="00E57A0B"/>
    <w:rPr>
      <w:sz w:val="20"/>
      <w:szCs w:val="20"/>
    </w:rPr>
  </w:style>
  <w:style w:type="character" w:customStyle="1" w:styleId="CommentTextChar">
    <w:name w:val="Comment Text Char"/>
    <w:basedOn w:val="DefaultParagraphFont"/>
    <w:link w:val="CommentText"/>
    <w:uiPriority w:val="99"/>
    <w:semiHidden/>
    <w:rsid w:val="00E57A0B"/>
    <w:rPr>
      <w:sz w:val="20"/>
      <w:szCs w:val="20"/>
    </w:rPr>
  </w:style>
  <w:style w:type="paragraph" w:styleId="CommentSubject">
    <w:name w:val="annotation subject"/>
    <w:basedOn w:val="CommentText"/>
    <w:next w:val="CommentText"/>
    <w:link w:val="CommentSubjectChar"/>
    <w:uiPriority w:val="99"/>
    <w:semiHidden/>
    <w:unhideWhenUsed/>
    <w:rsid w:val="00E57A0B"/>
    <w:rPr>
      <w:b/>
      <w:bCs/>
    </w:rPr>
  </w:style>
  <w:style w:type="character" w:customStyle="1" w:styleId="CommentSubjectChar">
    <w:name w:val="Comment Subject Char"/>
    <w:basedOn w:val="CommentTextChar"/>
    <w:link w:val="CommentSubject"/>
    <w:uiPriority w:val="99"/>
    <w:semiHidden/>
    <w:rsid w:val="00E57A0B"/>
    <w:rPr>
      <w:b/>
      <w:bCs/>
      <w:sz w:val="20"/>
      <w:szCs w:val="20"/>
    </w:rPr>
  </w:style>
  <w:style w:type="paragraph" w:styleId="Revision">
    <w:name w:val="Revision"/>
    <w:hidden/>
    <w:uiPriority w:val="99"/>
    <w:semiHidden/>
    <w:rsid w:val="004E1A9A"/>
    <w:rPr>
      <w:sz w:val="24"/>
      <w:szCs w:val="24"/>
    </w:rPr>
  </w:style>
  <w:style w:type="table" w:styleId="TableGrid">
    <w:name w:val="Table Grid"/>
    <w:basedOn w:val="TableNormal"/>
    <w:locked/>
    <w:rsid w:val="00E2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rsid w:val="001F3419"/>
    <w:pPr>
      <w:spacing w:before="100" w:beforeAutospacing="1" w:after="100" w:afterAutospacing="1"/>
    </w:pPr>
  </w:style>
  <w:style w:type="paragraph" w:customStyle="1" w:styleId="naiskr">
    <w:name w:val="naiskr"/>
    <w:basedOn w:val="Normal"/>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 w:type="character" w:styleId="CommentReference">
    <w:name w:val="annotation reference"/>
    <w:basedOn w:val="DefaultParagraphFont"/>
    <w:uiPriority w:val="99"/>
    <w:semiHidden/>
    <w:unhideWhenUsed/>
    <w:rsid w:val="00E57A0B"/>
    <w:rPr>
      <w:sz w:val="16"/>
      <w:szCs w:val="16"/>
    </w:rPr>
  </w:style>
  <w:style w:type="paragraph" w:styleId="CommentText">
    <w:name w:val="annotation text"/>
    <w:basedOn w:val="Normal"/>
    <w:link w:val="CommentTextChar"/>
    <w:uiPriority w:val="99"/>
    <w:semiHidden/>
    <w:unhideWhenUsed/>
    <w:rsid w:val="00E57A0B"/>
    <w:rPr>
      <w:sz w:val="20"/>
      <w:szCs w:val="20"/>
    </w:rPr>
  </w:style>
  <w:style w:type="character" w:customStyle="1" w:styleId="CommentTextChar">
    <w:name w:val="Comment Text Char"/>
    <w:basedOn w:val="DefaultParagraphFont"/>
    <w:link w:val="CommentText"/>
    <w:uiPriority w:val="99"/>
    <w:semiHidden/>
    <w:rsid w:val="00E57A0B"/>
    <w:rPr>
      <w:sz w:val="20"/>
      <w:szCs w:val="20"/>
    </w:rPr>
  </w:style>
  <w:style w:type="paragraph" w:styleId="CommentSubject">
    <w:name w:val="annotation subject"/>
    <w:basedOn w:val="CommentText"/>
    <w:next w:val="CommentText"/>
    <w:link w:val="CommentSubjectChar"/>
    <w:uiPriority w:val="99"/>
    <w:semiHidden/>
    <w:unhideWhenUsed/>
    <w:rsid w:val="00E57A0B"/>
    <w:rPr>
      <w:b/>
      <w:bCs/>
    </w:rPr>
  </w:style>
  <w:style w:type="character" w:customStyle="1" w:styleId="CommentSubjectChar">
    <w:name w:val="Comment Subject Char"/>
    <w:basedOn w:val="CommentTextChar"/>
    <w:link w:val="CommentSubject"/>
    <w:uiPriority w:val="99"/>
    <w:semiHidden/>
    <w:rsid w:val="00E57A0B"/>
    <w:rPr>
      <w:b/>
      <w:bCs/>
      <w:sz w:val="20"/>
      <w:szCs w:val="20"/>
    </w:rPr>
  </w:style>
  <w:style w:type="paragraph" w:styleId="Revision">
    <w:name w:val="Revision"/>
    <w:hidden/>
    <w:uiPriority w:val="99"/>
    <w:semiHidden/>
    <w:rsid w:val="004E1A9A"/>
    <w:rPr>
      <w:sz w:val="24"/>
      <w:szCs w:val="24"/>
    </w:rPr>
  </w:style>
  <w:style w:type="table" w:styleId="TableGrid">
    <w:name w:val="Table Grid"/>
    <w:basedOn w:val="TableNormal"/>
    <w:locked/>
    <w:rsid w:val="00E2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466">
      <w:bodyDiv w:val="1"/>
      <w:marLeft w:val="0"/>
      <w:marRight w:val="0"/>
      <w:marTop w:val="0"/>
      <w:marBottom w:val="0"/>
      <w:divBdr>
        <w:top w:val="none" w:sz="0" w:space="0" w:color="auto"/>
        <w:left w:val="none" w:sz="0" w:space="0" w:color="auto"/>
        <w:bottom w:val="none" w:sz="0" w:space="0" w:color="auto"/>
        <w:right w:val="none" w:sz="0" w:space="0" w:color="auto"/>
      </w:divBdr>
      <w:divsChild>
        <w:div w:id="414278796">
          <w:marLeft w:val="0"/>
          <w:marRight w:val="0"/>
          <w:marTop w:val="0"/>
          <w:marBottom w:val="0"/>
          <w:divBdr>
            <w:top w:val="none" w:sz="0" w:space="0" w:color="auto"/>
            <w:left w:val="none" w:sz="0" w:space="0" w:color="auto"/>
            <w:bottom w:val="none" w:sz="0" w:space="0" w:color="auto"/>
            <w:right w:val="none" w:sz="0" w:space="0" w:color="auto"/>
          </w:divBdr>
          <w:divsChild>
            <w:div w:id="727724239">
              <w:marLeft w:val="0"/>
              <w:marRight w:val="0"/>
              <w:marTop w:val="0"/>
              <w:marBottom w:val="0"/>
              <w:divBdr>
                <w:top w:val="none" w:sz="0" w:space="0" w:color="auto"/>
                <w:left w:val="none" w:sz="0" w:space="0" w:color="auto"/>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sChild>
                    <w:div w:id="1158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3270">
      <w:bodyDiv w:val="1"/>
      <w:marLeft w:val="0"/>
      <w:marRight w:val="0"/>
      <w:marTop w:val="0"/>
      <w:marBottom w:val="0"/>
      <w:divBdr>
        <w:top w:val="none" w:sz="0" w:space="0" w:color="auto"/>
        <w:left w:val="none" w:sz="0" w:space="0" w:color="auto"/>
        <w:bottom w:val="none" w:sz="0" w:space="0" w:color="auto"/>
        <w:right w:val="none" w:sz="0" w:space="0" w:color="auto"/>
      </w:divBdr>
    </w:div>
    <w:div w:id="991563332">
      <w:bodyDiv w:val="1"/>
      <w:marLeft w:val="0"/>
      <w:marRight w:val="0"/>
      <w:marTop w:val="0"/>
      <w:marBottom w:val="0"/>
      <w:divBdr>
        <w:top w:val="none" w:sz="0" w:space="0" w:color="auto"/>
        <w:left w:val="none" w:sz="0" w:space="0" w:color="auto"/>
        <w:bottom w:val="none" w:sz="0" w:space="0" w:color="auto"/>
        <w:right w:val="none" w:sz="0" w:space="0" w:color="auto"/>
      </w:divBdr>
    </w:div>
    <w:div w:id="1741244760">
      <w:bodyDiv w:val="1"/>
      <w:marLeft w:val="0"/>
      <w:marRight w:val="0"/>
      <w:marTop w:val="0"/>
      <w:marBottom w:val="0"/>
      <w:divBdr>
        <w:top w:val="none" w:sz="0" w:space="0" w:color="auto"/>
        <w:left w:val="none" w:sz="0" w:space="0" w:color="auto"/>
        <w:bottom w:val="none" w:sz="0" w:space="0" w:color="auto"/>
        <w:right w:val="none" w:sz="0" w:space="0" w:color="auto"/>
      </w:divBdr>
      <w:divsChild>
        <w:div w:id="1732970529">
          <w:marLeft w:val="0"/>
          <w:marRight w:val="0"/>
          <w:marTop w:val="0"/>
          <w:marBottom w:val="0"/>
          <w:divBdr>
            <w:top w:val="none" w:sz="0" w:space="0" w:color="auto"/>
            <w:left w:val="none" w:sz="0" w:space="0" w:color="auto"/>
            <w:bottom w:val="none" w:sz="0" w:space="0" w:color="auto"/>
            <w:right w:val="none" w:sz="0" w:space="0" w:color="auto"/>
          </w:divBdr>
          <w:divsChild>
            <w:div w:id="1120994951">
              <w:marLeft w:val="0"/>
              <w:marRight w:val="0"/>
              <w:marTop w:val="0"/>
              <w:marBottom w:val="0"/>
              <w:divBdr>
                <w:top w:val="none" w:sz="0" w:space="0" w:color="auto"/>
                <w:left w:val="none" w:sz="0" w:space="0" w:color="auto"/>
                <w:bottom w:val="none" w:sz="0" w:space="0" w:color="auto"/>
                <w:right w:val="none" w:sz="0" w:space="0" w:color="auto"/>
              </w:divBdr>
              <w:divsChild>
                <w:div w:id="925456362">
                  <w:marLeft w:val="0"/>
                  <w:marRight w:val="0"/>
                  <w:marTop w:val="0"/>
                  <w:marBottom w:val="0"/>
                  <w:divBdr>
                    <w:top w:val="none" w:sz="0" w:space="0" w:color="auto"/>
                    <w:left w:val="none" w:sz="0" w:space="0" w:color="auto"/>
                    <w:bottom w:val="none" w:sz="0" w:space="0" w:color="auto"/>
                    <w:right w:val="none" w:sz="0" w:space="0" w:color="auto"/>
                  </w:divBdr>
                  <w:divsChild>
                    <w:div w:id="558126414">
                      <w:marLeft w:val="0"/>
                      <w:marRight w:val="0"/>
                      <w:marTop w:val="0"/>
                      <w:marBottom w:val="0"/>
                      <w:divBdr>
                        <w:top w:val="none" w:sz="0" w:space="0" w:color="auto"/>
                        <w:left w:val="none" w:sz="0" w:space="0" w:color="auto"/>
                        <w:bottom w:val="none" w:sz="0" w:space="0" w:color="auto"/>
                        <w:right w:val="none" w:sz="0" w:space="0" w:color="auto"/>
                      </w:divBdr>
                      <w:divsChild>
                        <w:div w:id="2094545254">
                          <w:marLeft w:val="0"/>
                          <w:marRight w:val="0"/>
                          <w:marTop w:val="0"/>
                          <w:marBottom w:val="0"/>
                          <w:divBdr>
                            <w:top w:val="none" w:sz="0" w:space="0" w:color="auto"/>
                            <w:left w:val="none" w:sz="0" w:space="0" w:color="auto"/>
                            <w:bottom w:val="none" w:sz="0" w:space="0" w:color="auto"/>
                            <w:right w:val="none" w:sz="0" w:space="0" w:color="auto"/>
                          </w:divBdr>
                          <w:divsChild>
                            <w:div w:id="657881527">
                              <w:marLeft w:val="0"/>
                              <w:marRight w:val="0"/>
                              <w:marTop w:val="480"/>
                              <w:marBottom w:val="240"/>
                              <w:divBdr>
                                <w:top w:val="none" w:sz="0" w:space="0" w:color="auto"/>
                                <w:left w:val="none" w:sz="0" w:space="0" w:color="auto"/>
                                <w:bottom w:val="none" w:sz="0" w:space="0" w:color="auto"/>
                                <w:right w:val="none" w:sz="0" w:space="0" w:color="auto"/>
                              </w:divBdr>
                            </w:div>
                            <w:div w:id="3213943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740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76598-B581-4146-98CF-D07034A0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D273F5C5.dotm</Template>
  <TotalTime>90</TotalTime>
  <Pages>3</Pages>
  <Words>643</Words>
  <Characters>4860</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„sākotnējās ietekmes novērtējuma ziņojums (anotācija) „Par Militārās aviācijas gaisa kuģa nelaimes gadījuma koordinācijas un informācijas centra izvedi</vt:lpstr>
      <vt:lpstr>Ministru kabineta rīkojuma projekta anotācija „Par pretendentu un ierēdņu vērtēšanas komisiju”</vt:lpstr>
    </vt:vector>
  </TitlesOfParts>
  <Manager>G.Puķitis</Manager>
  <Company>Kultūras ministrija</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 „Par Militārās aviācijas gaisa kuģa nelaimes gadījuma koordinācijas un informācijas centra izvedi</dc:title>
  <dc:subject>Ministru kabineta rīkojuma projekta anotācija</dc:subject>
  <dc:creator>Janis.Lapins@mod.gov.lv</dc:creator>
  <dc:description>Janis.Lapins@mod.gov.lv 67335072</dc:description>
  <cp:lastModifiedBy>Janis Lapins</cp:lastModifiedBy>
  <cp:revision>22</cp:revision>
  <cp:lastPrinted>2015-09-01T07:01:00Z</cp:lastPrinted>
  <dcterms:created xsi:type="dcterms:W3CDTF">2015-07-20T05:45:00Z</dcterms:created>
  <dcterms:modified xsi:type="dcterms:W3CDTF">2015-09-01T08:14:00Z</dcterms:modified>
  <cp:category>Ārlietu ministrija</cp:category>
</cp:coreProperties>
</file>