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7395" w14:textId="77777777" w:rsidR="00452F1B" w:rsidRPr="001F05F1" w:rsidRDefault="002A078C" w:rsidP="00452F1B">
      <w:pPr>
        <w:pStyle w:val="NormalWeb5"/>
        <w:jc w:val="center"/>
        <w:rPr>
          <w:b/>
          <w:bCs/>
          <w:sz w:val="26"/>
          <w:szCs w:val="26"/>
          <w:lang w:val="lv-LV"/>
        </w:rPr>
      </w:pPr>
      <w:r w:rsidRPr="001F05F1">
        <w:rPr>
          <w:b/>
          <w:bCs/>
          <w:sz w:val="26"/>
          <w:szCs w:val="26"/>
          <w:lang w:val="lv-LV"/>
        </w:rPr>
        <w:t>Noteikumu projekta</w:t>
      </w:r>
    </w:p>
    <w:p w14:paraId="1BCD02E6" w14:textId="77777777" w:rsidR="001F05F1" w:rsidRDefault="00F20F46" w:rsidP="00A81CED">
      <w:pPr>
        <w:pStyle w:val="NormalWeb5"/>
        <w:jc w:val="center"/>
        <w:rPr>
          <w:rStyle w:val="Strong"/>
          <w:color w:val="000000"/>
          <w:sz w:val="26"/>
          <w:szCs w:val="26"/>
          <w:lang w:val="lv-LV"/>
        </w:rPr>
      </w:pPr>
      <w:r w:rsidRPr="001F05F1">
        <w:rPr>
          <w:b/>
          <w:bCs/>
          <w:sz w:val="26"/>
          <w:szCs w:val="26"/>
          <w:lang w:val="lv-LV"/>
        </w:rPr>
        <w:t>„</w:t>
      </w:r>
      <w:r w:rsidR="001F05F1" w:rsidRPr="001F05F1">
        <w:rPr>
          <w:rStyle w:val="Strong"/>
          <w:color w:val="000000"/>
          <w:sz w:val="26"/>
          <w:szCs w:val="26"/>
          <w:lang w:val="lv-LV"/>
        </w:rPr>
        <w:t>Grozījumi Ministru kabineta 2012.gada 21.augusta noteikumos Nr.570</w:t>
      </w:r>
    </w:p>
    <w:p w14:paraId="60CFEE43" w14:textId="22F502EE" w:rsidR="00962FE8" w:rsidRPr="001F05F1" w:rsidRDefault="001F05F1" w:rsidP="00A81CED">
      <w:pPr>
        <w:pStyle w:val="NormalWeb5"/>
        <w:jc w:val="center"/>
        <w:rPr>
          <w:b/>
          <w:bCs/>
          <w:color w:val="000000"/>
          <w:sz w:val="26"/>
          <w:szCs w:val="26"/>
          <w:lang w:val="lv-LV"/>
        </w:rPr>
      </w:pPr>
      <w:r w:rsidRPr="001F05F1">
        <w:rPr>
          <w:rStyle w:val="Strong"/>
          <w:color w:val="000000"/>
          <w:sz w:val="26"/>
          <w:szCs w:val="26"/>
          <w:lang w:val="lv-LV"/>
        </w:rPr>
        <w:t>“Derīgo izrakteņu ieguves kārtība”</w:t>
      </w:r>
      <w:r w:rsidR="00E51892" w:rsidRPr="001F05F1">
        <w:rPr>
          <w:b/>
          <w:bCs/>
          <w:sz w:val="26"/>
          <w:szCs w:val="26"/>
          <w:lang w:val="lv-LV" w:eastAsia="lv-LV"/>
        </w:rPr>
        <w:t>”</w:t>
      </w:r>
      <w:r w:rsidR="00A81CED" w:rsidRPr="001F05F1">
        <w:rPr>
          <w:b/>
          <w:bCs/>
          <w:color w:val="000000"/>
          <w:sz w:val="26"/>
          <w:szCs w:val="26"/>
          <w:lang w:val="lv-LV"/>
        </w:rPr>
        <w:t xml:space="preserve"> </w:t>
      </w:r>
      <w:r w:rsidR="00E51892" w:rsidRPr="001F05F1">
        <w:rPr>
          <w:b/>
          <w:bCs/>
          <w:sz w:val="26"/>
          <w:szCs w:val="26"/>
          <w:lang w:val="lv-LV" w:eastAsia="lv-LV"/>
        </w:rPr>
        <w:t>sākotnējās ietekmes novērtējuma ziņojums (anotācija)</w:t>
      </w:r>
    </w:p>
    <w:p w14:paraId="23F47049" w14:textId="77777777" w:rsidR="00540E55" w:rsidRPr="00466E36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951"/>
        <w:gridCol w:w="6127"/>
      </w:tblGrid>
      <w:tr w:rsidR="00962FE8" w:rsidRPr="00962FE8" w14:paraId="38B956BD" w14:textId="77777777" w:rsidTr="00F5696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623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14:paraId="0EC4A44E" w14:textId="77777777" w:rsidTr="00EF3364">
        <w:trPr>
          <w:trHeight w:val="40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5A51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9E1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52FD" w14:textId="3EBE9039" w:rsidR="00DB752F" w:rsidRPr="002A078C" w:rsidRDefault="004C63AC" w:rsidP="00EF3364">
            <w:pPr>
              <w:spacing w:after="0" w:line="240" w:lineRule="auto"/>
              <w:ind w:left="146" w:righ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Noteikumu projekts izstrādāts, ņemot vērā grozījumus </w:t>
            </w:r>
            <w:r w:rsidRPr="00343860">
              <w:rPr>
                <w:rFonts w:ascii="Times New Roman" w:hAnsi="Times New Roman" w:cs="Times New Roman"/>
              </w:rPr>
              <w:t>Ģeotelpiskās informācijas likuma 11.panta treš</w:t>
            </w:r>
            <w:r>
              <w:rPr>
                <w:rFonts w:ascii="Times New Roman" w:hAnsi="Times New Roman" w:cs="Times New Roman"/>
              </w:rPr>
              <w:t>ajā</w:t>
            </w:r>
            <w:r w:rsidRPr="00343860">
              <w:rPr>
                <w:rFonts w:ascii="Times New Roman" w:hAnsi="Times New Roman" w:cs="Times New Roman"/>
              </w:rPr>
              <w:t xml:space="preserve"> daļ</w:t>
            </w:r>
            <w:r>
              <w:rPr>
                <w:rFonts w:ascii="Times New Roman" w:hAnsi="Times New Roman" w:cs="Times New Roman"/>
              </w:rPr>
              <w:t xml:space="preserve">ā 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22.oktobrī).</w:t>
            </w:r>
          </w:p>
        </w:tc>
      </w:tr>
      <w:tr w:rsidR="00962FE8" w:rsidRPr="00962FE8" w14:paraId="74562CBE" w14:textId="77777777" w:rsidTr="00EF3364">
        <w:trPr>
          <w:trHeight w:val="46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097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19B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0260D" w14:textId="4E471E21" w:rsidR="001E74AD" w:rsidRDefault="001E74AD" w:rsidP="00870C83">
            <w:pPr>
              <w:pStyle w:val="tv213"/>
              <w:spacing w:before="0" w:beforeAutospacing="0" w:after="0" w:afterAutospacing="0"/>
              <w:ind w:left="75" w:right="95"/>
              <w:jc w:val="both"/>
            </w:pPr>
            <w:r w:rsidRPr="00A81CED">
              <w:rPr>
                <w:rStyle w:val="Strong"/>
                <w:b w:val="0"/>
                <w:color w:val="000000"/>
              </w:rPr>
              <w:t xml:space="preserve">Ministru kabineta </w:t>
            </w:r>
            <w:r>
              <w:rPr>
                <w:rStyle w:val="Strong"/>
                <w:b w:val="0"/>
                <w:color w:val="000000"/>
              </w:rPr>
              <w:t>2012.gada 21.augusta noteikumu</w:t>
            </w:r>
            <w:r w:rsidRPr="001F05F1">
              <w:rPr>
                <w:rStyle w:val="Strong"/>
                <w:b w:val="0"/>
                <w:color w:val="000000"/>
              </w:rPr>
              <w:t xml:space="preserve"> Nr.570 “Derīgo izrakteņu ieguves kārtība</w:t>
            </w:r>
            <w:r w:rsidRPr="00A81CED">
              <w:rPr>
                <w:rStyle w:val="Strong"/>
                <w:b w:val="0"/>
                <w:color w:val="000000"/>
              </w:rPr>
              <w:t>”</w:t>
            </w:r>
            <w:r>
              <w:rPr>
                <w:rStyle w:val="Strong"/>
                <w:b w:val="0"/>
                <w:color w:val="000000"/>
              </w:rPr>
              <w:t xml:space="preserve"> 3.1.apakšpunkts nosaka, ka </w:t>
            </w:r>
            <w:r>
              <w:t>a</w:t>
            </w:r>
            <w:r w:rsidRPr="001E74AD">
              <w:t xml:space="preserve">r derīgo izrakteņu izpēti un ieguvi saistītos darbos ievēro normatīvajos aktos par ģeodēziskās atskaites sistēmas izveidi, izmantošanu un uzturēšanu, </w:t>
            </w:r>
            <w:r>
              <w:t>kā arī</w:t>
            </w:r>
            <w:r w:rsidRPr="001E74AD">
              <w:t xml:space="preserve"> Baltijas 1977.gada normālo augstumu sistēmu</w:t>
            </w:r>
            <w:r>
              <w:t>.</w:t>
            </w:r>
          </w:p>
          <w:p w14:paraId="195BAE3C" w14:textId="6BE300FA" w:rsidR="001E74AD" w:rsidRPr="001E74AD" w:rsidRDefault="001E74AD" w:rsidP="00870C83">
            <w:pPr>
              <w:pStyle w:val="tv213"/>
              <w:spacing w:before="0" w:beforeAutospacing="0" w:after="0" w:afterAutospacing="0"/>
              <w:ind w:left="75" w:right="95"/>
              <w:jc w:val="both"/>
            </w:pPr>
            <w:r>
              <w:t xml:space="preserve">Minēto Ministru kabineta noteikumu 2.,4. un 12.pielikumā ir ietvertas prasības </w:t>
            </w:r>
            <w:r w:rsidR="008C024F">
              <w:t>derīgo izrakteņu krājumiem un krājumu metodikas aprēķiniem, tajā skaitā ievērojot Baltijas augstumu sistēmu.</w:t>
            </w:r>
          </w:p>
          <w:p w14:paraId="541ECC61" w14:textId="45FA0857" w:rsidR="00EF3364" w:rsidRDefault="00A27824" w:rsidP="005244B3">
            <w:pPr>
              <w:pStyle w:val="NoSpacing"/>
              <w:tabs>
                <w:tab w:val="clear" w:pos="720"/>
              </w:tabs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</w:rPr>
            </w:pPr>
            <w:r w:rsidRPr="00911BE9">
              <w:rPr>
                <w:rFonts w:ascii="Times New Roman" w:hAnsi="Times New Roman" w:cs="Times New Roman"/>
                <w:szCs w:val="24"/>
              </w:rPr>
              <w:t>2014.gada</w:t>
            </w:r>
            <w:r w:rsidR="00911BE9">
              <w:rPr>
                <w:rFonts w:ascii="Times New Roman" w:hAnsi="Times New Roman" w:cs="Times New Roman"/>
                <w:szCs w:val="24"/>
              </w:rPr>
              <w:t xml:space="preserve"> 22.oktobrī</w:t>
            </w:r>
            <w:r w:rsidRPr="00A27824">
              <w:rPr>
                <w:rFonts w:ascii="Times New Roman" w:hAnsi="Times New Roman" w:cs="Times New Roman"/>
              </w:rPr>
              <w:t xml:space="preserve"> </w:t>
            </w:r>
            <w:r w:rsidR="00670E4C">
              <w:rPr>
                <w:rFonts w:ascii="Times New Roman" w:hAnsi="Times New Roman" w:cs="Times New Roman"/>
              </w:rPr>
              <w:t>stāj</w:t>
            </w:r>
            <w:r w:rsidR="00500D37">
              <w:rPr>
                <w:rFonts w:ascii="Times New Roman" w:hAnsi="Times New Roman" w:cs="Times New Roman"/>
              </w:rPr>
              <w:t>uš</w:t>
            </w:r>
            <w:r w:rsidR="00670E4C">
              <w:rPr>
                <w:rFonts w:ascii="Times New Roman" w:hAnsi="Times New Roman" w:cs="Times New Roman"/>
              </w:rPr>
              <w:t>ies</w:t>
            </w:r>
            <w:r w:rsidRPr="00A27824">
              <w:rPr>
                <w:rFonts w:ascii="Times New Roman" w:hAnsi="Times New Roman" w:cs="Times New Roman"/>
              </w:rPr>
              <w:t xml:space="preserve"> spēkā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D37">
              <w:rPr>
                <w:rFonts w:ascii="Times New Roman" w:hAnsi="Times New Roman" w:cs="Times New Roman"/>
              </w:rPr>
              <w:t xml:space="preserve">grozījumi </w:t>
            </w:r>
            <w:r w:rsidRPr="00F3663A">
              <w:rPr>
                <w:rFonts w:ascii="Times New Roman" w:hAnsi="Times New Roman" w:cs="Times New Roman"/>
              </w:rPr>
              <w:t>Ģ</w:t>
            </w:r>
            <w:r>
              <w:rPr>
                <w:rFonts w:ascii="Times New Roman" w:hAnsi="Times New Roman" w:cs="Times New Roman"/>
              </w:rPr>
              <w:t>eotelpiskās informācijas likum</w:t>
            </w:r>
            <w:r w:rsidR="00500D37">
              <w:rPr>
                <w:rFonts w:ascii="Times New Roman" w:hAnsi="Times New Roman" w:cs="Times New Roman"/>
              </w:rPr>
              <w:t>ā, t.sk.</w:t>
            </w:r>
            <w:r>
              <w:rPr>
                <w:rFonts w:ascii="Times New Roman" w:hAnsi="Times New Roman" w:cs="Times New Roman"/>
              </w:rPr>
              <w:t xml:space="preserve"> 11.panta treš</w:t>
            </w:r>
            <w:r w:rsidR="00500D37">
              <w:rPr>
                <w:rFonts w:ascii="Times New Roman" w:hAnsi="Times New Roman" w:cs="Times New Roman"/>
              </w:rPr>
              <w:t>ajā</w:t>
            </w:r>
            <w:r>
              <w:rPr>
                <w:rFonts w:ascii="Times New Roman" w:hAnsi="Times New Roman" w:cs="Times New Roman"/>
              </w:rPr>
              <w:t xml:space="preserve"> daļ</w:t>
            </w:r>
            <w:r w:rsidR="00500D37">
              <w:rPr>
                <w:rFonts w:ascii="Times New Roman" w:hAnsi="Times New Roman" w:cs="Times New Roman"/>
              </w:rPr>
              <w:t>ā</w:t>
            </w:r>
            <w:r w:rsidR="00B9481C">
              <w:rPr>
                <w:rFonts w:ascii="Times New Roman" w:hAnsi="Times New Roman" w:cs="Times New Roman"/>
              </w:rPr>
              <w:t>,</w:t>
            </w:r>
            <w:r w:rsidR="00B9481C">
              <w:rPr>
                <w:rFonts w:ascii="Times New Roman" w:hAnsi="Times New Roman" w:cs="Times New Roman"/>
                <w:szCs w:val="24"/>
              </w:rPr>
              <w:t xml:space="preserve"> nosakot</w:t>
            </w:r>
            <w:r w:rsidR="00500D37">
              <w:rPr>
                <w:rFonts w:ascii="Times New Roman" w:hAnsi="Times New Roman" w:cs="Times New Roman"/>
                <w:szCs w:val="24"/>
              </w:rPr>
              <w:t>, ka ģ</w:t>
            </w:r>
            <w:r w:rsidR="00500D37" w:rsidRPr="00500D37">
              <w:rPr>
                <w:rFonts w:ascii="Times New Roman" w:hAnsi="Times New Roman" w:cs="Times New Roman"/>
                <w:szCs w:val="24"/>
              </w:rPr>
              <w:t>eotelpiskās informācijas pamatdatu iegūšanā, sagatavošanā un uzturēšanā izmanto</w:t>
            </w:r>
            <w:r w:rsidR="00500D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0D37" w:rsidRPr="00500D37">
              <w:rPr>
                <w:rFonts w:ascii="Times New Roman" w:hAnsi="Times New Roman" w:cs="Times New Roman"/>
                <w:szCs w:val="24"/>
              </w:rPr>
              <w:t>Eiropas Vertikālās atskaites sistēmas realizāciju Latvijas teritorijā</w:t>
            </w:r>
            <w:r w:rsidR="00B9481C">
              <w:rPr>
                <w:rFonts w:ascii="Times New Roman" w:hAnsi="Times New Roman" w:cs="Times New Roman"/>
                <w:szCs w:val="24"/>
              </w:rPr>
              <w:t>.</w:t>
            </w:r>
            <w:r w:rsidR="000537AF">
              <w:t xml:space="preserve"> </w:t>
            </w:r>
            <w:r w:rsidR="00EF3364" w:rsidRPr="000537AF">
              <w:rPr>
                <w:rFonts w:ascii="Times New Roman" w:hAnsi="Times New Roman" w:cs="Times New Roman"/>
                <w:szCs w:val="24"/>
              </w:rPr>
              <w:t xml:space="preserve">Līdz tam Latvijā, ievērojot Ģeotelpiskās informācijas likuma 11.panta </w:t>
            </w:r>
            <w:r w:rsidR="008C024F" w:rsidRPr="000537AF">
              <w:rPr>
                <w:rFonts w:ascii="Times New Roman" w:hAnsi="Times New Roman" w:cs="Times New Roman"/>
                <w:szCs w:val="24"/>
              </w:rPr>
              <w:t>treš</w:t>
            </w:r>
            <w:r w:rsidR="008C024F">
              <w:rPr>
                <w:rFonts w:ascii="Times New Roman" w:hAnsi="Times New Roman" w:cs="Times New Roman"/>
                <w:szCs w:val="24"/>
              </w:rPr>
              <w:t>o</w:t>
            </w:r>
            <w:r w:rsidR="008C024F" w:rsidRPr="000537AF">
              <w:rPr>
                <w:rFonts w:ascii="Times New Roman" w:hAnsi="Times New Roman" w:cs="Times New Roman"/>
                <w:szCs w:val="24"/>
              </w:rPr>
              <w:t xml:space="preserve"> daļ</w:t>
            </w:r>
            <w:r w:rsidR="008C024F">
              <w:rPr>
                <w:rFonts w:ascii="Times New Roman" w:hAnsi="Times New Roman" w:cs="Times New Roman"/>
                <w:szCs w:val="24"/>
              </w:rPr>
              <w:t>u</w:t>
            </w:r>
            <w:r w:rsidR="00EF3364" w:rsidRPr="000537AF">
              <w:rPr>
                <w:rFonts w:ascii="Times New Roman" w:hAnsi="Times New Roman" w:cs="Times New Roman"/>
                <w:szCs w:val="24"/>
              </w:rPr>
              <w:t>, tika izmantota Baltijas 1977.gada normālo augstumu sistēma.</w:t>
            </w:r>
            <w:r w:rsidR="00EF3364">
              <w:rPr>
                <w:rFonts w:ascii="Times New Roman" w:hAnsi="Times New Roman" w:cs="Times New Roman"/>
              </w:rPr>
              <w:t xml:space="preserve"> </w:t>
            </w:r>
          </w:p>
          <w:p w14:paraId="3D836212" w14:textId="1D5C7DDA" w:rsidR="00AF73D1" w:rsidRPr="00466E36" w:rsidRDefault="00B7425F" w:rsidP="000A30EA">
            <w:pPr>
              <w:pStyle w:val="NoSpacing"/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</w:rPr>
              <w:t>Līdz ar to, p</w:t>
            </w:r>
            <w:r w:rsidR="005877AC">
              <w:rPr>
                <w:rFonts w:ascii="Times New Roman" w:hAnsi="Times New Roman" w:cs="Times New Roman"/>
                <w:kern w:val="3"/>
              </w:rPr>
              <w:t xml:space="preserve">rojekta mērķis un būtība ir </w:t>
            </w:r>
            <w:r w:rsidR="00B0678D">
              <w:rPr>
                <w:rFonts w:ascii="Times New Roman" w:hAnsi="Times New Roman" w:cs="Times New Roman"/>
              </w:rPr>
              <w:t xml:space="preserve">veikt grozījumus </w:t>
            </w:r>
            <w:r w:rsidR="00A81CED" w:rsidRPr="00A81CED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Ministru kabineta </w:t>
            </w:r>
            <w:r w:rsidR="001F05F1" w:rsidRPr="001F05F1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>2012.gada 21.augusta noteikumos Nr.570 “Derīgo izrakteņu ieguves kārtība</w:t>
            </w:r>
            <w:r w:rsidR="00A81CED" w:rsidRPr="00A81CED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>”</w:t>
            </w:r>
            <w:r w:rsidR="000537AF" w:rsidRPr="008E607E">
              <w:rPr>
                <w:rFonts w:ascii="Times New Roman" w:hAnsi="Times New Roman" w:cs="Times New Roman"/>
              </w:rPr>
              <w:t xml:space="preserve">, </w:t>
            </w:r>
            <w:r w:rsidR="00EF3364">
              <w:rPr>
                <w:rFonts w:ascii="Times New Roman" w:hAnsi="Times New Roman" w:cs="Times New Roman"/>
              </w:rPr>
              <w:t xml:space="preserve">mainot </w:t>
            </w:r>
            <w:r w:rsidR="008C024F">
              <w:rPr>
                <w:rFonts w:ascii="Times New Roman" w:hAnsi="Times New Roman" w:cs="Times New Roman"/>
              </w:rPr>
              <w:t>attiecīgi piemērojamās augstumu</w:t>
            </w:r>
            <w:r w:rsidR="008C024F" w:rsidRPr="00DB752F">
              <w:rPr>
                <w:rFonts w:ascii="Times New Roman" w:hAnsi="Times New Roman" w:cs="Times New Roman"/>
              </w:rPr>
              <w:t xml:space="preserve"> </w:t>
            </w:r>
            <w:r w:rsidR="000537AF" w:rsidRPr="00DB752F">
              <w:rPr>
                <w:rFonts w:ascii="Times New Roman" w:hAnsi="Times New Roman" w:cs="Times New Roman"/>
              </w:rPr>
              <w:t>sistēmas</w:t>
            </w:r>
            <w:r w:rsidR="000537AF">
              <w:rPr>
                <w:rFonts w:ascii="Times New Roman" w:hAnsi="Times New Roman" w:cs="Times New Roman"/>
              </w:rPr>
              <w:t xml:space="preserve"> nosaukumu</w:t>
            </w:r>
            <w:r w:rsidR="00EF3364">
              <w:rPr>
                <w:rFonts w:ascii="Times New Roman" w:hAnsi="Times New Roman" w:cs="Times New Roman"/>
              </w:rPr>
              <w:t xml:space="preserve"> </w:t>
            </w:r>
            <w:r w:rsidR="008C024F" w:rsidRPr="001E74AD">
              <w:rPr>
                <w:rFonts w:ascii="Times New Roman" w:eastAsia="Times New Roman" w:hAnsi="Times New Roman" w:cs="Times New Roman"/>
                <w:lang w:eastAsia="lv-LV" w:bidi="ar-SA"/>
              </w:rPr>
              <w:t>Baltijas 1977.gada normālo augstumu sistēm</w:t>
            </w:r>
            <w:r w:rsidR="008C024F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 </w:t>
            </w:r>
            <w:r w:rsidR="000537AF">
              <w:rPr>
                <w:rFonts w:ascii="Times New Roman" w:hAnsi="Times New Roman" w:cs="Times New Roman"/>
              </w:rPr>
              <w:t xml:space="preserve">uz </w:t>
            </w:r>
            <w:r w:rsidR="00EF3364">
              <w:rPr>
                <w:rFonts w:ascii="Times New Roman" w:hAnsi="Times New Roman" w:cs="Times New Roman"/>
              </w:rPr>
              <w:t xml:space="preserve">nosaukumu </w:t>
            </w:r>
            <w:r w:rsidR="000537AF" w:rsidRPr="000537AF">
              <w:rPr>
                <w:rFonts w:ascii="Times New Roman" w:hAnsi="Times New Roman" w:cs="Times New Roman"/>
                <w:szCs w:val="24"/>
                <w:lang w:eastAsia="lv-LV"/>
              </w:rPr>
              <w:t xml:space="preserve">Eiropas </w:t>
            </w:r>
            <w:r w:rsidR="000537AF" w:rsidRPr="006C09F7">
              <w:rPr>
                <w:rFonts w:ascii="Times New Roman" w:hAnsi="Times New Roman" w:cs="Times New Roman"/>
                <w:szCs w:val="24"/>
                <w:lang w:eastAsia="lv-LV"/>
              </w:rPr>
              <w:t>Vertikālās</w:t>
            </w:r>
            <w:r w:rsidR="000537AF" w:rsidRPr="006C09F7">
              <w:rPr>
                <w:rFonts w:ascii="Times New Roman" w:hAnsi="Times New Roman" w:cs="Times New Roman"/>
                <w:lang w:eastAsia="lv-LV"/>
              </w:rPr>
              <w:t xml:space="preserve"> atskaites sistēma</w:t>
            </w:r>
            <w:r w:rsidR="000423F2" w:rsidRPr="006C09F7">
              <w:rPr>
                <w:rFonts w:ascii="Times New Roman" w:hAnsi="Times New Roman" w:cs="Times New Roman"/>
                <w:lang w:eastAsia="lv-LV"/>
              </w:rPr>
              <w:t>s</w:t>
            </w:r>
            <w:r w:rsidR="000537AF" w:rsidRPr="006C09F7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0423F2" w:rsidRPr="006C09F7">
              <w:rPr>
                <w:rFonts w:ascii="Times New Roman" w:hAnsi="Times New Roman" w:cs="Times New Roman"/>
                <w:lang w:eastAsia="lv-LV"/>
              </w:rPr>
              <w:t>realizācija Latvijas teritorijā</w:t>
            </w:r>
            <w:r w:rsidR="000423F2" w:rsidRPr="006C09F7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14:paraId="7A68974B" w14:textId="77777777" w:rsidTr="00EF3364">
        <w:trPr>
          <w:trHeight w:val="46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7DE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74D0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449A" w14:textId="7DFAB6C6" w:rsidR="00962FE8" w:rsidRPr="00962FE8" w:rsidRDefault="00C5539C" w:rsidP="002A078C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ministrija, Latvijas Ģeotelpiskās informācijas aģentūra</w:t>
            </w:r>
            <w:r w:rsidR="00870C83">
              <w:rPr>
                <w:rFonts w:ascii="Times New Roman" w:hAnsi="Times New Roman" w:cs="Times New Roman"/>
              </w:rPr>
              <w:t>, Vides aizsardzības un reģionālās attīstības ministrija</w:t>
            </w:r>
          </w:p>
        </w:tc>
      </w:tr>
      <w:tr w:rsidR="00962FE8" w:rsidRPr="00962FE8" w14:paraId="5B0F4EEB" w14:textId="77777777" w:rsidTr="00EF3364">
        <w:trPr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0FFC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102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4FE1" w14:textId="77777777"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026C8B" w:rsidRPr="00962FE8" w14:paraId="1AD69DDD" w14:textId="77777777" w:rsidTr="00F5696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361AA" w14:textId="77777777"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14:paraId="3672D85D" w14:textId="77777777" w:rsid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14:paraId="3343BE17" w14:textId="77777777" w:rsidR="008D5C2F" w:rsidRDefault="008D5C2F" w:rsidP="008D5C2F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  <w:r>
        <w:rPr>
          <w:rFonts w:ascii="Times New Roman" w:eastAsia="Times New Roman" w:hAnsi="Times New Roman" w:cs="Times New Roman"/>
          <w:vanish/>
          <w:lang w:eastAsia="lv-LV" w:bidi="ar-SA"/>
        </w:rPr>
        <w:t>Anotācijas III,IV, V sadaļa – projekts šīs jomas neskar.</w:t>
      </w:r>
    </w:p>
    <w:p w14:paraId="276D9425" w14:textId="77777777" w:rsidR="00776C4E" w:rsidRPr="00962FE8" w:rsidRDefault="00776C4E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"/>
        <w:gridCol w:w="2817"/>
        <w:gridCol w:w="5910"/>
      </w:tblGrid>
      <w:tr w:rsidR="00962FE8" w:rsidRPr="00962FE8" w14:paraId="1F340A7B" w14:textId="77777777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40A6" w14:textId="77777777" w:rsidR="00962FE8" w:rsidRPr="00962FE8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8D5C2F" w:rsidRPr="00962FE8" w14:paraId="7ACC209F" w14:textId="77777777" w:rsidTr="008D5C2F">
        <w:trPr>
          <w:trHeight w:val="46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2FF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50F5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Sabiedrības </w:t>
            </w:r>
            <w:proofErr w:type="spellStart"/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mērķgrupas</w:t>
            </w:r>
            <w:proofErr w:type="spellEnd"/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, kuras tiesiskais regulējums ietekmē vai varētu ietekmēt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BC6B" w14:textId="4AB12171" w:rsidR="008D5C2F" w:rsidRPr="00843FBA" w:rsidRDefault="008D5C2F" w:rsidP="005B5860">
            <w:pPr>
              <w:spacing w:after="0" w:line="240" w:lineRule="auto"/>
              <w:ind w:left="164" w:right="140"/>
              <w:jc w:val="both"/>
              <w:rPr>
                <w:rFonts w:ascii="Times New Roman" w:hAnsi="Times New Roman" w:cs="Times New Roman"/>
              </w:rPr>
            </w:pPr>
            <w:r w:rsidRPr="00843FBA">
              <w:rPr>
                <w:rFonts w:ascii="Times New Roman" w:hAnsi="Times New Roman" w:cs="Times New Roman"/>
              </w:rPr>
              <w:t>Personas, kas izmanto zemes dzīles</w:t>
            </w:r>
            <w:r w:rsidR="005B5860" w:rsidRPr="00843FBA">
              <w:rPr>
                <w:rFonts w:ascii="Times New Roman" w:hAnsi="Times New Roman" w:cs="Times New Roman"/>
              </w:rPr>
              <w:t>.</w:t>
            </w:r>
          </w:p>
        </w:tc>
      </w:tr>
      <w:tr w:rsidR="008D5C2F" w:rsidRPr="00962FE8" w14:paraId="480055B2" w14:textId="77777777" w:rsidTr="008D5C2F">
        <w:trPr>
          <w:trHeight w:val="51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661B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2.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D47A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2EC6" w14:textId="21FAEDF7" w:rsidR="008D5C2F" w:rsidRPr="008568C7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ind w:left="167" w:right="140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8D5C2F" w:rsidRPr="00962FE8" w14:paraId="49147334" w14:textId="77777777" w:rsidTr="008D5C2F">
        <w:trPr>
          <w:trHeight w:val="51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597E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09B9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Administratīvo izmaksu monetārs novērtējums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B49A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8D5C2F" w:rsidRPr="00962FE8" w14:paraId="408D25AB" w14:textId="77777777" w:rsidTr="008D5C2F">
        <w:trPr>
          <w:trHeight w:val="34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6403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A3ED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2D98" w14:textId="4D17AC53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8D5C2F" w:rsidRPr="00962FE8" w14:paraId="296A91E4" w14:textId="77777777" w:rsidTr="00540E55">
        <w:trPr>
          <w:trHeight w:val="34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AD7EF" w14:textId="77777777" w:rsidR="008D5C2F" w:rsidRPr="00962FE8" w:rsidRDefault="008D5C2F" w:rsidP="008D5C2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14:paraId="34A30760" w14:textId="77777777"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716"/>
        <w:gridCol w:w="805"/>
        <w:gridCol w:w="5406"/>
      </w:tblGrid>
      <w:tr w:rsidR="00962FE8" w:rsidRPr="00962FE8" w14:paraId="667FBBE7" w14:textId="77777777" w:rsidTr="000A6C06">
        <w:trPr>
          <w:trHeight w:val="420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BCD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VI. Sabiedrības līdzdalība un komunikācijas aktivitātes</w:t>
            </w:r>
          </w:p>
        </w:tc>
      </w:tr>
      <w:tr w:rsidR="00962FE8" w:rsidRPr="00962FE8" w14:paraId="729DD58D" w14:textId="77777777" w:rsidTr="000A6C06">
        <w:trPr>
          <w:trHeight w:val="54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7C7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8CA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Plānotās sabiedrības līdzdalības un komunikācijas aktivitātes saistībā ar projektu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0CE7" w14:textId="48D5A451" w:rsidR="00623533" w:rsidRPr="00D57C27" w:rsidRDefault="008D5C2F" w:rsidP="00D57C27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14:paraId="384242DE" w14:textId="77777777" w:rsidTr="000A6C06">
        <w:trPr>
          <w:trHeight w:val="33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880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F7B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 projekta izstrādē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32FF" w14:textId="77777777" w:rsidR="00623533" w:rsidRPr="001D3E51" w:rsidRDefault="001D3E51" w:rsidP="00623533">
            <w:pPr>
              <w:tabs>
                <w:tab w:val="clear" w:pos="720"/>
              </w:tabs>
              <w:suppressAutoHyphens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14:paraId="168B5BA1" w14:textId="77777777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C1D82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DC6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līdzdalības rezultāti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C6B2" w14:textId="77777777" w:rsidR="00962FE8" w:rsidRPr="001D3E51" w:rsidRDefault="001D3E51" w:rsidP="00623533">
            <w:pPr>
              <w:pStyle w:val="tv213"/>
              <w:spacing w:before="0" w:beforeAutospacing="0" w:after="0" w:afterAutospacing="0"/>
              <w:ind w:left="124"/>
              <w:jc w:val="both"/>
            </w:pPr>
            <w:r w:rsidRPr="001D3E51">
              <w:t>Projekts šo jomu neskar</w:t>
            </w:r>
          </w:p>
        </w:tc>
      </w:tr>
      <w:tr w:rsidR="00962FE8" w:rsidRPr="00962FE8" w14:paraId="7419E473" w14:textId="77777777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F57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EF7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FDB95" w14:textId="77777777" w:rsidR="008D5C2F" w:rsidRDefault="008D5C2F" w:rsidP="008D5C2F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left="130" w:right="122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abiedrības līdzdalības un komunikācijas aktivitātes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atsevišķi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saistībā ar projektu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nav veiktas un plānotas, un tās nav nepieciešamas, ievērojot, ka ar projektu netiek mainīts sabiedrības, un tās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 w:bidi="ar-SA"/>
              </w:rPr>
              <w:t>mērķgrupu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pienākumu un tiesību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apjoms. </w:t>
            </w:r>
            <w:proofErr w:type="spellEnd"/>
          </w:p>
          <w:p w14:paraId="054646E1" w14:textId="470DA652" w:rsidR="00962FE8" w:rsidRPr="00962FE8" w:rsidRDefault="008D5C2F" w:rsidP="00870C83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left="130" w:right="122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abiedrības līdzdalības un komunikācijas aktivitātes saistībā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ar augstumu sistēmas maiņu Latvijā kopumā veiktas, grozījumu Ģeotelpiskās informācijas likumā </w:t>
            </w:r>
            <w:r>
              <w:rPr>
                <w:rFonts w:ascii="Times New Roman" w:hAnsi="Times New Roman" w:cs="Times New Roman"/>
              </w:rPr>
              <w:t xml:space="preserve">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 virzības ietvaros.</w:t>
            </w:r>
          </w:p>
        </w:tc>
      </w:tr>
      <w:tr w:rsidR="008C2B26" w:rsidRPr="00962FE8" w14:paraId="53C8BFA8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E1141" w14:textId="77777777" w:rsidR="008C2B26" w:rsidRPr="00962FE8" w:rsidRDefault="008C2B26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</w:p>
        </w:tc>
      </w:tr>
      <w:tr w:rsidR="00962FE8" w:rsidRPr="00962FE8" w14:paraId="1C71F6F4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701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14:paraId="35206DB0" w14:textId="77777777" w:rsidTr="000A6C06">
        <w:trPr>
          <w:trHeight w:val="42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A4E3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185C9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4A62" w14:textId="4A9EA11D" w:rsidR="006A73C2" w:rsidRPr="009A602D" w:rsidRDefault="008C024F" w:rsidP="00870C8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Vietējās pašvaldības, </w:t>
            </w:r>
            <w:r w:rsidRPr="00514A7B">
              <w:rPr>
                <w:rFonts w:ascii="Times New Roman" w:hAnsi="Times New Roman"/>
              </w:rPr>
              <w:t xml:space="preserve">Valsts vides dienests, </w:t>
            </w:r>
            <w:r>
              <w:rPr>
                <w:rFonts w:ascii="Times New Roman" w:hAnsi="Times New Roman"/>
              </w:rPr>
              <w:t>valsts SIA „Latvijas Vides, Ģeoloģijas un meteoroloģijas centrs”; valsts un pašvaldību institūcijas, kas iznomā valsts vai pašvaldības zemi zemes dzīļu izmantošanai</w:t>
            </w:r>
          </w:p>
        </w:tc>
      </w:tr>
      <w:tr w:rsidR="00540E55" w:rsidRPr="00962FE8" w14:paraId="0F103FE4" w14:textId="77777777" w:rsidTr="00F3663A">
        <w:trPr>
          <w:trHeight w:val="45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DBD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BE51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14:paraId="70D402E3" w14:textId="77777777"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FBA06" w14:textId="4297C2B5" w:rsidR="008342CE" w:rsidRPr="009A602D" w:rsidRDefault="00520B4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94">
              <w:rPr>
                <w:rFonts w:ascii="Times New Roman" w:hAnsi="Times New Roman" w:cs="Times New Roman"/>
              </w:rPr>
              <w:t>Projekts neietekmē valsts pārvaldes institucionālo struktūru, kā arī neparedz jaunu institūciju izveidi, esošu institūciju likvidāciju vai reorganizāciju.</w:t>
            </w:r>
          </w:p>
        </w:tc>
      </w:tr>
      <w:tr w:rsidR="00540E55" w:rsidRPr="00962FE8" w14:paraId="74BE905A" w14:textId="77777777" w:rsidTr="000A6C06">
        <w:trPr>
          <w:trHeight w:val="39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BAC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8A42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ECB5" w14:textId="77777777"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</w:tbl>
    <w:p w14:paraId="0CFCDFBE" w14:textId="5315662E" w:rsidR="00911BE9" w:rsidRDefault="00911BE9" w:rsidP="00911BE9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14:paraId="2956C5A2" w14:textId="77777777" w:rsidR="00D342FA" w:rsidRDefault="00D342FA" w:rsidP="00F20F46">
      <w:pPr>
        <w:pStyle w:val="naisf"/>
        <w:spacing w:before="0" w:after="0" w:line="240" w:lineRule="auto"/>
      </w:pPr>
    </w:p>
    <w:p w14:paraId="00E8B2AB" w14:textId="77777777" w:rsidR="00D342FA" w:rsidRPr="00697C1E" w:rsidRDefault="00D342FA" w:rsidP="00F20F46">
      <w:pPr>
        <w:pStyle w:val="naisf"/>
        <w:spacing w:before="0" w:after="0" w:line="240" w:lineRule="auto"/>
      </w:pPr>
    </w:p>
    <w:p w14:paraId="7A1B034A" w14:textId="2B886473"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lastRenderedPageBreak/>
        <w:t>Aizsardzības ministrs</w:t>
      </w:r>
      <w:r w:rsidRPr="00697C1E">
        <w:rPr>
          <w:rFonts w:ascii="Times New Roman" w:hAnsi="Times New Roman" w:cs="Times New Roman"/>
        </w:rPr>
        <w:tab/>
      </w:r>
      <w:r w:rsidR="00E54D33">
        <w:rPr>
          <w:rFonts w:ascii="Times New Roman" w:hAnsi="Times New Roman" w:cs="Times New Roman"/>
        </w:rPr>
        <w:t>R.</w:t>
      </w:r>
      <w:r w:rsidR="00197892">
        <w:rPr>
          <w:rFonts w:ascii="Times New Roman" w:hAnsi="Times New Roman" w:cs="Times New Roman"/>
        </w:rPr>
        <w:t>Bergmanis</w:t>
      </w:r>
    </w:p>
    <w:p w14:paraId="795A1E6C" w14:textId="77777777"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114E1A3C" w14:textId="6854217B" w:rsidR="006F0D35" w:rsidRDefault="006F0D35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Valsts sekretārs</w:t>
      </w:r>
      <w:r w:rsidRPr="00697C1E">
        <w:rPr>
          <w:rFonts w:ascii="Times New Roman" w:hAnsi="Times New Roman" w:cs="Times New Roman"/>
        </w:rPr>
        <w:tab/>
      </w:r>
      <w:r w:rsidR="007B0AE9" w:rsidRPr="00697C1E">
        <w:rPr>
          <w:rFonts w:ascii="Times New Roman" w:hAnsi="Times New Roman" w:cs="Times New Roman"/>
        </w:rPr>
        <w:t>J.</w:t>
      </w:r>
      <w:r w:rsidR="00197892">
        <w:rPr>
          <w:rFonts w:ascii="Times New Roman" w:hAnsi="Times New Roman" w:cs="Times New Roman"/>
        </w:rPr>
        <w:t>Garisons</w:t>
      </w:r>
    </w:p>
    <w:p w14:paraId="7C513327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246AAF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1D9DCE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3BC6B2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4272DB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D0D61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372990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68CABC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68009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DACF21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491A8D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8C6CD6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3830DF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C1E435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5C8A57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33F137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AB99B02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D7C4EE7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EBD015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9A7923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2626CD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AB86AD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5A6C99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04E393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9B6EDF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148BC1" w14:textId="77777777" w:rsidR="00843FBA" w:rsidRDefault="00843F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425057" w14:textId="77777777" w:rsidR="00843FBA" w:rsidRDefault="00843F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1102A9" w14:textId="77777777" w:rsidR="00843FBA" w:rsidRDefault="00843F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9FB3D5" w14:textId="77777777" w:rsidR="00843FBA" w:rsidRDefault="00843F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2F92D38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486667" w14:textId="77777777" w:rsidR="007A4CFF" w:rsidRDefault="007A4CFF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B7C0C3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6AEC4E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4265A9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42D0E5" w14:textId="04FEE097" w:rsidR="00E92654" w:rsidRPr="00466E36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E36">
        <w:rPr>
          <w:rFonts w:ascii="Times New Roman" w:hAnsi="Times New Roman" w:cs="Times New Roman"/>
          <w:sz w:val="20"/>
          <w:szCs w:val="20"/>
        </w:rPr>
        <w:fldChar w:fldCharType="begin"/>
      </w:r>
      <w:r w:rsidRPr="00466E36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466E36">
        <w:rPr>
          <w:rFonts w:ascii="Times New Roman" w:hAnsi="Times New Roman" w:cs="Times New Roman"/>
          <w:sz w:val="20"/>
          <w:szCs w:val="20"/>
        </w:rPr>
        <w:fldChar w:fldCharType="separate"/>
      </w:r>
      <w:r w:rsidR="00843FBA">
        <w:rPr>
          <w:rFonts w:ascii="Times New Roman" w:hAnsi="Times New Roman" w:cs="Times New Roman"/>
          <w:noProof/>
          <w:sz w:val="20"/>
          <w:szCs w:val="20"/>
        </w:rPr>
        <w:t>26.08.2015 15:25</w:t>
      </w:r>
      <w:r w:rsidRPr="00466E36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554CC7D" w14:textId="05A0DBB1" w:rsidR="000B1DAE" w:rsidRPr="00466E36" w:rsidRDefault="00F74386" w:rsidP="007A4CFF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D12758">
        <w:rPr>
          <w:rFonts w:ascii="Times New Roman" w:hAnsi="Times New Roman" w:cs="Times New Roman"/>
          <w:sz w:val="20"/>
          <w:szCs w:val="20"/>
        </w:rPr>
        <w:t>478</w:t>
      </w:r>
    </w:p>
    <w:p w14:paraId="0135B573" w14:textId="2DD7A888" w:rsidR="000B1DAE" w:rsidRPr="007E7D39" w:rsidRDefault="007B0AE9" w:rsidP="00F366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5A57">
        <w:rPr>
          <w:rFonts w:ascii="Times New Roman" w:hAnsi="Times New Roman" w:cs="Times New Roman"/>
          <w:sz w:val="20"/>
          <w:szCs w:val="20"/>
        </w:rPr>
        <w:t>I.</w:t>
      </w:r>
      <w:r w:rsidR="006C09F7">
        <w:rPr>
          <w:rFonts w:ascii="Times New Roman" w:hAnsi="Times New Roman" w:cs="Times New Roman"/>
          <w:sz w:val="20"/>
          <w:szCs w:val="20"/>
        </w:rPr>
        <w:t>Liepiņš</w:t>
      </w:r>
      <w:r w:rsidR="00EE1481" w:rsidRPr="007E7D39">
        <w:rPr>
          <w:rFonts w:ascii="Times New Roman" w:hAnsi="Times New Roman" w:cs="Times New Roman"/>
          <w:sz w:val="20"/>
          <w:szCs w:val="20"/>
        </w:rPr>
        <w:t>,</w:t>
      </w:r>
    </w:p>
    <w:p w14:paraId="46E38B96" w14:textId="226EC4B9" w:rsidR="005244B3" w:rsidRPr="005244B3" w:rsidRDefault="00EE1481" w:rsidP="00EE1481">
      <w:pPr>
        <w:pStyle w:val="NoSpacing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7E7D39">
        <w:rPr>
          <w:rFonts w:ascii="Times New Roman" w:hAnsi="Times New Roman" w:cs="Times New Roman"/>
          <w:sz w:val="20"/>
          <w:szCs w:val="20"/>
        </w:rPr>
        <w:t xml:space="preserve">26165678, </w:t>
      </w:r>
      <w:hyperlink r:id="rId9" w:history="1">
        <w:r w:rsidR="006C09F7" w:rsidRPr="00F5078F">
          <w:rPr>
            <w:rStyle w:val="Hyperlink"/>
            <w:rFonts w:ascii="Times New Roman" w:hAnsi="Times New Roman" w:cs="Times New Roman"/>
            <w:sz w:val="20"/>
            <w:szCs w:val="20"/>
          </w:rPr>
          <w:t>ivars.liepins@lgia.gov.lv</w:t>
        </w:r>
      </w:hyperlink>
    </w:p>
    <w:p w14:paraId="0E7DAEC6" w14:textId="3F5FACB9" w:rsidR="005244B3" w:rsidRDefault="005244B3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H.Baranovs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06A692F0" w14:textId="2D16CE07" w:rsidR="005244B3" w:rsidRDefault="005244B3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22004441, </w:t>
      </w:r>
      <w:hyperlink r:id="rId10" w:history="1">
        <w:r w:rsidR="007A4CFF" w:rsidRPr="00CE2510">
          <w:rPr>
            <w:rStyle w:val="Hyperlink"/>
            <w:rFonts w:ascii="Times New Roman" w:hAnsi="Times New Roman" w:cs="Times New Roman"/>
            <w:sz w:val="20"/>
            <w:szCs w:val="20"/>
          </w:rPr>
          <w:t>harijs.baranovs@lgia.gov.lv</w:t>
        </w:r>
      </w:hyperlink>
      <w:r w:rsidR="007A4C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58EC24" w14:textId="77777777" w:rsidR="00911BE9" w:rsidRDefault="00911BE9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V.Solovjova</w:t>
      </w:r>
    </w:p>
    <w:p w14:paraId="1F2548B4" w14:textId="644DF521" w:rsidR="008E6621" w:rsidRPr="00D95A57" w:rsidRDefault="00911BE9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67335095, </w:t>
      </w:r>
      <w:hyperlink r:id="rId11" w:history="1">
        <w:r w:rsidR="007A4CFF" w:rsidRPr="00CE2510">
          <w:rPr>
            <w:rStyle w:val="Hyperlink"/>
            <w:rFonts w:ascii="Times New Roman" w:hAnsi="Times New Roman" w:cs="Times New Roman"/>
            <w:sz w:val="20"/>
            <w:szCs w:val="20"/>
          </w:rPr>
          <w:t>vera.solovjova@mod.gov.lv</w:t>
        </w:r>
      </w:hyperlink>
      <w:r w:rsidR="007A4CF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E6621" w:rsidRPr="00D95A57" w:rsidSect="00843FB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363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05E1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32B0" w14:textId="77777777" w:rsidR="008803FF" w:rsidRDefault="008803FF" w:rsidP="001E1A87">
      <w:pPr>
        <w:spacing w:after="0" w:line="240" w:lineRule="auto"/>
      </w:pPr>
      <w:r>
        <w:separator/>
      </w:r>
    </w:p>
  </w:endnote>
  <w:endnote w:type="continuationSeparator" w:id="0">
    <w:p w14:paraId="51EF25C5" w14:textId="77777777" w:rsidR="008803FF" w:rsidRDefault="008803FF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FC1E" w14:textId="7400EB14" w:rsidR="006D3576" w:rsidRPr="001F05F1" w:rsidRDefault="006C09F7" w:rsidP="001F05F1">
    <w:pPr>
      <w:pStyle w:val="NormalWeb5"/>
      <w:jc w:val="both"/>
      <w:rPr>
        <w:b/>
        <w:bCs/>
        <w:sz w:val="20"/>
        <w:szCs w:val="20"/>
        <w:lang w:val="lv-LV"/>
      </w:rPr>
    </w:pPr>
    <w:r w:rsidRPr="007A4CFF">
      <w:rPr>
        <w:sz w:val="20"/>
        <w:szCs w:val="20"/>
      </w:rPr>
      <w:t>AiMAnot_</w:t>
    </w:r>
    <w:r w:rsidR="00843FBA">
      <w:rPr>
        <w:sz w:val="20"/>
        <w:szCs w:val="20"/>
      </w:rPr>
      <w:t>26</w:t>
    </w:r>
    <w:r w:rsidR="00197892" w:rsidRPr="00D12758">
      <w:rPr>
        <w:sz w:val="20"/>
        <w:szCs w:val="20"/>
      </w:rPr>
      <w:t>08</w:t>
    </w:r>
    <w:r w:rsidRPr="00D12758">
      <w:rPr>
        <w:sz w:val="20"/>
        <w:szCs w:val="20"/>
      </w:rPr>
      <w:t>15</w:t>
    </w:r>
    <w:r w:rsidR="001F05F1" w:rsidRPr="007A4CFF">
      <w:rPr>
        <w:sz w:val="20"/>
        <w:szCs w:val="20"/>
      </w:rPr>
      <w:t>_Derigo_izrakt</w:t>
    </w:r>
    <w:r w:rsidR="00665171" w:rsidRPr="007A4CFF">
      <w:rPr>
        <w:sz w:val="20"/>
        <w:szCs w:val="20"/>
      </w:rPr>
      <w:t>enu</w:t>
    </w:r>
    <w:r w:rsidR="001F05F1" w:rsidRPr="007A4CFF">
      <w:rPr>
        <w:sz w:val="20"/>
        <w:szCs w:val="20"/>
      </w:rPr>
      <w:t>_ieguve</w:t>
    </w:r>
    <w:r w:rsidR="001F05F1" w:rsidRPr="00A81CED">
      <w:rPr>
        <w:sz w:val="20"/>
        <w:szCs w:val="20"/>
      </w:rPr>
      <w:t xml:space="preserve">; </w:t>
    </w:r>
    <w:r w:rsidR="001F05F1" w:rsidRPr="00A81CED">
      <w:rPr>
        <w:bCs/>
        <w:sz w:val="20"/>
        <w:szCs w:val="20"/>
        <w:lang w:val="lv-LV"/>
      </w:rPr>
      <w:t>Noteikumu projekta „</w:t>
    </w:r>
    <w:r w:rsidR="001F05F1" w:rsidRPr="001F05F1">
      <w:rPr>
        <w:rStyle w:val="Strong"/>
        <w:b w:val="0"/>
        <w:color w:val="000000"/>
        <w:sz w:val="20"/>
        <w:szCs w:val="20"/>
        <w:lang w:val="lv-LV"/>
      </w:rPr>
      <w:t>Grozījumi Ministru kabineta 2012.gada 21.augusta noteikumos Nr.570 “Derīgo izrakteņu ieguves kārtība”</w:t>
    </w:r>
    <w:r w:rsidR="001F05F1" w:rsidRPr="00A81CED">
      <w:rPr>
        <w:bCs/>
        <w:sz w:val="20"/>
        <w:szCs w:val="20"/>
        <w:lang w:val="lv-LV" w:eastAsia="lv-LV"/>
      </w:rPr>
      <w:t>”</w:t>
    </w:r>
    <w:r w:rsidR="001F05F1" w:rsidRPr="00A81CED">
      <w:rPr>
        <w:bCs/>
        <w:color w:val="000000"/>
        <w:sz w:val="20"/>
        <w:szCs w:val="20"/>
        <w:lang w:val="lv-LV"/>
      </w:rPr>
      <w:t xml:space="preserve"> </w:t>
    </w:r>
    <w:r w:rsidR="001F05F1" w:rsidRPr="00A81CED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5903" w14:textId="1AF0B206" w:rsidR="006D3576" w:rsidRPr="00A81CED" w:rsidRDefault="001F05F1" w:rsidP="00A81CED">
    <w:pPr>
      <w:pStyle w:val="NormalWeb5"/>
      <w:jc w:val="both"/>
      <w:rPr>
        <w:b/>
        <w:bCs/>
        <w:sz w:val="20"/>
        <w:szCs w:val="20"/>
        <w:lang w:val="lv-LV"/>
      </w:rPr>
    </w:pPr>
    <w:r>
      <w:rPr>
        <w:sz w:val="20"/>
        <w:szCs w:val="20"/>
      </w:rPr>
      <w:t>AiMAnot_</w:t>
    </w:r>
    <w:r w:rsidR="00843FBA">
      <w:rPr>
        <w:sz w:val="20"/>
        <w:szCs w:val="20"/>
      </w:rPr>
      <w:t>26</w:t>
    </w:r>
    <w:r w:rsidR="00197892" w:rsidRPr="00D12758">
      <w:rPr>
        <w:sz w:val="20"/>
        <w:szCs w:val="20"/>
      </w:rPr>
      <w:t>08</w:t>
    </w:r>
    <w:r w:rsidR="007A4CFF" w:rsidRPr="00D12758">
      <w:rPr>
        <w:sz w:val="20"/>
        <w:szCs w:val="20"/>
      </w:rPr>
      <w:t>15</w:t>
    </w:r>
    <w:r>
      <w:rPr>
        <w:sz w:val="20"/>
        <w:szCs w:val="20"/>
      </w:rPr>
      <w:t>_Derigo_izrakt</w:t>
    </w:r>
    <w:r w:rsidR="00665171">
      <w:rPr>
        <w:sz w:val="20"/>
        <w:szCs w:val="20"/>
      </w:rPr>
      <w:t>enu</w:t>
    </w:r>
    <w:r>
      <w:rPr>
        <w:sz w:val="20"/>
        <w:szCs w:val="20"/>
      </w:rPr>
      <w:t>_ieguve</w:t>
    </w:r>
    <w:r w:rsidR="006D3576" w:rsidRPr="00A81CED">
      <w:rPr>
        <w:sz w:val="20"/>
        <w:szCs w:val="20"/>
      </w:rPr>
      <w:t xml:space="preserve">; </w:t>
    </w:r>
    <w:r w:rsidR="00A81CED" w:rsidRPr="00A81CED">
      <w:rPr>
        <w:bCs/>
        <w:sz w:val="20"/>
        <w:szCs w:val="20"/>
        <w:lang w:val="lv-LV"/>
      </w:rPr>
      <w:t>Noteikumu projekta „</w:t>
    </w:r>
    <w:r w:rsidRPr="001F05F1">
      <w:rPr>
        <w:rStyle w:val="Strong"/>
        <w:b w:val="0"/>
        <w:color w:val="000000"/>
        <w:sz w:val="20"/>
        <w:szCs w:val="20"/>
        <w:lang w:val="lv-LV"/>
      </w:rPr>
      <w:t>Grozījumi Ministru kabineta 2012.gada 21.augusta noteikumos Nr.570 “Derīgo izrakteņu ieguves kārtība”</w:t>
    </w:r>
    <w:r w:rsidR="00A81CED" w:rsidRPr="00A81CED">
      <w:rPr>
        <w:bCs/>
        <w:sz w:val="20"/>
        <w:szCs w:val="20"/>
        <w:lang w:val="lv-LV" w:eastAsia="lv-LV"/>
      </w:rPr>
      <w:t>”</w:t>
    </w:r>
    <w:r w:rsidR="00A81CED" w:rsidRPr="00A81CED">
      <w:rPr>
        <w:bCs/>
        <w:color w:val="000000"/>
        <w:sz w:val="20"/>
        <w:szCs w:val="20"/>
        <w:lang w:val="lv-LV"/>
      </w:rPr>
      <w:t xml:space="preserve"> </w:t>
    </w:r>
    <w:r w:rsidR="00A81CED" w:rsidRPr="00A81CED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FDC67" w14:textId="77777777" w:rsidR="008803FF" w:rsidRDefault="008803FF" w:rsidP="001E1A87">
      <w:pPr>
        <w:spacing w:after="0" w:line="240" w:lineRule="auto"/>
      </w:pPr>
      <w:r>
        <w:separator/>
      </w:r>
    </w:p>
  </w:footnote>
  <w:footnote w:type="continuationSeparator" w:id="0">
    <w:p w14:paraId="3CD0DE06" w14:textId="77777777" w:rsidR="008803FF" w:rsidRDefault="008803FF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D83C" w14:textId="77777777"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843FBA">
      <w:rPr>
        <w:rFonts w:ascii="Times New Roman" w:hAnsi="Times New Roman" w:cs="Times New Roman"/>
        <w:noProof/>
      </w:rPr>
      <w:t>3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8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34B9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C60060"/>
    <w:multiLevelType w:val="hybridMultilevel"/>
    <w:tmpl w:val="A5D69ED8"/>
    <w:lvl w:ilvl="0" w:tplc="13F02EB0">
      <w:start w:val="1"/>
      <w:numFmt w:val="decimal"/>
      <w:lvlText w:val="%1)"/>
      <w:lvlJc w:val="left"/>
      <w:pPr>
        <w:ind w:left="527" w:hanging="360"/>
      </w:pPr>
      <w:rPr>
        <w:rFonts w:eastAsia="WenQuanYi Micro Hei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  <w15:person w15:author="Aisma Gavare">
    <w15:presenceInfo w15:providerId="AD" w15:userId="S-1-5-21-806125198-207053365-287755679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BF7"/>
    <w:rsid w:val="0002025F"/>
    <w:rsid w:val="00021EAA"/>
    <w:rsid w:val="00026C8B"/>
    <w:rsid w:val="000362FF"/>
    <w:rsid w:val="0003644B"/>
    <w:rsid w:val="00041C50"/>
    <w:rsid w:val="000423F2"/>
    <w:rsid w:val="00042E34"/>
    <w:rsid w:val="000537AF"/>
    <w:rsid w:val="000721C6"/>
    <w:rsid w:val="00081001"/>
    <w:rsid w:val="000848F7"/>
    <w:rsid w:val="00090B83"/>
    <w:rsid w:val="000A30EA"/>
    <w:rsid w:val="000A6C06"/>
    <w:rsid w:val="000B169A"/>
    <w:rsid w:val="000B1DAE"/>
    <w:rsid w:val="000B3A24"/>
    <w:rsid w:val="000C1608"/>
    <w:rsid w:val="000D1BDF"/>
    <w:rsid w:val="000D3151"/>
    <w:rsid w:val="000E765B"/>
    <w:rsid w:val="001164F6"/>
    <w:rsid w:val="00121545"/>
    <w:rsid w:val="001234A2"/>
    <w:rsid w:val="00125471"/>
    <w:rsid w:val="00141FF7"/>
    <w:rsid w:val="0014417C"/>
    <w:rsid w:val="00163E1F"/>
    <w:rsid w:val="001657EA"/>
    <w:rsid w:val="00165A75"/>
    <w:rsid w:val="00167F9E"/>
    <w:rsid w:val="00182608"/>
    <w:rsid w:val="00183CE7"/>
    <w:rsid w:val="00184496"/>
    <w:rsid w:val="00187779"/>
    <w:rsid w:val="00197892"/>
    <w:rsid w:val="001B4B21"/>
    <w:rsid w:val="001C4235"/>
    <w:rsid w:val="001C5820"/>
    <w:rsid w:val="001D3E51"/>
    <w:rsid w:val="001E1A87"/>
    <w:rsid w:val="001E74AD"/>
    <w:rsid w:val="001F05F1"/>
    <w:rsid w:val="002002F0"/>
    <w:rsid w:val="002164D5"/>
    <w:rsid w:val="00217BA4"/>
    <w:rsid w:val="002472C7"/>
    <w:rsid w:val="0024793B"/>
    <w:rsid w:val="00250516"/>
    <w:rsid w:val="002548DD"/>
    <w:rsid w:val="00292CCB"/>
    <w:rsid w:val="00295F4B"/>
    <w:rsid w:val="002A078C"/>
    <w:rsid w:val="002C00F4"/>
    <w:rsid w:val="002C20CC"/>
    <w:rsid w:val="002E00C7"/>
    <w:rsid w:val="002F318B"/>
    <w:rsid w:val="003069EB"/>
    <w:rsid w:val="00312B8E"/>
    <w:rsid w:val="00312D49"/>
    <w:rsid w:val="0031350B"/>
    <w:rsid w:val="00324482"/>
    <w:rsid w:val="00324FDC"/>
    <w:rsid w:val="00334D70"/>
    <w:rsid w:val="003372F0"/>
    <w:rsid w:val="003460AF"/>
    <w:rsid w:val="003551A5"/>
    <w:rsid w:val="00362380"/>
    <w:rsid w:val="00362E2B"/>
    <w:rsid w:val="003640B5"/>
    <w:rsid w:val="00377361"/>
    <w:rsid w:val="00394369"/>
    <w:rsid w:val="00395758"/>
    <w:rsid w:val="003977F9"/>
    <w:rsid w:val="003A20DD"/>
    <w:rsid w:val="003F0131"/>
    <w:rsid w:val="003F24B2"/>
    <w:rsid w:val="00401BFB"/>
    <w:rsid w:val="00406D9F"/>
    <w:rsid w:val="004409E5"/>
    <w:rsid w:val="00452F1B"/>
    <w:rsid w:val="00457598"/>
    <w:rsid w:val="00466E36"/>
    <w:rsid w:val="004A2777"/>
    <w:rsid w:val="004B7F5E"/>
    <w:rsid w:val="004C4857"/>
    <w:rsid w:val="004C63AC"/>
    <w:rsid w:val="004E41CC"/>
    <w:rsid w:val="004E5D83"/>
    <w:rsid w:val="004E75F6"/>
    <w:rsid w:val="00500D37"/>
    <w:rsid w:val="00520B45"/>
    <w:rsid w:val="0052235E"/>
    <w:rsid w:val="005244B3"/>
    <w:rsid w:val="00531E43"/>
    <w:rsid w:val="0053562B"/>
    <w:rsid w:val="00540E55"/>
    <w:rsid w:val="005468AD"/>
    <w:rsid w:val="005471D2"/>
    <w:rsid w:val="00565055"/>
    <w:rsid w:val="0056790C"/>
    <w:rsid w:val="00573ADC"/>
    <w:rsid w:val="00577134"/>
    <w:rsid w:val="005877AC"/>
    <w:rsid w:val="005A0724"/>
    <w:rsid w:val="005A3218"/>
    <w:rsid w:val="005B5860"/>
    <w:rsid w:val="005C3D3E"/>
    <w:rsid w:val="005C3D59"/>
    <w:rsid w:val="005D3F1A"/>
    <w:rsid w:val="005E7867"/>
    <w:rsid w:val="005F7C43"/>
    <w:rsid w:val="00613F65"/>
    <w:rsid w:val="00623533"/>
    <w:rsid w:val="00624ED9"/>
    <w:rsid w:val="00665171"/>
    <w:rsid w:val="00670E4C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C09F7"/>
    <w:rsid w:val="006C655B"/>
    <w:rsid w:val="006D3576"/>
    <w:rsid w:val="006F0D35"/>
    <w:rsid w:val="006F649E"/>
    <w:rsid w:val="006F68E4"/>
    <w:rsid w:val="0070064C"/>
    <w:rsid w:val="00712567"/>
    <w:rsid w:val="00714A32"/>
    <w:rsid w:val="00716BDD"/>
    <w:rsid w:val="00740D99"/>
    <w:rsid w:val="00744FE0"/>
    <w:rsid w:val="00755FE3"/>
    <w:rsid w:val="0076403E"/>
    <w:rsid w:val="00767F4A"/>
    <w:rsid w:val="007706CA"/>
    <w:rsid w:val="00776C4E"/>
    <w:rsid w:val="007A4CF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D39"/>
    <w:rsid w:val="007F12F3"/>
    <w:rsid w:val="007F6249"/>
    <w:rsid w:val="008124A8"/>
    <w:rsid w:val="008126C1"/>
    <w:rsid w:val="00817AA9"/>
    <w:rsid w:val="008256A1"/>
    <w:rsid w:val="00826931"/>
    <w:rsid w:val="008342CE"/>
    <w:rsid w:val="008349B6"/>
    <w:rsid w:val="00843DC7"/>
    <w:rsid w:val="00843FBA"/>
    <w:rsid w:val="00845BD5"/>
    <w:rsid w:val="008568C7"/>
    <w:rsid w:val="00865E19"/>
    <w:rsid w:val="00867CE7"/>
    <w:rsid w:val="00870C83"/>
    <w:rsid w:val="00871E63"/>
    <w:rsid w:val="008803FF"/>
    <w:rsid w:val="008852A0"/>
    <w:rsid w:val="008861A3"/>
    <w:rsid w:val="00887F75"/>
    <w:rsid w:val="008923F3"/>
    <w:rsid w:val="0089269D"/>
    <w:rsid w:val="00895E62"/>
    <w:rsid w:val="008976AE"/>
    <w:rsid w:val="008A6E78"/>
    <w:rsid w:val="008B28CA"/>
    <w:rsid w:val="008B4622"/>
    <w:rsid w:val="008C024F"/>
    <w:rsid w:val="008C1A57"/>
    <w:rsid w:val="008C2B26"/>
    <w:rsid w:val="008C3E62"/>
    <w:rsid w:val="008C4D9B"/>
    <w:rsid w:val="008D5C2F"/>
    <w:rsid w:val="008E0A17"/>
    <w:rsid w:val="008E6621"/>
    <w:rsid w:val="00906E2A"/>
    <w:rsid w:val="00911978"/>
    <w:rsid w:val="00911BE9"/>
    <w:rsid w:val="00914A31"/>
    <w:rsid w:val="00916013"/>
    <w:rsid w:val="009245D8"/>
    <w:rsid w:val="009267BF"/>
    <w:rsid w:val="00957DFB"/>
    <w:rsid w:val="00961F2C"/>
    <w:rsid w:val="00962FE8"/>
    <w:rsid w:val="0096752C"/>
    <w:rsid w:val="00967EB4"/>
    <w:rsid w:val="009A58C5"/>
    <w:rsid w:val="009A602D"/>
    <w:rsid w:val="009B5B95"/>
    <w:rsid w:val="009B5E87"/>
    <w:rsid w:val="009C3C37"/>
    <w:rsid w:val="009D2B4B"/>
    <w:rsid w:val="009D2E64"/>
    <w:rsid w:val="009E4A5D"/>
    <w:rsid w:val="009E76E6"/>
    <w:rsid w:val="009F5A89"/>
    <w:rsid w:val="00A10606"/>
    <w:rsid w:val="00A27824"/>
    <w:rsid w:val="00A4216F"/>
    <w:rsid w:val="00A4332F"/>
    <w:rsid w:val="00A5495E"/>
    <w:rsid w:val="00A651D6"/>
    <w:rsid w:val="00A75983"/>
    <w:rsid w:val="00A7776E"/>
    <w:rsid w:val="00A81CED"/>
    <w:rsid w:val="00A9635B"/>
    <w:rsid w:val="00AA121D"/>
    <w:rsid w:val="00AA1CEA"/>
    <w:rsid w:val="00AD1759"/>
    <w:rsid w:val="00AF6541"/>
    <w:rsid w:val="00AF73D1"/>
    <w:rsid w:val="00B008A3"/>
    <w:rsid w:val="00B0678D"/>
    <w:rsid w:val="00B07E07"/>
    <w:rsid w:val="00B10C9E"/>
    <w:rsid w:val="00B11706"/>
    <w:rsid w:val="00B137D2"/>
    <w:rsid w:val="00B33FE2"/>
    <w:rsid w:val="00B3419F"/>
    <w:rsid w:val="00B41F39"/>
    <w:rsid w:val="00B65312"/>
    <w:rsid w:val="00B73234"/>
    <w:rsid w:val="00B7425F"/>
    <w:rsid w:val="00B75C74"/>
    <w:rsid w:val="00B848AA"/>
    <w:rsid w:val="00B86C1C"/>
    <w:rsid w:val="00B9481C"/>
    <w:rsid w:val="00BA2838"/>
    <w:rsid w:val="00BC14B7"/>
    <w:rsid w:val="00BD450E"/>
    <w:rsid w:val="00BD53A9"/>
    <w:rsid w:val="00BD57DA"/>
    <w:rsid w:val="00BE2E28"/>
    <w:rsid w:val="00BE5F1E"/>
    <w:rsid w:val="00BF3E1D"/>
    <w:rsid w:val="00C00894"/>
    <w:rsid w:val="00C05205"/>
    <w:rsid w:val="00C20CB6"/>
    <w:rsid w:val="00C23B09"/>
    <w:rsid w:val="00C33441"/>
    <w:rsid w:val="00C354C6"/>
    <w:rsid w:val="00C47B37"/>
    <w:rsid w:val="00C5539C"/>
    <w:rsid w:val="00C6091E"/>
    <w:rsid w:val="00C76339"/>
    <w:rsid w:val="00C76D83"/>
    <w:rsid w:val="00C80858"/>
    <w:rsid w:val="00CA49B5"/>
    <w:rsid w:val="00CB0F78"/>
    <w:rsid w:val="00CB2CFA"/>
    <w:rsid w:val="00CB5364"/>
    <w:rsid w:val="00CD23AD"/>
    <w:rsid w:val="00CD543F"/>
    <w:rsid w:val="00CE4E4A"/>
    <w:rsid w:val="00CF0A29"/>
    <w:rsid w:val="00CF3CCB"/>
    <w:rsid w:val="00CF752E"/>
    <w:rsid w:val="00D11011"/>
    <w:rsid w:val="00D11E2F"/>
    <w:rsid w:val="00D12758"/>
    <w:rsid w:val="00D129CF"/>
    <w:rsid w:val="00D21F83"/>
    <w:rsid w:val="00D2325A"/>
    <w:rsid w:val="00D3004D"/>
    <w:rsid w:val="00D31281"/>
    <w:rsid w:val="00D342FA"/>
    <w:rsid w:val="00D57472"/>
    <w:rsid w:val="00D57C27"/>
    <w:rsid w:val="00D91EDC"/>
    <w:rsid w:val="00D95A57"/>
    <w:rsid w:val="00DA3734"/>
    <w:rsid w:val="00DA41DC"/>
    <w:rsid w:val="00DB54A4"/>
    <w:rsid w:val="00DB752F"/>
    <w:rsid w:val="00DF0218"/>
    <w:rsid w:val="00DF1DE7"/>
    <w:rsid w:val="00E06A00"/>
    <w:rsid w:val="00E352E7"/>
    <w:rsid w:val="00E37669"/>
    <w:rsid w:val="00E40A82"/>
    <w:rsid w:val="00E509B6"/>
    <w:rsid w:val="00E50E57"/>
    <w:rsid w:val="00E51892"/>
    <w:rsid w:val="00E527FA"/>
    <w:rsid w:val="00E54D33"/>
    <w:rsid w:val="00E566EF"/>
    <w:rsid w:val="00E65401"/>
    <w:rsid w:val="00E7188C"/>
    <w:rsid w:val="00E77C4C"/>
    <w:rsid w:val="00E80775"/>
    <w:rsid w:val="00E83A3F"/>
    <w:rsid w:val="00E83F01"/>
    <w:rsid w:val="00E84DD8"/>
    <w:rsid w:val="00E917F9"/>
    <w:rsid w:val="00E92654"/>
    <w:rsid w:val="00E92A3A"/>
    <w:rsid w:val="00E93D63"/>
    <w:rsid w:val="00E96CCA"/>
    <w:rsid w:val="00EB7C0A"/>
    <w:rsid w:val="00EE1481"/>
    <w:rsid w:val="00EE7260"/>
    <w:rsid w:val="00EF3364"/>
    <w:rsid w:val="00F0397A"/>
    <w:rsid w:val="00F11B8E"/>
    <w:rsid w:val="00F170B3"/>
    <w:rsid w:val="00F20F46"/>
    <w:rsid w:val="00F3663A"/>
    <w:rsid w:val="00F41883"/>
    <w:rsid w:val="00F425BC"/>
    <w:rsid w:val="00F51A18"/>
    <w:rsid w:val="00F56964"/>
    <w:rsid w:val="00F70A1A"/>
    <w:rsid w:val="00F74386"/>
    <w:rsid w:val="00F75BD2"/>
    <w:rsid w:val="00F80558"/>
    <w:rsid w:val="00F859FF"/>
    <w:rsid w:val="00FA534C"/>
    <w:rsid w:val="00FC7529"/>
    <w:rsid w:val="00FD2671"/>
    <w:rsid w:val="00FD27F7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A04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a.solovjova@mod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rijs.baranovs@lgi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rs.liepins@lgia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72FB-BC0E-4F48-A4B4-90439DB1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projekta „Grozījumi Ministru kabineta 2012.gada 21.augusta noteikumos Nr.570 “Derīgo izrakteņu ieguves kārtība”” sākotnējās ietekmes novērtējuma ziņojums (anotācija)</vt:lpstr>
      <vt:lpstr>Likumprojekta „Grozījumi Ģeotelpiskās informācijas likumā” sākotnējās ietekmes novērtējuma ziņojums (anotācija)</vt:lpstr>
    </vt:vector>
  </TitlesOfParts>
  <Manager>Latvijas Ģeotelpiskās informācijas aģentūra</Manager>
  <Company>Aizsardzības ministrija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„Grozījumi Ministru kabineta 2012.gada 21.augusta noteikumos Nr.570 “Derīgo izrakteņu ieguves kārtība”” sākotnējās ietekmes novērtējuma ziņojums (anotācija)</dc:title>
  <dc:subject>Anotācija</dc:subject>
  <dc:creator>I.Liepiņš, H.Baranovs, V.Solovjova</dc:creator>
  <cp:keywords>Derigo_izraktenu_ieguve</cp:keywords>
  <dc:description>I.Liepiņš, 26165678, ivars.liepins@lgia.gov.lv;_x000d_
H.Baranovs, 22004441, harijs.baranovs@lgia.gov.lv; _x000d_
V.Solovjova 67335095, vera.solovjova@mod.gov.lv </dc:description>
  <cp:lastModifiedBy>Vera Solovjova</cp:lastModifiedBy>
  <cp:revision>14</cp:revision>
  <cp:lastPrinted>2015-08-26T12:25:00Z</cp:lastPrinted>
  <dcterms:created xsi:type="dcterms:W3CDTF">2015-02-27T10:05:00Z</dcterms:created>
  <dcterms:modified xsi:type="dcterms:W3CDTF">2015-08-26T12:25:00Z</dcterms:modified>
</cp:coreProperties>
</file>