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ADBF7" w14:textId="77777777" w:rsidR="00797945" w:rsidRPr="00A865BA" w:rsidRDefault="00797945" w:rsidP="00797945">
      <w:pPr>
        <w:jc w:val="center"/>
        <w:rPr>
          <w:rFonts w:ascii="Times New Roman" w:hAnsi="Times New Roman" w:cs="Times New Roman"/>
          <w:b/>
          <w:sz w:val="28"/>
          <w:szCs w:val="28"/>
        </w:rPr>
      </w:pPr>
      <w:r w:rsidRPr="00A865BA">
        <w:rPr>
          <w:rFonts w:ascii="Times New Roman" w:hAnsi="Times New Roman" w:cs="Times New Roman"/>
          <w:b/>
          <w:sz w:val="28"/>
          <w:szCs w:val="28"/>
        </w:rPr>
        <w:t>Informatīvais ziņoj</w:t>
      </w:r>
      <w:r w:rsidR="00AD5815" w:rsidRPr="00A865BA">
        <w:rPr>
          <w:rFonts w:ascii="Times New Roman" w:hAnsi="Times New Roman" w:cs="Times New Roman"/>
          <w:b/>
          <w:sz w:val="28"/>
          <w:szCs w:val="28"/>
        </w:rPr>
        <w:t xml:space="preserve">ums “Par nepieciešamo turpmāko </w:t>
      </w:r>
      <w:r w:rsidRPr="00A865BA">
        <w:rPr>
          <w:rFonts w:ascii="Times New Roman" w:hAnsi="Times New Roman" w:cs="Times New Roman"/>
          <w:b/>
          <w:sz w:val="28"/>
          <w:szCs w:val="28"/>
        </w:rPr>
        <w:t xml:space="preserve">rīcību </w:t>
      </w:r>
      <w:r w:rsidR="00AD5815" w:rsidRPr="00A865BA">
        <w:rPr>
          <w:rFonts w:ascii="Times New Roman" w:hAnsi="Times New Roman" w:cs="Times New Roman"/>
          <w:b/>
          <w:sz w:val="28"/>
          <w:szCs w:val="28"/>
        </w:rPr>
        <w:t xml:space="preserve">attiecībā uz Latvijas Republikas </w:t>
      </w:r>
      <w:r w:rsidR="00340F0C" w:rsidRPr="00A865BA">
        <w:rPr>
          <w:rFonts w:ascii="Times New Roman" w:hAnsi="Times New Roman" w:cs="Times New Roman"/>
          <w:b/>
          <w:sz w:val="28"/>
          <w:szCs w:val="28"/>
        </w:rPr>
        <w:t xml:space="preserve">iespējamo </w:t>
      </w:r>
      <w:r w:rsidR="00AD5815" w:rsidRPr="00A865BA">
        <w:rPr>
          <w:rFonts w:ascii="Times New Roman" w:hAnsi="Times New Roman" w:cs="Times New Roman"/>
          <w:b/>
          <w:sz w:val="28"/>
          <w:szCs w:val="28"/>
        </w:rPr>
        <w:t xml:space="preserve">dalību Āzijas Infrastruktūras </w:t>
      </w:r>
      <w:r w:rsidR="00B345E7" w:rsidRPr="00A865BA">
        <w:rPr>
          <w:rFonts w:ascii="Times New Roman" w:hAnsi="Times New Roman" w:cs="Times New Roman"/>
          <w:b/>
          <w:sz w:val="28"/>
          <w:szCs w:val="28"/>
        </w:rPr>
        <w:t>i</w:t>
      </w:r>
      <w:r w:rsidR="00AD5815" w:rsidRPr="00A865BA">
        <w:rPr>
          <w:rFonts w:ascii="Times New Roman" w:hAnsi="Times New Roman" w:cs="Times New Roman"/>
          <w:b/>
          <w:sz w:val="28"/>
          <w:szCs w:val="28"/>
        </w:rPr>
        <w:t>nvestīciju bankā”</w:t>
      </w:r>
    </w:p>
    <w:p w14:paraId="4F058B11" w14:textId="77777777" w:rsidR="003F31B3" w:rsidRPr="00A865BA" w:rsidRDefault="00C307B8" w:rsidP="00C307B8">
      <w:pPr>
        <w:tabs>
          <w:tab w:val="left" w:pos="1830"/>
        </w:tabs>
        <w:rPr>
          <w:rFonts w:ascii="Times New Roman" w:hAnsi="Times New Roman" w:cs="Times New Roman"/>
          <w:b/>
          <w:sz w:val="28"/>
          <w:szCs w:val="28"/>
        </w:rPr>
      </w:pPr>
      <w:r w:rsidRPr="00A865BA">
        <w:rPr>
          <w:rFonts w:ascii="Times New Roman" w:hAnsi="Times New Roman" w:cs="Times New Roman"/>
          <w:b/>
          <w:sz w:val="28"/>
          <w:szCs w:val="28"/>
        </w:rPr>
        <w:tab/>
      </w:r>
    </w:p>
    <w:p w14:paraId="22B4DA3A" w14:textId="77777777" w:rsidR="00797945" w:rsidRPr="00A865BA" w:rsidRDefault="000D3651" w:rsidP="005E1DEB">
      <w:pPr>
        <w:pStyle w:val="ListParagraph"/>
        <w:numPr>
          <w:ilvl w:val="0"/>
          <w:numId w:val="6"/>
        </w:numPr>
        <w:rPr>
          <w:rFonts w:ascii="Times New Roman" w:hAnsi="Times New Roman" w:cs="Times New Roman"/>
          <w:b/>
          <w:sz w:val="24"/>
          <w:szCs w:val="24"/>
        </w:rPr>
      </w:pPr>
      <w:r w:rsidRPr="00A865BA">
        <w:rPr>
          <w:rFonts w:ascii="Times New Roman" w:hAnsi="Times New Roman" w:cs="Times New Roman"/>
          <w:b/>
          <w:sz w:val="24"/>
          <w:szCs w:val="24"/>
        </w:rPr>
        <w:t>Vispārīga informācija par</w:t>
      </w:r>
      <w:r w:rsidR="00AD5815" w:rsidRPr="00A865BA">
        <w:rPr>
          <w:rFonts w:ascii="Times New Roman" w:hAnsi="Times New Roman" w:cs="Times New Roman"/>
          <w:b/>
          <w:sz w:val="24"/>
          <w:szCs w:val="24"/>
        </w:rPr>
        <w:t xml:space="preserve"> Āzijas Infrastruktūras </w:t>
      </w:r>
      <w:r w:rsidR="00B345E7" w:rsidRPr="00A865BA">
        <w:rPr>
          <w:rFonts w:ascii="Times New Roman" w:hAnsi="Times New Roman" w:cs="Times New Roman"/>
          <w:b/>
          <w:sz w:val="24"/>
          <w:szCs w:val="24"/>
        </w:rPr>
        <w:t>i</w:t>
      </w:r>
      <w:r w:rsidR="00AD5815" w:rsidRPr="00A865BA">
        <w:rPr>
          <w:rFonts w:ascii="Times New Roman" w:hAnsi="Times New Roman" w:cs="Times New Roman"/>
          <w:b/>
          <w:sz w:val="24"/>
          <w:szCs w:val="24"/>
        </w:rPr>
        <w:t>nvestīciju banku</w:t>
      </w:r>
    </w:p>
    <w:p w14:paraId="0F24AEC0" w14:textId="0BD3FAAD" w:rsidR="00B97F90" w:rsidRDefault="007E1AC0" w:rsidP="00B97F90">
      <w:pPr>
        <w:spacing w:before="75" w:after="75"/>
        <w:ind w:right="-1" w:firstLine="720"/>
        <w:jc w:val="both"/>
        <w:rPr>
          <w:rFonts w:ascii="Times New Roman" w:eastAsia="Times New Roman" w:hAnsi="Times New Roman"/>
          <w:sz w:val="24"/>
          <w:szCs w:val="26"/>
        </w:rPr>
      </w:pPr>
      <w:r w:rsidRPr="00A865BA">
        <w:rPr>
          <w:rFonts w:ascii="Times New Roman" w:hAnsi="Times New Roman" w:cs="Times New Roman"/>
          <w:sz w:val="24"/>
          <w:szCs w:val="24"/>
        </w:rPr>
        <w:t xml:space="preserve">Kopš 2014.gada </w:t>
      </w:r>
      <w:r w:rsidR="008728CA">
        <w:rPr>
          <w:rFonts w:ascii="Times New Roman" w:hAnsi="Times New Roman" w:cs="Times New Roman"/>
          <w:sz w:val="24"/>
          <w:szCs w:val="24"/>
        </w:rPr>
        <w:t>ruden</w:t>
      </w:r>
      <w:r w:rsidR="00767123">
        <w:rPr>
          <w:rFonts w:ascii="Times New Roman" w:hAnsi="Times New Roman" w:cs="Times New Roman"/>
          <w:sz w:val="24"/>
          <w:szCs w:val="24"/>
        </w:rPr>
        <w:t>s</w:t>
      </w:r>
      <w:r w:rsidR="008728CA" w:rsidRPr="00A865BA">
        <w:rPr>
          <w:rFonts w:ascii="Times New Roman" w:hAnsi="Times New Roman" w:cs="Times New Roman"/>
          <w:sz w:val="24"/>
          <w:szCs w:val="24"/>
        </w:rPr>
        <w:t xml:space="preserve"> </w:t>
      </w:r>
      <w:r w:rsidR="00AD5815" w:rsidRPr="00A865BA">
        <w:rPr>
          <w:rFonts w:ascii="Times New Roman" w:hAnsi="Times New Roman" w:cs="Times New Roman"/>
          <w:sz w:val="24"/>
          <w:szCs w:val="24"/>
        </w:rPr>
        <w:t xml:space="preserve">Ķīna Āzijas reģiona valstīs </w:t>
      </w:r>
      <w:r w:rsidRPr="00A865BA">
        <w:rPr>
          <w:rFonts w:ascii="Times New Roman" w:hAnsi="Times New Roman" w:cs="Times New Roman"/>
          <w:sz w:val="24"/>
          <w:szCs w:val="24"/>
        </w:rPr>
        <w:t xml:space="preserve">ir aktīvi virzījusi </w:t>
      </w:r>
      <w:r w:rsidR="00AD5815" w:rsidRPr="00A865BA">
        <w:rPr>
          <w:rFonts w:ascii="Times New Roman" w:hAnsi="Times New Roman" w:cs="Times New Roman"/>
          <w:sz w:val="24"/>
          <w:szCs w:val="24"/>
        </w:rPr>
        <w:t xml:space="preserve">iniciatīvu, lai nodibinātu jaunu starptautisku finanšu institūciju </w:t>
      </w:r>
      <w:r w:rsidR="00B97F90" w:rsidRPr="00A865BA">
        <w:rPr>
          <w:rFonts w:ascii="Times New Roman" w:hAnsi="Times New Roman" w:cs="Times New Roman"/>
          <w:sz w:val="24"/>
          <w:szCs w:val="24"/>
        </w:rPr>
        <w:t>–</w:t>
      </w:r>
      <w:r w:rsidR="00AD5815" w:rsidRPr="00A865BA">
        <w:rPr>
          <w:rFonts w:ascii="Times New Roman" w:hAnsi="Times New Roman" w:cs="Times New Roman"/>
          <w:sz w:val="24"/>
          <w:szCs w:val="24"/>
        </w:rPr>
        <w:t xml:space="preserve"> Āzijas Infrastruktūras </w:t>
      </w:r>
      <w:r w:rsidR="00B345E7" w:rsidRPr="00A865BA">
        <w:rPr>
          <w:rFonts w:ascii="Times New Roman" w:hAnsi="Times New Roman" w:cs="Times New Roman"/>
          <w:sz w:val="24"/>
          <w:szCs w:val="24"/>
        </w:rPr>
        <w:t>i</w:t>
      </w:r>
      <w:r w:rsidR="00AD5815" w:rsidRPr="00A865BA">
        <w:rPr>
          <w:rFonts w:ascii="Times New Roman" w:hAnsi="Times New Roman" w:cs="Times New Roman"/>
          <w:sz w:val="24"/>
          <w:szCs w:val="24"/>
        </w:rPr>
        <w:t>nvestīciju banku (</w:t>
      </w:r>
      <w:r w:rsidRPr="00A865BA">
        <w:rPr>
          <w:rFonts w:ascii="Times New Roman" w:hAnsi="Times New Roman" w:cs="Times New Roman"/>
          <w:sz w:val="24"/>
          <w:szCs w:val="24"/>
        </w:rPr>
        <w:t xml:space="preserve">turpmāk </w:t>
      </w:r>
      <w:r w:rsidR="00B97F90" w:rsidRPr="00A865BA">
        <w:rPr>
          <w:rFonts w:ascii="Times New Roman" w:hAnsi="Times New Roman" w:cs="Times New Roman"/>
          <w:sz w:val="24"/>
          <w:szCs w:val="24"/>
        </w:rPr>
        <w:t>–</w:t>
      </w:r>
      <w:r w:rsidRPr="00A865BA">
        <w:rPr>
          <w:rFonts w:ascii="Times New Roman" w:hAnsi="Times New Roman" w:cs="Times New Roman"/>
          <w:sz w:val="24"/>
          <w:szCs w:val="24"/>
        </w:rPr>
        <w:t xml:space="preserve"> </w:t>
      </w:r>
      <w:r w:rsidR="00AD5815" w:rsidRPr="00A865BA">
        <w:rPr>
          <w:rFonts w:ascii="Times New Roman" w:hAnsi="Times New Roman" w:cs="Times New Roman"/>
          <w:sz w:val="24"/>
          <w:szCs w:val="24"/>
        </w:rPr>
        <w:t xml:space="preserve">AIIB). </w:t>
      </w:r>
      <w:r w:rsidR="00B97F90" w:rsidRPr="00A865BA">
        <w:rPr>
          <w:rFonts w:ascii="Times New Roman" w:hAnsi="Times New Roman" w:cs="Times New Roman"/>
          <w:sz w:val="24"/>
          <w:szCs w:val="24"/>
        </w:rPr>
        <w:t xml:space="preserve">Pēc Ķīnas valdības divpusējo sarunu noslēgšanas ar Āzijas reģiona valstīm, 2014.gada oktobrī 22 Āzijas valstis parakstīja saprašanās memorandu, kas noteica AIIB dibināšanas pamatprincipus. 2014.gada novembrī tika aizsāktas diskusijas ar iespējamajiem dibinātājiem </w:t>
      </w:r>
      <w:r w:rsidR="00B97F90" w:rsidRPr="00A865BA">
        <w:rPr>
          <w:rFonts w:ascii="Times New Roman" w:hAnsi="Times New Roman" w:cs="Times New Roman"/>
          <w:i/>
          <w:sz w:val="24"/>
          <w:szCs w:val="24"/>
        </w:rPr>
        <w:t>(</w:t>
      </w:r>
      <w:proofErr w:type="spellStart"/>
      <w:r w:rsidR="00B97F90" w:rsidRPr="00A865BA">
        <w:rPr>
          <w:rFonts w:ascii="Times New Roman" w:hAnsi="Times New Roman" w:cs="Times New Roman"/>
          <w:i/>
          <w:sz w:val="24"/>
          <w:szCs w:val="24"/>
        </w:rPr>
        <w:t>prospective</w:t>
      </w:r>
      <w:proofErr w:type="spellEnd"/>
      <w:r w:rsidR="00B97F90" w:rsidRPr="00A865BA">
        <w:rPr>
          <w:rFonts w:ascii="Times New Roman" w:hAnsi="Times New Roman" w:cs="Times New Roman"/>
          <w:i/>
          <w:sz w:val="24"/>
          <w:szCs w:val="24"/>
        </w:rPr>
        <w:t xml:space="preserve"> </w:t>
      </w:r>
      <w:proofErr w:type="spellStart"/>
      <w:r w:rsidR="00B97F90" w:rsidRPr="00A865BA">
        <w:rPr>
          <w:rFonts w:ascii="Times New Roman" w:hAnsi="Times New Roman" w:cs="Times New Roman"/>
          <w:i/>
          <w:sz w:val="24"/>
          <w:szCs w:val="24"/>
        </w:rPr>
        <w:t>funding</w:t>
      </w:r>
      <w:proofErr w:type="spellEnd"/>
      <w:r w:rsidR="00B97F90" w:rsidRPr="00A865BA">
        <w:rPr>
          <w:rFonts w:ascii="Times New Roman" w:hAnsi="Times New Roman" w:cs="Times New Roman"/>
          <w:i/>
          <w:sz w:val="24"/>
          <w:szCs w:val="24"/>
        </w:rPr>
        <w:t xml:space="preserve"> </w:t>
      </w:r>
      <w:proofErr w:type="spellStart"/>
      <w:r w:rsidR="00B97F90" w:rsidRPr="00A865BA">
        <w:rPr>
          <w:rFonts w:ascii="Times New Roman" w:hAnsi="Times New Roman" w:cs="Times New Roman"/>
          <w:i/>
          <w:sz w:val="24"/>
          <w:szCs w:val="24"/>
        </w:rPr>
        <w:t>members</w:t>
      </w:r>
      <w:proofErr w:type="spellEnd"/>
      <w:r w:rsidR="00B97F90" w:rsidRPr="00A865BA">
        <w:rPr>
          <w:rFonts w:ascii="Times New Roman" w:hAnsi="Times New Roman" w:cs="Times New Roman"/>
          <w:sz w:val="24"/>
          <w:szCs w:val="24"/>
        </w:rPr>
        <w:t xml:space="preserve">), kas turpinājās 2015.gadā un noslēdzās š.g. marta beigās. </w:t>
      </w:r>
      <w:r w:rsidR="008728CA">
        <w:rPr>
          <w:rFonts w:ascii="Times New Roman" w:hAnsi="Times New Roman" w:cs="Times New Roman"/>
          <w:sz w:val="24"/>
          <w:szCs w:val="24"/>
        </w:rPr>
        <w:t>Š.g.</w:t>
      </w:r>
      <w:r w:rsidR="003E78C3">
        <w:rPr>
          <w:rFonts w:ascii="Times New Roman" w:hAnsi="Times New Roman" w:cs="Times New Roman"/>
          <w:sz w:val="24"/>
          <w:szCs w:val="24"/>
        </w:rPr>
        <w:t xml:space="preserve"> </w:t>
      </w:r>
      <w:r w:rsidR="008728CA">
        <w:rPr>
          <w:rFonts w:ascii="Times New Roman" w:hAnsi="Times New Roman" w:cs="Times New Roman"/>
          <w:sz w:val="24"/>
          <w:szCs w:val="24"/>
        </w:rPr>
        <w:t>a</w:t>
      </w:r>
      <w:r w:rsidR="00B97F90" w:rsidRPr="00A865BA">
        <w:rPr>
          <w:rFonts w:ascii="Times New Roman" w:hAnsi="Times New Roman" w:cs="Times New Roman"/>
          <w:sz w:val="24"/>
          <w:szCs w:val="24"/>
        </w:rPr>
        <w:t>prīļa sākumā 57 valstis</w:t>
      </w:r>
      <w:r w:rsidR="00B97F90" w:rsidRPr="00A865BA">
        <w:rPr>
          <w:rStyle w:val="FootnoteReference"/>
          <w:rFonts w:ascii="Times New Roman" w:hAnsi="Times New Roman" w:cs="Times New Roman"/>
          <w:sz w:val="24"/>
          <w:szCs w:val="24"/>
        </w:rPr>
        <w:footnoteReference w:id="1"/>
      </w:r>
      <w:r w:rsidR="00B97F90" w:rsidRPr="00A865BA">
        <w:rPr>
          <w:rFonts w:ascii="Times New Roman" w:hAnsi="Times New Roman" w:cs="Times New Roman"/>
          <w:sz w:val="24"/>
          <w:szCs w:val="24"/>
        </w:rPr>
        <w:t xml:space="preserve"> informēja par savu gatavību kļūt par AIIB dibinātājām. Š.g. maijā tika noslēgtas sarunas par Dibināšanas līguma noteikumiem (</w:t>
      </w:r>
      <w:proofErr w:type="spellStart"/>
      <w:r w:rsidR="00B97F90" w:rsidRPr="00A865BA">
        <w:rPr>
          <w:rFonts w:ascii="Times New Roman" w:hAnsi="Times New Roman" w:cs="Times New Roman"/>
          <w:i/>
          <w:sz w:val="24"/>
          <w:szCs w:val="24"/>
        </w:rPr>
        <w:t>Articles</w:t>
      </w:r>
      <w:proofErr w:type="spellEnd"/>
      <w:r w:rsidR="00B97F90" w:rsidRPr="00A865BA">
        <w:rPr>
          <w:rFonts w:ascii="Times New Roman" w:hAnsi="Times New Roman" w:cs="Times New Roman"/>
          <w:i/>
          <w:sz w:val="24"/>
          <w:szCs w:val="24"/>
        </w:rPr>
        <w:t xml:space="preserve"> </w:t>
      </w:r>
      <w:proofErr w:type="spellStart"/>
      <w:r w:rsidR="00B97F90" w:rsidRPr="00A865BA">
        <w:rPr>
          <w:rFonts w:ascii="Times New Roman" w:hAnsi="Times New Roman" w:cs="Times New Roman"/>
          <w:i/>
          <w:sz w:val="24"/>
          <w:szCs w:val="24"/>
        </w:rPr>
        <w:t>of</w:t>
      </w:r>
      <w:proofErr w:type="spellEnd"/>
      <w:r w:rsidR="00B97F90" w:rsidRPr="00A865BA">
        <w:rPr>
          <w:rFonts w:ascii="Times New Roman" w:hAnsi="Times New Roman" w:cs="Times New Roman"/>
          <w:i/>
          <w:sz w:val="24"/>
          <w:szCs w:val="24"/>
        </w:rPr>
        <w:t xml:space="preserve"> </w:t>
      </w:r>
      <w:proofErr w:type="spellStart"/>
      <w:r w:rsidR="00B97F90" w:rsidRPr="00A865BA">
        <w:rPr>
          <w:rFonts w:ascii="Times New Roman" w:hAnsi="Times New Roman" w:cs="Times New Roman"/>
          <w:i/>
          <w:sz w:val="24"/>
          <w:szCs w:val="24"/>
        </w:rPr>
        <w:t>Agreement</w:t>
      </w:r>
      <w:proofErr w:type="spellEnd"/>
      <w:r w:rsidR="00B97F90" w:rsidRPr="00A865BA">
        <w:rPr>
          <w:rFonts w:ascii="Times New Roman" w:hAnsi="Times New Roman" w:cs="Times New Roman"/>
          <w:sz w:val="24"/>
          <w:szCs w:val="24"/>
        </w:rPr>
        <w:t>), un</w:t>
      </w:r>
      <w:r w:rsidR="008728CA">
        <w:rPr>
          <w:rFonts w:ascii="Times New Roman" w:hAnsi="Times New Roman" w:cs="Times New Roman"/>
          <w:sz w:val="24"/>
          <w:szCs w:val="24"/>
        </w:rPr>
        <w:t xml:space="preserve"> š.g.</w:t>
      </w:r>
      <w:r w:rsidR="00B97F90" w:rsidRPr="00A865BA">
        <w:rPr>
          <w:rFonts w:ascii="Times New Roman" w:hAnsi="Times New Roman" w:cs="Times New Roman"/>
          <w:sz w:val="24"/>
          <w:szCs w:val="24"/>
        </w:rPr>
        <w:t xml:space="preserve"> jūnijā tos parakstīja 50 iespējamās </w:t>
      </w:r>
      <w:proofErr w:type="spellStart"/>
      <w:r w:rsidR="00B97F90" w:rsidRPr="00A865BA">
        <w:rPr>
          <w:rFonts w:ascii="Times New Roman" w:hAnsi="Times New Roman" w:cs="Times New Roman"/>
          <w:sz w:val="24"/>
          <w:szCs w:val="24"/>
        </w:rPr>
        <w:t>dibinātājvalstis</w:t>
      </w:r>
      <w:proofErr w:type="spellEnd"/>
      <w:r w:rsidR="00B97F90" w:rsidRPr="00A865BA">
        <w:rPr>
          <w:rFonts w:ascii="Times New Roman" w:hAnsi="Times New Roman" w:cs="Times New Roman"/>
          <w:sz w:val="24"/>
          <w:szCs w:val="24"/>
        </w:rPr>
        <w:t>. Līdz šī gada beigām Dibināšanas līgumu plāno parakstīt arī pārējās</w:t>
      </w:r>
      <w:r w:rsidR="008728CA">
        <w:rPr>
          <w:rFonts w:ascii="Times New Roman" w:hAnsi="Times New Roman" w:cs="Times New Roman"/>
          <w:sz w:val="24"/>
          <w:szCs w:val="24"/>
        </w:rPr>
        <w:t xml:space="preserve"> </w:t>
      </w:r>
      <w:r w:rsidR="00B97F90" w:rsidRPr="00A865BA">
        <w:rPr>
          <w:rFonts w:ascii="Times New Roman" w:hAnsi="Times New Roman" w:cs="Times New Roman"/>
          <w:sz w:val="24"/>
          <w:szCs w:val="24"/>
        </w:rPr>
        <w:t xml:space="preserve">iespējamās </w:t>
      </w:r>
      <w:proofErr w:type="spellStart"/>
      <w:r w:rsidR="00B97F90" w:rsidRPr="00A865BA">
        <w:rPr>
          <w:rFonts w:ascii="Times New Roman" w:hAnsi="Times New Roman" w:cs="Times New Roman"/>
          <w:sz w:val="24"/>
          <w:szCs w:val="24"/>
        </w:rPr>
        <w:t>dibinātājvalstis</w:t>
      </w:r>
      <w:proofErr w:type="spellEnd"/>
      <w:r w:rsidR="00B97F90" w:rsidRPr="00A865BA">
        <w:rPr>
          <w:rFonts w:ascii="Times New Roman" w:eastAsia="Times New Roman" w:hAnsi="Times New Roman"/>
          <w:sz w:val="24"/>
          <w:szCs w:val="26"/>
        </w:rPr>
        <w:t>.</w:t>
      </w:r>
      <w:r w:rsidR="008728CA">
        <w:rPr>
          <w:rFonts w:ascii="Times New Roman" w:eastAsia="Times New Roman" w:hAnsi="Times New Roman"/>
          <w:sz w:val="24"/>
          <w:szCs w:val="26"/>
        </w:rPr>
        <w:t xml:space="preserve"> </w:t>
      </w:r>
    </w:p>
    <w:p w14:paraId="0D50C0C3" w14:textId="2876C7F0" w:rsidR="001B149B" w:rsidRDefault="00A96CBF" w:rsidP="001B149B">
      <w:pPr>
        <w:spacing w:before="75" w:after="75"/>
        <w:ind w:right="-1" w:firstLine="720"/>
        <w:jc w:val="both"/>
        <w:rPr>
          <w:rFonts w:ascii="Times New Roman" w:hAnsi="Times New Roman" w:cs="Times New Roman"/>
          <w:sz w:val="24"/>
          <w:szCs w:val="24"/>
        </w:rPr>
      </w:pPr>
      <w:r w:rsidRPr="00A865BA">
        <w:rPr>
          <w:rFonts w:ascii="Times New Roman" w:hAnsi="Times New Roman" w:cs="Times New Roman"/>
          <w:sz w:val="24"/>
          <w:szCs w:val="24"/>
        </w:rPr>
        <w:t>AIIB sākotnējais kapitāls būs USD 100 miljardu  (aptuveni EUR 80 miljardu) apjomā</w:t>
      </w:r>
      <w:r>
        <w:rPr>
          <w:rFonts w:ascii="Times New Roman" w:hAnsi="Times New Roman" w:cs="Times New Roman"/>
          <w:sz w:val="24"/>
          <w:szCs w:val="24"/>
        </w:rPr>
        <w:t xml:space="preserve">, no kuriem USD 20 miljardi būs </w:t>
      </w:r>
      <w:r w:rsidRPr="00A96CBF">
        <w:rPr>
          <w:rFonts w:ascii="Times New Roman" w:hAnsi="Times New Roman" w:cs="Times New Roman"/>
          <w:sz w:val="24"/>
          <w:szCs w:val="24"/>
        </w:rPr>
        <w:t>parakstītā kapitāla apmaksātās daļas</w:t>
      </w:r>
      <w:r>
        <w:rPr>
          <w:rFonts w:ascii="Times New Roman" w:hAnsi="Times New Roman" w:cs="Times New Roman"/>
          <w:sz w:val="24"/>
          <w:szCs w:val="24"/>
        </w:rPr>
        <w:t>.</w:t>
      </w:r>
      <w:r w:rsidR="00247933">
        <w:rPr>
          <w:rFonts w:ascii="Times New Roman" w:hAnsi="Times New Roman" w:cs="Times New Roman"/>
          <w:sz w:val="24"/>
          <w:szCs w:val="24"/>
        </w:rPr>
        <w:t xml:space="preserve"> Salīdzinājumam</w:t>
      </w:r>
      <w:r w:rsidR="003E78C3">
        <w:rPr>
          <w:rFonts w:ascii="Times New Roman" w:hAnsi="Times New Roman" w:cs="Times New Roman"/>
          <w:sz w:val="24"/>
          <w:szCs w:val="24"/>
        </w:rPr>
        <w:t>,</w:t>
      </w:r>
      <w:r w:rsidR="00247933">
        <w:rPr>
          <w:rFonts w:ascii="Times New Roman" w:hAnsi="Times New Roman" w:cs="Times New Roman"/>
          <w:sz w:val="24"/>
          <w:szCs w:val="24"/>
        </w:rPr>
        <w:t xml:space="preserve"> Pasaules Bankas parakstītais kapitāls ir USD 233 miljardi, no kuriem </w:t>
      </w:r>
      <w:r w:rsidR="00247933" w:rsidRPr="00A96CBF">
        <w:rPr>
          <w:rFonts w:ascii="Times New Roman" w:hAnsi="Times New Roman" w:cs="Times New Roman"/>
          <w:sz w:val="24"/>
          <w:szCs w:val="24"/>
        </w:rPr>
        <w:t>apmaksātās daļas</w:t>
      </w:r>
      <w:r w:rsidR="00247933">
        <w:rPr>
          <w:rFonts w:ascii="Times New Roman" w:hAnsi="Times New Roman" w:cs="Times New Roman"/>
          <w:sz w:val="24"/>
          <w:szCs w:val="24"/>
        </w:rPr>
        <w:t xml:space="preserve"> ir USD 14 miljardi. </w:t>
      </w:r>
      <w:r w:rsidR="001B149B" w:rsidRPr="001B149B">
        <w:rPr>
          <w:rFonts w:ascii="Times New Roman" w:hAnsi="Times New Roman" w:cs="Times New Roman"/>
          <w:sz w:val="24"/>
          <w:szCs w:val="24"/>
        </w:rPr>
        <w:t xml:space="preserve"> </w:t>
      </w:r>
      <w:r w:rsidR="001B149B" w:rsidRPr="00A865BA">
        <w:rPr>
          <w:rFonts w:ascii="Times New Roman" w:hAnsi="Times New Roman" w:cs="Times New Roman"/>
          <w:sz w:val="24"/>
          <w:szCs w:val="24"/>
        </w:rPr>
        <w:t xml:space="preserve">AIIB kā dibinātājas valstis piedalās lielākā daļa Āzijas reģiona valstu, </w:t>
      </w:r>
      <w:r w:rsidR="008F4CA1">
        <w:rPr>
          <w:rFonts w:ascii="Times New Roman" w:hAnsi="Times New Roman" w:cs="Times New Roman"/>
          <w:sz w:val="24"/>
          <w:szCs w:val="24"/>
        </w:rPr>
        <w:t xml:space="preserve">t.sk. BRICS valstis (Brazīlija, Krievija, Indija, Ķīna un Dienvidāfrika), </w:t>
      </w:r>
      <w:r w:rsidR="001B149B" w:rsidRPr="00A865BA">
        <w:rPr>
          <w:rFonts w:ascii="Times New Roman" w:hAnsi="Times New Roman" w:cs="Times New Roman"/>
          <w:sz w:val="24"/>
          <w:szCs w:val="24"/>
        </w:rPr>
        <w:t xml:space="preserve">kā arī vairākas nereģionālās valstis, tai skaitā no Eiropas. </w:t>
      </w:r>
      <w:r w:rsidR="003E78C3">
        <w:rPr>
          <w:rFonts w:ascii="Times New Roman" w:eastAsia="Times New Roman" w:hAnsi="Times New Roman"/>
          <w:sz w:val="24"/>
          <w:szCs w:val="26"/>
        </w:rPr>
        <w:t xml:space="preserve">Pagaidām ASV un Japāna nepiedalās šīs bankas dibināšanā. </w:t>
      </w:r>
      <w:r w:rsidR="001B149B" w:rsidRPr="00A865BA">
        <w:rPr>
          <w:rFonts w:ascii="Times New Roman" w:hAnsi="Times New Roman" w:cs="Times New Roman"/>
          <w:sz w:val="24"/>
          <w:szCs w:val="24"/>
        </w:rPr>
        <w:t>75% akciju daļu pieder reģionālām dalībvalstīm.  Ķīna plāno iemaksāt lielāko kapitāla daļu t.i. 30,34%, kas noteiks Ķīnai veto tiesības lēmumu pieņemšanā</w:t>
      </w:r>
      <w:r w:rsidR="003270FA">
        <w:rPr>
          <w:rStyle w:val="FootnoteReference"/>
          <w:rFonts w:ascii="Times New Roman" w:hAnsi="Times New Roman" w:cs="Times New Roman"/>
          <w:sz w:val="24"/>
          <w:szCs w:val="24"/>
        </w:rPr>
        <w:footnoteReference w:id="2"/>
      </w:r>
      <w:r w:rsidR="001B149B" w:rsidRPr="00A865BA">
        <w:rPr>
          <w:rFonts w:ascii="Times New Roman" w:hAnsi="Times New Roman" w:cs="Times New Roman"/>
          <w:sz w:val="24"/>
          <w:szCs w:val="24"/>
        </w:rPr>
        <w:t xml:space="preserve">. Pēc Ķīnas lielākās reģionālās dalībnieces ir Indija, Krievija, Dienvidkoreja, Austrālija un Indonēzija. Savukārt nereģionālo </w:t>
      </w:r>
      <w:proofErr w:type="spellStart"/>
      <w:r w:rsidR="001B149B" w:rsidRPr="00A865BA">
        <w:rPr>
          <w:rFonts w:ascii="Times New Roman" w:hAnsi="Times New Roman" w:cs="Times New Roman"/>
          <w:sz w:val="24"/>
          <w:szCs w:val="24"/>
        </w:rPr>
        <w:t>dibinātajvalstu</w:t>
      </w:r>
      <w:proofErr w:type="spellEnd"/>
      <w:r w:rsidR="001B149B" w:rsidRPr="00A865BA">
        <w:rPr>
          <w:rFonts w:ascii="Times New Roman" w:hAnsi="Times New Roman" w:cs="Times New Roman"/>
          <w:sz w:val="24"/>
          <w:szCs w:val="24"/>
        </w:rPr>
        <w:t xml:space="preserve"> kopējās iemaksas veido 25% no bankas kapitāla un lielākās akcionāres būs Vācija, Francija, Lielbritānija un Brazīlija. </w:t>
      </w:r>
      <w:r w:rsidR="001B149B">
        <w:rPr>
          <w:rFonts w:ascii="Times New Roman" w:hAnsi="Times New Roman" w:cs="Times New Roman"/>
          <w:sz w:val="24"/>
          <w:szCs w:val="24"/>
        </w:rPr>
        <w:t>Kapitāla sadalījums ir atkarīgs no valsts IKP (60% MER – tirgus valūtas kurss; 40 % PPP – pirktspējas paritāte). 9 no 12 direktoriem direktoru valdē pārstāvēs reģionālos akcionārus, bet 3 direktoru krēsli tiks piešķirti nereģionālajiem pārstāvjiem</w:t>
      </w:r>
      <w:r w:rsidR="008A3750">
        <w:rPr>
          <w:rFonts w:ascii="Times New Roman" w:hAnsi="Times New Roman" w:cs="Times New Roman"/>
          <w:sz w:val="24"/>
          <w:szCs w:val="24"/>
        </w:rPr>
        <w:t>.</w:t>
      </w:r>
      <w:r w:rsidR="00444AC7">
        <w:rPr>
          <w:rFonts w:ascii="Times New Roman" w:hAnsi="Times New Roman" w:cs="Times New Roman"/>
          <w:sz w:val="24"/>
          <w:szCs w:val="24"/>
        </w:rPr>
        <w:t xml:space="preserve"> </w:t>
      </w:r>
      <w:r w:rsidR="001B149B">
        <w:rPr>
          <w:rFonts w:ascii="Times New Roman" w:hAnsi="Times New Roman" w:cs="Times New Roman"/>
          <w:sz w:val="24"/>
          <w:szCs w:val="24"/>
        </w:rPr>
        <w:t>Ievēlētais AIIB prezidents ir Ķīnas pārstāvis.</w:t>
      </w:r>
    </w:p>
    <w:p w14:paraId="6DFFB77A" w14:textId="77777777" w:rsidR="00FD208C" w:rsidRDefault="00FD208C" w:rsidP="00B97F90">
      <w:pPr>
        <w:spacing w:before="75" w:after="75"/>
        <w:ind w:right="-1" w:firstLine="720"/>
        <w:jc w:val="both"/>
        <w:rPr>
          <w:rFonts w:ascii="Times New Roman" w:hAnsi="Times New Roman" w:cs="Times New Roman"/>
          <w:sz w:val="24"/>
          <w:szCs w:val="24"/>
        </w:rPr>
      </w:pPr>
    </w:p>
    <w:p w14:paraId="062EBDD5" w14:textId="254008DB" w:rsidR="00247933" w:rsidRPr="00A865BA" w:rsidRDefault="00247933" w:rsidP="001B149B">
      <w:pPr>
        <w:spacing w:before="75" w:after="75"/>
        <w:ind w:right="-1" w:firstLine="720"/>
        <w:jc w:val="both"/>
        <w:rPr>
          <w:rFonts w:ascii="Times New Roman" w:hAnsi="Times New Roman" w:cs="Times New Roman"/>
          <w:sz w:val="24"/>
          <w:szCs w:val="24"/>
        </w:rPr>
      </w:pPr>
      <w:r w:rsidRPr="00A865BA">
        <w:rPr>
          <w:rFonts w:ascii="Times New Roman" w:eastAsia="Times New Roman" w:hAnsi="Times New Roman"/>
          <w:sz w:val="24"/>
          <w:szCs w:val="26"/>
        </w:rPr>
        <w:t xml:space="preserve">AIIB plāno uzsākt darbību līdz </w:t>
      </w:r>
      <w:r w:rsidR="008728CA">
        <w:rPr>
          <w:rFonts w:ascii="Times New Roman" w:eastAsia="Times New Roman" w:hAnsi="Times New Roman"/>
          <w:sz w:val="24"/>
          <w:szCs w:val="26"/>
        </w:rPr>
        <w:t>2015.gada</w:t>
      </w:r>
      <w:r w:rsidRPr="00A865BA">
        <w:rPr>
          <w:rFonts w:ascii="Times New Roman" w:eastAsia="Times New Roman" w:hAnsi="Times New Roman"/>
          <w:sz w:val="24"/>
          <w:szCs w:val="26"/>
        </w:rPr>
        <w:t xml:space="preserve"> beigām.</w:t>
      </w:r>
      <w:r>
        <w:rPr>
          <w:rFonts w:ascii="Times New Roman" w:eastAsia="Times New Roman" w:hAnsi="Times New Roman"/>
          <w:sz w:val="24"/>
          <w:szCs w:val="26"/>
        </w:rPr>
        <w:t xml:space="preserve"> </w:t>
      </w:r>
      <w:r w:rsidR="008728CA">
        <w:rPr>
          <w:rFonts w:ascii="Times New Roman" w:eastAsia="Times New Roman" w:hAnsi="Times New Roman"/>
          <w:sz w:val="24"/>
          <w:szCs w:val="26"/>
        </w:rPr>
        <w:t xml:space="preserve">Pagaidām gan nav </w:t>
      </w:r>
      <w:r w:rsidR="001B149B">
        <w:rPr>
          <w:rFonts w:ascii="Times New Roman" w:eastAsia="Times New Roman" w:hAnsi="Times New Roman"/>
          <w:sz w:val="24"/>
          <w:szCs w:val="26"/>
        </w:rPr>
        <w:t>pieejama informācija</w:t>
      </w:r>
      <w:r w:rsidR="001E1B0F">
        <w:rPr>
          <w:rFonts w:ascii="Times New Roman" w:eastAsia="Times New Roman" w:hAnsi="Times New Roman"/>
          <w:sz w:val="24"/>
          <w:szCs w:val="26"/>
        </w:rPr>
        <w:t xml:space="preserve"> kādas būs bankas darbības un uz kādiem nosacījumiem </w:t>
      </w:r>
      <w:r w:rsidR="001B149B">
        <w:rPr>
          <w:rFonts w:ascii="Times New Roman" w:eastAsia="Times New Roman" w:hAnsi="Times New Roman"/>
          <w:sz w:val="24"/>
          <w:szCs w:val="26"/>
        </w:rPr>
        <w:t>tiks</w:t>
      </w:r>
      <w:r w:rsidR="001E1B0F">
        <w:rPr>
          <w:rFonts w:ascii="Times New Roman" w:eastAsia="Times New Roman" w:hAnsi="Times New Roman"/>
          <w:sz w:val="24"/>
          <w:szCs w:val="26"/>
        </w:rPr>
        <w:t xml:space="preserve"> aizdo</w:t>
      </w:r>
      <w:r w:rsidR="001B149B">
        <w:rPr>
          <w:rFonts w:ascii="Times New Roman" w:eastAsia="Times New Roman" w:hAnsi="Times New Roman"/>
          <w:sz w:val="24"/>
          <w:szCs w:val="26"/>
        </w:rPr>
        <w:t>t</w:t>
      </w:r>
      <w:r w:rsidR="001E1B0F">
        <w:rPr>
          <w:rFonts w:ascii="Times New Roman" w:eastAsia="Times New Roman" w:hAnsi="Times New Roman"/>
          <w:sz w:val="24"/>
          <w:szCs w:val="26"/>
        </w:rPr>
        <w:t>s</w:t>
      </w:r>
      <w:r w:rsidR="008728CA">
        <w:rPr>
          <w:rFonts w:ascii="Times New Roman" w:eastAsia="Times New Roman" w:hAnsi="Times New Roman"/>
          <w:sz w:val="24"/>
          <w:szCs w:val="26"/>
        </w:rPr>
        <w:t>,</w:t>
      </w:r>
      <w:r w:rsidR="006D17A5">
        <w:rPr>
          <w:rFonts w:ascii="Times New Roman" w:eastAsia="Times New Roman" w:hAnsi="Times New Roman"/>
          <w:sz w:val="24"/>
          <w:szCs w:val="26"/>
        </w:rPr>
        <w:t xml:space="preserve"> </w:t>
      </w:r>
      <w:r w:rsidR="008728CA">
        <w:rPr>
          <w:rFonts w:ascii="Times New Roman" w:eastAsia="Times New Roman" w:hAnsi="Times New Roman"/>
          <w:sz w:val="24"/>
          <w:szCs w:val="26"/>
        </w:rPr>
        <w:t>tomēr</w:t>
      </w:r>
      <w:r w:rsidR="001B149B">
        <w:rPr>
          <w:rFonts w:ascii="Times New Roman" w:eastAsia="Times New Roman" w:hAnsi="Times New Roman"/>
          <w:sz w:val="24"/>
          <w:szCs w:val="26"/>
        </w:rPr>
        <w:t xml:space="preserve"> saskaņā ar AIIB mājās lapā</w:t>
      </w:r>
      <w:r w:rsidR="000B4C79">
        <w:rPr>
          <w:rStyle w:val="FootnoteReference"/>
          <w:rFonts w:ascii="Times New Roman" w:eastAsia="Times New Roman" w:hAnsi="Times New Roman"/>
          <w:sz w:val="24"/>
          <w:szCs w:val="26"/>
        </w:rPr>
        <w:footnoteReference w:id="3"/>
      </w:r>
      <w:r w:rsidR="001B149B">
        <w:rPr>
          <w:rFonts w:ascii="Times New Roman" w:eastAsia="Times New Roman" w:hAnsi="Times New Roman"/>
          <w:sz w:val="24"/>
          <w:szCs w:val="26"/>
        </w:rPr>
        <w:t xml:space="preserve"> norādīto</w:t>
      </w:r>
      <w:r w:rsidR="008728CA">
        <w:rPr>
          <w:rFonts w:ascii="Times New Roman" w:eastAsia="Times New Roman" w:hAnsi="Times New Roman"/>
          <w:sz w:val="24"/>
          <w:szCs w:val="26"/>
        </w:rPr>
        <w:t xml:space="preserve"> s</w:t>
      </w:r>
      <w:r w:rsidR="001E1B0F">
        <w:rPr>
          <w:rFonts w:ascii="Times New Roman" w:eastAsia="Times New Roman" w:hAnsi="Times New Roman"/>
          <w:sz w:val="24"/>
          <w:szCs w:val="26"/>
        </w:rPr>
        <w:t>tarp AIIB finansētajiem projektiem visticamāk būs lieli infrastruktūras projekti, kā, piemēram, elektrostacijas, lidostas un ostas,</w:t>
      </w:r>
      <w:r w:rsidR="001B149B" w:rsidRPr="001B149B">
        <w:rPr>
          <w:rFonts w:ascii="Times New Roman" w:hAnsi="Times New Roman" w:cs="Times New Roman"/>
          <w:sz w:val="24"/>
          <w:szCs w:val="24"/>
        </w:rPr>
        <w:t xml:space="preserve"> </w:t>
      </w:r>
      <w:r w:rsidR="001B149B" w:rsidRPr="00A865BA">
        <w:rPr>
          <w:rFonts w:ascii="Times New Roman" w:hAnsi="Times New Roman" w:cs="Times New Roman"/>
          <w:sz w:val="24"/>
          <w:szCs w:val="24"/>
        </w:rPr>
        <w:lastRenderedPageBreak/>
        <w:t>transports un telekomunikācijas, enerģijas sektors, ūdens piegāde un sanitārija, vides aizsardzība, lauku infrastruktūra un zemkopības attīstība, infrastruktūras un loģistikas attīstība pilsētās, u.c.</w:t>
      </w:r>
      <w:r w:rsidR="001B149B">
        <w:rPr>
          <w:rFonts w:ascii="Times New Roman" w:hAnsi="Times New Roman" w:cs="Times New Roman"/>
          <w:sz w:val="24"/>
          <w:szCs w:val="24"/>
        </w:rPr>
        <w:t xml:space="preserve"> </w:t>
      </w:r>
      <w:r w:rsidR="003E78C3">
        <w:rPr>
          <w:rFonts w:ascii="Times New Roman" w:hAnsi="Times New Roman" w:cs="Times New Roman"/>
          <w:sz w:val="24"/>
          <w:szCs w:val="24"/>
        </w:rPr>
        <w:t>Tiek uzskatīts, ka AIIB</w:t>
      </w:r>
      <w:r w:rsidR="001E1B0F">
        <w:rPr>
          <w:rFonts w:ascii="Times New Roman" w:eastAsia="Times New Roman" w:hAnsi="Times New Roman"/>
          <w:sz w:val="24"/>
          <w:szCs w:val="26"/>
        </w:rPr>
        <w:t xml:space="preserve"> aizpild</w:t>
      </w:r>
      <w:r w:rsidR="003E78C3">
        <w:rPr>
          <w:rFonts w:ascii="Times New Roman" w:eastAsia="Times New Roman" w:hAnsi="Times New Roman"/>
          <w:sz w:val="24"/>
          <w:szCs w:val="26"/>
        </w:rPr>
        <w:t>īs</w:t>
      </w:r>
      <w:r w:rsidR="001E1B0F">
        <w:rPr>
          <w:rFonts w:ascii="Times New Roman" w:eastAsia="Times New Roman" w:hAnsi="Times New Roman"/>
          <w:sz w:val="24"/>
          <w:szCs w:val="26"/>
        </w:rPr>
        <w:t xml:space="preserve"> citu institūciju </w:t>
      </w:r>
      <w:r w:rsidR="008728CA">
        <w:rPr>
          <w:rFonts w:ascii="Times New Roman" w:eastAsia="Times New Roman" w:hAnsi="Times New Roman"/>
          <w:sz w:val="24"/>
          <w:szCs w:val="26"/>
        </w:rPr>
        <w:t>nenodrošināto pieprasījuma</w:t>
      </w:r>
      <w:r w:rsidR="001B149B">
        <w:rPr>
          <w:rFonts w:ascii="Times New Roman" w:eastAsia="Times New Roman" w:hAnsi="Times New Roman"/>
          <w:sz w:val="24"/>
          <w:szCs w:val="26"/>
        </w:rPr>
        <w:t xml:space="preserve"> izpildi, lai </w:t>
      </w:r>
      <w:r w:rsidR="001B149B" w:rsidRPr="00A865BA">
        <w:rPr>
          <w:rFonts w:ascii="Times New Roman" w:hAnsi="Times New Roman" w:cs="Times New Roman"/>
          <w:sz w:val="24"/>
          <w:szCs w:val="24"/>
        </w:rPr>
        <w:t>stimulēt</w:t>
      </w:r>
      <w:r w:rsidR="001B149B">
        <w:rPr>
          <w:rFonts w:ascii="Times New Roman" w:hAnsi="Times New Roman" w:cs="Times New Roman"/>
          <w:sz w:val="24"/>
          <w:szCs w:val="24"/>
        </w:rPr>
        <w:t>u</w:t>
      </w:r>
      <w:r w:rsidR="001B149B" w:rsidRPr="00A865BA">
        <w:rPr>
          <w:rFonts w:ascii="Times New Roman" w:hAnsi="Times New Roman" w:cs="Times New Roman"/>
          <w:sz w:val="24"/>
          <w:szCs w:val="24"/>
        </w:rPr>
        <w:t xml:space="preserve"> tautsaimniecības izaugsmi un uzlabot</w:t>
      </w:r>
      <w:r w:rsidR="003E78C3">
        <w:rPr>
          <w:rFonts w:ascii="Times New Roman" w:hAnsi="Times New Roman" w:cs="Times New Roman"/>
          <w:sz w:val="24"/>
          <w:szCs w:val="24"/>
        </w:rPr>
        <w:t>u</w:t>
      </w:r>
      <w:r w:rsidR="001B149B">
        <w:rPr>
          <w:rFonts w:ascii="Times New Roman" w:hAnsi="Times New Roman" w:cs="Times New Roman"/>
          <w:sz w:val="24"/>
          <w:szCs w:val="24"/>
        </w:rPr>
        <w:t xml:space="preserve"> infrastruktūras projektus Āzijas reģionā</w:t>
      </w:r>
      <w:r w:rsidR="001B149B" w:rsidRPr="00A865BA">
        <w:rPr>
          <w:rFonts w:ascii="Times New Roman" w:hAnsi="Times New Roman" w:cs="Times New Roman"/>
          <w:sz w:val="24"/>
          <w:szCs w:val="24"/>
        </w:rPr>
        <w:t>, kā arī veicināt</w:t>
      </w:r>
      <w:r w:rsidR="001B149B">
        <w:rPr>
          <w:rFonts w:ascii="Times New Roman" w:hAnsi="Times New Roman" w:cs="Times New Roman"/>
          <w:sz w:val="24"/>
          <w:szCs w:val="24"/>
        </w:rPr>
        <w:t>u</w:t>
      </w:r>
      <w:r w:rsidR="001B149B" w:rsidRPr="00A865BA">
        <w:rPr>
          <w:rFonts w:ascii="Times New Roman" w:hAnsi="Times New Roman" w:cs="Times New Roman"/>
          <w:sz w:val="24"/>
          <w:szCs w:val="24"/>
        </w:rPr>
        <w:t xml:space="preserve"> reģionālo sadarbību un partnerību</w:t>
      </w:r>
      <w:r w:rsidR="003E78C3">
        <w:rPr>
          <w:rFonts w:ascii="Times New Roman" w:hAnsi="Times New Roman" w:cs="Times New Roman"/>
          <w:sz w:val="24"/>
          <w:szCs w:val="24"/>
        </w:rPr>
        <w:t>.</w:t>
      </w:r>
      <w:r w:rsidR="001B149B" w:rsidRPr="001B149B">
        <w:rPr>
          <w:rFonts w:ascii="Times New Roman" w:hAnsi="Times New Roman" w:cs="Times New Roman"/>
          <w:sz w:val="24"/>
          <w:szCs w:val="24"/>
        </w:rPr>
        <w:t xml:space="preserve"> </w:t>
      </w:r>
      <w:r w:rsidR="00887ADB">
        <w:rPr>
          <w:rFonts w:ascii="Times New Roman" w:hAnsi="Times New Roman" w:cs="Times New Roman"/>
          <w:sz w:val="24"/>
          <w:szCs w:val="24"/>
        </w:rPr>
        <w:t xml:space="preserve">Pēc </w:t>
      </w:r>
      <w:r w:rsidR="00887ADB" w:rsidRPr="00A865BA">
        <w:rPr>
          <w:rFonts w:ascii="Times New Roman" w:hAnsi="Times New Roman" w:cs="Times New Roman"/>
          <w:sz w:val="24"/>
          <w:szCs w:val="24"/>
        </w:rPr>
        <w:t>Ekonomikas un finanšu komitejas (turpmāk – EFC) apakškomiteja</w:t>
      </w:r>
      <w:r w:rsidR="00887ADB">
        <w:rPr>
          <w:rFonts w:ascii="Times New Roman" w:hAnsi="Times New Roman" w:cs="Times New Roman"/>
          <w:sz w:val="24"/>
          <w:szCs w:val="24"/>
        </w:rPr>
        <w:t>s</w:t>
      </w:r>
      <w:r w:rsidR="00887ADB" w:rsidRPr="00A865BA">
        <w:rPr>
          <w:rFonts w:ascii="Times New Roman" w:hAnsi="Times New Roman" w:cs="Times New Roman"/>
          <w:sz w:val="24"/>
          <w:szCs w:val="24"/>
        </w:rPr>
        <w:t xml:space="preserve"> Starptautiskā Valūtas fonda jautājumos</w:t>
      </w:r>
      <w:r w:rsidR="00887ADB">
        <w:rPr>
          <w:rFonts w:ascii="Times New Roman" w:hAnsi="Times New Roman" w:cs="Times New Roman"/>
          <w:sz w:val="24"/>
          <w:szCs w:val="24"/>
        </w:rPr>
        <w:t xml:space="preserve"> </w:t>
      </w:r>
      <w:r w:rsidR="00887ADB" w:rsidRPr="00A865BA">
        <w:rPr>
          <w:rFonts w:ascii="Times New Roman" w:hAnsi="Times New Roman" w:cs="Times New Roman"/>
          <w:sz w:val="24"/>
          <w:szCs w:val="24"/>
        </w:rPr>
        <w:t>(turpmāk – SCIMF)</w:t>
      </w:r>
      <w:r w:rsidR="00887ADB" w:rsidRPr="00A865BA" w:rsidDel="00887ADB">
        <w:rPr>
          <w:rFonts w:ascii="Times New Roman" w:hAnsi="Times New Roman" w:cs="Times New Roman"/>
          <w:sz w:val="24"/>
          <w:szCs w:val="24"/>
        </w:rPr>
        <w:t xml:space="preserve"> </w:t>
      </w:r>
      <w:r w:rsidR="00887ADB">
        <w:rPr>
          <w:rFonts w:ascii="Times New Roman" w:hAnsi="Times New Roman" w:cs="Times New Roman"/>
          <w:sz w:val="24"/>
          <w:szCs w:val="24"/>
        </w:rPr>
        <w:t xml:space="preserve">aplēsēm </w:t>
      </w:r>
      <w:r w:rsidR="001B149B" w:rsidRPr="00A865BA">
        <w:rPr>
          <w:rFonts w:ascii="Times New Roman" w:hAnsi="Times New Roman" w:cs="Times New Roman"/>
          <w:sz w:val="24"/>
          <w:szCs w:val="24"/>
        </w:rPr>
        <w:t>tuvākajā desmitgadē Āzijas reģiona nepieciešamība pēc investīcijām infrastruktūras objektos būs USD 800 miljardu (aptuveni EUR 620 miljardu) ik gadu.</w:t>
      </w:r>
    </w:p>
    <w:p w14:paraId="4C793954" w14:textId="77777777" w:rsidR="00806A14" w:rsidRDefault="00806A14" w:rsidP="0069181D">
      <w:pPr>
        <w:spacing w:before="75" w:after="75"/>
        <w:ind w:right="-1" w:firstLine="720"/>
        <w:jc w:val="both"/>
        <w:rPr>
          <w:rFonts w:ascii="Times New Roman" w:hAnsi="Times New Roman" w:cs="Times New Roman"/>
          <w:sz w:val="24"/>
          <w:szCs w:val="24"/>
        </w:rPr>
      </w:pPr>
      <w:r w:rsidRPr="00A865BA">
        <w:rPr>
          <w:rFonts w:ascii="Times New Roman" w:hAnsi="Times New Roman" w:cs="Times New Roman"/>
          <w:sz w:val="24"/>
          <w:szCs w:val="24"/>
        </w:rPr>
        <w:t>AIIB plāno nodrošināt sadarbību ar citām šajā reģionā funkcionējošām starptautiskajām finanšu institūcijām, kā, piemēram, Pasaules Banka vai Āzijas Attīstības banka. AIIB neuzskata, ka notiks dublēšanās ar minētajām attīstības bankām, jo AIIB darba specifika būs tieši infrastruktūras attīstība Āzijas reģionā.</w:t>
      </w:r>
    </w:p>
    <w:p w14:paraId="61993A68" w14:textId="1FEDD455" w:rsidR="00A865BA" w:rsidRPr="00A865BA" w:rsidRDefault="00FF760C" w:rsidP="0069181D">
      <w:pPr>
        <w:spacing w:before="75" w:after="75"/>
        <w:ind w:right="-1" w:firstLine="720"/>
        <w:jc w:val="both"/>
        <w:rPr>
          <w:rFonts w:ascii="Times New Roman" w:hAnsi="Times New Roman" w:cs="Times New Roman"/>
          <w:sz w:val="24"/>
          <w:szCs w:val="24"/>
        </w:rPr>
      </w:pPr>
      <w:r>
        <w:rPr>
          <w:rFonts w:ascii="Times New Roman" w:hAnsi="Times New Roman" w:cs="Times New Roman"/>
          <w:sz w:val="24"/>
          <w:szCs w:val="24"/>
        </w:rPr>
        <w:t xml:space="preserve">Ķīnas valdība ir aktīvi </w:t>
      </w:r>
      <w:r w:rsidR="009A15E4">
        <w:rPr>
          <w:rFonts w:ascii="Times New Roman" w:hAnsi="Times New Roman" w:cs="Times New Roman"/>
          <w:sz w:val="24"/>
          <w:szCs w:val="24"/>
        </w:rPr>
        <w:t>uzsākusi iesaistīties</w:t>
      </w:r>
      <w:r>
        <w:rPr>
          <w:rFonts w:ascii="Times New Roman" w:hAnsi="Times New Roman" w:cs="Times New Roman"/>
          <w:sz w:val="24"/>
          <w:szCs w:val="24"/>
        </w:rPr>
        <w:t xml:space="preserve"> vairāku starptautisko institūciju dibināšanā, kā, piemēram,</w:t>
      </w:r>
      <w:r w:rsidR="00DF1657">
        <w:rPr>
          <w:rFonts w:ascii="Times New Roman" w:hAnsi="Times New Roman" w:cs="Times New Roman"/>
          <w:sz w:val="24"/>
          <w:szCs w:val="24"/>
        </w:rPr>
        <w:t xml:space="preserve"> BRICS iniciatīvas – </w:t>
      </w:r>
      <w:r>
        <w:rPr>
          <w:rFonts w:ascii="Times New Roman" w:hAnsi="Times New Roman" w:cs="Times New Roman"/>
          <w:sz w:val="24"/>
          <w:szCs w:val="24"/>
        </w:rPr>
        <w:t>Jaunā attīst</w:t>
      </w:r>
      <w:r w:rsidR="00DF1657">
        <w:rPr>
          <w:rFonts w:ascii="Times New Roman" w:hAnsi="Times New Roman" w:cs="Times New Roman"/>
          <w:sz w:val="24"/>
          <w:szCs w:val="24"/>
        </w:rPr>
        <w:t>ības banka (</w:t>
      </w:r>
      <w:proofErr w:type="spellStart"/>
      <w:r w:rsidR="00DF1657" w:rsidRPr="00DF1657">
        <w:rPr>
          <w:rFonts w:ascii="Times New Roman" w:hAnsi="Times New Roman" w:cs="Times New Roman"/>
          <w:i/>
          <w:sz w:val="24"/>
          <w:szCs w:val="24"/>
        </w:rPr>
        <w:t>New</w:t>
      </w:r>
      <w:proofErr w:type="spellEnd"/>
      <w:r w:rsidR="00DF1657" w:rsidRPr="00DF1657">
        <w:rPr>
          <w:rFonts w:ascii="Times New Roman" w:hAnsi="Times New Roman" w:cs="Times New Roman"/>
          <w:i/>
          <w:sz w:val="24"/>
          <w:szCs w:val="24"/>
        </w:rPr>
        <w:t xml:space="preserve"> </w:t>
      </w:r>
      <w:proofErr w:type="spellStart"/>
      <w:r w:rsidR="00DF1657" w:rsidRPr="00DF1657">
        <w:rPr>
          <w:rFonts w:ascii="Times New Roman" w:hAnsi="Times New Roman" w:cs="Times New Roman"/>
          <w:i/>
          <w:sz w:val="24"/>
          <w:szCs w:val="24"/>
        </w:rPr>
        <w:t>Development</w:t>
      </w:r>
      <w:proofErr w:type="spellEnd"/>
      <w:r w:rsidR="00DF1657" w:rsidRPr="00DF1657">
        <w:rPr>
          <w:rFonts w:ascii="Times New Roman" w:hAnsi="Times New Roman" w:cs="Times New Roman"/>
          <w:i/>
          <w:sz w:val="24"/>
          <w:szCs w:val="24"/>
        </w:rPr>
        <w:t xml:space="preserve"> </w:t>
      </w:r>
      <w:proofErr w:type="spellStart"/>
      <w:r w:rsidR="00DF1657" w:rsidRPr="00DF1657">
        <w:rPr>
          <w:rFonts w:ascii="Times New Roman" w:hAnsi="Times New Roman" w:cs="Times New Roman"/>
          <w:i/>
          <w:sz w:val="24"/>
          <w:szCs w:val="24"/>
        </w:rPr>
        <w:t>Bank</w:t>
      </w:r>
      <w:proofErr w:type="spellEnd"/>
      <w:r w:rsidR="00DF1657">
        <w:rPr>
          <w:rFonts w:ascii="Times New Roman" w:hAnsi="Times New Roman" w:cs="Times New Roman"/>
          <w:sz w:val="24"/>
          <w:szCs w:val="24"/>
        </w:rPr>
        <w:t>) un</w:t>
      </w:r>
      <w:r>
        <w:rPr>
          <w:rFonts w:ascii="Times New Roman" w:hAnsi="Times New Roman" w:cs="Times New Roman"/>
          <w:sz w:val="24"/>
          <w:szCs w:val="24"/>
        </w:rPr>
        <w:t xml:space="preserve"> </w:t>
      </w:r>
      <w:r w:rsidRPr="00FF760C">
        <w:rPr>
          <w:rFonts w:ascii="Times New Roman" w:hAnsi="Times New Roman" w:cs="Times New Roman"/>
          <w:sz w:val="24"/>
          <w:szCs w:val="24"/>
        </w:rPr>
        <w:t>Nolīgums par ārkārtas gadījumu rezervēm</w:t>
      </w:r>
      <w:r>
        <w:rPr>
          <w:rFonts w:ascii="Times New Roman" w:hAnsi="Times New Roman" w:cs="Times New Roman"/>
          <w:sz w:val="24"/>
          <w:szCs w:val="24"/>
        </w:rPr>
        <w:t xml:space="preserve"> (</w:t>
      </w:r>
      <w:proofErr w:type="spellStart"/>
      <w:r w:rsidRPr="00FF760C">
        <w:rPr>
          <w:rFonts w:ascii="Times New Roman" w:hAnsi="Times New Roman" w:cs="Times New Roman"/>
          <w:i/>
          <w:sz w:val="24"/>
          <w:szCs w:val="24"/>
        </w:rPr>
        <w:t>Contingency</w:t>
      </w:r>
      <w:proofErr w:type="spellEnd"/>
      <w:r w:rsidRPr="00FF760C">
        <w:rPr>
          <w:rFonts w:ascii="Times New Roman" w:hAnsi="Times New Roman" w:cs="Times New Roman"/>
          <w:i/>
          <w:sz w:val="24"/>
          <w:szCs w:val="24"/>
        </w:rPr>
        <w:t xml:space="preserve"> </w:t>
      </w:r>
      <w:proofErr w:type="spellStart"/>
      <w:r w:rsidRPr="00FF760C">
        <w:rPr>
          <w:rFonts w:ascii="Times New Roman" w:hAnsi="Times New Roman" w:cs="Times New Roman"/>
          <w:i/>
          <w:sz w:val="24"/>
          <w:szCs w:val="24"/>
        </w:rPr>
        <w:t>Reserve</w:t>
      </w:r>
      <w:proofErr w:type="spellEnd"/>
      <w:r w:rsidRPr="00FF760C">
        <w:rPr>
          <w:rFonts w:ascii="Times New Roman" w:hAnsi="Times New Roman" w:cs="Times New Roman"/>
          <w:i/>
          <w:sz w:val="24"/>
          <w:szCs w:val="24"/>
        </w:rPr>
        <w:t xml:space="preserve"> </w:t>
      </w:r>
      <w:proofErr w:type="spellStart"/>
      <w:r w:rsidRPr="00FF760C">
        <w:rPr>
          <w:rFonts w:ascii="Times New Roman" w:hAnsi="Times New Roman" w:cs="Times New Roman"/>
          <w:i/>
          <w:sz w:val="24"/>
          <w:szCs w:val="24"/>
        </w:rPr>
        <w:t>Arrangement</w:t>
      </w:r>
      <w:proofErr w:type="spellEnd"/>
      <w:r w:rsidRPr="00FF760C">
        <w:rPr>
          <w:rFonts w:ascii="Times New Roman" w:hAnsi="Times New Roman" w:cs="Times New Roman"/>
          <w:sz w:val="24"/>
          <w:szCs w:val="24"/>
        </w:rPr>
        <w:t>)</w:t>
      </w:r>
      <w:r w:rsidR="009A054A">
        <w:rPr>
          <w:rFonts w:ascii="Times New Roman" w:hAnsi="Times New Roman" w:cs="Times New Roman"/>
          <w:sz w:val="24"/>
          <w:szCs w:val="24"/>
        </w:rPr>
        <w:t>, k</w:t>
      </w:r>
      <w:r w:rsidR="00DF1657">
        <w:rPr>
          <w:rFonts w:ascii="Times New Roman" w:hAnsi="Times New Roman" w:cs="Times New Roman"/>
          <w:sz w:val="24"/>
          <w:szCs w:val="24"/>
        </w:rPr>
        <w:t>ā arī ir izveidojusi</w:t>
      </w:r>
      <w:r w:rsidR="009A054A">
        <w:rPr>
          <w:rFonts w:ascii="Times New Roman" w:hAnsi="Times New Roman" w:cs="Times New Roman"/>
          <w:sz w:val="24"/>
          <w:szCs w:val="24"/>
        </w:rPr>
        <w:t xml:space="preserve"> Zīda ceļa</w:t>
      </w:r>
      <w:r w:rsidR="00DF1657">
        <w:rPr>
          <w:rFonts w:ascii="Times New Roman" w:hAnsi="Times New Roman" w:cs="Times New Roman"/>
          <w:sz w:val="24"/>
          <w:szCs w:val="24"/>
        </w:rPr>
        <w:t xml:space="preserve"> </w:t>
      </w:r>
      <w:r w:rsidR="009A054A">
        <w:rPr>
          <w:rFonts w:ascii="Times New Roman" w:hAnsi="Times New Roman" w:cs="Times New Roman"/>
          <w:sz w:val="24"/>
          <w:szCs w:val="24"/>
        </w:rPr>
        <w:t>infrastruktūras fondu (</w:t>
      </w:r>
      <w:proofErr w:type="spellStart"/>
      <w:r w:rsidR="009A054A" w:rsidRPr="009A054A">
        <w:rPr>
          <w:rFonts w:ascii="Times New Roman" w:hAnsi="Times New Roman" w:cs="Times New Roman"/>
          <w:i/>
          <w:sz w:val="24"/>
          <w:szCs w:val="24"/>
        </w:rPr>
        <w:t>Silk</w:t>
      </w:r>
      <w:proofErr w:type="spellEnd"/>
      <w:r w:rsidR="009A054A" w:rsidRPr="009A054A">
        <w:rPr>
          <w:rFonts w:ascii="Times New Roman" w:hAnsi="Times New Roman" w:cs="Times New Roman"/>
          <w:i/>
          <w:sz w:val="24"/>
          <w:szCs w:val="24"/>
        </w:rPr>
        <w:t xml:space="preserve"> </w:t>
      </w:r>
      <w:proofErr w:type="spellStart"/>
      <w:r w:rsidR="009A054A" w:rsidRPr="009A054A">
        <w:rPr>
          <w:rFonts w:ascii="Times New Roman" w:hAnsi="Times New Roman" w:cs="Times New Roman"/>
          <w:i/>
          <w:sz w:val="24"/>
          <w:szCs w:val="24"/>
        </w:rPr>
        <w:t>Road</w:t>
      </w:r>
      <w:proofErr w:type="spellEnd"/>
      <w:r w:rsidR="009A054A" w:rsidRPr="009A054A">
        <w:rPr>
          <w:rFonts w:ascii="Times New Roman" w:hAnsi="Times New Roman" w:cs="Times New Roman"/>
          <w:i/>
          <w:sz w:val="24"/>
          <w:szCs w:val="24"/>
        </w:rPr>
        <w:t xml:space="preserve"> </w:t>
      </w:r>
      <w:proofErr w:type="spellStart"/>
      <w:r w:rsidR="009A054A" w:rsidRPr="009A054A">
        <w:rPr>
          <w:rFonts w:ascii="Times New Roman" w:hAnsi="Times New Roman" w:cs="Times New Roman"/>
          <w:i/>
          <w:sz w:val="24"/>
          <w:szCs w:val="24"/>
        </w:rPr>
        <w:t>Infrastructure</w:t>
      </w:r>
      <w:proofErr w:type="spellEnd"/>
      <w:r w:rsidR="009A054A" w:rsidRPr="009A054A">
        <w:rPr>
          <w:rFonts w:ascii="Times New Roman" w:hAnsi="Times New Roman" w:cs="Times New Roman"/>
          <w:i/>
          <w:sz w:val="24"/>
          <w:szCs w:val="24"/>
        </w:rPr>
        <w:t xml:space="preserve"> </w:t>
      </w:r>
      <w:proofErr w:type="spellStart"/>
      <w:r w:rsidR="009A054A" w:rsidRPr="009A054A">
        <w:rPr>
          <w:rFonts w:ascii="Times New Roman" w:hAnsi="Times New Roman" w:cs="Times New Roman"/>
          <w:i/>
          <w:sz w:val="24"/>
          <w:szCs w:val="24"/>
        </w:rPr>
        <w:t>Fund</w:t>
      </w:r>
      <w:proofErr w:type="spellEnd"/>
      <w:r w:rsidR="009A054A">
        <w:rPr>
          <w:rFonts w:ascii="Times New Roman" w:hAnsi="Times New Roman" w:cs="Times New Roman"/>
          <w:sz w:val="24"/>
          <w:szCs w:val="24"/>
        </w:rPr>
        <w:t>). Tāpat š.g. 11.augustā Ķīnas valdība oficiāli ir izteikusi vēlmi kļūt par Eiropas Rekonstrukcijas un attīstības bankas akcionāru.</w:t>
      </w:r>
    </w:p>
    <w:p w14:paraId="4E62A164" w14:textId="77777777" w:rsidR="007E459E" w:rsidRPr="00A865BA" w:rsidRDefault="007E459E" w:rsidP="007E1AC0">
      <w:pPr>
        <w:spacing w:before="75" w:after="75"/>
        <w:ind w:right="-1" w:firstLine="720"/>
        <w:jc w:val="both"/>
        <w:rPr>
          <w:rFonts w:ascii="Times New Roman" w:hAnsi="Times New Roman" w:cs="Times New Roman"/>
          <w:sz w:val="24"/>
          <w:szCs w:val="24"/>
        </w:rPr>
      </w:pPr>
    </w:p>
    <w:p w14:paraId="38D64B9A" w14:textId="77777777" w:rsidR="007E459E" w:rsidRPr="00A865BA" w:rsidRDefault="007E459E" w:rsidP="007E459E">
      <w:pPr>
        <w:pStyle w:val="ListParagraph"/>
        <w:numPr>
          <w:ilvl w:val="0"/>
          <w:numId w:val="6"/>
        </w:numPr>
        <w:rPr>
          <w:rFonts w:ascii="Times New Roman" w:hAnsi="Times New Roman" w:cs="Times New Roman"/>
          <w:b/>
          <w:sz w:val="24"/>
          <w:szCs w:val="24"/>
        </w:rPr>
      </w:pPr>
      <w:r w:rsidRPr="00A865BA">
        <w:rPr>
          <w:rFonts w:ascii="Times New Roman" w:hAnsi="Times New Roman" w:cs="Times New Roman"/>
          <w:b/>
          <w:sz w:val="24"/>
          <w:szCs w:val="24"/>
        </w:rPr>
        <w:t xml:space="preserve">Eiropas Savienības valstu </w:t>
      </w:r>
      <w:r w:rsidR="00340F0C" w:rsidRPr="00A865BA">
        <w:rPr>
          <w:rFonts w:ascii="Times New Roman" w:hAnsi="Times New Roman" w:cs="Times New Roman"/>
          <w:b/>
          <w:sz w:val="24"/>
          <w:szCs w:val="24"/>
        </w:rPr>
        <w:t xml:space="preserve">iesaiste </w:t>
      </w:r>
      <w:r w:rsidRPr="00A865BA">
        <w:rPr>
          <w:rFonts w:ascii="Times New Roman" w:hAnsi="Times New Roman" w:cs="Times New Roman"/>
          <w:b/>
          <w:sz w:val="24"/>
          <w:szCs w:val="24"/>
        </w:rPr>
        <w:t>AIIB dibināšan</w:t>
      </w:r>
      <w:r w:rsidR="00340F0C" w:rsidRPr="00A865BA">
        <w:rPr>
          <w:rFonts w:ascii="Times New Roman" w:hAnsi="Times New Roman" w:cs="Times New Roman"/>
          <w:b/>
          <w:sz w:val="24"/>
          <w:szCs w:val="24"/>
        </w:rPr>
        <w:t>ā</w:t>
      </w:r>
    </w:p>
    <w:p w14:paraId="13CFD1AE" w14:textId="797532AB" w:rsidR="005B02EF" w:rsidRPr="00A865BA" w:rsidRDefault="005F7247" w:rsidP="00640D63">
      <w:pPr>
        <w:ind w:firstLine="720"/>
        <w:jc w:val="both"/>
        <w:rPr>
          <w:rFonts w:ascii="Times New Roman" w:hAnsi="Times New Roman" w:cs="Times New Roman"/>
          <w:sz w:val="24"/>
          <w:szCs w:val="24"/>
        </w:rPr>
      </w:pPr>
      <w:r>
        <w:rPr>
          <w:rFonts w:ascii="Times New Roman" w:hAnsi="Times New Roman" w:cs="Times New Roman"/>
          <w:sz w:val="24"/>
          <w:szCs w:val="24"/>
        </w:rPr>
        <w:t>Informācijas apmaiņa</w:t>
      </w:r>
      <w:r w:rsidR="00372963" w:rsidRPr="00A865BA">
        <w:rPr>
          <w:rFonts w:ascii="Times New Roman" w:hAnsi="Times New Roman" w:cs="Times New Roman"/>
          <w:sz w:val="24"/>
          <w:szCs w:val="24"/>
        </w:rPr>
        <w:t xml:space="preserve"> </w:t>
      </w:r>
      <w:r>
        <w:rPr>
          <w:rFonts w:ascii="Times New Roman" w:hAnsi="Times New Roman" w:cs="Times New Roman"/>
          <w:sz w:val="24"/>
          <w:szCs w:val="24"/>
        </w:rPr>
        <w:t>starp</w:t>
      </w:r>
      <w:r w:rsidR="00372963" w:rsidRPr="00A865BA">
        <w:rPr>
          <w:rFonts w:ascii="Times New Roman" w:hAnsi="Times New Roman" w:cs="Times New Roman"/>
          <w:sz w:val="24"/>
          <w:szCs w:val="24"/>
        </w:rPr>
        <w:t xml:space="preserve"> ES</w:t>
      </w:r>
      <w:r>
        <w:rPr>
          <w:rFonts w:ascii="Times New Roman" w:hAnsi="Times New Roman" w:cs="Times New Roman"/>
          <w:sz w:val="24"/>
          <w:szCs w:val="24"/>
        </w:rPr>
        <w:t xml:space="preserve"> dalībvalstīm par</w:t>
      </w:r>
      <w:r w:rsidR="00372963" w:rsidRPr="00A865BA">
        <w:rPr>
          <w:rFonts w:ascii="Times New Roman" w:hAnsi="Times New Roman" w:cs="Times New Roman"/>
          <w:sz w:val="24"/>
          <w:szCs w:val="24"/>
        </w:rPr>
        <w:t xml:space="preserve"> valstu iespējamo pievienošanos AIIB</w:t>
      </w:r>
      <w:r w:rsidR="00AD0639">
        <w:rPr>
          <w:rFonts w:ascii="Times New Roman" w:hAnsi="Times New Roman" w:cs="Times New Roman"/>
          <w:sz w:val="24"/>
          <w:szCs w:val="24"/>
        </w:rPr>
        <w:t>,</w:t>
      </w:r>
      <w:r w:rsidR="00372963" w:rsidRPr="00A865BA">
        <w:rPr>
          <w:rFonts w:ascii="Times New Roman" w:hAnsi="Times New Roman" w:cs="Times New Roman"/>
          <w:sz w:val="24"/>
          <w:szCs w:val="24"/>
        </w:rPr>
        <w:t xml:space="preserve"> </w:t>
      </w:r>
      <w:r>
        <w:rPr>
          <w:rFonts w:ascii="Times New Roman" w:hAnsi="Times New Roman" w:cs="Times New Roman"/>
          <w:sz w:val="24"/>
          <w:szCs w:val="24"/>
        </w:rPr>
        <w:t xml:space="preserve">kā arī par pārvaldības jautājumiem tiek nodrošināta </w:t>
      </w:r>
      <w:r w:rsidR="00372963" w:rsidRPr="00A865BA">
        <w:rPr>
          <w:rFonts w:ascii="Times New Roman" w:hAnsi="Times New Roman" w:cs="Times New Roman"/>
          <w:sz w:val="24"/>
          <w:szCs w:val="24"/>
        </w:rPr>
        <w:t xml:space="preserve"> SCIMF</w:t>
      </w:r>
      <w:r>
        <w:rPr>
          <w:rFonts w:ascii="Times New Roman" w:hAnsi="Times New Roman" w:cs="Times New Roman"/>
          <w:sz w:val="24"/>
          <w:szCs w:val="24"/>
        </w:rPr>
        <w:t xml:space="preserve"> </w:t>
      </w:r>
      <w:r w:rsidR="00616C16">
        <w:rPr>
          <w:rFonts w:ascii="Times New Roman" w:hAnsi="Times New Roman" w:cs="Times New Roman"/>
          <w:sz w:val="24"/>
          <w:szCs w:val="24"/>
        </w:rPr>
        <w:t>ietvaros</w:t>
      </w:r>
      <w:r w:rsidR="00E90373" w:rsidRPr="00A865BA">
        <w:rPr>
          <w:rFonts w:ascii="Times New Roman" w:hAnsi="Times New Roman" w:cs="Times New Roman"/>
          <w:sz w:val="24"/>
          <w:szCs w:val="24"/>
        </w:rPr>
        <w:t xml:space="preserve">. </w:t>
      </w:r>
      <w:r w:rsidR="005B02EF" w:rsidRPr="00A865BA">
        <w:rPr>
          <w:rFonts w:ascii="Times New Roman" w:hAnsi="Times New Roman" w:cs="Times New Roman"/>
          <w:sz w:val="24"/>
          <w:szCs w:val="24"/>
        </w:rPr>
        <w:t xml:space="preserve">Līdztekus AIIB Dibināšanas nolīguma </w:t>
      </w:r>
      <w:r w:rsidR="00A62DC2" w:rsidRPr="00A865BA">
        <w:rPr>
          <w:rFonts w:ascii="Times New Roman" w:hAnsi="Times New Roman" w:cs="Times New Roman"/>
          <w:sz w:val="24"/>
          <w:szCs w:val="24"/>
        </w:rPr>
        <w:t>gatavošanas procesam</w:t>
      </w:r>
      <w:r w:rsidR="005B02EF" w:rsidRPr="00A865BA">
        <w:rPr>
          <w:rFonts w:ascii="Times New Roman" w:hAnsi="Times New Roman" w:cs="Times New Roman"/>
          <w:sz w:val="24"/>
          <w:szCs w:val="24"/>
        </w:rPr>
        <w:t xml:space="preserve">, SCIMF ietvaros </w:t>
      </w:r>
      <w:r>
        <w:rPr>
          <w:rFonts w:ascii="Times New Roman" w:hAnsi="Times New Roman" w:cs="Times New Roman"/>
          <w:sz w:val="24"/>
          <w:szCs w:val="24"/>
        </w:rPr>
        <w:t>valstis vienojās</w:t>
      </w:r>
      <w:r w:rsidR="005B02EF" w:rsidRPr="00A865BA">
        <w:rPr>
          <w:rFonts w:ascii="Times New Roman" w:hAnsi="Times New Roman" w:cs="Times New Roman"/>
          <w:sz w:val="24"/>
          <w:szCs w:val="24"/>
        </w:rPr>
        <w:t xml:space="preserve"> par ES kopējo nostāju AIIB jautājumā </w:t>
      </w:r>
      <w:r>
        <w:rPr>
          <w:rFonts w:ascii="Times New Roman" w:hAnsi="Times New Roman" w:cs="Times New Roman"/>
          <w:sz w:val="24"/>
          <w:szCs w:val="24"/>
        </w:rPr>
        <w:t>attiecībā uz atbalstāmajiem</w:t>
      </w:r>
      <w:r w:rsidR="005B02EF" w:rsidRPr="00A865BA">
        <w:rPr>
          <w:rFonts w:ascii="Times New Roman" w:hAnsi="Times New Roman" w:cs="Times New Roman"/>
          <w:sz w:val="24"/>
          <w:szCs w:val="24"/>
        </w:rPr>
        <w:t xml:space="preserve"> 6 pamatprincipiem efektīvai un pārskatāmai bankas dibināšanai un darbībai: </w:t>
      </w:r>
    </w:p>
    <w:p w14:paraId="26ABCEF6" w14:textId="77777777" w:rsidR="00A62DC2" w:rsidRPr="00A865BA" w:rsidRDefault="00A62DC2"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 xml:space="preserve">AIIB pieejamība </w:t>
      </w:r>
      <w:r w:rsidR="005B02EF" w:rsidRPr="00A865BA">
        <w:rPr>
          <w:rFonts w:ascii="Times New Roman" w:hAnsi="Times New Roman" w:cs="Times New Roman"/>
          <w:sz w:val="24"/>
          <w:szCs w:val="24"/>
        </w:rPr>
        <w:t xml:space="preserve"> (valstu dalības un personāla </w:t>
      </w:r>
      <w:r w:rsidRPr="00A865BA">
        <w:rPr>
          <w:rFonts w:ascii="Times New Roman" w:hAnsi="Times New Roman" w:cs="Times New Roman"/>
          <w:sz w:val="24"/>
          <w:szCs w:val="24"/>
        </w:rPr>
        <w:t>atlases</w:t>
      </w:r>
      <w:r w:rsidR="005B02EF" w:rsidRPr="00A865BA">
        <w:rPr>
          <w:rFonts w:ascii="Times New Roman" w:hAnsi="Times New Roman" w:cs="Times New Roman"/>
          <w:sz w:val="24"/>
          <w:szCs w:val="24"/>
        </w:rPr>
        <w:t xml:space="preserve"> jautājumos); </w:t>
      </w:r>
    </w:p>
    <w:p w14:paraId="282F8989" w14:textId="77777777" w:rsidR="005B02EF" w:rsidRPr="00A865BA" w:rsidRDefault="005B02EF"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Labas pārvaldības principi (atbildības sadalījums un nepieciešamā ekspertīze);</w:t>
      </w:r>
    </w:p>
    <w:p w14:paraId="42BC2243" w14:textId="77777777" w:rsidR="005B02EF" w:rsidRPr="00A865BA" w:rsidRDefault="005B02EF"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 xml:space="preserve">Caurskatāmība un bankas noturība; </w:t>
      </w:r>
    </w:p>
    <w:p w14:paraId="467B47D8" w14:textId="77777777" w:rsidR="005B02EF" w:rsidRPr="00A865BA" w:rsidRDefault="00A62DC2"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Taisnīgums</w:t>
      </w:r>
      <w:r w:rsidR="005B02EF" w:rsidRPr="00A865BA">
        <w:rPr>
          <w:rFonts w:ascii="Times New Roman" w:hAnsi="Times New Roman" w:cs="Times New Roman"/>
          <w:sz w:val="24"/>
          <w:szCs w:val="24"/>
        </w:rPr>
        <w:t xml:space="preserve"> (attiecībā uz AIIB balsošanas un lēmumu pieņemšanas struktūrām);</w:t>
      </w:r>
    </w:p>
    <w:p w14:paraId="02800BB4" w14:textId="77777777" w:rsidR="005B02EF" w:rsidRPr="00A865BA" w:rsidRDefault="005B02EF"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Nepieciešamība sadarboties ar citām starptautisk</w:t>
      </w:r>
      <w:r w:rsidR="002836AE" w:rsidRPr="00A865BA">
        <w:rPr>
          <w:rFonts w:ascii="Times New Roman" w:hAnsi="Times New Roman" w:cs="Times New Roman"/>
          <w:sz w:val="24"/>
          <w:szCs w:val="24"/>
        </w:rPr>
        <w:t>aj</w:t>
      </w:r>
      <w:r w:rsidRPr="00A865BA">
        <w:rPr>
          <w:rFonts w:ascii="Times New Roman" w:hAnsi="Times New Roman" w:cs="Times New Roman"/>
          <w:sz w:val="24"/>
          <w:szCs w:val="24"/>
        </w:rPr>
        <w:t>ām finanšu institūcijām;</w:t>
      </w:r>
    </w:p>
    <w:p w14:paraId="054DB0E4" w14:textId="77777777" w:rsidR="005B02EF" w:rsidRPr="00A865BA" w:rsidRDefault="00A62DC2" w:rsidP="005B02EF">
      <w:pPr>
        <w:pStyle w:val="ListParagraph"/>
        <w:numPr>
          <w:ilvl w:val="0"/>
          <w:numId w:val="7"/>
        </w:numPr>
        <w:jc w:val="both"/>
        <w:rPr>
          <w:rFonts w:ascii="Times New Roman" w:hAnsi="Times New Roman" w:cs="Times New Roman"/>
          <w:sz w:val="24"/>
          <w:szCs w:val="24"/>
        </w:rPr>
      </w:pPr>
      <w:r w:rsidRPr="00A865BA">
        <w:rPr>
          <w:rFonts w:ascii="Times New Roman" w:hAnsi="Times New Roman" w:cs="Times New Roman"/>
          <w:sz w:val="24"/>
          <w:szCs w:val="24"/>
        </w:rPr>
        <w:t>Elastība</w:t>
      </w:r>
      <w:r w:rsidR="005B02EF" w:rsidRPr="00A865BA">
        <w:rPr>
          <w:rFonts w:ascii="Times New Roman" w:hAnsi="Times New Roman" w:cs="Times New Roman"/>
          <w:sz w:val="24"/>
          <w:szCs w:val="24"/>
        </w:rPr>
        <w:t xml:space="preserve"> (attiecībā uz dalībvalstu iespējām viegli izstāties un atgūt iemaksātās daļas).</w:t>
      </w:r>
    </w:p>
    <w:p w14:paraId="1087CCA9" w14:textId="0892D8B9" w:rsidR="00DF4081" w:rsidRDefault="00DF4081" w:rsidP="00DF4081">
      <w:pPr>
        <w:widowControl w:val="0"/>
        <w:spacing w:before="240" w:line="240" w:lineRule="auto"/>
        <w:ind w:firstLine="360"/>
        <w:jc w:val="both"/>
        <w:rPr>
          <w:rFonts w:ascii="Times New Roman" w:hAnsi="Times New Roman" w:cs="Times New Roman"/>
          <w:sz w:val="24"/>
          <w:szCs w:val="24"/>
        </w:rPr>
      </w:pPr>
      <w:r w:rsidRPr="00A865BA">
        <w:rPr>
          <w:rFonts w:ascii="Times New Roman" w:hAnsi="Times New Roman" w:cs="Times New Roman"/>
          <w:sz w:val="24"/>
          <w:szCs w:val="24"/>
        </w:rPr>
        <w:t>14 ES dalībvalstis ir izteikušas gatavību iesaistīties AIIB dibināš</w:t>
      </w:r>
      <w:r w:rsidR="00640D63" w:rsidRPr="00A865BA">
        <w:rPr>
          <w:rFonts w:ascii="Times New Roman" w:hAnsi="Times New Roman" w:cs="Times New Roman"/>
          <w:sz w:val="24"/>
          <w:szCs w:val="24"/>
        </w:rPr>
        <w:t>anā, paredzot iemaksas kapitālā, un 12 no tām ir parakstījušas AIIB Dibināšanas līguma noteikumus</w:t>
      </w:r>
      <w:r w:rsidR="008C1861" w:rsidRPr="00A865BA">
        <w:rPr>
          <w:rFonts w:ascii="Times New Roman" w:hAnsi="Times New Roman" w:cs="Times New Roman"/>
          <w:sz w:val="24"/>
          <w:szCs w:val="24"/>
        </w:rPr>
        <w:t xml:space="preserve"> (Austrija, Somija, Francija, Vācija, Itālija, Luksemburga, Malta, Nīderlande, Portugāle, Spānija, Zviedrija, Lielbritānija).</w:t>
      </w:r>
      <w:r w:rsidR="00A7396B" w:rsidRPr="00A865BA">
        <w:rPr>
          <w:rFonts w:ascii="Times New Roman" w:hAnsi="Times New Roman" w:cs="Times New Roman"/>
          <w:sz w:val="24"/>
          <w:szCs w:val="24"/>
        </w:rPr>
        <w:t xml:space="preserve"> </w:t>
      </w:r>
      <w:r w:rsidR="009A15E4">
        <w:rPr>
          <w:rFonts w:ascii="Times New Roman" w:hAnsi="Times New Roman" w:cs="Times New Roman"/>
          <w:sz w:val="24"/>
          <w:szCs w:val="24"/>
        </w:rPr>
        <w:t>Līdz šim n</w:t>
      </w:r>
      <w:r w:rsidR="00A7396B" w:rsidRPr="00A865BA">
        <w:rPr>
          <w:rFonts w:ascii="Times New Roman" w:hAnsi="Times New Roman" w:cs="Times New Roman"/>
          <w:sz w:val="24"/>
          <w:szCs w:val="24"/>
        </w:rPr>
        <w:t>eviena no Baltijas valstīm nav izteikusi nodomu piedalīties AIIB dibināšanā.</w:t>
      </w:r>
      <w:r w:rsidR="001268AE" w:rsidRPr="00A865BA">
        <w:rPr>
          <w:rFonts w:ascii="Times New Roman" w:hAnsi="Times New Roman" w:cs="Times New Roman"/>
          <w:sz w:val="24"/>
          <w:szCs w:val="24"/>
        </w:rPr>
        <w:t xml:space="preserve"> Mazākais no ES dalībvalstu ieguldījumiem ir plānots Maltai </w:t>
      </w:r>
      <w:r w:rsidR="00AD0639" w:rsidRPr="00A865BA">
        <w:rPr>
          <w:rFonts w:ascii="Times New Roman" w:hAnsi="Times New Roman" w:cs="Times New Roman"/>
          <w:sz w:val="24"/>
          <w:szCs w:val="24"/>
        </w:rPr>
        <w:t xml:space="preserve">USD </w:t>
      </w:r>
      <w:r w:rsidR="001268AE" w:rsidRPr="00A865BA">
        <w:rPr>
          <w:rFonts w:ascii="Times New Roman" w:hAnsi="Times New Roman" w:cs="Times New Roman"/>
          <w:sz w:val="24"/>
          <w:szCs w:val="24"/>
        </w:rPr>
        <w:t>13,6 milj. apmērā.</w:t>
      </w:r>
    </w:p>
    <w:p w14:paraId="0490F133" w14:textId="77777777" w:rsidR="00AD0639" w:rsidRDefault="00AD0639" w:rsidP="00DF4081">
      <w:pPr>
        <w:widowControl w:val="0"/>
        <w:spacing w:before="240" w:line="240" w:lineRule="auto"/>
        <w:ind w:firstLine="360"/>
        <w:jc w:val="both"/>
        <w:rPr>
          <w:rFonts w:ascii="Times New Roman" w:hAnsi="Times New Roman" w:cs="Times New Roman"/>
          <w:sz w:val="24"/>
          <w:szCs w:val="24"/>
        </w:rPr>
      </w:pPr>
    </w:p>
    <w:p w14:paraId="4781E9A6" w14:textId="77777777" w:rsidR="00AD0639" w:rsidRPr="00A865BA" w:rsidRDefault="00AD0639" w:rsidP="00DF4081">
      <w:pPr>
        <w:widowControl w:val="0"/>
        <w:spacing w:before="240" w:line="240" w:lineRule="auto"/>
        <w:ind w:firstLine="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4054"/>
      </w:tblGrid>
      <w:tr w:rsidR="00BC6602" w:rsidRPr="00A865BA" w14:paraId="5C64D9E1" w14:textId="77777777" w:rsidTr="001268AE">
        <w:trPr>
          <w:trHeight w:val="200"/>
        </w:trPr>
        <w:tc>
          <w:tcPr>
            <w:tcW w:w="4248" w:type="dxa"/>
            <w:hideMark/>
          </w:tcPr>
          <w:p w14:paraId="44C331D9" w14:textId="77777777" w:rsidR="00BC6602" w:rsidRPr="00A865BA" w:rsidRDefault="00BC6602" w:rsidP="00BC6602">
            <w:pPr>
              <w:jc w:val="center"/>
              <w:rPr>
                <w:rFonts w:ascii="Times New Roman" w:eastAsia="Times New Roman" w:hAnsi="Times New Roman" w:cs="Times New Roman"/>
                <w:b/>
                <w:sz w:val="24"/>
                <w:szCs w:val="24"/>
                <w:lang w:eastAsia="en-GB"/>
              </w:rPr>
            </w:pPr>
            <w:r w:rsidRPr="00A865BA">
              <w:rPr>
                <w:rFonts w:ascii="Times New Roman" w:eastAsia="Times New Roman" w:hAnsi="Times New Roman" w:cs="Times New Roman"/>
                <w:b/>
                <w:sz w:val="24"/>
                <w:szCs w:val="24"/>
                <w:lang w:eastAsia="en-GB"/>
              </w:rPr>
              <w:lastRenderedPageBreak/>
              <w:t xml:space="preserve">AIIB </w:t>
            </w:r>
            <w:proofErr w:type="spellStart"/>
            <w:r w:rsidRPr="00A865BA">
              <w:rPr>
                <w:rFonts w:ascii="Times New Roman" w:eastAsia="Times New Roman" w:hAnsi="Times New Roman" w:cs="Times New Roman"/>
                <w:b/>
                <w:sz w:val="24"/>
                <w:szCs w:val="24"/>
                <w:lang w:eastAsia="en-GB"/>
              </w:rPr>
              <w:t>potenciālās</w:t>
            </w:r>
            <w:proofErr w:type="spellEnd"/>
            <w:r w:rsidRPr="00A865BA">
              <w:rPr>
                <w:rFonts w:ascii="Times New Roman" w:eastAsia="Times New Roman" w:hAnsi="Times New Roman" w:cs="Times New Roman"/>
                <w:b/>
                <w:sz w:val="24"/>
                <w:szCs w:val="24"/>
                <w:lang w:eastAsia="en-GB"/>
              </w:rPr>
              <w:t xml:space="preserve"> </w:t>
            </w:r>
            <w:proofErr w:type="spellStart"/>
            <w:r w:rsidRPr="00A865BA">
              <w:rPr>
                <w:rFonts w:ascii="Times New Roman" w:eastAsia="Times New Roman" w:hAnsi="Times New Roman" w:cs="Times New Roman"/>
                <w:b/>
                <w:sz w:val="24"/>
                <w:szCs w:val="24"/>
                <w:lang w:eastAsia="en-GB"/>
              </w:rPr>
              <w:t>dibinātājvalstis</w:t>
            </w:r>
            <w:proofErr w:type="spellEnd"/>
            <w:r w:rsidRPr="00A865BA">
              <w:rPr>
                <w:rFonts w:ascii="Times New Roman" w:eastAsia="Times New Roman" w:hAnsi="Times New Roman" w:cs="Times New Roman"/>
                <w:b/>
                <w:sz w:val="24"/>
                <w:szCs w:val="24"/>
                <w:lang w:eastAsia="en-GB"/>
              </w:rPr>
              <w:t xml:space="preserve"> no ES</w:t>
            </w:r>
          </w:p>
        </w:tc>
        <w:tc>
          <w:tcPr>
            <w:tcW w:w="4054" w:type="dxa"/>
          </w:tcPr>
          <w:p w14:paraId="0F5C20D9" w14:textId="77777777" w:rsidR="00BC6602" w:rsidRPr="00A865BA" w:rsidRDefault="00BC6602" w:rsidP="00BC6602">
            <w:pPr>
              <w:jc w:val="center"/>
              <w:rPr>
                <w:rFonts w:ascii="Times New Roman" w:eastAsia="Times New Roman" w:hAnsi="Times New Roman" w:cs="Times New Roman"/>
                <w:b/>
                <w:sz w:val="24"/>
                <w:szCs w:val="24"/>
                <w:lang w:eastAsia="en-GB"/>
              </w:rPr>
            </w:pPr>
            <w:proofErr w:type="spellStart"/>
            <w:r w:rsidRPr="00A865BA">
              <w:rPr>
                <w:rFonts w:ascii="Times New Roman" w:eastAsia="Times New Roman" w:hAnsi="Times New Roman" w:cs="Times New Roman"/>
                <w:b/>
                <w:sz w:val="24"/>
                <w:szCs w:val="24"/>
                <w:lang w:eastAsia="en-GB"/>
              </w:rPr>
              <w:t>Ieguldījums</w:t>
            </w:r>
            <w:proofErr w:type="spellEnd"/>
            <w:r w:rsidRPr="00A865BA">
              <w:rPr>
                <w:rFonts w:ascii="Times New Roman" w:eastAsia="Times New Roman" w:hAnsi="Times New Roman" w:cs="Times New Roman"/>
                <w:b/>
                <w:sz w:val="24"/>
                <w:szCs w:val="24"/>
                <w:lang w:eastAsia="en-GB"/>
              </w:rPr>
              <w:t xml:space="preserve"> </w:t>
            </w:r>
            <w:proofErr w:type="spellStart"/>
            <w:r w:rsidRPr="00A865BA">
              <w:rPr>
                <w:rFonts w:ascii="Times New Roman" w:eastAsia="Times New Roman" w:hAnsi="Times New Roman" w:cs="Times New Roman"/>
                <w:b/>
                <w:sz w:val="24"/>
                <w:szCs w:val="24"/>
                <w:lang w:eastAsia="en-GB"/>
              </w:rPr>
              <w:t>kapitālā</w:t>
            </w:r>
            <w:proofErr w:type="spellEnd"/>
            <w:r w:rsidRPr="00A865BA">
              <w:rPr>
                <w:rFonts w:ascii="Times New Roman" w:eastAsia="Times New Roman" w:hAnsi="Times New Roman" w:cs="Times New Roman"/>
                <w:b/>
                <w:sz w:val="24"/>
                <w:szCs w:val="24"/>
                <w:lang w:eastAsia="en-GB"/>
              </w:rPr>
              <w:t xml:space="preserve"> (</w:t>
            </w:r>
            <w:proofErr w:type="spellStart"/>
            <w:r w:rsidRPr="00A865BA">
              <w:rPr>
                <w:rFonts w:ascii="Times New Roman" w:eastAsia="Times New Roman" w:hAnsi="Times New Roman" w:cs="Times New Roman"/>
                <w:b/>
                <w:sz w:val="24"/>
                <w:szCs w:val="24"/>
                <w:lang w:eastAsia="en-GB"/>
              </w:rPr>
              <w:t>milj</w:t>
            </w:r>
            <w:proofErr w:type="spellEnd"/>
            <w:r w:rsidRPr="00A865BA">
              <w:rPr>
                <w:rFonts w:ascii="Times New Roman" w:eastAsia="Times New Roman" w:hAnsi="Times New Roman" w:cs="Times New Roman"/>
                <w:b/>
                <w:sz w:val="24"/>
                <w:szCs w:val="24"/>
                <w:lang w:eastAsia="en-GB"/>
              </w:rPr>
              <w:t>. USD)</w:t>
            </w:r>
          </w:p>
        </w:tc>
      </w:tr>
      <w:tr w:rsidR="009955DC" w:rsidRPr="00A865BA" w14:paraId="2F82C167" w14:textId="77777777" w:rsidTr="001268AE">
        <w:trPr>
          <w:trHeight w:val="200"/>
        </w:trPr>
        <w:tc>
          <w:tcPr>
            <w:tcW w:w="4248" w:type="dxa"/>
            <w:hideMark/>
          </w:tcPr>
          <w:p w14:paraId="24077DA8"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eastAsia="Times New Roman" w:hAnsi="Times New Roman" w:cs="Times New Roman"/>
                <w:sz w:val="24"/>
                <w:szCs w:val="24"/>
                <w:lang w:eastAsia="en-GB"/>
              </w:rPr>
              <w:t>Vācija</w:t>
            </w:r>
            <w:proofErr w:type="spellEnd"/>
          </w:p>
        </w:tc>
        <w:tc>
          <w:tcPr>
            <w:tcW w:w="4054" w:type="dxa"/>
          </w:tcPr>
          <w:p w14:paraId="4E6C659B"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4484.2</w:t>
            </w:r>
          </w:p>
        </w:tc>
      </w:tr>
      <w:tr w:rsidR="009955DC" w:rsidRPr="00A865BA" w14:paraId="0F2B1B35" w14:textId="77777777" w:rsidTr="001268AE">
        <w:trPr>
          <w:trHeight w:val="200"/>
        </w:trPr>
        <w:tc>
          <w:tcPr>
            <w:tcW w:w="4248" w:type="dxa"/>
            <w:hideMark/>
          </w:tcPr>
          <w:p w14:paraId="46425AF1"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Francija</w:t>
            </w:r>
            <w:proofErr w:type="spellEnd"/>
          </w:p>
        </w:tc>
        <w:tc>
          <w:tcPr>
            <w:tcW w:w="4054" w:type="dxa"/>
          </w:tcPr>
          <w:p w14:paraId="7AA7B72C"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3375.6</w:t>
            </w:r>
          </w:p>
        </w:tc>
      </w:tr>
      <w:tr w:rsidR="00BC6602" w:rsidRPr="00A865BA" w14:paraId="17047505" w14:textId="77777777" w:rsidTr="001268AE">
        <w:trPr>
          <w:trHeight w:val="200"/>
        </w:trPr>
        <w:tc>
          <w:tcPr>
            <w:tcW w:w="4248" w:type="dxa"/>
            <w:vAlign w:val="center"/>
          </w:tcPr>
          <w:p w14:paraId="03BF7C6D" w14:textId="77777777" w:rsidR="00BC6602"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Lielbritānija</w:t>
            </w:r>
            <w:proofErr w:type="spellEnd"/>
          </w:p>
        </w:tc>
        <w:tc>
          <w:tcPr>
            <w:tcW w:w="4054" w:type="dxa"/>
          </w:tcPr>
          <w:p w14:paraId="64150F9A" w14:textId="77777777" w:rsidR="00BC6602" w:rsidRPr="00A865BA" w:rsidRDefault="00BC6602"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3054.7</w:t>
            </w:r>
          </w:p>
        </w:tc>
      </w:tr>
      <w:tr w:rsidR="009955DC" w:rsidRPr="00A865BA" w14:paraId="6107BE45" w14:textId="77777777" w:rsidTr="001268AE">
        <w:trPr>
          <w:trHeight w:val="200"/>
        </w:trPr>
        <w:tc>
          <w:tcPr>
            <w:tcW w:w="4248" w:type="dxa"/>
            <w:hideMark/>
          </w:tcPr>
          <w:p w14:paraId="2109EDC7"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Itālija</w:t>
            </w:r>
            <w:proofErr w:type="spellEnd"/>
          </w:p>
        </w:tc>
        <w:tc>
          <w:tcPr>
            <w:tcW w:w="4054" w:type="dxa"/>
          </w:tcPr>
          <w:p w14:paraId="14F39E2C"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2571.8</w:t>
            </w:r>
          </w:p>
        </w:tc>
      </w:tr>
      <w:tr w:rsidR="009955DC" w:rsidRPr="00A865BA" w14:paraId="3E337594" w14:textId="77777777" w:rsidTr="001268AE">
        <w:trPr>
          <w:trHeight w:val="200"/>
        </w:trPr>
        <w:tc>
          <w:tcPr>
            <w:tcW w:w="4248" w:type="dxa"/>
            <w:hideMark/>
          </w:tcPr>
          <w:p w14:paraId="011B576E"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Spānija</w:t>
            </w:r>
            <w:proofErr w:type="spellEnd"/>
          </w:p>
        </w:tc>
        <w:tc>
          <w:tcPr>
            <w:tcW w:w="4054" w:type="dxa"/>
          </w:tcPr>
          <w:p w14:paraId="10F5BBD4"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1761.5</w:t>
            </w:r>
          </w:p>
        </w:tc>
      </w:tr>
      <w:tr w:rsidR="009955DC" w:rsidRPr="00A865BA" w14:paraId="7624A576" w14:textId="77777777" w:rsidTr="001268AE">
        <w:trPr>
          <w:trHeight w:val="200"/>
        </w:trPr>
        <w:tc>
          <w:tcPr>
            <w:tcW w:w="4248" w:type="dxa"/>
            <w:hideMark/>
          </w:tcPr>
          <w:p w14:paraId="573291A2"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Nīderlande</w:t>
            </w:r>
            <w:proofErr w:type="spellEnd"/>
          </w:p>
        </w:tc>
        <w:tc>
          <w:tcPr>
            <w:tcW w:w="4054" w:type="dxa"/>
          </w:tcPr>
          <w:p w14:paraId="4A09D45C"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1031.3</w:t>
            </w:r>
          </w:p>
        </w:tc>
      </w:tr>
      <w:tr w:rsidR="00BC6602" w:rsidRPr="00A865BA" w14:paraId="78A812DB" w14:textId="77777777" w:rsidTr="001268AE">
        <w:trPr>
          <w:trHeight w:val="200"/>
        </w:trPr>
        <w:tc>
          <w:tcPr>
            <w:tcW w:w="4248" w:type="dxa"/>
            <w:vAlign w:val="center"/>
          </w:tcPr>
          <w:p w14:paraId="76EC8A1D" w14:textId="77777777" w:rsidR="00BC6602"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Zviedrija</w:t>
            </w:r>
            <w:proofErr w:type="spellEnd"/>
          </w:p>
        </w:tc>
        <w:tc>
          <w:tcPr>
            <w:tcW w:w="4054" w:type="dxa"/>
          </w:tcPr>
          <w:p w14:paraId="6B7B6A40" w14:textId="77777777" w:rsidR="00BC6602" w:rsidRPr="00A865BA" w:rsidRDefault="00BC6602"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630.0</w:t>
            </w:r>
          </w:p>
        </w:tc>
      </w:tr>
      <w:tr w:rsidR="009955DC" w:rsidRPr="00A865BA" w14:paraId="3C0212C9" w14:textId="77777777" w:rsidTr="001268AE">
        <w:trPr>
          <w:trHeight w:val="200"/>
        </w:trPr>
        <w:tc>
          <w:tcPr>
            <w:tcW w:w="4248" w:type="dxa"/>
            <w:hideMark/>
          </w:tcPr>
          <w:p w14:paraId="62E85444"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Austrija</w:t>
            </w:r>
            <w:proofErr w:type="spellEnd"/>
          </w:p>
        </w:tc>
        <w:tc>
          <w:tcPr>
            <w:tcW w:w="4054" w:type="dxa"/>
          </w:tcPr>
          <w:p w14:paraId="05F5A686"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500.8</w:t>
            </w:r>
          </w:p>
        </w:tc>
      </w:tr>
      <w:tr w:rsidR="009955DC" w:rsidRPr="00A865BA" w14:paraId="3214D142" w14:textId="77777777" w:rsidTr="001268AE">
        <w:trPr>
          <w:trHeight w:val="200"/>
        </w:trPr>
        <w:tc>
          <w:tcPr>
            <w:tcW w:w="4248" w:type="dxa"/>
            <w:hideMark/>
          </w:tcPr>
          <w:p w14:paraId="36977406"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Somija</w:t>
            </w:r>
            <w:proofErr w:type="spellEnd"/>
          </w:p>
        </w:tc>
        <w:tc>
          <w:tcPr>
            <w:tcW w:w="4054" w:type="dxa"/>
          </w:tcPr>
          <w:p w14:paraId="6B4ADD33"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310.3</w:t>
            </w:r>
          </w:p>
        </w:tc>
      </w:tr>
      <w:tr w:rsidR="009955DC" w:rsidRPr="00A865BA" w14:paraId="68705517" w14:textId="77777777" w:rsidTr="001268AE">
        <w:trPr>
          <w:trHeight w:val="200"/>
        </w:trPr>
        <w:tc>
          <w:tcPr>
            <w:tcW w:w="4248" w:type="dxa"/>
            <w:hideMark/>
          </w:tcPr>
          <w:p w14:paraId="63ACA1D3"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Luksemburga</w:t>
            </w:r>
            <w:proofErr w:type="spellEnd"/>
          </w:p>
        </w:tc>
        <w:tc>
          <w:tcPr>
            <w:tcW w:w="4054" w:type="dxa"/>
          </w:tcPr>
          <w:p w14:paraId="70C8F51D"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69.7</w:t>
            </w:r>
          </w:p>
        </w:tc>
      </w:tr>
      <w:tr w:rsidR="009955DC" w:rsidRPr="00A865BA" w14:paraId="1B0CA19D" w14:textId="77777777" w:rsidTr="001268AE">
        <w:trPr>
          <w:trHeight w:val="200"/>
        </w:trPr>
        <w:tc>
          <w:tcPr>
            <w:tcW w:w="4248" w:type="dxa"/>
            <w:hideMark/>
          </w:tcPr>
          <w:p w14:paraId="387D416D" w14:textId="77777777" w:rsidR="009955DC" w:rsidRPr="00A865BA" w:rsidRDefault="00BC6602" w:rsidP="00CF0106">
            <w:pPr>
              <w:rPr>
                <w:rFonts w:ascii="Times New Roman" w:eastAsia="Times New Roman" w:hAnsi="Times New Roman" w:cs="Times New Roman"/>
                <w:sz w:val="24"/>
                <w:szCs w:val="24"/>
                <w:lang w:eastAsia="en-GB"/>
              </w:rPr>
            </w:pPr>
            <w:proofErr w:type="spellStart"/>
            <w:r w:rsidRPr="00A865BA">
              <w:rPr>
                <w:rFonts w:ascii="Times New Roman" w:hAnsi="Times New Roman" w:cs="Times New Roman"/>
                <w:sz w:val="24"/>
                <w:szCs w:val="24"/>
              </w:rPr>
              <w:t>Portugāle</w:t>
            </w:r>
            <w:proofErr w:type="spellEnd"/>
          </w:p>
        </w:tc>
        <w:tc>
          <w:tcPr>
            <w:tcW w:w="4054" w:type="dxa"/>
          </w:tcPr>
          <w:p w14:paraId="3843C5EB"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65.0</w:t>
            </w:r>
          </w:p>
        </w:tc>
      </w:tr>
      <w:tr w:rsidR="009955DC" w:rsidRPr="00A865BA" w14:paraId="5C461508" w14:textId="77777777" w:rsidTr="001268AE">
        <w:trPr>
          <w:trHeight w:val="200"/>
        </w:trPr>
        <w:tc>
          <w:tcPr>
            <w:tcW w:w="4248" w:type="dxa"/>
            <w:hideMark/>
          </w:tcPr>
          <w:p w14:paraId="4EA0C453" w14:textId="77777777" w:rsidR="009955DC" w:rsidRPr="00A865BA" w:rsidRDefault="009955DC" w:rsidP="00CF0106">
            <w:pPr>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Malta</w:t>
            </w:r>
          </w:p>
        </w:tc>
        <w:tc>
          <w:tcPr>
            <w:tcW w:w="4054" w:type="dxa"/>
          </w:tcPr>
          <w:p w14:paraId="08987827" w14:textId="77777777" w:rsidR="009955DC" w:rsidRPr="00A865BA" w:rsidRDefault="009955DC" w:rsidP="00CF0106">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13.6</w:t>
            </w:r>
          </w:p>
        </w:tc>
      </w:tr>
      <w:tr w:rsidR="009955DC" w:rsidRPr="00A865BA" w14:paraId="0942BE49" w14:textId="77777777" w:rsidTr="001268AE">
        <w:trPr>
          <w:trHeight w:val="200"/>
        </w:trPr>
        <w:tc>
          <w:tcPr>
            <w:tcW w:w="4248" w:type="dxa"/>
            <w:vAlign w:val="center"/>
          </w:tcPr>
          <w:p w14:paraId="07A1BBD6" w14:textId="77777777" w:rsidR="009955DC" w:rsidRPr="00A865BA" w:rsidRDefault="009955DC" w:rsidP="00BC6602">
            <w:pPr>
              <w:rPr>
                <w:rFonts w:ascii="Times New Roman" w:eastAsia="Times New Roman" w:hAnsi="Times New Roman" w:cs="Times New Roman"/>
                <w:sz w:val="24"/>
                <w:szCs w:val="24"/>
                <w:lang w:eastAsia="en-GB"/>
              </w:rPr>
            </w:pPr>
            <w:proofErr w:type="spellStart"/>
            <w:r w:rsidRPr="00A865BA">
              <w:rPr>
                <w:rFonts w:ascii="Times New Roman" w:eastAsia="Times New Roman" w:hAnsi="Times New Roman" w:cs="Times New Roman"/>
                <w:sz w:val="24"/>
                <w:szCs w:val="24"/>
                <w:lang w:eastAsia="en-GB"/>
              </w:rPr>
              <w:t>Pol</w:t>
            </w:r>
            <w:r w:rsidR="00BC6602" w:rsidRPr="00A865BA">
              <w:rPr>
                <w:rFonts w:ascii="Times New Roman" w:eastAsia="Times New Roman" w:hAnsi="Times New Roman" w:cs="Times New Roman"/>
                <w:sz w:val="24"/>
                <w:szCs w:val="24"/>
                <w:lang w:eastAsia="en-GB"/>
              </w:rPr>
              <w:t>ija</w:t>
            </w:r>
            <w:proofErr w:type="spellEnd"/>
            <w:r w:rsidRPr="00A865BA">
              <w:rPr>
                <w:rFonts w:ascii="Times New Roman" w:eastAsia="Times New Roman" w:hAnsi="Times New Roman" w:cs="Times New Roman"/>
                <w:sz w:val="24"/>
                <w:szCs w:val="24"/>
                <w:lang w:eastAsia="en-GB"/>
              </w:rPr>
              <w:t xml:space="preserve"> </w:t>
            </w:r>
            <w:r w:rsidR="00BC6602" w:rsidRPr="00A865BA">
              <w:rPr>
                <w:rFonts w:ascii="Times New Roman" w:eastAsia="Times New Roman" w:hAnsi="Times New Roman" w:cs="Times New Roman"/>
                <w:sz w:val="24"/>
                <w:szCs w:val="24"/>
                <w:lang w:eastAsia="en-GB"/>
              </w:rPr>
              <w:t>(</w:t>
            </w:r>
            <w:proofErr w:type="spellStart"/>
            <w:r w:rsidR="00BC6602" w:rsidRPr="00A865BA">
              <w:rPr>
                <w:rFonts w:ascii="Times New Roman" w:eastAsia="Times New Roman" w:hAnsi="Times New Roman" w:cs="Times New Roman"/>
                <w:sz w:val="24"/>
                <w:szCs w:val="24"/>
                <w:lang w:eastAsia="en-GB"/>
              </w:rPr>
              <w:t>plāno</w:t>
            </w:r>
            <w:proofErr w:type="spellEnd"/>
            <w:r w:rsidR="00BC6602" w:rsidRPr="00A865BA">
              <w:rPr>
                <w:rFonts w:ascii="Times New Roman" w:eastAsia="Times New Roman" w:hAnsi="Times New Roman" w:cs="Times New Roman"/>
                <w:sz w:val="24"/>
                <w:szCs w:val="24"/>
                <w:lang w:eastAsia="en-GB"/>
              </w:rPr>
              <w:t xml:space="preserve"> </w:t>
            </w:r>
            <w:proofErr w:type="spellStart"/>
            <w:r w:rsidR="00BC6602" w:rsidRPr="00A865BA">
              <w:rPr>
                <w:rFonts w:ascii="Times New Roman" w:eastAsia="Times New Roman" w:hAnsi="Times New Roman" w:cs="Times New Roman"/>
                <w:sz w:val="24"/>
                <w:szCs w:val="24"/>
                <w:lang w:eastAsia="en-GB"/>
              </w:rPr>
              <w:t>parakstīties</w:t>
            </w:r>
            <w:proofErr w:type="spellEnd"/>
            <w:r w:rsidR="00BC6602" w:rsidRPr="00A865BA">
              <w:rPr>
                <w:rFonts w:ascii="Times New Roman" w:eastAsia="Times New Roman" w:hAnsi="Times New Roman" w:cs="Times New Roman"/>
                <w:sz w:val="24"/>
                <w:szCs w:val="24"/>
                <w:lang w:eastAsia="en-GB"/>
              </w:rPr>
              <w:t>)</w:t>
            </w:r>
          </w:p>
        </w:tc>
        <w:tc>
          <w:tcPr>
            <w:tcW w:w="4054" w:type="dxa"/>
          </w:tcPr>
          <w:p w14:paraId="62AFB1BE" w14:textId="77777777" w:rsidR="009955DC" w:rsidRPr="00A865BA" w:rsidRDefault="009955DC" w:rsidP="009955DC">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831.8</w:t>
            </w:r>
          </w:p>
        </w:tc>
      </w:tr>
      <w:tr w:rsidR="00BC6602" w:rsidRPr="00A865BA" w14:paraId="6B8D353D" w14:textId="77777777" w:rsidTr="001268AE">
        <w:trPr>
          <w:trHeight w:val="200"/>
        </w:trPr>
        <w:tc>
          <w:tcPr>
            <w:tcW w:w="4248" w:type="dxa"/>
            <w:vAlign w:val="center"/>
          </w:tcPr>
          <w:p w14:paraId="608ABE73" w14:textId="77777777" w:rsidR="00BC6602" w:rsidRPr="00A865BA" w:rsidRDefault="00BC6602" w:rsidP="00BC6602">
            <w:pPr>
              <w:rPr>
                <w:rFonts w:ascii="Times New Roman" w:eastAsia="Times New Roman" w:hAnsi="Times New Roman" w:cs="Times New Roman"/>
                <w:sz w:val="24"/>
                <w:szCs w:val="24"/>
                <w:lang w:eastAsia="en-GB"/>
              </w:rPr>
            </w:pPr>
            <w:proofErr w:type="spellStart"/>
            <w:r w:rsidRPr="00A865BA">
              <w:rPr>
                <w:rFonts w:ascii="Times New Roman" w:eastAsia="Times New Roman" w:hAnsi="Times New Roman" w:cs="Times New Roman"/>
                <w:sz w:val="24"/>
                <w:szCs w:val="24"/>
                <w:lang w:eastAsia="en-GB"/>
              </w:rPr>
              <w:t>Dānija</w:t>
            </w:r>
            <w:proofErr w:type="spellEnd"/>
            <w:r w:rsidRPr="00A865BA">
              <w:rPr>
                <w:rFonts w:ascii="Times New Roman" w:eastAsia="Times New Roman" w:hAnsi="Times New Roman" w:cs="Times New Roman"/>
                <w:sz w:val="24"/>
                <w:szCs w:val="24"/>
                <w:lang w:eastAsia="en-GB"/>
              </w:rPr>
              <w:t xml:space="preserve"> (</w:t>
            </w:r>
            <w:proofErr w:type="spellStart"/>
            <w:r w:rsidRPr="00A865BA">
              <w:rPr>
                <w:rFonts w:ascii="Times New Roman" w:eastAsia="Times New Roman" w:hAnsi="Times New Roman" w:cs="Times New Roman"/>
                <w:sz w:val="24"/>
                <w:szCs w:val="24"/>
                <w:lang w:eastAsia="en-GB"/>
              </w:rPr>
              <w:t>plāno</w:t>
            </w:r>
            <w:proofErr w:type="spellEnd"/>
            <w:r w:rsidRPr="00A865BA">
              <w:rPr>
                <w:rFonts w:ascii="Times New Roman" w:eastAsia="Times New Roman" w:hAnsi="Times New Roman" w:cs="Times New Roman"/>
                <w:sz w:val="24"/>
                <w:szCs w:val="24"/>
                <w:lang w:eastAsia="en-GB"/>
              </w:rPr>
              <w:t xml:space="preserve"> </w:t>
            </w:r>
            <w:proofErr w:type="spellStart"/>
            <w:r w:rsidRPr="00A865BA">
              <w:rPr>
                <w:rFonts w:ascii="Times New Roman" w:eastAsia="Times New Roman" w:hAnsi="Times New Roman" w:cs="Times New Roman"/>
                <w:sz w:val="24"/>
                <w:szCs w:val="24"/>
                <w:lang w:eastAsia="en-GB"/>
              </w:rPr>
              <w:t>parakstīties</w:t>
            </w:r>
            <w:proofErr w:type="spellEnd"/>
            <w:r w:rsidRPr="00A865BA">
              <w:rPr>
                <w:rFonts w:ascii="Times New Roman" w:eastAsia="Times New Roman" w:hAnsi="Times New Roman" w:cs="Times New Roman"/>
                <w:sz w:val="24"/>
                <w:szCs w:val="24"/>
                <w:lang w:eastAsia="en-GB"/>
              </w:rPr>
              <w:t>)</w:t>
            </w:r>
          </w:p>
        </w:tc>
        <w:tc>
          <w:tcPr>
            <w:tcW w:w="4054" w:type="dxa"/>
          </w:tcPr>
          <w:p w14:paraId="45B92A01" w14:textId="77777777" w:rsidR="00BC6602" w:rsidRPr="00A865BA" w:rsidRDefault="00BC6602" w:rsidP="00BC6602">
            <w:pPr>
              <w:jc w:val="right"/>
              <w:rPr>
                <w:rFonts w:ascii="Times New Roman" w:eastAsia="Times New Roman" w:hAnsi="Times New Roman" w:cs="Times New Roman"/>
                <w:sz w:val="24"/>
                <w:szCs w:val="24"/>
                <w:lang w:eastAsia="en-GB"/>
              </w:rPr>
            </w:pPr>
            <w:r w:rsidRPr="00A865BA">
              <w:rPr>
                <w:rFonts w:ascii="Times New Roman" w:eastAsia="Times New Roman" w:hAnsi="Times New Roman" w:cs="Times New Roman"/>
                <w:sz w:val="24"/>
                <w:szCs w:val="24"/>
                <w:lang w:eastAsia="en-GB"/>
              </w:rPr>
              <w:t>369.5</w:t>
            </w:r>
          </w:p>
        </w:tc>
      </w:tr>
    </w:tbl>
    <w:p w14:paraId="23404CF0" w14:textId="77777777" w:rsidR="00BC6602" w:rsidRPr="00A865BA" w:rsidRDefault="00BC6602" w:rsidP="00DF79A4">
      <w:pPr>
        <w:ind w:firstLine="720"/>
        <w:jc w:val="both"/>
        <w:rPr>
          <w:rFonts w:ascii="Times New Roman" w:hAnsi="Times New Roman" w:cs="Times New Roman"/>
          <w:sz w:val="24"/>
          <w:szCs w:val="24"/>
        </w:rPr>
      </w:pPr>
    </w:p>
    <w:p w14:paraId="11F4D369" w14:textId="76AFBCE1" w:rsidR="00F045E0" w:rsidRDefault="00AB411F" w:rsidP="00DF79A4">
      <w:pPr>
        <w:ind w:firstLine="720"/>
        <w:jc w:val="both"/>
        <w:rPr>
          <w:rFonts w:ascii="Times New Roman" w:hAnsi="Times New Roman" w:cs="Times New Roman"/>
          <w:sz w:val="24"/>
          <w:szCs w:val="24"/>
        </w:rPr>
      </w:pPr>
      <w:r w:rsidRPr="00A865BA">
        <w:rPr>
          <w:rFonts w:ascii="Times New Roman" w:hAnsi="Times New Roman" w:cs="Times New Roman"/>
          <w:sz w:val="24"/>
          <w:szCs w:val="24"/>
        </w:rPr>
        <w:t>P</w:t>
      </w:r>
      <w:r w:rsidR="005B02EF" w:rsidRPr="00A865BA">
        <w:rPr>
          <w:rFonts w:ascii="Times New Roman" w:hAnsi="Times New Roman" w:cs="Times New Roman"/>
          <w:sz w:val="24"/>
          <w:szCs w:val="24"/>
        </w:rPr>
        <w:t>aredz</w:t>
      </w:r>
      <w:r w:rsidRPr="00A865BA">
        <w:rPr>
          <w:rFonts w:ascii="Times New Roman" w:hAnsi="Times New Roman" w:cs="Times New Roman"/>
          <w:sz w:val="24"/>
          <w:szCs w:val="24"/>
        </w:rPr>
        <w:t>ams</w:t>
      </w:r>
      <w:r w:rsidR="005B02EF" w:rsidRPr="00A865BA">
        <w:rPr>
          <w:rFonts w:ascii="Times New Roman" w:hAnsi="Times New Roman" w:cs="Times New Roman"/>
          <w:sz w:val="24"/>
          <w:szCs w:val="24"/>
        </w:rPr>
        <w:t xml:space="preserve">, ka turpinoties sarunām par </w:t>
      </w:r>
      <w:r w:rsidR="00F045E0" w:rsidRPr="00A865BA">
        <w:rPr>
          <w:rFonts w:ascii="Times New Roman" w:hAnsi="Times New Roman" w:cs="Times New Roman"/>
          <w:sz w:val="24"/>
          <w:szCs w:val="24"/>
        </w:rPr>
        <w:t>AIIB darbību</w:t>
      </w:r>
      <w:r w:rsidR="005B02EF" w:rsidRPr="00A865BA">
        <w:rPr>
          <w:rFonts w:ascii="Times New Roman" w:hAnsi="Times New Roman" w:cs="Times New Roman"/>
          <w:sz w:val="24"/>
          <w:szCs w:val="24"/>
        </w:rPr>
        <w:t xml:space="preserve">, </w:t>
      </w:r>
      <w:r w:rsidR="009A15E4">
        <w:rPr>
          <w:rFonts w:ascii="Times New Roman" w:hAnsi="Times New Roman" w:cs="Times New Roman"/>
          <w:sz w:val="24"/>
          <w:szCs w:val="24"/>
        </w:rPr>
        <w:t>aktuālāki</w:t>
      </w:r>
      <w:r w:rsidR="005B02EF" w:rsidRPr="00A865BA">
        <w:rPr>
          <w:rFonts w:ascii="Times New Roman" w:hAnsi="Times New Roman" w:cs="Times New Roman"/>
          <w:sz w:val="24"/>
          <w:szCs w:val="24"/>
        </w:rPr>
        <w:t xml:space="preserve"> būs pārvaldības jautājumi. </w:t>
      </w:r>
      <w:r w:rsidR="008A3750">
        <w:rPr>
          <w:rFonts w:ascii="Times New Roman" w:hAnsi="Times New Roman" w:cs="Times New Roman"/>
          <w:sz w:val="24"/>
          <w:szCs w:val="24"/>
        </w:rPr>
        <w:t>Divi krēsli tiks iedalīti Eiropas reģiona valstīm</w:t>
      </w:r>
      <w:r w:rsidR="00AD0639">
        <w:rPr>
          <w:rFonts w:ascii="Times New Roman" w:hAnsi="Times New Roman" w:cs="Times New Roman"/>
          <w:sz w:val="24"/>
          <w:szCs w:val="24"/>
        </w:rPr>
        <w:t>,</w:t>
      </w:r>
      <w:r w:rsidR="008A3750">
        <w:rPr>
          <w:rFonts w:ascii="Times New Roman" w:hAnsi="Times New Roman" w:cs="Times New Roman"/>
          <w:sz w:val="24"/>
          <w:szCs w:val="24"/>
        </w:rPr>
        <w:t xml:space="preserve"> sadalot tās eiro-zonas valstu grupā un pārējo Eiropas valstu grupā. Šobrīd notiek sarunas par atbilstošākās rotācijas shēmas izveidi, kas </w:t>
      </w:r>
      <w:r w:rsidR="00140ECD">
        <w:rPr>
          <w:rFonts w:ascii="Times New Roman" w:hAnsi="Times New Roman" w:cs="Times New Roman"/>
          <w:sz w:val="24"/>
          <w:szCs w:val="24"/>
        </w:rPr>
        <w:t>ņemtu vērā</w:t>
      </w:r>
      <w:r w:rsidR="008A3750">
        <w:rPr>
          <w:rFonts w:ascii="Times New Roman" w:hAnsi="Times New Roman" w:cs="Times New Roman"/>
          <w:sz w:val="24"/>
          <w:szCs w:val="24"/>
        </w:rPr>
        <w:t xml:space="preserve"> adekvātu balsstiesību un efektīvas koordinācijas kombināciju. Kā pirmie kandidāti direktoru posteņiem </w:t>
      </w:r>
      <w:proofErr w:type="spellStart"/>
      <w:r w:rsidR="008A3750">
        <w:rPr>
          <w:rFonts w:ascii="Times New Roman" w:hAnsi="Times New Roman" w:cs="Times New Roman"/>
          <w:sz w:val="24"/>
          <w:szCs w:val="24"/>
        </w:rPr>
        <w:t>eirozonas</w:t>
      </w:r>
      <w:proofErr w:type="spellEnd"/>
      <w:r w:rsidR="008A3750">
        <w:rPr>
          <w:rFonts w:ascii="Times New Roman" w:hAnsi="Times New Roman" w:cs="Times New Roman"/>
          <w:sz w:val="24"/>
          <w:szCs w:val="24"/>
        </w:rPr>
        <w:t xml:space="preserve"> valstu grupā tiek minēti Vācijas un Francijas pārstāvji, savukārt pārējo Eiropas valstu direktoru pārstāvēs Lielbritānija. Atlikušajām nereģionālajām valstīm-akcionāriem AIIB tiks piešķirts atsevišķs krēsls, </w:t>
      </w:r>
      <w:r w:rsidR="00AD0639">
        <w:rPr>
          <w:rFonts w:ascii="Times New Roman" w:hAnsi="Times New Roman" w:cs="Times New Roman"/>
          <w:sz w:val="24"/>
          <w:szCs w:val="24"/>
        </w:rPr>
        <w:t xml:space="preserve">un </w:t>
      </w:r>
      <w:r w:rsidR="00595D5E">
        <w:rPr>
          <w:rFonts w:ascii="Times New Roman" w:hAnsi="Times New Roman" w:cs="Times New Roman"/>
          <w:sz w:val="24"/>
          <w:szCs w:val="24"/>
        </w:rPr>
        <w:t>iespējams</w:t>
      </w:r>
      <w:r w:rsidR="008A3750">
        <w:rPr>
          <w:rFonts w:ascii="Times New Roman" w:hAnsi="Times New Roman" w:cs="Times New Roman"/>
          <w:sz w:val="24"/>
          <w:szCs w:val="24"/>
        </w:rPr>
        <w:t>, ka sākotnēji direktora pienākumus šajā valstu grupā pildīs Brazīlija</w:t>
      </w:r>
      <w:r w:rsidR="00595D5E">
        <w:rPr>
          <w:rFonts w:ascii="Times New Roman" w:hAnsi="Times New Roman" w:cs="Times New Roman"/>
          <w:sz w:val="24"/>
          <w:szCs w:val="24"/>
        </w:rPr>
        <w:t>.</w:t>
      </w:r>
    </w:p>
    <w:p w14:paraId="40A17244" w14:textId="77777777" w:rsidR="005A1163" w:rsidRPr="00A865BA" w:rsidRDefault="005A1163" w:rsidP="00DF79A4">
      <w:pPr>
        <w:ind w:firstLine="720"/>
        <w:jc w:val="both"/>
        <w:rPr>
          <w:rFonts w:ascii="Times New Roman" w:hAnsi="Times New Roman" w:cs="Times New Roman"/>
          <w:sz w:val="24"/>
          <w:szCs w:val="24"/>
        </w:rPr>
      </w:pPr>
    </w:p>
    <w:p w14:paraId="785F2634" w14:textId="77777777" w:rsidR="00AB5104" w:rsidRPr="00A865BA" w:rsidRDefault="00780A48" w:rsidP="00586448">
      <w:pPr>
        <w:pStyle w:val="ListParagraph"/>
        <w:numPr>
          <w:ilvl w:val="0"/>
          <w:numId w:val="6"/>
        </w:numPr>
        <w:rPr>
          <w:rFonts w:ascii="Times New Roman" w:hAnsi="Times New Roman" w:cs="Times New Roman"/>
          <w:b/>
          <w:sz w:val="24"/>
          <w:szCs w:val="24"/>
        </w:rPr>
      </w:pPr>
      <w:r w:rsidRPr="00A865BA">
        <w:rPr>
          <w:rFonts w:ascii="Times New Roman" w:hAnsi="Times New Roman" w:cs="Times New Roman"/>
          <w:b/>
          <w:sz w:val="24"/>
          <w:szCs w:val="24"/>
        </w:rPr>
        <w:t>Latvijas sadarbība ar Āzijas reģionu</w:t>
      </w:r>
    </w:p>
    <w:p w14:paraId="75498888" w14:textId="414F1787" w:rsidR="00680438" w:rsidRPr="00A865BA" w:rsidRDefault="00E66531" w:rsidP="00E66531">
      <w:pPr>
        <w:widowControl w:val="0"/>
        <w:spacing w:before="240" w:line="240" w:lineRule="auto"/>
        <w:ind w:firstLine="709"/>
        <w:jc w:val="both"/>
        <w:rPr>
          <w:rFonts w:ascii="Times New Roman" w:eastAsia="Times New Roman" w:hAnsi="Times New Roman" w:cs="Times New Roman"/>
          <w:sz w:val="24"/>
          <w:szCs w:val="24"/>
        </w:rPr>
      </w:pPr>
      <w:r w:rsidRPr="003C0E7C">
        <w:rPr>
          <w:rFonts w:ascii="Times New Roman" w:eastAsia="Times New Roman" w:hAnsi="Times New Roman" w:cs="Times New Roman"/>
          <w:sz w:val="24"/>
          <w:szCs w:val="24"/>
        </w:rPr>
        <w:t>Saskaņā ar Ārlietu ministrijas sniegto informāciju, lai aktivizētu sadarbību ar Ķīnu, Latvija ir iesaistījusies Ķīnas sadarbības formātā ar Centrālās un Austrumeiropas valstīm, jeb „16+1 formātā”, kas tika uzsākts 2012. gadā. Kā vienu no galvenajām prioritātēm šajā formātā, Latvija ir definējusi transporta un loģistikas nozari, un Satiksmes ministrija kopā ar Ārlietu ministriju strādā pie tā, lai Latvijā tiktu izveidots „16+1 formāta” transporta un loģistikas koordinācijas centrs. Šī Latvijas prioritāte sakrīt arī ar Ķīnas valdības realizēto „Zīda ceļa ekonomiskas joslas un Jūras Zīda ceļa iniciatīvu” (</w:t>
      </w:r>
      <w:proofErr w:type="spellStart"/>
      <w:r w:rsidRPr="003C0E7C">
        <w:rPr>
          <w:rFonts w:ascii="Times New Roman" w:eastAsia="Times New Roman" w:hAnsi="Times New Roman" w:cs="Times New Roman"/>
          <w:i/>
          <w:sz w:val="24"/>
          <w:szCs w:val="24"/>
        </w:rPr>
        <w:t>One</w:t>
      </w:r>
      <w:proofErr w:type="spellEnd"/>
      <w:r w:rsidRPr="003C0E7C">
        <w:rPr>
          <w:rFonts w:ascii="Times New Roman" w:eastAsia="Times New Roman" w:hAnsi="Times New Roman" w:cs="Times New Roman"/>
          <w:i/>
          <w:sz w:val="24"/>
          <w:szCs w:val="24"/>
        </w:rPr>
        <w:t xml:space="preserve"> Belt, </w:t>
      </w:r>
      <w:proofErr w:type="spellStart"/>
      <w:r w:rsidRPr="003C0E7C">
        <w:rPr>
          <w:rFonts w:ascii="Times New Roman" w:eastAsia="Times New Roman" w:hAnsi="Times New Roman" w:cs="Times New Roman"/>
          <w:i/>
          <w:sz w:val="24"/>
          <w:szCs w:val="24"/>
        </w:rPr>
        <w:t>One</w:t>
      </w:r>
      <w:proofErr w:type="spellEnd"/>
      <w:r w:rsidRPr="003C0E7C">
        <w:rPr>
          <w:rFonts w:ascii="Times New Roman" w:eastAsia="Times New Roman" w:hAnsi="Times New Roman" w:cs="Times New Roman"/>
          <w:i/>
          <w:sz w:val="24"/>
          <w:szCs w:val="24"/>
        </w:rPr>
        <w:t xml:space="preserve"> </w:t>
      </w:r>
      <w:proofErr w:type="spellStart"/>
      <w:r w:rsidRPr="003C0E7C">
        <w:rPr>
          <w:rFonts w:ascii="Times New Roman" w:eastAsia="Times New Roman" w:hAnsi="Times New Roman" w:cs="Times New Roman"/>
          <w:i/>
          <w:sz w:val="24"/>
          <w:szCs w:val="24"/>
        </w:rPr>
        <w:t>Road</w:t>
      </w:r>
      <w:proofErr w:type="spellEnd"/>
      <w:r w:rsidRPr="003C0E7C">
        <w:rPr>
          <w:rFonts w:ascii="Times New Roman" w:eastAsia="Times New Roman" w:hAnsi="Times New Roman" w:cs="Times New Roman"/>
          <w:sz w:val="24"/>
          <w:szCs w:val="24"/>
        </w:rPr>
        <w:t>). Plānots, ka „Zīda Ceļa iniciatīva” būs visaptveroša un tās ietvaros paredzēts aktivizēt ne tikai ekonomiskos un transporta sakarus starp Eiropu un Āziju, bet attīstīt sadarbību un veikt apmaiņu arī citās jomās, piemēram, izglītībā, zinātnē un kultūrā.</w:t>
      </w:r>
      <w:r>
        <w:rPr>
          <w:rFonts w:ascii="Times New Roman" w:eastAsia="Times New Roman" w:hAnsi="Times New Roman" w:cs="Times New Roman"/>
          <w:sz w:val="24"/>
          <w:szCs w:val="24"/>
        </w:rPr>
        <w:t xml:space="preserve"> </w:t>
      </w:r>
      <w:r w:rsidR="00680438" w:rsidRPr="00A865BA">
        <w:rPr>
          <w:rFonts w:ascii="Times New Roman" w:eastAsia="Times New Roman" w:hAnsi="Times New Roman" w:cs="Times New Roman"/>
          <w:sz w:val="24"/>
          <w:szCs w:val="24"/>
        </w:rPr>
        <w:t xml:space="preserve">Latvijas interesēs ir sadarbības aktivizēšana ar Āzijas valstīm gan </w:t>
      </w:r>
      <w:proofErr w:type="spellStart"/>
      <w:r w:rsidR="00680438" w:rsidRPr="00A865BA">
        <w:rPr>
          <w:rFonts w:ascii="Times New Roman" w:eastAsia="Times New Roman" w:hAnsi="Times New Roman" w:cs="Times New Roman"/>
          <w:sz w:val="24"/>
          <w:szCs w:val="24"/>
        </w:rPr>
        <w:t>Centrālāzijā</w:t>
      </w:r>
      <w:proofErr w:type="spellEnd"/>
      <w:r w:rsidR="00680438" w:rsidRPr="00A865BA">
        <w:rPr>
          <w:rFonts w:ascii="Times New Roman" w:eastAsia="Times New Roman" w:hAnsi="Times New Roman" w:cs="Times New Roman"/>
          <w:sz w:val="24"/>
          <w:szCs w:val="24"/>
        </w:rPr>
        <w:t>, gan Tālajos Austrumos, gan Dienvidāzijā Latvijas preču noieta</w:t>
      </w:r>
      <w:r w:rsidR="00EA1B77">
        <w:rPr>
          <w:rFonts w:ascii="Times New Roman" w:eastAsia="Times New Roman" w:hAnsi="Times New Roman" w:cs="Times New Roman"/>
          <w:sz w:val="24"/>
          <w:szCs w:val="24"/>
        </w:rPr>
        <w:t xml:space="preserve"> apjomu palielināšanai un</w:t>
      </w:r>
      <w:r w:rsidR="00680438" w:rsidRPr="00A865BA">
        <w:rPr>
          <w:rFonts w:ascii="Times New Roman" w:eastAsia="Times New Roman" w:hAnsi="Times New Roman" w:cs="Times New Roman"/>
          <w:sz w:val="24"/>
          <w:szCs w:val="24"/>
        </w:rPr>
        <w:t xml:space="preserve"> tirgu diversificēšanai</w:t>
      </w:r>
      <w:r w:rsidR="00EA1B77">
        <w:rPr>
          <w:rFonts w:ascii="Times New Roman" w:eastAsia="Times New Roman" w:hAnsi="Times New Roman" w:cs="Times New Roman"/>
          <w:sz w:val="24"/>
          <w:szCs w:val="24"/>
        </w:rPr>
        <w:t>, kā arī</w:t>
      </w:r>
      <w:r w:rsidR="00680438" w:rsidRPr="00A865BA">
        <w:rPr>
          <w:rFonts w:ascii="Times New Roman" w:eastAsia="Times New Roman" w:hAnsi="Times New Roman" w:cs="Times New Roman"/>
          <w:sz w:val="24"/>
          <w:szCs w:val="24"/>
        </w:rPr>
        <w:t xml:space="preserve"> Latvijas transporta un loģistikas infrastruktūras izmantošanai kravu pārvadājumiem no Āzijas uz Eiropu un atpakaļ, kā</w:t>
      </w:r>
      <w:r w:rsidR="00EA1B77">
        <w:rPr>
          <w:rFonts w:ascii="Times New Roman" w:eastAsia="Times New Roman" w:hAnsi="Times New Roman" w:cs="Times New Roman"/>
          <w:sz w:val="24"/>
          <w:szCs w:val="24"/>
        </w:rPr>
        <w:t xml:space="preserve"> arī </w:t>
      </w:r>
      <w:r w:rsidR="00680438" w:rsidRPr="00A865BA">
        <w:rPr>
          <w:rFonts w:ascii="Times New Roman" w:eastAsia="Times New Roman" w:hAnsi="Times New Roman" w:cs="Times New Roman"/>
          <w:sz w:val="24"/>
          <w:szCs w:val="24"/>
        </w:rPr>
        <w:t>citās nozarēs. Ar šīs sadarbības veicināšanu nodarbojas Latvijas vēstniecības</w:t>
      </w:r>
      <w:r w:rsidR="00EA1B77">
        <w:rPr>
          <w:rFonts w:ascii="Times New Roman" w:eastAsia="Times New Roman" w:hAnsi="Times New Roman" w:cs="Times New Roman"/>
          <w:sz w:val="24"/>
          <w:szCs w:val="24"/>
        </w:rPr>
        <w:t xml:space="preserve"> un Latvijas ārējās ekonomiskās pārstāvniecības</w:t>
      </w:r>
      <w:r w:rsidR="00680438" w:rsidRPr="00A865BA">
        <w:rPr>
          <w:rFonts w:ascii="Times New Roman" w:eastAsia="Times New Roman" w:hAnsi="Times New Roman" w:cs="Times New Roman"/>
          <w:sz w:val="24"/>
          <w:szCs w:val="24"/>
        </w:rPr>
        <w:t xml:space="preserve"> Kazahstānā, Uzbekistānā, Indijā, Ķīnā un Japānā. </w:t>
      </w:r>
    </w:p>
    <w:p w14:paraId="40C8CEB3" w14:textId="75ACDB4D" w:rsidR="00CC2A56" w:rsidRPr="00A865BA" w:rsidRDefault="00CC2A56" w:rsidP="00CC2A56">
      <w:pPr>
        <w:ind w:firstLine="709"/>
        <w:jc w:val="both"/>
        <w:rPr>
          <w:rFonts w:ascii="Times New Roman" w:hAnsi="Times New Roman" w:cs="Times New Roman"/>
          <w:sz w:val="24"/>
          <w:szCs w:val="24"/>
        </w:rPr>
      </w:pPr>
      <w:r w:rsidRPr="00A865BA">
        <w:rPr>
          <w:rFonts w:ascii="Times New Roman" w:hAnsi="Times New Roman" w:cs="Times New Roman"/>
          <w:sz w:val="24"/>
          <w:szCs w:val="24"/>
        </w:rPr>
        <w:lastRenderedPageBreak/>
        <w:t xml:space="preserve">2014.gadā Latvijas preču eksports uz </w:t>
      </w:r>
      <w:r w:rsidR="00DB398B" w:rsidRPr="00A865BA">
        <w:rPr>
          <w:rFonts w:ascii="Times New Roman" w:hAnsi="Times New Roman" w:cs="Times New Roman"/>
          <w:sz w:val="24"/>
          <w:szCs w:val="24"/>
        </w:rPr>
        <w:t>AIIB</w:t>
      </w:r>
      <w:r w:rsidRPr="00A865BA">
        <w:rPr>
          <w:rFonts w:ascii="Times New Roman" w:hAnsi="Times New Roman" w:cs="Times New Roman"/>
          <w:sz w:val="24"/>
          <w:szCs w:val="24"/>
        </w:rPr>
        <w:t xml:space="preserve"> reģionālajām dalībvalstīm</w:t>
      </w:r>
      <w:r w:rsidRPr="00A865BA">
        <w:rPr>
          <w:rStyle w:val="FootnoteReference"/>
          <w:rFonts w:ascii="Times New Roman" w:hAnsi="Times New Roman" w:cs="Times New Roman"/>
          <w:sz w:val="24"/>
          <w:szCs w:val="24"/>
        </w:rPr>
        <w:footnoteReference w:id="4"/>
      </w:r>
      <w:r w:rsidRPr="00A865BA">
        <w:rPr>
          <w:rFonts w:ascii="Times New Roman" w:hAnsi="Times New Roman" w:cs="Times New Roman"/>
          <w:sz w:val="24"/>
          <w:szCs w:val="24"/>
        </w:rPr>
        <w:t xml:space="preserve"> bija 1 763,9 milj. eiro, kas ir par 3,2% mazāk salīdzinājumā ar 2013.gada apjomu. Galvenais noieta tirgus šajā valstu grupā 2014. gadā bija Krievija. Eksports uz Irānu, kas arī ir viens no nozīmīgākajiem tirdzniecības partneriem Āzijas reģionā un viens no galvenajiem graudaugu preču noieta tirgiem kopumā, 2014.gadā ir samazinājies - par 5,5%. Samazinājumu noteica tieši graudaugu, it īpaši kviešu eksporta kritums. Neskatoties uz to, ka kopējais preču eksporta apjoms uz šo reģionu ir krities, eksporta apjomi uz atsevišķām reģiona valstīm 2014.gadā palielinājās. Pozitīvi vērtējams preču eksporta pieaugums uz Ķīnu par 26,5%, ko galvenokārt nodrošināja neapstrādātie kokmateriāli. Neskatoties uz to, ka koksne ir galvenā prece eksportā uz Ķīnu un tās eksporta apjomi turpina palielināties, koksnes preču eksports ar augstu pievienoto vērtību ir ļoti mazs. Augoša tendence pēdējos gados fiksēta kūdras eksportā. Vēl viens Latvijai nozīmīgs noieta tirgus, uz kuru 2014.gadā bija vērojams eksporta apjomu kāpums, ir Turcija, - kopumā par 5,9%. Aiz Krievijas, Turcija ir otrs lielākais Latvijas tirdzniecības partneris Āzijas reģionā. Preču eksports uz pārējām šī reģiona valstīm ir salīdzinoši mazs un svārstīgs. Pēdējos gados pieaugošu eksporta tendenci var redzēt uz tādiem tirgiem kā Azerbaidžāna, Izraēla, Dienvidkoreja un Uzbekistāna.</w:t>
      </w:r>
      <w:r w:rsidR="00F1763E" w:rsidRPr="00A865BA">
        <w:rPr>
          <w:rFonts w:ascii="Times New Roman" w:hAnsi="Times New Roman" w:cs="Times New Roman"/>
          <w:sz w:val="24"/>
          <w:szCs w:val="24"/>
        </w:rPr>
        <w:t xml:space="preserve"> </w:t>
      </w:r>
      <w:r w:rsidR="00836404" w:rsidRPr="006077BD">
        <w:rPr>
          <w:rFonts w:ascii="Times New Roman" w:hAnsi="Times New Roman" w:cs="Times New Roman"/>
          <w:sz w:val="24"/>
          <w:szCs w:val="24"/>
        </w:rPr>
        <w:t xml:space="preserve">Jāsecina, ka preču eksporta apjoms uz Āzijas </w:t>
      </w:r>
      <w:r w:rsidR="00E66531" w:rsidRPr="006077BD">
        <w:rPr>
          <w:rFonts w:ascii="Times New Roman" w:hAnsi="Times New Roman" w:cs="Times New Roman"/>
          <w:sz w:val="24"/>
          <w:szCs w:val="24"/>
        </w:rPr>
        <w:t>reģiona</w:t>
      </w:r>
      <w:r w:rsidR="00836404" w:rsidRPr="006077BD">
        <w:rPr>
          <w:rFonts w:ascii="Times New Roman" w:hAnsi="Times New Roman" w:cs="Times New Roman"/>
          <w:sz w:val="24"/>
          <w:szCs w:val="24"/>
        </w:rPr>
        <w:t xml:space="preserve"> valst</w:t>
      </w:r>
      <w:r w:rsidR="00E66531" w:rsidRPr="006077BD">
        <w:rPr>
          <w:rFonts w:ascii="Times New Roman" w:hAnsi="Times New Roman" w:cs="Times New Roman"/>
          <w:sz w:val="24"/>
          <w:szCs w:val="24"/>
        </w:rPr>
        <w:t>īm</w:t>
      </w:r>
      <w:r w:rsidR="00836404" w:rsidRPr="006077BD">
        <w:rPr>
          <w:rFonts w:ascii="Times New Roman" w:hAnsi="Times New Roman" w:cs="Times New Roman"/>
          <w:sz w:val="24"/>
          <w:szCs w:val="24"/>
        </w:rPr>
        <w:t xml:space="preserve"> bija 17,2% no kopēja Latvijas preču eksporta 2014. gadā, taču vairāk nekā pusi no kopējā apjoma uz šīm valstīm veido eksports uz Krieviju. Ņemot vērā, ka 2015. gadā septiņos mēnešos preču eksports uz Krieviju samazinājies par 19,2% salīdzinājumā ar pērnā gada attiecīgo periodu. Pārējo Āzijas </w:t>
      </w:r>
      <w:r w:rsidR="00E66531" w:rsidRPr="006077BD">
        <w:rPr>
          <w:rFonts w:ascii="Times New Roman" w:hAnsi="Times New Roman" w:cs="Times New Roman"/>
          <w:sz w:val="24"/>
          <w:szCs w:val="24"/>
        </w:rPr>
        <w:t xml:space="preserve">reģiona </w:t>
      </w:r>
      <w:r w:rsidR="00836404" w:rsidRPr="006077BD">
        <w:rPr>
          <w:rFonts w:ascii="Times New Roman" w:hAnsi="Times New Roman" w:cs="Times New Roman"/>
          <w:sz w:val="24"/>
          <w:szCs w:val="24"/>
        </w:rPr>
        <w:t>valstu īpatsvars kopējā Latvijas preču eksportā ir mazs.</w:t>
      </w:r>
      <w:r w:rsidR="006077BD" w:rsidRPr="006077BD">
        <w:rPr>
          <w:rFonts w:ascii="Times New Roman" w:hAnsi="Times New Roman" w:cs="Times New Roman"/>
          <w:sz w:val="24"/>
          <w:szCs w:val="24"/>
        </w:rPr>
        <w:t xml:space="preserve"> </w:t>
      </w:r>
      <w:r w:rsidR="00836404" w:rsidRPr="006077BD">
        <w:rPr>
          <w:rFonts w:ascii="Times New Roman" w:hAnsi="Times New Roman" w:cs="Times New Roman"/>
          <w:sz w:val="24"/>
          <w:szCs w:val="24"/>
        </w:rPr>
        <w:t xml:space="preserve">Vērtējot preču eksporta struktūru uz pārējām valstīm no kvalitatīvā aspekta, jāsecina kā dominē preces ar zemo pievienoto vērtību, piemēram neapstrādātā koksne un dzelzs atkritumi. Papildus tam, jāatzīmē, ka šo tirgu kultūra būtiski atšķiras no Latvijas, kā arī patērētāju gaume un uzvedība ir maz izpētīta. Tomēr Latvijas uzņēmēji pakāpeniski sāk apgūt arī šo valstu tirgus. Īpaši var atzīmēt faktu, ka šā gada pirmajā pusgadā 10 Latvijas piena pārstrādes un 11 zivju pārstrādes uzņēmumi izgāja </w:t>
      </w:r>
      <w:r w:rsidR="00836404" w:rsidRPr="006077BD">
        <w:rPr>
          <w:rStyle w:val="Strong"/>
          <w:rFonts w:ascii="Times New Roman" w:hAnsi="Times New Roman" w:cs="Times New Roman"/>
          <w:b w:val="0"/>
          <w:sz w:val="24"/>
          <w:szCs w:val="24"/>
        </w:rPr>
        <w:t xml:space="preserve">akreditācijas procesu un saņēma atļauju eksportēt uz Ķīnu, kas ir pozitīvs signāls un paver jaunas iespējas vietējiem eksportētājiem. Tādējādi, turpmākā eksporta attīstība uz šo reģionu būs atkarīga no Latvijas uzņēmumu </w:t>
      </w:r>
      <w:r w:rsidR="00E66531" w:rsidRPr="006077BD">
        <w:rPr>
          <w:rStyle w:val="Strong"/>
          <w:rFonts w:ascii="Times New Roman" w:hAnsi="Times New Roman" w:cs="Times New Roman"/>
          <w:b w:val="0"/>
          <w:sz w:val="24"/>
          <w:szCs w:val="24"/>
        </w:rPr>
        <w:t>piedāvājuma</w:t>
      </w:r>
      <w:r w:rsidR="00836404" w:rsidRPr="006077BD">
        <w:rPr>
          <w:rStyle w:val="Strong"/>
          <w:rFonts w:ascii="Times New Roman" w:hAnsi="Times New Roman" w:cs="Times New Roman"/>
          <w:b w:val="0"/>
          <w:sz w:val="24"/>
          <w:szCs w:val="24"/>
        </w:rPr>
        <w:t xml:space="preserve"> un iespējām pielāgot savus pašreizējos produktus Āzijas tirgus īpatnībām</w:t>
      </w:r>
      <w:r w:rsidR="00E66531" w:rsidRPr="006077BD">
        <w:rPr>
          <w:rStyle w:val="Strong"/>
          <w:rFonts w:ascii="Times New Roman" w:hAnsi="Times New Roman" w:cs="Times New Roman"/>
          <w:b w:val="0"/>
          <w:sz w:val="24"/>
          <w:szCs w:val="24"/>
        </w:rPr>
        <w:t>,</w:t>
      </w:r>
      <w:r w:rsidR="00836404" w:rsidRPr="006077BD">
        <w:rPr>
          <w:rStyle w:val="Strong"/>
          <w:rFonts w:ascii="Times New Roman" w:hAnsi="Times New Roman" w:cs="Times New Roman"/>
          <w:b w:val="0"/>
          <w:sz w:val="24"/>
          <w:szCs w:val="24"/>
        </w:rPr>
        <w:t xml:space="preserve"> piedāvā</w:t>
      </w:r>
      <w:r w:rsidR="00E66531" w:rsidRPr="006077BD">
        <w:rPr>
          <w:rStyle w:val="Strong"/>
          <w:rFonts w:ascii="Times New Roman" w:hAnsi="Times New Roman" w:cs="Times New Roman"/>
          <w:b w:val="0"/>
          <w:sz w:val="24"/>
          <w:szCs w:val="24"/>
        </w:rPr>
        <w:t>jot</w:t>
      </w:r>
      <w:r w:rsidR="00836404" w:rsidRPr="006077BD">
        <w:rPr>
          <w:rStyle w:val="Strong"/>
          <w:rFonts w:ascii="Times New Roman" w:hAnsi="Times New Roman" w:cs="Times New Roman"/>
          <w:b w:val="0"/>
          <w:sz w:val="24"/>
          <w:szCs w:val="24"/>
        </w:rPr>
        <w:t xml:space="preserve"> jaunas, augstas kvalitātes preces.</w:t>
      </w:r>
      <w:r w:rsidR="00836404">
        <w:rPr>
          <w:rFonts w:ascii="Times New Roman" w:hAnsi="Times New Roman" w:cs="Times New Roman"/>
          <w:sz w:val="24"/>
          <w:szCs w:val="24"/>
        </w:rPr>
        <w:t xml:space="preserve"> </w:t>
      </w:r>
    </w:p>
    <w:p w14:paraId="72AE6FE8" w14:textId="47EAB428" w:rsidR="000C1C30" w:rsidRPr="00A865BA" w:rsidRDefault="00E66531" w:rsidP="000C1C30">
      <w:pPr>
        <w:widowControl w:val="0"/>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ka AIIB galvenais darbības virziens būs lielie infrastruktūras projekti (piemēram, lidostas, elektrostacijas un ostas), Latvijas uzņēmēju eksporta piedāvājuma atbilstība AIIB mandātam varētu būt minimāla, kā arī pagaidām n</w:t>
      </w:r>
      <w:r w:rsidR="000C1C30" w:rsidRPr="00A865BA">
        <w:rPr>
          <w:rFonts w:ascii="Times New Roman" w:eastAsia="Times New Roman" w:hAnsi="Times New Roman" w:cs="Times New Roman"/>
          <w:sz w:val="24"/>
          <w:szCs w:val="24"/>
        </w:rPr>
        <w:t xml:space="preserve">av iespējams pilnīgi novērtēt </w:t>
      </w:r>
      <w:r w:rsidR="000C1C30">
        <w:rPr>
          <w:rFonts w:ascii="Times New Roman" w:eastAsia="Times New Roman" w:hAnsi="Times New Roman" w:cs="Times New Roman"/>
          <w:sz w:val="24"/>
          <w:szCs w:val="24"/>
        </w:rPr>
        <w:t xml:space="preserve">Latvijas </w:t>
      </w:r>
      <w:r w:rsidR="000C1C30" w:rsidRPr="00A865BA">
        <w:rPr>
          <w:rFonts w:ascii="Times New Roman" w:eastAsia="Times New Roman" w:hAnsi="Times New Roman" w:cs="Times New Roman"/>
          <w:sz w:val="24"/>
          <w:szCs w:val="24"/>
        </w:rPr>
        <w:t>līdzdalības ietekmi uz sadarbības veicināšanu</w:t>
      </w:r>
      <w:r w:rsidR="000C1C30">
        <w:rPr>
          <w:rFonts w:ascii="Times New Roman" w:eastAsia="Times New Roman" w:hAnsi="Times New Roman" w:cs="Times New Roman"/>
          <w:sz w:val="24"/>
          <w:szCs w:val="24"/>
        </w:rPr>
        <w:t xml:space="preserve"> ar Āzijas reģionu</w:t>
      </w:r>
      <w:r w:rsidR="000C1C30" w:rsidRPr="00A865BA">
        <w:rPr>
          <w:rFonts w:ascii="Times New Roman" w:eastAsia="Times New Roman" w:hAnsi="Times New Roman" w:cs="Times New Roman"/>
          <w:sz w:val="24"/>
          <w:szCs w:val="24"/>
        </w:rPr>
        <w:t xml:space="preserve">, kas atkarīga gan no </w:t>
      </w:r>
      <w:r w:rsidR="000C1C30">
        <w:rPr>
          <w:rFonts w:ascii="Times New Roman" w:eastAsia="Times New Roman" w:hAnsi="Times New Roman" w:cs="Times New Roman"/>
          <w:sz w:val="24"/>
          <w:szCs w:val="24"/>
        </w:rPr>
        <w:t xml:space="preserve">nākotnē </w:t>
      </w:r>
      <w:r w:rsidR="000C1C30" w:rsidRPr="00A865BA">
        <w:rPr>
          <w:rFonts w:ascii="Times New Roman" w:eastAsia="Times New Roman" w:hAnsi="Times New Roman" w:cs="Times New Roman"/>
          <w:sz w:val="24"/>
          <w:szCs w:val="24"/>
        </w:rPr>
        <w:t xml:space="preserve">īstenoto </w:t>
      </w:r>
      <w:r w:rsidR="000C1C30">
        <w:rPr>
          <w:rFonts w:ascii="Times New Roman" w:eastAsia="Times New Roman" w:hAnsi="Times New Roman" w:cs="Times New Roman"/>
          <w:sz w:val="24"/>
          <w:szCs w:val="24"/>
        </w:rPr>
        <w:t xml:space="preserve">AIIB </w:t>
      </w:r>
      <w:r w:rsidR="000C1C30" w:rsidRPr="00A865BA">
        <w:rPr>
          <w:rFonts w:ascii="Times New Roman" w:eastAsia="Times New Roman" w:hAnsi="Times New Roman" w:cs="Times New Roman"/>
          <w:sz w:val="24"/>
          <w:szCs w:val="24"/>
        </w:rPr>
        <w:t xml:space="preserve">projektu veidiem, gan </w:t>
      </w:r>
      <w:r>
        <w:rPr>
          <w:rFonts w:ascii="Times New Roman" w:eastAsia="Times New Roman" w:hAnsi="Times New Roman" w:cs="Times New Roman"/>
          <w:sz w:val="24"/>
          <w:szCs w:val="24"/>
        </w:rPr>
        <w:t xml:space="preserve">no </w:t>
      </w:r>
      <w:r w:rsidR="000C1C30" w:rsidRPr="00A865BA">
        <w:rPr>
          <w:rFonts w:ascii="Times New Roman" w:eastAsia="Times New Roman" w:hAnsi="Times New Roman" w:cs="Times New Roman"/>
          <w:sz w:val="24"/>
          <w:szCs w:val="24"/>
        </w:rPr>
        <w:t xml:space="preserve">Latvijas uzņēmumu piedāvājuma un konkurētspējas līmeņa. </w:t>
      </w:r>
    </w:p>
    <w:p w14:paraId="2908110B" w14:textId="77777777" w:rsidR="00680438" w:rsidRPr="00A865BA" w:rsidRDefault="00680438" w:rsidP="00680438">
      <w:pPr>
        <w:widowControl w:val="0"/>
        <w:spacing w:after="0" w:line="240" w:lineRule="auto"/>
        <w:ind w:firstLine="720"/>
        <w:jc w:val="both"/>
        <w:rPr>
          <w:rFonts w:ascii="Times New Roman" w:eastAsia="Times New Roman" w:hAnsi="Times New Roman" w:cs="Times New Roman"/>
          <w:sz w:val="24"/>
          <w:szCs w:val="24"/>
        </w:rPr>
      </w:pPr>
    </w:p>
    <w:p w14:paraId="35828CEB" w14:textId="77777777" w:rsidR="00780A48" w:rsidRPr="00A865BA" w:rsidRDefault="00586448" w:rsidP="00586448">
      <w:pPr>
        <w:pStyle w:val="ListParagraph"/>
        <w:numPr>
          <w:ilvl w:val="0"/>
          <w:numId w:val="6"/>
        </w:numPr>
        <w:rPr>
          <w:rFonts w:ascii="Times New Roman" w:hAnsi="Times New Roman" w:cs="Times New Roman"/>
          <w:b/>
          <w:sz w:val="24"/>
          <w:szCs w:val="24"/>
        </w:rPr>
      </w:pPr>
      <w:r w:rsidRPr="00A865BA">
        <w:rPr>
          <w:rFonts w:ascii="Times New Roman" w:hAnsi="Times New Roman" w:cs="Times New Roman"/>
          <w:b/>
          <w:sz w:val="24"/>
          <w:szCs w:val="24"/>
        </w:rPr>
        <w:t>Turpmākā rīcība</w:t>
      </w:r>
    </w:p>
    <w:p w14:paraId="6C64D681" w14:textId="77777777" w:rsidR="007A7126" w:rsidRPr="00A865BA" w:rsidRDefault="00E94767" w:rsidP="00DF79A4">
      <w:pPr>
        <w:widowControl w:val="0"/>
        <w:spacing w:before="240" w:line="240" w:lineRule="auto"/>
        <w:ind w:firstLine="720"/>
        <w:jc w:val="both"/>
        <w:rPr>
          <w:rFonts w:ascii="Times New Roman" w:eastAsia="Times New Roman" w:hAnsi="Times New Roman" w:cs="Times New Roman"/>
          <w:sz w:val="24"/>
          <w:szCs w:val="24"/>
        </w:rPr>
      </w:pPr>
      <w:r w:rsidRPr="00A865BA">
        <w:rPr>
          <w:rFonts w:ascii="Times New Roman" w:eastAsia="Times New Roman" w:hAnsi="Times New Roman" w:cs="Times New Roman"/>
          <w:sz w:val="24"/>
          <w:szCs w:val="24"/>
        </w:rPr>
        <w:t>Latvijas puse seko</w:t>
      </w:r>
      <w:r w:rsidR="00680438" w:rsidRPr="00A865BA">
        <w:rPr>
          <w:rFonts w:ascii="Times New Roman" w:eastAsia="Times New Roman" w:hAnsi="Times New Roman" w:cs="Times New Roman"/>
          <w:sz w:val="24"/>
          <w:szCs w:val="24"/>
        </w:rPr>
        <w:t xml:space="preserve"> līdzi AIIB dibināšanas virzībai</w:t>
      </w:r>
      <w:r w:rsidRPr="00A865BA">
        <w:rPr>
          <w:rFonts w:ascii="Times New Roman" w:eastAsia="Times New Roman" w:hAnsi="Times New Roman" w:cs="Times New Roman"/>
          <w:sz w:val="24"/>
          <w:szCs w:val="24"/>
        </w:rPr>
        <w:t xml:space="preserve">. Vienlaikus, SCIMF aktīvi </w:t>
      </w:r>
      <w:r w:rsidRPr="00A865BA">
        <w:rPr>
          <w:rFonts w:ascii="Times New Roman" w:eastAsia="Times New Roman" w:hAnsi="Times New Roman" w:cs="Times New Roman"/>
          <w:sz w:val="24"/>
          <w:szCs w:val="24"/>
        </w:rPr>
        <w:lastRenderedPageBreak/>
        <w:t xml:space="preserve">strādā pie savlaicīgas un pilnīgas informācijas pieejamības nodrošināšanas visām ES dalībvalstīm par norisēm AIIB bankā. </w:t>
      </w:r>
    </w:p>
    <w:p w14:paraId="78265579" w14:textId="6EB70252" w:rsidR="001A6497" w:rsidRDefault="007107AC" w:rsidP="001A6497">
      <w:pPr>
        <w:tabs>
          <w:tab w:val="right" w:pos="9072"/>
        </w:tabs>
        <w:spacing w:after="0" w:line="240" w:lineRule="auto"/>
        <w:ind w:firstLine="709"/>
        <w:jc w:val="both"/>
        <w:rPr>
          <w:rFonts w:ascii="Times New Roman" w:eastAsia="Times New Roman" w:hAnsi="Times New Roman" w:cs="Times New Roman"/>
          <w:sz w:val="24"/>
          <w:szCs w:val="24"/>
        </w:rPr>
      </w:pPr>
      <w:r w:rsidRPr="001F0A84">
        <w:rPr>
          <w:rFonts w:ascii="Times New Roman" w:eastAsia="Times New Roman" w:hAnsi="Times New Roman" w:cs="Times New Roman"/>
          <w:sz w:val="24"/>
          <w:szCs w:val="24"/>
        </w:rPr>
        <w:t>Ministru kabineta 2015.gada 11.augusta sēdē (prot. Nr.38 52.§) tika izskatīts finanšu ministra iesniegtais informatīvais ziņojums “Par makroekonomisko rādītāju, ieņēmumu un vispārējās valdības budžeta bilances prognozēm 2016. – 2018.gadā”, un valdība pieņēma zināšanai</w:t>
      </w:r>
      <w:r w:rsidR="00797B4D">
        <w:rPr>
          <w:rFonts w:ascii="Times New Roman" w:eastAsia="Times New Roman" w:hAnsi="Times New Roman" w:cs="Times New Roman"/>
          <w:sz w:val="24"/>
          <w:szCs w:val="24"/>
        </w:rPr>
        <w:t>, ka</w:t>
      </w:r>
      <w:r w:rsidRPr="001F0A84">
        <w:rPr>
          <w:rFonts w:ascii="Times New Roman" w:eastAsia="Times New Roman" w:hAnsi="Times New Roman" w:cs="Times New Roman"/>
          <w:sz w:val="24"/>
          <w:szCs w:val="24"/>
        </w:rPr>
        <w:t xml:space="preserve"> </w:t>
      </w:r>
      <w:r w:rsidR="00797B4D" w:rsidRPr="001F0A84">
        <w:rPr>
          <w:rFonts w:ascii="Times New Roman" w:eastAsia="Times New Roman" w:hAnsi="Times New Roman" w:cs="Times New Roman"/>
          <w:sz w:val="24"/>
          <w:szCs w:val="24"/>
        </w:rPr>
        <w:t>2016.gadā</w:t>
      </w:r>
      <w:r w:rsidR="00797B4D">
        <w:rPr>
          <w:rFonts w:ascii="Times New Roman" w:eastAsia="Times New Roman" w:hAnsi="Times New Roman" w:cs="Times New Roman"/>
          <w:sz w:val="24"/>
          <w:szCs w:val="24"/>
        </w:rPr>
        <w:t xml:space="preserve"> ir negatīva fiskālā telpa</w:t>
      </w:r>
      <w:r w:rsidR="00797B4D" w:rsidRPr="001F0A84">
        <w:rPr>
          <w:rFonts w:ascii="Times New Roman" w:eastAsia="Times New Roman" w:hAnsi="Times New Roman" w:cs="Times New Roman"/>
          <w:sz w:val="24"/>
          <w:szCs w:val="24"/>
        </w:rPr>
        <w:t xml:space="preserve"> -96,8 milj. EUR apmērā</w:t>
      </w:r>
      <w:r w:rsidR="00797B4D" w:rsidRPr="001F0A84">
        <w:rPr>
          <w:rFonts w:ascii="Times New Roman" w:eastAsia="Times New Roman" w:hAnsi="Times New Roman" w:cs="Times New Roman"/>
          <w:sz w:val="24"/>
          <w:szCs w:val="24"/>
        </w:rPr>
        <w:t xml:space="preserve"> </w:t>
      </w:r>
      <w:r w:rsidRPr="001F0A84">
        <w:rPr>
          <w:rFonts w:ascii="Times New Roman" w:eastAsia="Times New Roman" w:hAnsi="Times New Roman" w:cs="Times New Roman"/>
          <w:sz w:val="24"/>
          <w:szCs w:val="24"/>
        </w:rPr>
        <w:t>. Līdz ar to 2016.gadā iespējas rast papildu valsts budžeta finansējumu, lai piedalītos AIIB dibināšanā un veicot iemaksu kapitālā, ir ierobežotas.</w:t>
      </w:r>
    </w:p>
    <w:p w14:paraId="4F3AC0FA" w14:textId="77777777" w:rsidR="00797B4D" w:rsidRDefault="00797B4D" w:rsidP="001A6497">
      <w:pPr>
        <w:tabs>
          <w:tab w:val="right" w:pos="9072"/>
        </w:tabs>
        <w:spacing w:after="0" w:line="240" w:lineRule="auto"/>
        <w:ind w:firstLine="709"/>
        <w:jc w:val="both"/>
        <w:rPr>
          <w:rFonts w:ascii="Times New Roman" w:eastAsia="Times New Roman" w:hAnsi="Times New Roman" w:cs="Times New Roman"/>
          <w:sz w:val="24"/>
          <w:szCs w:val="24"/>
        </w:rPr>
      </w:pPr>
    </w:p>
    <w:p w14:paraId="76C987E4" w14:textId="46AB98F3" w:rsidR="00797B4D" w:rsidRPr="00A865BA" w:rsidRDefault="00797B4D" w:rsidP="001A6497">
      <w:pPr>
        <w:tabs>
          <w:tab w:val="right" w:pos="9072"/>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cs="Times New Roman"/>
          <w:sz w:val="24"/>
          <w:szCs w:val="24"/>
        </w:rPr>
        <w:t xml:space="preserve">Tāpat ir jāņem vērā, ka Latvija jau ir akciju daļu turētāja šādās starptautiskās finanšu institūcijās - Pasaules Banka, Starptautiskais Valūtas fonds, Eiropas Rekonstrukcijas un attīstības banka, Eiropas Investīciju banka, Ziemeļu Investīciju banka un Eiropas Padomes Attīstības banka. </w:t>
      </w:r>
    </w:p>
    <w:p w14:paraId="71AA0029" w14:textId="77777777" w:rsidR="00AB411F" w:rsidRPr="00A865BA" w:rsidRDefault="007A7126" w:rsidP="007A7126">
      <w:pPr>
        <w:widowControl w:val="0"/>
        <w:spacing w:before="240" w:line="240" w:lineRule="auto"/>
        <w:ind w:firstLine="720"/>
        <w:jc w:val="both"/>
        <w:rPr>
          <w:rFonts w:ascii="Times New Roman" w:eastAsia="Times New Roman" w:hAnsi="Times New Roman" w:cs="Times New Roman"/>
          <w:sz w:val="24"/>
          <w:szCs w:val="24"/>
        </w:rPr>
      </w:pPr>
      <w:r w:rsidRPr="00A865BA">
        <w:rPr>
          <w:rFonts w:ascii="Times New Roman" w:eastAsia="Times New Roman" w:hAnsi="Times New Roman" w:cs="Times New Roman"/>
          <w:sz w:val="24"/>
          <w:szCs w:val="24"/>
        </w:rPr>
        <w:t>Ņemot vērā</w:t>
      </w:r>
      <w:r w:rsidR="00B45F62" w:rsidRPr="00A865BA">
        <w:rPr>
          <w:rFonts w:ascii="Times New Roman" w:eastAsia="Times New Roman" w:hAnsi="Times New Roman" w:cs="Times New Roman"/>
          <w:sz w:val="24"/>
          <w:szCs w:val="24"/>
        </w:rPr>
        <w:t xml:space="preserve"> iepriekš minēto, kā arī to</w:t>
      </w:r>
      <w:r w:rsidRPr="00A865BA">
        <w:rPr>
          <w:rFonts w:ascii="Times New Roman" w:eastAsia="Times New Roman" w:hAnsi="Times New Roman" w:cs="Times New Roman"/>
          <w:sz w:val="24"/>
          <w:szCs w:val="24"/>
        </w:rPr>
        <w:t>, ka Ķīnas valdības puse Latviju nav uzrunājusi</w:t>
      </w:r>
      <w:r w:rsidR="00B45F62" w:rsidRPr="00A865BA">
        <w:rPr>
          <w:rFonts w:ascii="Times New Roman" w:eastAsia="Times New Roman" w:hAnsi="Times New Roman" w:cs="Times New Roman"/>
          <w:sz w:val="24"/>
          <w:szCs w:val="24"/>
        </w:rPr>
        <w:t xml:space="preserve"> par potenciālo dalību šajā institūcijā, </w:t>
      </w:r>
      <w:r w:rsidR="00AB411F" w:rsidRPr="00A865BA">
        <w:rPr>
          <w:rFonts w:ascii="Times New Roman" w:eastAsia="Times New Roman" w:hAnsi="Times New Roman" w:cs="Times New Roman"/>
          <w:sz w:val="24"/>
          <w:szCs w:val="24"/>
        </w:rPr>
        <w:t>Finanšu ministrija aicina:</w:t>
      </w:r>
    </w:p>
    <w:p w14:paraId="21D512D1" w14:textId="77777777" w:rsidR="001801D1" w:rsidRPr="00A865BA" w:rsidRDefault="00AB411F" w:rsidP="008F4513">
      <w:pPr>
        <w:pStyle w:val="ListParagraph"/>
        <w:widowControl w:val="0"/>
        <w:numPr>
          <w:ilvl w:val="0"/>
          <w:numId w:val="8"/>
        </w:numPr>
        <w:spacing w:before="240" w:line="240" w:lineRule="auto"/>
        <w:jc w:val="both"/>
        <w:rPr>
          <w:rFonts w:ascii="Times New Roman" w:eastAsia="Times New Roman" w:hAnsi="Times New Roman" w:cs="Times New Roman"/>
          <w:sz w:val="24"/>
          <w:szCs w:val="24"/>
        </w:rPr>
      </w:pPr>
      <w:r w:rsidRPr="00A865BA">
        <w:rPr>
          <w:rFonts w:ascii="Times New Roman" w:eastAsia="Times New Roman" w:hAnsi="Times New Roman" w:cs="Times New Roman"/>
          <w:sz w:val="24"/>
          <w:szCs w:val="24"/>
        </w:rPr>
        <w:t>pieņemt zināšanai informatīvo ziņojumu;</w:t>
      </w:r>
    </w:p>
    <w:p w14:paraId="063FA163" w14:textId="77777777" w:rsidR="00AB411F" w:rsidRPr="00A865BA" w:rsidRDefault="00556B0C" w:rsidP="008F4513">
      <w:pPr>
        <w:pStyle w:val="ListParagraph"/>
        <w:widowControl w:val="0"/>
        <w:numPr>
          <w:ilvl w:val="0"/>
          <w:numId w:val="8"/>
        </w:numPr>
        <w:spacing w:before="240" w:line="240" w:lineRule="auto"/>
        <w:jc w:val="both"/>
        <w:rPr>
          <w:rFonts w:ascii="Times New Roman" w:eastAsia="Times New Roman" w:hAnsi="Times New Roman" w:cs="Times New Roman"/>
          <w:sz w:val="24"/>
          <w:szCs w:val="24"/>
        </w:rPr>
      </w:pPr>
      <w:r w:rsidRPr="00A865BA">
        <w:rPr>
          <w:rFonts w:ascii="Times New Roman" w:eastAsia="Times New Roman" w:hAnsi="Times New Roman" w:cs="Times New Roman"/>
          <w:sz w:val="24"/>
          <w:szCs w:val="24"/>
        </w:rPr>
        <w:t>atbalstīt</w:t>
      </w:r>
      <w:r w:rsidR="00AB411F" w:rsidRPr="00A865BA">
        <w:rPr>
          <w:rFonts w:ascii="Times New Roman" w:eastAsia="Times New Roman" w:hAnsi="Times New Roman" w:cs="Times New Roman"/>
          <w:sz w:val="24"/>
          <w:szCs w:val="24"/>
        </w:rPr>
        <w:t>, ka Latvija šobrīd neizskata iespēju iesaistīties AIIB dibināšanā ar kapitāla līdzfinansējumu;</w:t>
      </w:r>
    </w:p>
    <w:p w14:paraId="521F150D" w14:textId="77777777" w:rsidR="00AB411F" w:rsidRPr="00A865BA" w:rsidRDefault="00AB411F" w:rsidP="008F4513">
      <w:pPr>
        <w:pStyle w:val="ListParagraph"/>
        <w:widowControl w:val="0"/>
        <w:numPr>
          <w:ilvl w:val="0"/>
          <w:numId w:val="8"/>
        </w:numPr>
        <w:spacing w:before="240" w:line="240" w:lineRule="auto"/>
        <w:jc w:val="both"/>
        <w:rPr>
          <w:rFonts w:ascii="Times New Roman" w:eastAsia="Times New Roman" w:hAnsi="Times New Roman" w:cs="Times New Roman"/>
          <w:sz w:val="24"/>
          <w:szCs w:val="24"/>
        </w:rPr>
      </w:pPr>
      <w:r w:rsidRPr="00A865BA">
        <w:rPr>
          <w:rFonts w:ascii="Times New Roman" w:eastAsia="Times New Roman" w:hAnsi="Times New Roman" w:cs="Times New Roman"/>
          <w:sz w:val="24"/>
          <w:szCs w:val="24"/>
        </w:rPr>
        <w:t>nepieciešamības gadījumā rosināt diskusiju par Latvijas interešu pārstāvēšanu AIIB</w:t>
      </w:r>
      <w:r w:rsidR="00E94767" w:rsidRPr="00A865BA">
        <w:rPr>
          <w:rFonts w:ascii="Times New Roman" w:eastAsia="Times New Roman" w:hAnsi="Times New Roman" w:cs="Times New Roman"/>
          <w:sz w:val="24"/>
          <w:szCs w:val="24"/>
        </w:rPr>
        <w:t>.</w:t>
      </w:r>
    </w:p>
    <w:p w14:paraId="0D777582" w14:textId="77777777" w:rsidR="00586448" w:rsidRPr="00A865BA" w:rsidRDefault="00586448" w:rsidP="00DB069E">
      <w:pPr>
        <w:tabs>
          <w:tab w:val="right" w:pos="9072"/>
        </w:tabs>
        <w:spacing w:after="0" w:line="240" w:lineRule="auto"/>
        <w:rPr>
          <w:rFonts w:ascii="Times New Roman" w:eastAsia="Times New Roman" w:hAnsi="Times New Roman"/>
          <w:sz w:val="28"/>
          <w:szCs w:val="28"/>
          <w:lang w:eastAsia="lv-LV"/>
        </w:rPr>
      </w:pPr>
    </w:p>
    <w:p w14:paraId="3AE3B147" w14:textId="77777777" w:rsidR="00DB069E" w:rsidRPr="00A865BA" w:rsidRDefault="00DB069E" w:rsidP="00DB069E">
      <w:pPr>
        <w:tabs>
          <w:tab w:val="right" w:pos="9072"/>
        </w:tabs>
        <w:spacing w:after="0" w:line="240" w:lineRule="auto"/>
        <w:rPr>
          <w:rFonts w:ascii="Times New Roman" w:eastAsia="Times New Roman" w:hAnsi="Times New Roman"/>
          <w:sz w:val="24"/>
          <w:szCs w:val="24"/>
          <w:lang w:eastAsia="lv-LV"/>
        </w:rPr>
      </w:pPr>
      <w:r w:rsidRPr="00A865BA">
        <w:rPr>
          <w:rFonts w:ascii="Times New Roman" w:eastAsia="Times New Roman" w:hAnsi="Times New Roman"/>
          <w:sz w:val="24"/>
          <w:szCs w:val="24"/>
          <w:lang w:eastAsia="lv-LV"/>
        </w:rPr>
        <w:t>Finanšu ministr</w:t>
      </w:r>
      <w:r w:rsidR="004939A9">
        <w:rPr>
          <w:rFonts w:ascii="Times New Roman" w:eastAsia="Times New Roman" w:hAnsi="Times New Roman"/>
          <w:sz w:val="24"/>
          <w:szCs w:val="24"/>
          <w:lang w:eastAsia="lv-LV"/>
        </w:rPr>
        <w:t>s</w:t>
      </w:r>
      <w:r w:rsidRPr="00A865BA">
        <w:rPr>
          <w:rFonts w:ascii="Times New Roman" w:eastAsia="Times New Roman" w:hAnsi="Times New Roman"/>
          <w:sz w:val="24"/>
          <w:szCs w:val="24"/>
          <w:lang w:eastAsia="lv-LV"/>
        </w:rPr>
        <w:tab/>
      </w:r>
      <w:proofErr w:type="spellStart"/>
      <w:r w:rsidR="004939A9">
        <w:rPr>
          <w:rFonts w:ascii="Times New Roman" w:eastAsia="Times New Roman" w:hAnsi="Times New Roman"/>
          <w:sz w:val="24"/>
          <w:szCs w:val="24"/>
          <w:lang w:eastAsia="lv-LV"/>
        </w:rPr>
        <w:t>J</w:t>
      </w:r>
      <w:r w:rsidRPr="00A865BA">
        <w:rPr>
          <w:rFonts w:ascii="Times New Roman" w:eastAsia="Times New Roman" w:hAnsi="Times New Roman"/>
          <w:sz w:val="24"/>
          <w:szCs w:val="24"/>
          <w:lang w:eastAsia="lv-LV"/>
        </w:rPr>
        <w:t>.</w:t>
      </w:r>
      <w:r w:rsidR="004939A9">
        <w:rPr>
          <w:rFonts w:ascii="Times New Roman" w:eastAsia="Times New Roman" w:hAnsi="Times New Roman"/>
          <w:sz w:val="24"/>
          <w:szCs w:val="24"/>
          <w:lang w:eastAsia="lv-LV"/>
        </w:rPr>
        <w:t>Reirs</w:t>
      </w:r>
      <w:proofErr w:type="spellEnd"/>
    </w:p>
    <w:p w14:paraId="4C14BB59" w14:textId="77777777" w:rsidR="00C307B8" w:rsidRPr="00A865BA" w:rsidRDefault="00C307B8" w:rsidP="00DB069E">
      <w:pPr>
        <w:tabs>
          <w:tab w:val="right" w:pos="9072"/>
        </w:tabs>
        <w:spacing w:after="0" w:line="240" w:lineRule="auto"/>
        <w:rPr>
          <w:rFonts w:ascii="Times New Roman" w:eastAsia="Times New Roman" w:hAnsi="Times New Roman"/>
          <w:sz w:val="28"/>
          <w:szCs w:val="28"/>
          <w:lang w:eastAsia="lv-LV"/>
        </w:rPr>
      </w:pPr>
    </w:p>
    <w:p w14:paraId="526414E8" w14:textId="77777777" w:rsidR="00C307B8" w:rsidRPr="00A865BA" w:rsidRDefault="00C307B8" w:rsidP="00DB069E">
      <w:pPr>
        <w:tabs>
          <w:tab w:val="right" w:pos="9072"/>
        </w:tabs>
        <w:spacing w:after="0" w:line="240" w:lineRule="auto"/>
        <w:rPr>
          <w:rFonts w:ascii="Times New Roman" w:eastAsia="Times New Roman" w:hAnsi="Times New Roman"/>
          <w:sz w:val="28"/>
          <w:szCs w:val="28"/>
          <w:lang w:eastAsia="lv-LV"/>
        </w:rPr>
      </w:pPr>
    </w:p>
    <w:p w14:paraId="6482DE5F" w14:textId="77777777" w:rsidR="00760052" w:rsidRPr="00A865BA" w:rsidRDefault="00760052" w:rsidP="00DB069E">
      <w:pPr>
        <w:tabs>
          <w:tab w:val="right" w:pos="9072"/>
        </w:tabs>
        <w:spacing w:after="0" w:line="240" w:lineRule="auto"/>
        <w:rPr>
          <w:rFonts w:ascii="Times New Roman" w:eastAsia="Times New Roman" w:hAnsi="Times New Roman"/>
          <w:sz w:val="28"/>
          <w:szCs w:val="28"/>
          <w:lang w:eastAsia="lv-LV"/>
        </w:rPr>
      </w:pPr>
    </w:p>
    <w:p w14:paraId="0B99D767" w14:textId="77777777" w:rsidR="00760052" w:rsidRPr="00A865BA" w:rsidRDefault="00760052" w:rsidP="00DB069E">
      <w:pPr>
        <w:tabs>
          <w:tab w:val="right" w:pos="9072"/>
        </w:tabs>
        <w:spacing w:after="0" w:line="240" w:lineRule="auto"/>
        <w:rPr>
          <w:rFonts w:ascii="Times New Roman" w:eastAsia="Times New Roman" w:hAnsi="Times New Roman"/>
          <w:sz w:val="28"/>
          <w:szCs w:val="28"/>
          <w:lang w:eastAsia="lv-LV"/>
        </w:rPr>
      </w:pPr>
    </w:p>
    <w:p w14:paraId="27E94BAF" w14:textId="4806BBDF" w:rsidR="00586448" w:rsidRPr="00A865BA" w:rsidRDefault="005A1163" w:rsidP="00586448">
      <w:pPr>
        <w:tabs>
          <w:tab w:val="left" w:pos="708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24</w:t>
      </w:r>
      <w:r w:rsidR="00C307B8" w:rsidRPr="00A865BA">
        <w:rPr>
          <w:rFonts w:ascii="Times New Roman" w:eastAsia="Times New Roman" w:hAnsi="Times New Roman"/>
          <w:sz w:val="20"/>
          <w:szCs w:val="20"/>
        </w:rPr>
        <w:t>.0</w:t>
      </w:r>
      <w:r w:rsidR="00DB398B" w:rsidRPr="00A865BA">
        <w:rPr>
          <w:rFonts w:ascii="Times New Roman" w:eastAsia="Times New Roman" w:hAnsi="Times New Roman"/>
          <w:sz w:val="20"/>
          <w:szCs w:val="20"/>
        </w:rPr>
        <w:t>9</w:t>
      </w:r>
      <w:r w:rsidR="00C307B8" w:rsidRPr="00A865BA">
        <w:rPr>
          <w:rFonts w:ascii="Times New Roman" w:eastAsia="Times New Roman" w:hAnsi="Times New Roman"/>
          <w:sz w:val="20"/>
          <w:szCs w:val="20"/>
        </w:rPr>
        <w:t>.201</w:t>
      </w:r>
      <w:r w:rsidR="00562B47" w:rsidRPr="00A865BA">
        <w:rPr>
          <w:rFonts w:ascii="Times New Roman" w:eastAsia="Times New Roman" w:hAnsi="Times New Roman"/>
          <w:sz w:val="20"/>
          <w:szCs w:val="20"/>
        </w:rPr>
        <w:t>5</w:t>
      </w:r>
      <w:r w:rsidR="00C307B8" w:rsidRPr="00A865BA">
        <w:rPr>
          <w:rFonts w:ascii="Times New Roman" w:eastAsia="Times New Roman" w:hAnsi="Times New Roman"/>
          <w:sz w:val="20"/>
          <w:szCs w:val="20"/>
        </w:rPr>
        <w:t xml:space="preserve">. </w:t>
      </w:r>
      <w:r w:rsidR="00444AC7">
        <w:rPr>
          <w:rFonts w:ascii="Times New Roman" w:eastAsia="Times New Roman" w:hAnsi="Times New Roman"/>
          <w:sz w:val="20"/>
          <w:szCs w:val="20"/>
        </w:rPr>
        <w:t>1</w:t>
      </w:r>
      <w:r>
        <w:rPr>
          <w:rFonts w:ascii="Times New Roman" w:eastAsia="Times New Roman" w:hAnsi="Times New Roman"/>
          <w:sz w:val="20"/>
          <w:szCs w:val="20"/>
        </w:rPr>
        <w:t>4</w:t>
      </w:r>
      <w:r w:rsidR="00C307B8" w:rsidRPr="00A865BA">
        <w:rPr>
          <w:rFonts w:ascii="Times New Roman" w:eastAsia="Times New Roman" w:hAnsi="Times New Roman"/>
          <w:sz w:val="20"/>
          <w:szCs w:val="20"/>
        </w:rPr>
        <w:t>:</w:t>
      </w:r>
      <w:r>
        <w:rPr>
          <w:rFonts w:ascii="Times New Roman" w:eastAsia="Times New Roman" w:hAnsi="Times New Roman"/>
          <w:sz w:val="20"/>
          <w:szCs w:val="20"/>
        </w:rPr>
        <w:t>43</w:t>
      </w:r>
    </w:p>
    <w:p w14:paraId="3C093411" w14:textId="5758E043" w:rsidR="00586448" w:rsidRPr="00A865BA" w:rsidRDefault="00FE5A62" w:rsidP="00586448">
      <w:pPr>
        <w:tabs>
          <w:tab w:val="left" w:pos="7088"/>
        </w:tabs>
        <w:spacing w:after="0" w:line="240" w:lineRule="auto"/>
        <w:jc w:val="both"/>
        <w:rPr>
          <w:rFonts w:ascii="Times New Roman" w:eastAsia="Times New Roman" w:hAnsi="Times New Roman"/>
          <w:sz w:val="20"/>
          <w:szCs w:val="20"/>
        </w:rPr>
      </w:pPr>
      <w:r w:rsidRPr="00A865BA">
        <w:rPr>
          <w:rFonts w:ascii="Times New Roman" w:eastAsia="Times New Roman" w:hAnsi="Times New Roman"/>
          <w:sz w:val="20"/>
          <w:szCs w:val="20"/>
        </w:rPr>
        <w:t>1</w:t>
      </w:r>
      <w:r w:rsidR="00444AC7">
        <w:rPr>
          <w:rFonts w:ascii="Times New Roman" w:eastAsia="Times New Roman" w:hAnsi="Times New Roman"/>
          <w:sz w:val="20"/>
          <w:szCs w:val="20"/>
        </w:rPr>
        <w:t>7</w:t>
      </w:r>
      <w:r w:rsidR="004B37F2">
        <w:rPr>
          <w:rFonts w:ascii="Times New Roman" w:eastAsia="Times New Roman" w:hAnsi="Times New Roman"/>
          <w:sz w:val="20"/>
          <w:szCs w:val="20"/>
        </w:rPr>
        <w:t>72</w:t>
      </w:r>
      <w:bookmarkStart w:id="0" w:name="_GoBack"/>
      <w:bookmarkEnd w:id="0"/>
    </w:p>
    <w:p w14:paraId="481F528E" w14:textId="77777777" w:rsidR="00C307B8" w:rsidRPr="00A865BA" w:rsidRDefault="001645D8"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A865BA">
        <w:rPr>
          <w:rFonts w:ascii="Times New Roman" w:eastAsia="Times New Roman" w:hAnsi="Times New Roman"/>
          <w:color w:val="000000"/>
          <w:sz w:val="20"/>
          <w:szCs w:val="20"/>
        </w:rPr>
        <w:t>Ieva Miseviča</w:t>
      </w:r>
    </w:p>
    <w:p w14:paraId="74AEFE61" w14:textId="77777777" w:rsidR="00760052" w:rsidRPr="00A865BA" w:rsidRDefault="00760052"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A865BA">
        <w:rPr>
          <w:rFonts w:ascii="Times New Roman" w:eastAsia="Times New Roman" w:hAnsi="Times New Roman"/>
          <w:color w:val="000000"/>
          <w:sz w:val="20"/>
          <w:szCs w:val="20"/>
        </w:rPr>
        <w:t>Finanšu ministrijas</w:t>
      </w:r>
    </w:p>
    <w:p w14:paraId="7861C58C" w14:textId="77777777" w:rsidR="00C307B8" w:rsidRPr="00A865BA" w:rsidRDefault="00C307B8"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A865BA">
        <w:rPr>
          <w:rFonts w:ascii="Times New Roman" w:eastAsia="Times New Roman" w:hAnsi="Times New Roman"/>
          <w:color w:val="000000"/>
          <w:sz w:val="20"/>
          <w:szCs w:val="20"/>
        </w:rPr>
        <w:t xml:space="preserve">Finanšu tirgus politikas departamenta </w:t>
      </w:r>
    </w:p>
    <w:p w14:paraId="59E484DE" w14:textId="77777777" w:rsidR="00C307B8" w:rsidRPr="00A865BA" w:rsidRDefault="008F4513"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A865BA">
        <w:rPr>
          <w:rFonts w:ascii="Times New Roman" w:eastAsia="Times New Roman" w:hAnsi="Times New Roman"/>
          <w:color w:val="000000"/>
          <w:sz w:val="20"/>
          <w:szCs w:val="20"/>
        </w:rPr>
        <w:t>Starptautiskā f</w:t>
      </w:r>
      <w:r w:rsidR="00C307B8" w:rsidRPr="00A865BA">
        <w:rPr>
          <w:rFonts w:ascii="Times New Roman" w:eastAsia="Times New Roman" w:hAnsi="Times New Roman"/>
          <w:color w:val="000000"/>
          <w:sz w:val="20"/>
          <w:szCs w:val="20"/>
        </w:rPr>
        <w:t xml:space="preserve">inanšu </w:t>
      </w:r>
      <w:r w:rsidRPr="00A865BA">
        <w:rPr>
          <w:rFonts w:ascii="Times New Roman" w:eastAsia="Times New Roman" w:hAnsi="Times New Roman"/>
          <w:color w:val="000000"/>
          <w:sz w:val="20"/>
          <w:szCs w:val="20"/>
        </w:rPr>
        <w:t>tirgus politikas</w:t>
      </w:r>
      <w:r w:rsidR="00C307B8" w:rsidRPr="00A865BA">
        <w:rPr>
          <w:rFonts w:ascii="Times New Roman" w:eastAsia="Times New Roman" w:hAnsi="Times New Roman"/>
          <w:color w:val="000000"/>
          <w:sz w:val="20"/>
          <w:szCs w:val="20"/>
        </w:rPr>
        <w:t xml:space="preserve"> nodaļas </w:t>
      </w:r>
      <w:r w:rsidR="001645D8" w:rsidRPr="00A865BA">
        <w:rPr>
          <w:rFonts w:ascii="Times New Roman" w:eastAsia="Times New Roman" w:hAnsi="Times New Roman"/>
          <w:color w:val="000000"/>
          <w:sz w:val="20"/>
          <w:szCs w:val="20"/>
        </w:rPr>
        <w:t>vecākā eksperte</w:t>
      </w:r>
    </w:p>
    <w:p w14:paraId="2ECA1FFA" w14:textId="77777777" w:rsidR="00760052" w:rsidRPr="00A865BA" w:rsidRDefault="00760052" w:rsidP="00C307B8">
      <w:pPr>
        <w:autoSpaceDE w:val="0"/>
        <w:autoSpaceDN w:val="0"/>
        <w:adjustRightInd w:val="0"/>
        <w:spacing w:after="0" w:line="240" w:lineRule="auto"/>
        <w:jc w:val="both"/>
        <w:rPr>
          <w:rFonts w:ascii="Times New Roman" w:eastAsia="Times New Roman" w:hAnsi="Times New Roman"/>
          <w:color w:val="000000"/>
          <w:sz w:val="20"/>
          <w:szCs w:val="20"/>
        </w:rPr>
      </w:pPr>
      <w:r w:rsidRPr="00A865BA">
        <w:rPr>
          <w:rFonts w:ascii="Times New Roman" w:eastAsia="Times New Roman" w:hAnsi="Times New Roman"/>
          <w:color w:val="000000"/>
          <w:sz w:val="20"/>
          <w:szCs w:val="20"/>
        </w:rPr>
        <w:t xml:space="preserve">Tālr. </w:t>
      </w:r>
      <w:r w:rsidR="001645D8" w:rsidRPr="00A865BA">
        <w:rPr>
          <w:rFonts w:ascii="Times New Roman" w:eastAsia="Times New Roman" w:hAnsi="Times New Roman"/>
          <w:color w:val="000000"/>
          <w:sz w:val="20"/>
          <w:szCs w:val="20"/>
        </w:rPr>
        <w:t>67083825</w:t>
      </w:r>
    </w:p>
    <w:p w14:paraId="1B397FCE" w14:textId="77777777" w:rsidR="00C307B8" w:rsidRPr="004E037A" w:rsidRDefault="00760052" w:rsidP="00C307B8">
      <w:pPr>
        <w:autoSpaceDE w:val="0"/>
        <w:autoSpaceDN w:val="0"/>
        <w:adjustRightInd w:val="0"/>
        <w:spacing w:after="0" w:line="240" w:lineRule="auto"/>
        <w:jc w:val="both"/>
        <w:rPr>
          <w:rFonts w:ascii="Times New Roman" w:eastAsia="Times New Roman" w:hAnsi="Times New Roman"/>
          <w:bCs/>
          <w:sz w:val="28"/>
          <w:szCs w:val="20"/>
        </w:rPr>
      </w:pPr>
      <w:r w:rsidRPr="00A865BA">
        <w:rPr>
          <w:rFonts w:ascii="Times New Roman" w:eastAsia="Times New Roman" w:hAnsi="Times New Roman"/>
          <w:color w:val="000000"/>
          <w:sz w:val="20"/>
          <w:szCs w:val="20"/>
        </w:rPr>
        <w:t>E</w:t>
      </w:r>
      <w:r w:rsidR="00C307B8" w:rsidRPr="00A865BA">
        <w:rPr>
          <w:rFonts w:ascii="Times New Roman" w:eastAsia="Times New Roman" w:hAnsi="Times New Roman"/>
          <w:color w:val="000000"/>
          <w:sz w:val="20"/>
          <w:szCs w:val="20"/>
        </w:rPr>
        <w:t xml:space="preserve">-pasts: </w:t>
      </w:r>
      <w:r w:rsidR="001645D8" w:rsidRPr="00A865BA">
        <w:rPr>
          <w:rFonts w:ascii="Times New Roman" w:eastAsia="Times New Roman" w:hAnsi="Times New Roman"/>
          <w:color w:val="000000"/>
          <w:sz w:val="20"/>
          <w:szCs w:val="20"/>
        </w:rPr>
        <w:t>ieva.misevica</w:t>
      </w:r>
      <w:r w:rsidR="00C307B8" w:rsidRPr="00A865BA">
        <w:rPr>
          <w:rFonts w:ascii="Times New Roman" w:eastAsia="Times New Roman" w:hAnsi="Times New Roman"/>
          <w:color w:val="000000"/>
          <w:sz w:val="20"/>
          <w:szCs w:val="20"/>
        </w:rPr>
        <w:t>@fm.gov.lv</w:t>
      </w:r>
    </w:p>
    <w:sectPr w:rsidR="00C307B8" w:rsidRPr="004E037A" w:rsidSect="00444AC7">
      <w:headerReference w:type="default" r:id="rId8"/>
      <w:footerReference w:type="default" r:id="rId9"/>
      <w:footerReference w:type="first" r:id="rId10"/>
      <w:pgSz w:w="11906" w:h="16838" w:code="9"/>
      <w:pgMar w:top="1134" w:right="1797" w:bottom="1418" w:left="1797" w:header="45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B8B2" w14:textId="77777777" w:rsidR="00E9295C" w:rsidRDefault="00E9295C" w:rsidP="00AB5104">
      <w:pPr>
        <w:spacing w:after="0" w:line="240" w:lineRule="auto"/>
      </w:pPr>
      <w:r>
        <w:separator/>
      </w:r>
    </w:p>
  </w:endnote>
  <w:endnote w:type="continuationSeparator" w:id="0">
    <w:p w14:paraId="3FCC9776" w14:textId="77777777" w:rsidR="00E9295C" w:rsidRDefault="00E9295C" w:rsidP="00AB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15D1" w14:textId="27C94B85" w:rsidR="00AB5104" w:rsidRPr="00385D7B" w:rsidRDefault="00927585" w:rsidP="00385D7B">
    <w:pPr>
      <w:pStyle w:val="ListParagraph"/>
      <w:spacing w:after="0" w:line="240" w:lineRule="auto"/>
      <w:ind w:left="0"/>
      <w:jc w:val="both"/>
      <w:rPr>
        <w:rFonts w:ascii="Times New Roman" w:hAnsi="Times New Roman"/>
        <w:sz w:val="18"/>
        <w:szCs w:val="18"/>
      </w:rPr>
    </w:pPr>
    <w:r>
      <w:rPr>
        <w:rFonts w:ascii="Times New Roman" w:hAnsi="Times New Roman"/>
        <w:sz w:val="18"/>
        <w:szCs w:val="18"/>
      </w:rPr>
      <w:t>FMInf</w:t>
    </w:r>
    <w:r w:rsidR="00385D7B">
      <w:rPr>
        <w:rFonts w:ascii="Times New Roman" w:hAnsi="Times New Roman"/>
        <w:sz w:val="18"/>
        <w:szCs w:val="18"/>
      </w:rPr>
      <w:t>_</w:t>
    </w:r>
    <w:r w:rsidR="00444AC7">
      <w:rPr>
        <w:rFonts w:ascii="Times New Roman" w:hAnsi="Times New Roman"/>
        <w:sz w:val="18"/>
        <w:szCs w:val="18"/>
      </w:rPr>
      <w:t>2</w:t>
    </w:r>
    <w:r w:rsidR="003270FA">
      <w:rPr>
        <w:rFonts w:ascii="Times New Roman" w:hAnsi="Times New Roman"/>
        <w:sz w:val="18"/>
        <w:szCs w:val="18"/>
      </w:rPr>
      <w:t>4</w:t>
    </w:r>
    <w:r w:rsidR="00DB398B">
      <w:rPr>
        <w:rFonts w:ascii="Times New Roman" w:hAnsi="Times New Roman"/>
        <w:sz w:val="18"/>
        <w:szCs w:val="18"/>
      </w:rPr>
      <w:t>09</w:t>
    </w:r>
    <w:r w:rsidR="00385D7B" w:rsidRPr="007D58D3">
      <w:rPr>
        <w:rFonts w:ascii="Times New Roman" w:hAnsi="Times New Roman"/>
        <w:sz w:val="18"/>
        <w:szCs w:val="18"/>
      </w:rPr>
      <w:t>1</w:t>
    </w:r>
    <w:r w:rsidR="00385D7B">
      <w:rPr>
        <w:rFonts w:ascii="Times New Roman" w:hAnsi="Times New Roman"/>
        <w:sz w:val="18"/>
        <w:szCs w:val="18"/>
      </w:rPr>
      <w:t>5</w:t>
    </w:r>
    <w:r w:rsidR="00385D7B" w:rsidRPr="007D58D3">
      <w:rPr>
        <w:rFonts w:ascii="Times New Roman" w:hAnsi="Times New Roman"/>
        <w:sz w:val="18"/>
        <w:szCs w:val="18"/>
      </w:rPr>
      <w:t>_</w:t>
    </w:r>
    <w:r w:rsidR="00385D7B">
      <w:rPr>
        <w:rFonts w:ascii="Times New Roman" w:hAnsi="Times New Roman"/>
        <w:sz w:val="18"/>
        <w:szCs w:val="18"/>
      </w:rPr>
      <w:t>AIIB</w:t>
    </w:r>
    <w:r w:rsidR="00385D7B" w:rsidRPr="007D58D3">
      <w:rPr>
        <w:rFonts w:ascii="Times New Roman" w:hAnsi="Times New Roman"/>
        <w:sz w:val="18"/>
        <w:szCs w:val="18"/>
      </w:rPr>
      <w:t xml:space="preserve">; </w:t>
    </w:r>
    <w:r w:rsidR="00385D7B" w:rsidRPr="00C8775B">
      <w:rPr>
        <w:rFonts w:ascii="Times New Roman" w:hAnsi="Times New Roman"/>
        <w:sz w:val="18"/>
        <w:szCs w:val="18"/>
      </w:rPr>
      <w:t xml:space="preserve">Par nepieciešamo turpmāko rīcību attiecībā uz Latvijas Republikas dalību Āzijas Infrastruktūras </w:t>
    </w:r>
    <w:r w:rsidR="00385D7B">
      <w:rPr>
        <w:rFonts w:ascii="Times New Roman" w:hAnsi="Times New Roman"/>
        <w:sz w:val="18"/>
        <w:szCs w:val="18"/>
      </w:rPr>
      <w:t>i</w:t>
    </w:r>
    <w:r w:rsidR="00385D7B" w:rsidRPr="00C8775B">
      <w:rPr>
        <w:rFonts w:ascii="Times New Roman" w:hAnsi="Times New Roman"/>
        <w:sz w:val="18"/>
        <w:szCs w:val="18"/>
      </w:rPr>
      <w:t>nvestīciju bankā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254" w14:textId="5E68D8A1" w:rsidR="00385D7B" w:rsidRPr="00385D7B" w:rsidRDefault="00385D7B" w:rsidP="00385D7B">
    <w:pPr>
      <w:pStyle w:val="ListParagraph"/>
      <w:spacing w:after="0" w:line="240" w:lineRule="auto"/>
      <w:ind w:left="0"/>
      <w:jc w:val="both"/>
      <w:rPr>
        <w:rFonts w:ascii="Times New Roman" w:hAnsi="Times New Roman"/>
        <w:sz w:val="18"/>
        <w:szCs w:val="18"/>
      </w:rPr>
    </w:pPr>
    <w:r>
      <w:rPr>
        <w:rFonts w:ascii="Times New Roman" w:hAnsi="Times New Roman"/>
        <w:sz w:val="18"/>
        <w:szCs w:val="18"/>
      </w:rPr>
      <w:t>FM</w:t>
    </w:r>
    <w:r w:rsidR="00927585">
      <w:rPr>
        <w:rFonts w:ascii="Times New Roman" w:hAnsi="Times New Roman"/>
        <w:sz w:val="18"/>
        <w:szCs w:val="18"/>
      </w:rPr>
      <w:t>Inf</w:t>
    </w:r>
    <w:r w:rsidR="00DF0B4B">
      <w:rPr>
        <w:rFonts w:ascii="Times New Roman" w:hAnsi="Times New Roman"/>
        <w:sz w:val="18"/>
        <w:szCs w:val="18"/>
      </w:rPr>
      <w:t>_</w:t>
    </w:r>
    <w:r w:rsidR="00444AC7">
      <w:rPr>
        <w:rFonts w:ascii="Times New Roman" w:hAnsi="Times New Roman"/>
        <w:sz w:val="18"/>
        <w:szCs w:val="18"/>
      </w:rPr>
      <w:t>2</w:t>
    </w:r>
    <w:r w:rsidR="003270FA">
      <w:rPr>
        <w:rFonts w:ascii="Times New Roman" w:hAnsi="Times New Roman"/>
        <w:sz w:val="18"/>
        <w:szCs w:val="18"/>
      </w:rPr>
      <w:t>4</w:t>
    </w:r>
    <w:r w:rsidR="00DB398B">
      <w:rPr>
        <w:rFonts w:ascii="Times New Roman" w:hAnsi="Times New Roman"/>
        <w:sz w:val="18"/>
        <w:szCs w:val="18"/>
      </w:rPr>
      <w:t>09</w:t>
    </w:r>
    <w:r w:rsidRPr="007D58D3">
      <w:rPr>
        <w:rFonts w:ascii="Times New Roman" w:hAnsi="Times New Roman"/>
        <w:sz w:val="18"/>
        <w:szCs w:val="18"/>
      </w:rPr>
      <w:t>1</w:t>
    </w:r>
    <w:r>
      <w:rPr>
        <w:rFonts w:ascii="Times New Roman" w:hAnsi="Times New Roman"/>
        <w:sz w:val="18"/>
        <w:szCs w:val="18"/>
      </w:rPr>
      <w:t>5</w:t>
    </w:r>
    <w:r w:rsidRPr="007D58D3">
      <w:rPr>
        <w:rFonts w:ascii="Times New Roman" w:hAnsi="Times New Roman"/>
        <w:sz w:val="18"/>
        <w:szCs w:val="18"/>
      </w:rPr>
      <w:t>_</w:t>
    </w:r>
    <w:r>
      <w:rPr>
        <w:rFonts w:ascii="Times New Roman" w:hAnsi="Times New Roman"/>
        <w:sz w:val="18"/>
        <w:szCs w:val="18"/>
      </w:rPr>
      <w:t>AIIB</w:t>
    </w:r>
    <w:r w:rsidRPr="007D58D3">
      <w:rPr>
        <w:rFonts w:ascii="Times New Roman" w:hAnsi="Times New Roman"/>
        <w:sz w:val="18"/>
        <w:szCs w:val="18"/>
      </w:rPr>
      <w:t xml:space="preserve">; </w:t>
    </w:r>
    <w:r w:rsidRPr="00C8775B">
      <w:rPr>
        <w:rFonts w:ascii="Times New Roman" w:hAnsi="Times New Roman"/>
        <w:sz w:val="18"/>
        <w:szCs w:val="18"/>
      </w:rPr>
      <w:t xml:space="preserve">Par nepieciešamo turpmāko rīcību attiecībā uz Latvijas Republikas dalību Āzijas Infrastruktūras </w:t>
    </w:r>
    <w:r>
      <w:rPr>
        <w:rFonts w:ascii="Times New Roman" w:hAnsi="Times New Roman"/>
        <w:sz w:val="18"/>
        <w:szCs w:val="18"/>
      </w:rPr>
      <w:t>i</w:t>
    </w:r>
    <w:r w:rsidRPr="00C8775B">
      <w:rPr>
        <w:rFonts w:ascii="Times New Roman" w:hAnsi="Times New Roman"/>
        <w:sz w:val="18"/>
        <w:szCs w:val="18"/>
      </w:rPr>
      <w:t>nvestīciju bankā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70A6" w14:textId="77777777" w:rsidR="00E9295C" w:rsidRDefault="00E9295C" w:rsidP="00AB5104">
      <w:pPr>
        <w:spacing w:after="0" w:line="240" w:lineRule="auto"/>
      </w:pPr>
      <w:r>
        <w:separator/>
      </w:r>
    </w:p>
  </w:footnote>
  <w:footnote w:type="continuationSeparator" w:id="0">
    <w:p w14:paraId="42641C36" w14:textId="77777777" w:rsidR="00E9295C" w:rsidRDefault="00E9295C" w:rsidP="00AB5104">
      <w:pPr>
        <w:spacing w:after="0" w:line="240" w:lineRule="auto"/>
      </w:pPr>
      <w:r>
        <w:continuationSeparator/>
      </w:r>
    </w:p>
  </w:footnote>
  <w:footnote w:id="1">
    <w:p w14:paraId="67A59190" w14:textId="77777777" w:rsidR="00B97F90" w:rsidRPr="008F4513" w:rsidRDefault="00B97F90" w:rsidP="00B97F90">
      <w:pPr>
        <w:pStyle w:val="FootnoteText"/>
        <w:jc w:val="both"/>
        <w:rPr>
          <w:rFonts w:ascii="Times New Roman" w:hAnsi="Times New Roman" w:cs="Times New Roman"/>
        </w:rPr>
      </w:pPr>
      <w:r w:rsidRPr="008F4513">
        <w:rPr>
          <w:rStyle w:val="FootnoteReference"/>
          <w:rFonts w:ascii="Times New Roman" w:hAnsi="Times New Roman" w:cs="Times New Roman"/>
        </w:rPr>
        <w:footnoteRef/>
      </w:r>
      <w:r w:rsidRPr="008F4513">
        <w:rPr>
          <w:rFonts w:ascii="Times New Roman" w:hAnsi="Times New Roman" w:cs="Times New Roman"/>
        </w:rPr>
        <w:t xml:space="preserve"> 57 </w:t>
      </w:r>
      <w:proofErr w:type="spellStart"/>
      <w:r w:rsidRPr="008F4513">
        <w:rPr>
          <w:rFonts w:ascii="Times New Roman" w:hAnsi="Times New Roman" w:cs="Times New Roman"/>
        </w:rPr>
        <w:t>dibinātājvalstis</w:t>
      </w:r>
      <w:proofErr w:type="spellEnd"/>
      <w:r w:rsidRPr="008F4513">
        <w:rPr>
          <w:rFonts w:ascii="Times New Roman" w:hAnsi="Times New Roman" w:cs="Times New Roman"/>
        </w:rPr>
        <w:t>: Austrālija, Austrija, Azerbaidžāna, Bangladeša, Brazīlija, Bruneja, Kambodža, Ķīna, Dānija, Ēģipte, Somija, Francija, Gruzija, Vācija, Islande, Indija, Indonēzija, Irāna, Izraēla, Itālija, Jordāna, Kazahstāna, Koreja, Kuveita, Kirgīzija, Laosa, Luksemburga, Malaizija, Mald</w:t>
      </w:r>
      <w:r>
        <w:rPr>
          <w:rFonts w:ascii="Times New Roman" w:hAnsi="Times New Roman" w:cs="Times New Roman"/>
        </w:rPr>
        <w:t>i</w:t>
      </w:r>
      <w:r w:rsidRPr="008F4513">
        <w:rPr>
          <w:rFonts w:ascii="Times New Roman" w:hAnsi="Times New Roman" w:cs="Times New Roman"/>
        </w:rPr>
        <w:t>vija, Malta, Mongolija, Mjanma, Nepāla, Nīderlande, Jaunzēlande, Norvēģija, Omāna, Pakistāna, Filipīnas, Polija, Portugāle, Katara, Krievija, Saūda Arābija, Singapūra, Dienvidāfrika, Spānija, Šrilanka, Zviedrija, Šveice, Tadžikistāna, Taizeme, Turcija, Apvienotie Arābu Emirāti, Lielbritānija, Uzbekistāna, Vjetnama</w:t>
      </w:r>
    </w:p>
  </w:footnote>
  <w:footnote w:id="2">
    <w:p w14:paraId="6FE11954" w14:textId="5A87B82D" w:rsidR="003270FA" w:rsidRPr="003270FA" w:rsidRDefault="003270FA">
      <w:pPr>
        <w:pStyle w:val="FootnoteText"/>
        <w:rPr>
          <w:rFonts w:ascii="Times New Roman" w:hAnsi="Times New Roman" w:cs="Times New Roman"/>
        </w:rPr>
      </w:pPr>
      <w:r>
        <w:rPr>
          <w:rStyle w:val="FootnoteReference"/>
        </w:rPr>
        <w:footnoteRef/>
      </w:r>
      <w:r>
        <w:t xml:space="preserve"> </w:t>
      </w:r>
      <w:r w:rsidRPr="003270FA">
        <w:rPr>
          <w:rFonts w:ascii="Times New Roman" w:hAnsi="Times New Roman" w:cs="Times New Roman"/>
          <w:lang w:val="en-US"/>
        </w:rPr>
        <w:t xml:space="preserve">Philippa Brant: </w:t>
      </w:r>
      <w:r w:rsidRPr="003270FA">
        <w:rPr>
          <w:rFonts w:ascii="Times New Roman" w:hAnsi="Times New Roman" w:cs="Times New Roman"/>
          <w:i/>
          <w:lang w:val="en-US"/>
        </w:rPr>
        <w:t>Four observations about the AIIB’s Articles of Agreement,</w:t>
      </w:r>
      <w:r w:rsidRPr="003270FA">
        <w:rPr>
          <w:rFonts w:ascii="Times New Roman" w:hAnsi="Times New Roman" w:cs="Times New Roman"/>
          <w:lang w:val="en-US"/>
        </w:rPr>
        <w:t xml:space="preserve"> The Interpreter, June 30, 2015 -</w:t>
      </w:r>
      <w:hyperlink r:id="rId1" w:history="1">
        <w:r w:rsidRPr="003270FA">
          <w:rPr>
            <w:rStyle w:val="Hyperlink"/>
            <w:rFonts w:ascii="Times New Roman" w:hAnsi="Times New Roman" w:cs="Times New Roman"/>
            <w:lang w:val="en-US"/>
          </w:rPr>
          <w:t>http://www.lowyinterpreter.org/?COLLCC=3648763498&amp;&amp;page=2</w:t>
        </w:r>
      </w:hyperlink>
    </w:p>
  </w:footnote>
  <w:footnote w:id="3">
    <w:p w14:paraId="134046B5" w14:textId="1FDC1DAB" w:rsidR="000B4C79" w:rsidRPr="003270FA" w:rsidRDefault="000B4C79">
      <w:pPr>
        <w:pStyle w:val="FootnoteText"/>
        <w:rPr>
          <w:rFonts w:ascii="Times New Roman" w:hAnsi="Times New Roman" w:cs="Times New Roman"/>
        </w:rPr>
      </w:pPr>
      <w:r w:rsidRPr="003270FA">
        <w:rPr>
          <w:rStyle w:val="FootnoteReference"/>
          <w:rFonts w:ascii="Times New Roman" w:hAnsi="Times New Roman" w:cs="Times New Roman"/>
        </w:rPr>
        <w:footnoteRef/>
      </w:r>
      <w:r w:rsidRPr="003270FA">
        <w:rPr>
          <w:rFonts w:ascii="Times New Roman" w:hAnsi="Times New Roman" w:cs="Times New Roman"/>
        </w:rPr>
        <w:t xml:space="preserve"> www.aiibank.org</w:t>
      </w:r>
    </w:p>
  </w:footnote>
  <w:footnote w:id="4">
    <w:p w14:paraId="2DB1E242" w14:textId="65352571" w:rsidR="00CC2A56" w:rsidRPr="000D7076" w:rsidRDefault="00CC2A56" w:rsidP="00CC2A56">
      <w:pPr>
        <w:pStyle w:val="FootnoteText"/>
        <w:rPr>
          <w:rFonts w:ascii="Times New Roman" w:hAnsi="Times New Roman" w:cs="Times New Roman"/>
        </w:rPr>
      </w:pPr>
      <w:r w:rsidRPr="000D7076">
        <w:rPr>
          <w:rStyle w:val="FootnoteReference"/>
          <w:rFonts w:ascii="Times New Roman" w:hAnsi="Times New Roman" w:cs="Times New Roman"/>
        </w:rPr>
        <w:footnoteRef/>
      </w:r>
      <w:r w:rsidRPr="000D7076">
        <w:rPr>
          <w:rFonts w:ascii="Times New Roman" w:hAnsi="Times New Roman" w:cs="Times New Roman"/>
        </w:rPr>
        <w:t xml:space="preserve"> Āzijas </w:t>
      </w:r>
      <w:r w:rsidR="00AD0639">
        <w:rPr>
          <w:rFonts w:ascii="Times New Roman" w:hAnsi="Times New Roman" w:cs="Times New Roman"/>
        </w:rPr>
        <w:t>I</w:t>
      </w:r>
      <w:r w:rsidRPr="000D7076">
        <w:rPr>
          <w:rFonts w:ascii="Times New Roman" w:hAnsi="Times New Roman" w:cs="Times New Roman"/>
        </w:rPr>
        <w:t xml:space="preserve">nfrastruktūras investīciju bankas </w:t>
      </w:r>
      <w:r w:rsidR="00AD0639">
        <w:rPr>
          <w:rFonts w:ascii="Times New Roman" w:hAnsi="Times New Roman" w:cs="Times New Roman"/>
        </w:rPr>
        <w:t xml:space="preserve">reģionālās </w:t>
      </w:r>
      <w:r w:rsidRPr="000D7076">
        <w:rPr>
          <w:rFonts w:ascii="Times New Roman" w:hAnsi="Times New Roman" w:cs="Times New Roman"/>
        </w:rPr>
        <w:t>dalībvalstis: Apvienotie Arābu Emirāti, Austrālija, Azerbaidžāna, Bangladeša, Bruneja, Ķīna, Gruzija, Indonēzija, Izraēla, Irāna, Jordānija, Kirgizstānas Republika, Kambodža, Korejas Republika, Kuveita, Kazahstāna, Laosa, Šrilanka, Mjanma, Mongolija, Maldivija, Malaizija, Nepāla, Jaunzēlande, Omāna, Filipīnas, Pakistāna, Katara, Krievija, Saūda Arābija, Singapūra, Taizeme, Tadžikistāna, Turcija, Uzbekistāna, Vjetnama.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3964980"/>
      <w:docPartObj>
        <w:docPartGallery w:val="Page Numbers (Top of Page)"/>
        <w:docPartUnique/>
      </w:docPartObj>
    </w:sdtPr>
    <w:sdtEndPr>
      <w:rPr>
        <w:noProof/>
      </w:rPr>
    </w:sdtEndPr>
    <w:sdtContent>
      <w:p w14:paraId="47090565" w14:textId="77777777" w:rsidR="00385D7B" w:rsidRPr="00385D7B" w:rsidRDefault="00385D7B">
        <w:pPr>
          <w:pStyle w:val="Header"/>
          <w:jc w:val="center"/>
          <w:rPr>
            <w:rFonts w:ascii="Times New Roman" w:hAnsi="Times New Roman" w:cs="Times New Roman"/>
          </w:rPr>
        </w:pPr>
        <w:r w:rsidRPr="00385D7B">
          <w:rPr>
            <w:rFonts w:ascii="Times New Roman" w:hAnsi="Times New Roman" w:cs="Times New Roman"/>
          </w:rPr>
          <w:fldChar w:fldCharType="begin"/>
        </w:r>
        <w:r w:rsidRPr="00385D7B">
          <w:rPr>
            <w:rFonts w:ascii="Times New Roman" w:hAnsi="Times New Roman" w:cs="Times New Roman"/>
          </w:rPr>
          <w:instrText xml:space="preserve"> PAGE   \* MERGEFORMAT </w:instrText>
        </w:r>
        <w:r w:rsidRPr="00385D7B">
          <w:rPr>
            <w:rFonts w:ascii="Times New Roman" w:hAnsi="Times New Roman" w:cs="Times New Roman"/>
          </w:rPr>
          <w:fldChar w:fldCharType="separate"/>
        </w:r>
        <w:r w:rsidR="00825C93">
          <w:rPr>
            <w:rFonts w:ascii="Times New Roman" w:hAnsi="Times New Roman" w:cs="Times New Roman"/>
            <w:noProof/>
          </w:rPr>
          <w:t>4</w:t>
        </w:r>
        <w:r w:rsidRPr="00385D7B">
          <w:rPr>
            <w:rFonts w:ascii="Times New Roman" w:hAnsi="Times New Roman" w:cs="Times New Roman"/>
            <w:noProof/>
          </w:rPr>
          <w:fldChar w:fldCharType="end"/>
        </w:r>
      </w:p>
    </w:sdtContent>
  </w:sdt>
  <w:p w14:paraId="4020CF7B" w14:textId="77777777" w:rsidR="004F7A17" w:rsidRDefault="004F7A17" w:rsidP="00A766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6424"/>
    <w:multiLevelType w:val="hybridMultilevel"/>
    <w:tmpl w:val="8D102922"/>
    <w:lvl w:ilvl="0" w:tplc="211A58D6">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2ED6D37"/>
    <w:multiLevelType w:val="multilevel"/>
    <w:tmpl w:val="CF187CB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B555AF"/>
    <w:multiLevelType w:val="hybridMultilevel"/>
    <w:tmpl w:val="3EDE3D68"/>
    <w:lvl w:ilvl="0" w:tplc="20942A12">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CA764C"/>
    <w:multiLevelType w:val="hybridMultilevel"/>
    <w:tmpl w:val="BABA28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6A5EEE"/>
    <w:multiLevelType w:val="hybridMultilevel"/>
    <w:tmpl w:val="F1282FA2"/>
    <w:lvl w:ilvl="0" w:tplc="C66A7E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EDD194D"/>
    <w:multiLevelType w:val="hybridMultilevel"/>
    <w:tmpl w:val="4AFABF0E"/>
    <w:lvl w:ilvl="0" w:tplc="33C09F6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254701"/>
    <w:multiLevelType w:val="hybridMultilevel"/>
    <w:tmpl w:val="B0F6409C"/>
    <w:lvl w:ilvl="0" w:tplc="F71C9BF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2B31B28"/>
    <w:multiLevelType w:val="hybridMultilevel"/>
    <w:tmpl w:val="2F4AA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5"/>
    <w:rsid w:val="0000132B"/>
    <w:rsid w:val="00003198"/>
    <w:rsid w:val="00004AC0"/>
    <w:rsid w:val="000109CD"/>
    <w:rsid w:val="00033DC7"/>
    <w:rsid w:val="000430F0"/>
    <w:rsid w:val="00044C31"/>
    <w:rsid w:val="00054EC7"/>
    <w:rsid w:val="000823ED"/>
    <w:rsid w:val="0009008B"/>
    <w:rsid w:val="000A28A9"/>
    <w:rsid w:val="000A2E5C"/>
    <w:rsid w:val="000B4C79"/>
    <w:rsid w:val="000C1C30"/>
    <w:rsid w:val="000C42A3"/>
    <w:rsid w:val="000D3651"/>
    <w:rsid w:val="000D3E14"/>
    <w:rsid w:val="000D7076"/>
    <w:rsid w:val="000E2DB2"/>
    <w:rsid w:val="000E3CB4"/>
    <w:rsid w:val="000E44B3"/>
    <w:rsid w:val="000F18A7"/>
    <w:rsid w:val="00101469"/>
    <w:rsid w:val="001076CB"/>
    <w:rsid w:val="00111619"/>
    <w:rsid w:val="00116733"/>
    <w:rsid w:val="001268AE"/>
    <w:rsid w:val="00131E83"/>
    <w:rsid w:val="00140BBC"/>
    <w:rsid w:val="00140ECD"/>
    <w:rsid w:val="00143D5C"/>
    <w:rsid w:val="00163F97"/>
    <w:rsid w:val="001645D8"/>
    <w:rsid w:val="001668AC"/>
    <w:rsid w:val="00177F23"/>
    <w:rsid w:val="001801D1"/>
    <w:rsid w:val="00183921"/>
    <w:rsid w:val="00183B6D"/>
    <w:rsid w:val="001933BD"/>
    <w:rsid w:val="001A5EBE"/>
    <w:rsid w:val="001A6497"/>
    <w:rsid w:val="001B149B"/>
    <w:rsid w:val="001D2D5E"/>
    <w:rsid w:val="001D7B6E"/>
    <w:rsid w:val="001E15E2"/>
    <w:rsid w:val="001E1B0F"/>
    <w:rsid w:val="00206259"/>
    <w:rsid w:val="00224482"/>
    <w:rsid w:val="00231FA3"/>
    <w:rsid w:val="00233890"/>
    <w:rsid w:val="0024756F"/>
    <w:rsid w:val="002478E7"/>
    <w:rsid w:val="00247933"/>
    <w:rsid w:val="00247D6C"/>
    <w:rsid w:val="0025009F"/>
    <w:rsid w:val="00251CF2"/>
    <w:rsid w:val="002576A4"/>
    <w:rsid w:val="00260D6C"/>
    <w:rsid w:val="00260E97"/>
    <w:rsid w:val="00276279"/>
    <w:rsid w:val="002836AE"/>
    <w:rsid w:val="00291FE7"/>
    <w:rsid w:val="002A5099"/>
    <w:rsid w:val="002B70E0"/>
    <w:rsid w:val="002E034D"/>
    <w:rsid w:val="002F02F1"/>
    <w:rsid w:val="002F1ECB"/>
    <w:rsid w:val="002F703B"/>
    <w:rsid w:val="0030150C"/>
    <w:rsid w:val="003127A7"/>
    <w:rsid w:val="00314270"/>
    <w:rsid w:val="003205D1"/>
    <w:rsid w:val="003270FA"/>
    <w:rsid w:val="00327C49"/>
    <w:rsid w:val="00327FF4"/>
    <w:rsid w:val="00334C65"/>
    <w:rsid w:val="00340F0C"/>
    <w:rsid w:val="003453AC"/>
    <w:rsid w:val="0035521E"/>
    <w:rsid w:val="00372963"/>
    <w:rsid w:val="00374374"/>
    <w:rsid w:val="00376FFD"/>
    <w:rsid w:val="00385D7B"/>
    <w:rsid w:val="003A0C9B"/>
    <w:rsid w:val="003A2CD8"/>
    <w:rsid w:val="003A3DD9"/>
    <w:rsid w:val="003A4111"/>
    <w:rsid w:val="003A6B40"/>
    <w:rsid w:val="003B034D"/>
    <w:rsid w:val="003B6EF4"/>
    <w:rsid w:val="003C0E7C"/>
    <w:rsid w:val="003D441A"/>
    <w:rsid w:val="003E0C4F"/>
    <w:rsid w:val="003E78C3"/>
    <w:rsid w:val="003F31B3"/>
    <w:rsid w:val="003F7712"/>
    <w:rsid w:val="00412535"/>
    <w:rsid w:val="00416BF6"/>
    <w:rsid w:val="00421B14"/>
    <w:rsid w:val="00425445"/>
    <w:rsid w:val="00444AC7"/>
    <w:rsid w:val="004719B2"/>
    <w:rsid w:val="00474CC1"/>
    <w:rsid w:val="004845C6"/>
    <w:rsid w:val="004939A9"/>
    <w:rsid w:val="004A6783"/>
    <w:rsid w:val="004B37F2"/>
    <w:rsid w:val="004B4DDF"/>
    <w:rsid w:val="004C0A5E"/>
    <w:rsid w:val="004C2B99"/>
    <w:rsid w:val="004C4163"/>
    <w:rsid w:val="004E300C"/>
    <w:rsid w:val="004E3BB6"/>
    <w:rsid w:val="004F0E4B"/>
    <w:rsid w:val="004F7A17"/>
    <w:rsid w:val="005114BC"/>
    <w:rsid w:val="00520A3B"/>
    <w:rsid w:val="00525E62"/>
    <w:rsid w:val="0053299C"/>
    <w:rsid w:val="00536759"/>
    <w:rsid w:val="00536B07"/>
    <w:rsid w:val="005440E3"/>
    <w:rsid w:val="00553B4B"/>
    <w:rsid w:val="00554894"/>
    <w:rsid w:val="00556B0C"/>
    <w:rsid w:val="00562B47"/>
    <w:rsid w:val="00566E5E"/>
    <w:rsid w:val="0058082D"/>
    <w:rsid w:val="00582FD8"/>
    <w:rsid w:val="00586448"/>
    <w:rsid w:val="005958BF"/>
    <w:rsid w:val="00595D5E"/>
    <w:rsid w:val="005A1163"/>
    <w:rsid w:val="005A660C"/>
    <w:rsid w:val="005B02EF"/>
    <w:rsid w:val="005C70DE"/>
    <w:rsid w:val="005D24C6"/>
    <w:rsid w:val="005D7A39"/>
    <w:rsid w:val="005E1DEB"/>
    <w:rsid w:val="005F07FA"/>
    <w:rsid w:val="005F7247"/>
    <w:rsid w:val="006077BD"/>
    <w:rsid w:val="0061662B"/>
    <w:rsid w:val="00616C16"/>
    <w:rsid w:val="0063006F"/>
    <w:rsid w:val="006327F5"/>
    <w:rsid w:val="006343E0"/>
    <w:rsid w:val="00634BB8"/>
    <w:rsid w:val="0063711C"/>
    <w:rsid w:val="00640D63"/>
    <w:rsid w:val="00641367"/>
    <w:rsid w:val="006435F0"/>
    <w:rsid w:val="00644352"/>
    <w:rsid w:val="006467FB"/>
    <w:rsid w:val="00661276"/>
    <w:rsid w:val="00670527"/>
    <w:rsid w:val="006731C4"/>
    <w:rsid w:val="00680438"/>
    <w:rsid w:val="006820C0"/>
    <w:rsid w:val="0069181D"/>
    <w:rsid w:val="006A3DD4"/>
    <w:rsid w:val="006A78D5"/>
    <w:rsid w:val="006B277F"/>
    <w:rsid w:val="006C3251"/>
    <w:rsid w:val="006D17A5"/>
    <w:rsid w:val="006D6567"/>
    <w:rsid w:val="006F1C24"/>
    <w:rsid w:val="006F26FD"/>
    <w:rsid w:val="006F6923"/>
    <w:rsid w:val="00700B74"/>
    <w:rsid w:val="007107AC"/>
    <w:rsid w:val="00721DBF"/>
    <w:rsid w:val="0072345B"/>
    <w:rsid w:val="00726428"/>
    <w:rsid w:val="007319FF"/>
    <w:rsid w:val="007400F9"/>
    <w:rsid w:val="00753E3A"/>
    <w:rsid w:val="00760052"/>
    <w:rsid w:val="00763E56"/>
    <w:rsid w:val="00765FC3"/>
    <w:rsid w:val="00767123"/>
    <w:rsid w:val="007762BD"/>
    <w:rsid w:val="007800FB"/>
    <w:rsid w:val="00780A48"/>
    <w:rsid w:val="007839AD"/>
    <w:rsid w:val="007910FA"/>
    <w:rsid w:val="00797945"/>
    <w:rsid w:val="00797B4D"/>
    <w:rsid w:val="007A09BF"/>
    <w:rsid w:val="007A7126"/>
    <w:rsid w:val="007C1D80"/>
    <w:rsid w:val="007C2CD9"/>
    <w:rsid w:val="007C627A"/>
    <w:rsid w:val="007C7584"/>
    <w:rsid w:val="007C7674"/>
    <w:rsid w:val="007C788A"/>
    <w:rsid w:val="007E0B7A"/>
    <w:rsid w:val="007E1AC0"/>
    <w:rsid w:val="007E459E"/>
    <w:rsid w:val="007E745D"/>
    <w:rsid w:val="007E7B20"/>
    <w:rsid w:val="007F31B9"/>
    <w:rsid w:val="007F337F"/>
    <w:rsid w:val="007F4F18"/>
    <w:rsid w:val="007F6E32"/>
    <w:rsid w:val="007F7303"/>
    <w:rsid w:val="00806A14"/>
    <w:rsid w:val="008115DB"/>
    <w:rsid w:val="00812E26"/>
    <w:rsid w:val="00813B60"/>
    <w:rsid w:val="00814712"/>
    <w:rsid w:val="008151D1"/>
    <w:rsid w:val="00820697"/>
    <w:rsid w:val="008218AF"/>
    <w:rsid w:val="008256F3"/>
    <w:rsid w:val="00825C93"/>
    <w:rsid w:val="00834469"/>
    <w:rsid w:val="00836404"/>
    <w:rsid w:val="00836D79"/>
    <w:rsid w:val="008423A1"/>
    <w:rsid w:val="008507FB"/>
    <w:rsid w:val="008558A4"/>
    <w:rsid w:val="00867851"/>
    <w:rsid w:val="008728CA"/>
    <w:rsid w:val="00875CDC"/>
    <w:rsid w:val="00887ADB"/>
    <w:rsid w:val="00894885"/>
    <w:rsid w:val="008A046B"/>
    <w:rsid w:val="008A3750"/>
    <w:rsid w:val="008B045D"/>
    <w:rsid w:val="008B27E8"/>
    <w:rsid w:val="008C1861"/>
    <w:rsid w:val="008C5018"/>
    <w:rsid w:val="008D7956"/>
    <w:rsid w:val="008E3352"/>
    <w:rsid w:val="008E44A8"/>
    <w:rsid w:val="008E4C57"/>
    <w:rsid w:val="008F1E57"/>
    <w:rsid w:val="008F3429"/>
    <w:rsid w:val="008F4513"/>
    <w:rsid w:val="008F4CA1"/>
    <w:rsid w:val="008F64BB"/>
    <w:rsid w:val="00913A77"/>
    <w:rsid w:val="00913D1E"/>
    <w:rsid w:val="009140FC"/>
    <w:rsid w:val="00915B5E"/>
    <w:rsid w:val="009269DD"/>
    <w:rsid w:val="00927585"/>
    <w:rsid w:val="009352EA"/>
    <w:rsid w:val="00953F28"/>
    <w:rsid w:val="00963D93"/>
    <w:rsid w:val="00975EC6"/>
    <w:rsid w:val="0098357D"/>
    <w:rsid w:val="009835E5"/>
    <w:rsid w:val="00984482"/>
    <w:rsid w:val="009955DC"/>
    <w:rsid w:val="009A054A"/>
    <w:rsid w:val="009A15E4"/>
    <w:rsid w:val="009B1504"/>
    <w:rsid w:val="009C0904"/>
    <w:rsid w:val="009C409E"/>
    <w:rsid w:val="009D2780"/>
    <w:rsid w:val="009D3C66"/>
    <w:rsid w:val="009E0F25"/>
    <w:rsid w:val="009E11EE"/>
    <w:rsid w:val="009E13B5"/>
    <w:rsid w:val="009F225A"/>
    <w:rsid w:val="009F7851"/>
    <w:rsid w:val="00A14F13"/>
    <w:rsid w:val="00A22224"/>
    <w:rsid w:val="00A43CDC"/>
    <w:rsid w:val="00A50642"/>
    <w:rsid w:val="00A62DC2"/>
    <w:rsid w:val="00A7396B"/>
    <w:rsid w:val="00A73B89"/>
    <w:rsid w:val="00A76418"/>
    <w:rsid w:val="00A766AD"/>
    <w:rsid w:val="00A865BA"/>
    <w:rsid w:val="00A96CBF"/>
    <w:rsid w:val="00AA738E"/>
    <w:rsid w:val="00AB2102"/>
    <w:rsid w:val="00AB411F"/>
    <w:rsid w:val="00AB5104"/>
    <w:rsid w:val="00AD0639"/>
    <w:rsid w:val="00AD5815"/>
    <w:rsid w:val="00AE646F"/>
    <w:rsid w:val="00AE735E"/>
    <w:rsid w:val="00B07151"/>
    <w:rsid w:val="00B14AED"/>
    <w:rsid w:val="00B20629"/>
    <w:rsid w:val="00B32E72"/>
    <w:rsid w:val="00B345E7"/>
    <w:rsid w:val="00B34D76"/>
    <w:rsid w:val="00B400EA"/>
    <w:rsid w:val="00B45F62"/>
    <w:rsid w:val="00B55D86"/>
    <w:rsid w:val="00B56207"/>
    <w:rsid w:val="00B602B4"/>
    <w:rsid w:val="00B8015D"/>
    <w:rsid w:val="00B97F90"/>
    <w:rsid w:val="00BB279B"/>
    <w:rsid w:val="00BC1E36"/>
    <w:rsid w:val="00BC4B86"/>
    <w:rsid w:val="00BC6602"/>
    <w:rsid w:val="00BC7168"/>
    <w:rsid w:val="00BD7E62"/>
    <w:rsid w:val="00BE74BE"/>
    <w:rsid w:val="00C0490A"/>
    <w:rsid w:val="00C27B5F"/>
    <w:rsid w:val="00C307B8"/>
    <w:rsid w:val="00C34DCA"/>
    <w:rsid w:val="00C36414"/>
    <w:rsid w:val="00C409C6"/>
    <w:rsid w:val="00C424DE"/>
    <w:rsid w:val="00C4735C"/>
    <w:rsid w:val="00C506C3"/>
    <w:rsid w:val="00C561D3"/>
    <w:rsid w:val="00C56B55"/>
    <w:rsid w:val="00C76B26"/>
    <w:rsid w:val="00C839F2"/>
    <w:rsid w:val="00C863BB"/>
    <w:rsid w:val="00CC2A56"/>
    <w:rsid w:val="00CC6E7B"/>
    <w:rsid w:val="00CD0836"/>
    <w:rsid w:val="00CE0A2A"/>
    <w:rsid w:val="00CE0F48"/>
    <w:rsid w:val="00CE4A8E"/>
    <w:rsid w:val="00CF7E23"/>
    <w:rsid w:val="00D01BE4"/>
    <w:rsid w:val="00D04C8C"/>
    <w:rsid w:val="00D140B1"/>
    <w:rsid w:val="00D1775A"/>
    <w:rsid w:val="00D204AE"/>
    <w:rsid w:val="00D256F6"/>
    <w:rsid w:val="00D318C3"/>
    <w:rsid w:val="00D44DBA"/>
    <w:rsid w:val="00D47BED"/>
    <w:rsid w:val="00D625F6"/>
    <w:rsid w:val="00D657DF"/>
    <w:rsid w:val="00D66065"/>
    <w:rsid w:val="00D666B2"/>
    <w:rsid w:val="00D7620E"/>
    <w:rsid w:val="00D9480B"/>
    <w:rsid w:val="00D948AB"/>
    <w:rsid w:val="00DB069E"/>
    <w:rsid w:val="00DB398B"/>
    <w:rsid w:val="00DC0061"/>
    <w:rsid w:val="00DD3639"/>
    <w:rsid w:val="00DF0B4B"/>
    <w:rsid w:val="00DF1657"/>
    <w:rsid w:val="00DF349C"/>
    <w:rsid w:val="00DF4081"/>
    <w:rsid w:val="00DF79A4"/>
    <w:rsid w:val="00DF7FA0"/>
    <w:rsid w:val="00E01ED3"/>
    <w:rsid w:val="00E01F98"/>
    <w:rsid w:val="00E031D9"/>
    <w:rsid w:val="00E075D5"/>
    <w:rsid w:val="00E13041"/>
    <w:rsid w:val="00E20A47"/>
    <w:rsid w:val="00E27143"/>
    <w:rsid w:val="00E47304"/>
    <w:rsid w:val="00E54935"/>
    <w:rsid w:val="00E658BA"/>
    <w:rsid w:val="00E66531"/>
    <w:rsid w:val="00E70092"/>
    <w:rsid w:val="00E752B6"/>
    <w:rsid w:val="00E838DF"/>
    <w:rsid w:val="00E86C28"/>
    <w:rsid w:val="00E90373"/>
    <w:rsid w:val="00E9295C"/>
    <w:rsid w:val="00E94106"/>
    <w:rsid w:val="00E94767"/>
    <w:rsid w:val="00EA1808"/>
    <w:rsid w:val="00EA1B77"/>
    <w:rsid w:val="00EA2DDA"/>
    <w:rsid w:val="00EB1B6F"/>
    <w:rsid w:val="00EC291D"/>
    <w:rsid w:val="00EC54AE"/>
    <w:rsid w:val="00ED310E"/>
    <w:rsid w:val="00EE3629"/>
    <w:rsid w:val="00EF0986"/>
    <w:rsid w:val="00F045E0"/>
    <w:rsid w:val="00F11AA0"/>
    <w:rsid w:val="00F14029"/>
    <w:rsid w:val="00F1763E"/>
    <w:rsid w:val="00F22145"/>
    <w:rsid w:val="00F35BAC"/>
    <w:rsid w:val="00F4194B"/>
    <w:rsid w:val="00F42B37"/>
    <w:rsid w:val="00F45B74"/>
    <w:rsid w:val="00F46C0B"/>
    <w:rsid w:val="00F7638D"/>
    <w:rsid w:val="00F800AC"/>
    <w:rsid w:val="00F84E2E"/>
    <w:rsid w:val="00F93B20"/>
    <w:rsid w:val="00F970BD"/>
    <w:rsid w:val="00FA51E3"/>
    <w:rsid w:val="00FC75F1"/>
    <w:rsid w:val="00FD208C"/>
    <w:rsid w:val="00FD71F6"/>
    <w:rsid w:val="00FE3BC4"/>
    <w:rsid w:val="00FE5A62"/>
    <w:rsid w:val="00FF7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7B5E15"/>
  <w15:docId w15:val="{ABF13BCA-CB55-400C-8271-CAB69DB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7945"/>
    <w:pPr>
      <w:ind w:left="720"/>
      <w:contextualSpacing/>
    </w:pPr>
  </w:style>
  <w:style w:type="paragraph" w:styleId="Header">
    <w:name w:val="header"/>
    <w:basedOn w:val="Normal"/>
    <w:link w:val="HeaderChar"/>
    <w:uiPriority w:val="99"/>
    <w:unhideWhenUsed/>
    <w:rsid w:val="00AB5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104"/>
  </w:style>
  <w:style w:type="paragraph" w:styleId="Footer">
    <w:name w:val="footer"/>
    <w:basedOn w:val="Normal"/>
    <w:link w:val="FooterChar"/>
    <w:uiPriority w:val="99"/>
    <w:unhideWhenUsed/>
    <w:rsid w:val="00AB5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104"/>
  </w:style>
  <w:style w:type="character" w:styleId="CommentReference">
    <w:name w:val="annotation reference"/>
    <w:basedOn w:val="DefaultParagraphFont"/>
    <w:uiPriority w:val="99"/>
    <w:semiHidden/>
    <w:unhideWhenUsed/>
    <w:rsid w:val="004F0E4B"/>
    <w:rPr>
      <w:sz w:val="16"/>
      <w:szCs w:val="16"/>
    </w:rPr>
  </w:style>
  <w:style w:type="paragraph" w:styleId="CommentText">
    <w:name w:val="annotation text"/>
    <w:basedOn w:val="Normal"/>
    <w:link w:val="CommentTextChar"/>
    <w:uiPriority w:val="99"/>
    <w:semiHidden/>
    <w:unhideWhenUsed/>
    <w:rsid w:val="004F0E4B"/>
    <w:pPr>
      <w:spacing w:line="240" w:lineRule="auto"/>
    </w:pPr>
    <w:rPr>
      <w:sz w:val="20"/>
      <w:szCs w:val="20"/>
    </w:rPr>
  </w:style>
  <w:style w:type="character" w:customStyle="1" w:styleId="CommentTextChar">
    <w:name w:val="Comment Text Char"/>
    <w:basedOn w:val="DefaultParagraphFont"/>
    <w:link w:val="CommentText"/>
    <w:uiPriority w:val="99"/>
    <w:semiHidden/>
    <w:rsid w:val="004F0E4B"/>
    <w:rPr>
      <w:sz w:val="20"/>
      <w:szCs w:val="20"/>
    </w:rPr>
  </w:style>
  <w:style w:type="paragraph" w:styleId="CommentSubject">
    <w:name w:val="annotation subject"/>
    <w:basedOn w:val="CommentText"/>
    <w:next w:val="CommentText"/>
    <w:link w:val="CommentSubjectChar"/>
    <w:uiPriority w:val="99"/>
    <w:semiHidden/>
    <w:unhideWhenUsed/>
    <w:rsid w:val="004F0E4B"/>
    <w:rPr>
      <w:b/>
      <w:bCs/>
    </w:rPr>
  </w:style>
  <w:style w:type="character" w:customStyle="1" w:styleId="CommentSubjectChar">
    <w:name w:val="Comment Subject Char"/>
    <w:basedOn w:val="CommentTextChar"/>
    <w:link w:val="CommentSubject"/>
    <w:uiPriority w:val="99"/>
    <w:semiHidden/>
    <w:rsid w:val="004F0E4B"/>
    <w:rPr>
      <w:b/>
      <w:bCs/>
      <w:sz w:val="20"/>
      <w:szCs w:val="20"/>
    </w:rPr>
  </w:style>
  <w:style w:type="paragraph" w:styleId="BalloonText">
    <w:name w:val="Balloon Text"/>
    <w:basedOn w:val="Normal"/>
    <w:link w:val="BalloonTextChar"/>
    <w:uiPriority w:val="99"/>
    <w:semiHidden/>
    <w:unhideWhenUsed/>
    <w:rsid w:val="004F0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4B"/>
    <w:rPr>
      <w:rFonts w:ascii="Segoe UI" w:hAnsi="Segoe UI" w:cs="Segoe UI"/>
      <w:sz w:val="18"/>
      <w:szCs w:val="18"/>
    </w:rPr>
  </w:style>
  <w:style w:type="paragraph" w:customStyle="1" w:styleId="Default">
    <w:name w:val="Default"/>
    <w:rsid w:val="008D79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34D"/>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ListParagraphChar">
    <w:name w:val="List Paragraph Char"/>
    <w:link w:val="ListParagraph"/>
    <w:uiPriority w:val="34"/>
    <w:locked/>
    <w:rsid w:val="00C307B8"/>
  </w:style>
  <w:style w:type="table" w:styleId="TableGrid">
    <w:name w:val="Table Grid"/>
    <w:basedOn w:val="TableNormal"/>
    <w:uiPriority w:val="59"/>
    <w:rsid w:val="00AD58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4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41A"/>
    <w:rPr>
      <w:sz w:val="20"/>
      <w:szCs w:val="20"/>
    </w:rPr>
  </w:style>
  <w:style w:type="character" w:styleId="EndnoteReference">
    <w:name w:val="endnote reference"/>
    <w:basedOn w:val="DefaultParagraphFont"/>
    <w:uiPriority w:val="99"/>
    <w:semiHidden/>
    <w:unhideWhenUsed/>
    <w:rsid w:val="003D441A"/>
    <w:rPr>
      <w:vertAlign w:val="superscript"/>
    </w:rPr>
  </w:style>
  <w:style w:type="paragraph" w:styleId="FootnoteText">
    <w:name w:val="footnote text"/>
    <w:basedOn w:val="Normal"/>
    <w:link w:val="FootnoteTextChar"/>
    <w:uiPriority w:val="99"/>
    <w:semiHidden/>
    <w:unhideWhenUsed/>
    <w:rsid w:val="00915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B5E"/>
    <w:rPr>
      <w:sz w:val="20"/>
      <w:szCs w:val="20"/>
    </w:rPr>
  </w:style>
  <w:style w:type="character" w:styleId="FootnoteReference">
    <w:name w:val="footnote reference"/>
    <w:basedOn w:val="DefaultParagraphFont"/>
    <w:uiPriority w:val="99"/>
    <w:semiHidden/>
    <w:unhideWhenUsed/>
    <w:rsid w:val="00915B5E"/>
    <w:rPr>
      <w:vertAlign w:val="superscript"/>
    </w:rPr>
  </w:style>
  <w:style w:type="character" w:styleId="Hyperlink">
    <w:name w:val="Hyperlink"/>
    <w:basedOn w:val="DefaultParagraphFont"/>
    <w:uiPriority w:val="99"/>
    <w:unhideWhenUsed/>
    <w:rsid w:val="006D17A5"/>
    <w:rPr>
      <w:color w:val="0563C1" w:themeColor="hyperlink"/>
      <w:u w:val="single"/>
    </w:rPr>
  </w:style>
  <w:style w:type="character" w:styleId="Strong">
    <w:name w:val="Strong"/>
    <w:basedOn w:val="DefaultParagraphFont"/>
    <w:uiPriority w:val="22"/>
    <w:qFormat/>
    <w:rsid w:val="0083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owyinterpreter.org/?COLLCC=3648763498&amp;&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E8AF-78DA-4229-A791-5602ED12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8085</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nepieciešamo turpmāko rīcību attiecībā uz Latvijas Republikas iespējamo dalību Āzijas Infrastruktūras investīciju bankā</vt:lpstr>
    </vt:vector>
  </TitlesOfParts>
  <Company>Finanšu ministrija</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turpmāko rīcību attiecībā uz Latvijas Republikas iespējamo dalību Āzijas Infrastruktūras investīciju bankā</dc:title>
  <dc:subject>Informatīvais ziņojums</dc:subject>
  <dc:creator>Ieva Miseviča</dc:creator>
  <cp:keywords/>
  <dc:description>ieva.misevica@fm.gov.lv
67083825</dc:description>
  <cp:lastModifiedBy>Ieva Miseviča</cp:lastModifiedBy>
  <cp:revision>13</cp:revision>
  <cp:lastPrinted>2015-09-25T06:40:00Z</cp:lastPrinted>
  <dcterms:created xsi:type="dcterms:W3CDTF">2015-09-21T08:00:00Z</dcterms:created>
  <dcterms:modified xsi:type="dcterms:W3CDTF">2015-09-25T10:41:00Z</dcterms:modified>
</cp:coreProperties>
</file>